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snapToGrid/>
          <w:color w:val="auto"/>
          <w:w w:val="100"/>
          <w:kern w:val="0"/>
          <w:sz w:val="44"/>
          <w:szCs w:val="44"/>
          <w:lang w:eastAsia="zh-CN"/>
        </w:rPr>
      </w:pP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snapToGrid/>
          <w:color w:val="auto"/>
          <w:w w:val="100"/>
          <w:kern w:val="0"/>
          <w:sz w:val="44"/>
          <w:szCs w:val="44"/>
          <w:lang w:val="en-US" w:eastAsia="zh-CN"/>
        </w:rPr>
      </w:pPr>
      <w:r>
        <w:rPr>
          <w:rFonts w:hint="eastAsia" w:ascii="方正小标宋简体" w:hAnsi="方正小标宋简体" w:eastAsia="方正小标宋简体" w:cs="方正小标宋简体"/>
          <w:b w:val="0"/>
          <w:bCs w:val="0"/>
          <w:snapToGrid/>
          <w:color w:val="auto"/>
          <w:w w:val="100"/>
          <w:kern w:val="0"/>
          <w:sz w:val="44"/>
          <w:szCs w:val="44"/>
          <w:lang w:eastAsia="zh-CN"/>
        </w:rPr>
        <w:t>省自然资源厅关于推动</w:t>
      </w:r>
      <w:r>
        <w:rPr>
          <w:rFonts w:hint="eastAsia" w:ascii="方正小标宋简体" w:hAnsi="方正小标宋简体" w:eastAsia="方正小标宋简体" w:cs="方正小标宋简体"/>
          <w:b w:val="0"/>
          <w:bCs w:val="0"/>
          <w:snapToGrid/>
          <w:color w:val="auto"/>
          <w:w w:val="100"/>
          <w:kern w:val="0"/>
          <w:sz w:val="44"/>
          <w:szCs w:val="44"/>
          <w:lang w:val="en-US" w:eastAsia="zh-CN"/>
        </w:rPr>
        <w:t>产业用地混合利用</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snapToGrid/>
          <w:color w:val="auto"/>
          <w:w w:val="100"/>
          <w:kern w:val="0"/>
          <w:sz w:val="44"/>
          <w:szCs w:val="44"/>
          <w:lang w:eastAsia="zh-CN"/>
        </w:rPr>
      </w:pPr>
      <w:r>
        <w:rPr>
          <w:rFonts w:hint="eastAsia" w:ascii="方正小标宋简体" w:hAnsi="方正小标宋简体" w:eastAsia="方正小标宋简体" w:cs="方正小标宋简体"/>
          <w:b w:val="0"/>
          <w:bCs w:val="0"/>
          <w:snapToGrid/>
          <w:color w:val="auto"/>
          <w:w w:val="100"/>
          <w:kern w:val="0"/>
          <w:sz w:val="44"/>
          <w:szCs w:val="44"/>
          <w:lang w:val="en-US" w:eastAsia="zh-CN"/>
        </w:rPr>
        <w:t>服务全省支点建设</w:t>
      </w:r>
      <w:r>
        <w:rPr>
          <w:rFonts w:hint="eastAsia" w:ascii="方正小标宋简体" w:hAnsi="方正小标宋简体" w:eastAsia="方正小标宋简体" w:cs="方正小标宋简体"/>
          <w:b w:val="0"/>
          <w:bCs w:val="0"/>
          <w:snapToGrid/>
          <w:color w:val="auto"/>
          <w:w w:val="100"/>
          <w:kern w:val="0"/>
          <w:sz w:val="44"/>
          <w:szCs w:val="44"/>
          <w:lang w:eastAsia="zh-CN"/>
        </w:rPr>
        <w:t>的通知</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eastAsia" w:ascii="楷体_GB2312" w:hAnsi="楷体_GB2312" w:eastAsia="楷体_GB2312" w:cs="楷体_GB2312"/>
          <w:b w:val="0"/>
          <w:bCs w:val="0"/>
          <w:snapToGrid/>
          <w:color w:val="auto"/>
          <w:w w:val="100"/>
          <w:kern w:val="0"/>
          <w:sz w:val="32"/>
          <w:szCs w:val="32"/>
          <w:lang w:val="en-US" w:eastAsia="zh-CN"/>
        </w:rPr>
      </w:pPr>
      <w:r>
        <w:rPr>
          <w:rFonts w:hint="eastAsia" w:ascii="楷体_GB2312" w:hAnsi="楷体_GB2312" w:eastAsia="楷体_GB2312" w:cs="楷体_GB2312"/>
          <w:b w:val="0"/>
          <w:bCs w:val="0"/>
          <w:snapToGrid/>
          <w:color w:val="auto"/>
          <w:w w:val="100"/>
          <w:kern w:val="0"/>
          <w:sz w:val="32"/>
          <w:szCs w:val="32"/>
          <w:lang w:val="en-US" w:eastAsia="zh-CN"/>
        </w:rPr>
        <w:t>（征求意见稿）</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autoSpaceDE w:val="0"/>
        <w:autoSpaceDN w:val="0"/>
        <w:bidi w:val="0"/>
        <w:adjustRightInd w:val="0"/>
        <w:snapToGrid w:val="0"/>
        <w:spacing w:before="0" w:beforeAutospacing="0" w:after="0" w:afterAutospacing="0" w:line="540" w:lineRule="atLeast"/>
        <w:ind w:left="0" w:right="0"/>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0"/>
          <w:sz w:val="32"/>
          <w:szCs w:val="32"/>
          <w:shd w:val="clear" w:fill="FFFFFF"/>
        </w:rPr>
        <w:t> </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leftChars="0" w:right="0" w:firstLine="0" w:firstLineChars="0"/>
        <w:jc w:val="left"/>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0"/>
          <w:sz w:val="32"/>
          <w:szCs w:val="32"/>
          <w:shd w:val="clear" w:fill="FFFFFF"/>
        </w:rPr>
        <w:t>各市、州、直管市、神农架林区自然资源主管部门，厅相关处室、直属单位</w:t>
      </w:r>
      <w:r>
        <w:rPr>
          <w:rFonts w:hint="eastAsia" w:ascii="仿宋_GB2312" w:hAnsi="仿宋_GB2312" w:cs="仿宋_GB2312"/>
          <w:i w:val="0"/>
          <w:iCs w:val="0"/>
          <w:caps w:val="0"/>
          <w:color w:val="000000"/>
          <w:spacing w:val="0"/>
          <w:sz w:val="32"/>
          <w:szCs w:val="32"/>
          <w:shd w:val="clear" w:fill="FFFFFF"/>
          <w:lang w:eastAsia="zh-CN"/>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both"/>
        <w:textAlignment w:val="baseline"/>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cs="Times New Roman"/>
          <w:i w:val="0"/>
          <w:iCs w:val="0"/>
          <w:caps w:val="0"/>
          <w:color w:val="000000"/>
          <w:spacing w:val="0"/>
          <w:sz w:val="32"/>
          <w:szCs w:val="32"/>
          <w:shd w:val="clear" w:fill="FFFFFF"/>
          <w:lang w:val="en-US" w:eastAsia="zh-CN"/>
        </w:rPr>
        <w:t>为</w:t>
      </w:r>
      <w:r>
        <w:rPr>
          <w:rFonts w:hint="default" w:ascii="Times New Roman" w:hAnsi="Times New Roman" w:eastAsia="仿宋_GB2312" w:cs="Times New Roman"/>
          <w:i w:val="0"/>
          <w:iCs w:val="0"/>
          <w:caps w:val="0"/>
          <w:color w:val="000000"/>
          <w:spacing w:val="0"/>
          <w:sz w:val="32"/>
          <w:szCs w:val="32"/>
          <w:shd w:val="clear" w:fill="FFFFFF"/>
        </w:rPr>
        <w:t>贯彻落实</w:t>
      </w:r>
      <w:r>
        <w:rPr>
          <w:rFonts w:hint="eastAsia" w:ascii="Times New Roman" w:hAnsi="Times New Roman" w:cs="Times New Roman"/>
          <w:i w:val="0"/>
          <w:iCs w:val="0"/>
          <w:caps w:val="0"/>
          <w:color w:val="000000"/>
          <w:spacing w:val="0"/>
          <w:sz w:val="32"/>
          <w:szCs w:val="32"/>
          <w:shd w:val="clear" w:fill="FFFFFF"/>
          <w:lang w:eastAsia="zh-CN"/>
        </w:rPr>
        <w:t>党中央、国务院和省委、省政府有关部署要求，进一步</w:t>
      </w:r>
      <w:r>
        <w:rPr>
          <w:rFonts w:hint="default" w:ascii="Times New Roman" w:hAnsi="Times New Roman" w:eastAsia="仿宋_GB2312" w:cs="Times New Roman"/>
          <w:i w:val="0"/>
          <w:iCs w:val="0"/>
          <w:caps w:val="0"/>
          <w:color w:val="000000"/>
          <w:spacing w:val="0"/>
          <w:sz w:val="32"/>
          <w:szCs w:val="32"/>
          <w:shd w:val="clear" w:fill="FFFFFF"/>
          <w:lang w:val="en-US" w:eastAsia="zh-CN"/>
        </w:rPr>
        <w:t>创新产业用地政策</w:t>
      </w:r>
      <w:r>
        <w:rPr>
          <w:rFonts w:hint="default" w:ascii="Times New Roman" w:hAnsi="Times New Roman" w:eastAsia="仿宋_GB2312" w:cs="Times New Roman"/>
          <w:i w:val="0"/>
          <w:iCs w:val="0"/>
          <w:caps w:val="0"/>
          <w:color w:val="000000"/>
          <w:spacing w:val="0"/>
          <w:sz w:val="32"/>
          <w:szCs w:val="32"/>
          <w:shd w:val="clear" w:fill="FFFFFF"/>
        </w:rPr>
        <w:t>，推动土地混合开发利用、用途合理转换，</w:t>
      </w:r>
      <w:r>
        <w:rPr>
          <w:rFonts w:hint="eastAsia" w:ascii="Times New Roman" w:hAnsi="Times New Roman" w:cs="Times New Roman"/>
          <w:i w:val="0"/>
          <w:iCs w:val="0"/>
          <w:caps w:val="0"/>
          <w:color w:val="000000"/>
          <w:spacing w:val="0"/>
          <w:sz w:val="32"/>
          <w:szCs w:val="32"/>
          <w:shd w:val="clear" w:fill="FFFFFF"/>
          <w:lang w:eastAsia="zh-CN"/>
        </w:rPr>
        <w:t>助推</w:t>
      </w:r>
      <w:r>
        <w:rPr>
          <w:rFonts w:hint="default" w:ascii="Times New Roman" w:hAnsi="Times New Roman" w:eastAsia="仿宋_GB2312" w:cs="Times New Roman"/>
          <w:i w:val="0"/>
          <w:iCs w:val="0"/>
          <w:caps w:val="0"/>
          <w:color w:val="000000"/>
          <w:spacing w:val="0"/>
          <w:sz w:val="32"/>
          <w:szCs w:val="32"/>
          <w:shd w:val="clear" w:fill="FFFFFF"/>
        </w:rPr>
        <w:t>产业转型升级</w:t>
      </w:r>
      <w:r>
        <w:rPr>
          <w:rFonts w:hint="eastAsia" w:ascii="Times New Roman" w:hAnsi="Times New Roman" w:cs="Times New Roman"/>
          <w:i w:val="0"/>
          <w:iCs w:val="0"/>
          <w:caps w:val="0"/>
          <w:color w:val="000000"/>
          <w:spacing w:val="0"/>
          <w:sz w:val="32"/>
          <w:szCs w:val="32"/>
          <w:shd w:val="clear" w:fill="FFFFFF"/>
          <w:lang w:eastAsia="zh-CN"/>
        </w:rPr>
        <w:t>，</w:t>
      </w:r>
      <w:r>
        <w:rPr>
          <w:rFonts w:hint="eastAsia" w:ascii="Times New Roman" w:hAnsi="Times New Roman" w:cs="Times New Roman"/>
          <w:i w:val="0"/>
          <w:iCs w:val="0"/>
          <w:caps w:val="0"/>
          <w:color w:val="000000"/>
          <w:spacing w:val="0"/>
          <w:sz w:val="32"/>
          <w:szCs w:val="32"/>
          <w:shd w:val="clear" w:fill="FFFFFF"/>
          <w:lang w:val="en-US" w:eastAsia="zh-CN"/>
        </w:rPr>
        <w:t>服务全省支点建设，</w:t>
      </w:r>
      <w:r>
        <w:rPr>
          <w:rFonts w:hint="default" w:ascii="Times New Roman" w:hAnsi="Times New Roman" w:eastAsia="仿宋_GB2312" w:cs="Times New Roman"/>
          <w:i w:val="0"/>
          <w:iCs w:val="0"/>
          <w:caps w:val="0"/>
          <w:color w:val="000000"/>
          <w:spacing w:val="0"/>
          <w:sz w:val="32"/>
          <w:szCs w:val="32"/>
          <w:shd w:val="clear" w:fill="FFFFFF"/>
        </w:rPr>
        <w:t>现</w:t>
      </w:r>
      <w:r>
        <w:rPr>
          <w:rFonts w:hint="default" w:ascii="Times New Roman" w:hAnsi="Times New Roman" w:eastAsia="仿宋_GB2312" w:cs="Times New Roman"/>
          <w:i w:val="0"/>
          <w:iCs w:val="0"/>
          <w:caps w:val="0"/>
          <w:color w:val="000000"/>
          <w:spacing w:val="0"/>
          <w:sz w:val="32"/>
          <w:szCs w:val="32"/>
          <w:shd w:val="clear" w:fill="FFFFFF"/>
          <w:lang w:val="en-US" w:eastAsia="zh-CN"/>
        </w:rPr>
        <w:t>就相关事项</w:t>
      </w:r>
      <w:r>
        <w:rPr>
          <w:rFonts w:hint="default" w:ascii="Times New Roman" w:hAnsi="Times New Roman" w:eastAsia="仿宋_GB2312" w:cs="Times New Roman"/>
          <w:i w:val="0"/>
          <w:iCs w:val="0"/>
          <w:caps w:val="0"/>
          <w:color w:val="000000"/>
          <w:spacing w:val="0"/>
          <w:sz w:val="32"/>
          <w:szCs w:val="32"/>
          <w:shd w:val="clear" w:fill="FFFFFF"/>
        </w:rPr>
        <w:t>通知如下。</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eastAsia"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一、明确概念和范围</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both"/>
        <w:textAlignment w:val="baseline"/>
        <w:rPr>
          <w:rFonts w:hint="default" w:ascii="Times New Roman" w:hAnsi="Times New Roman" w:eastAsia="仿宋_GB2312" w:cs="Times New Roman"/>
          <w:color w:val="000000"/>
          <w:sz w:val="32"/>
          <w:szCs w:val="32"/>
          <w:highlight w:val="yellow"/>
        </w:rPr>
      </w:pPr>
      <w:r>
        <w:rPr>
          <w:rFonts w:hint="default" w:ascii="Times New Roman" w:hAnsi="Times New Roman" w:eastAsia="仿宋_GB2312" w:cs="Times New Roman"/>
          <w:i w:val="0"/>
          <w:iCs w:val="0"/>
          <w:caps w:val="0"/>
          <w:color w:val="000000"/>
          <w:spacing w:val="0"/>
          <w:sz w:val="32"/>
          <w:szCs w:val="32"/>
          <w:shd w:val="clear" w:fill="FFFFFF"/>
        </w:rPr>
        <w:t>本通知</w:t>
      </w:r>
      <w:r>
        <w:rPr>
          <w:rFonts w:hint="default" w:ascii="Times New Roman" w:hAnsi="Times New Roman" w:cs="Times New Roman"/>
          <w:i w:val="0"/>
          <w:iCs w:val="0"/>
          <w:caps w:val="0"/>
          <w:color w:val="000000"/>
          <w:spacing w:val="0"/>
          <w:sz w:val="32"/>
          <w:szCs w:val="32"/>
          <w:shd w:val="clear" w:fill="FFFFFF"/>
          <w:lang w:val="en-US" w:eastAsia="zh-CN"/>
        </w:rPr>
        <w:t>所指</w:t>
      </w:r>
      <w:r>
        <w:rPr>
          <w:rFonts w:hint="default" w:ascii="Times New Roman" w:hAnsi="Times New Roman" w:cs="Times New Roman"/>
          <w:snapToGrid w:val="0"/>
          <w:color w:val="000000"/>
          <w:kern w:val="0"/>
          <w:sz w:val="32"/>
          <w:szCs w:val="32"/>
          <w:lang w:val="en-US" w:eastAsia="zh-CN" w:bidi="ar"/>
        </w:rPr>
        <w:t>混合产业用地，是</w:t>
      </w:r>
      <w:r>
        <w:rPr>
          <w:rFonts w:hint="default" w:ascii="Times New Roman" w:hAnsi="Times New Roman" w:eastAsia="仿宋_GB2312" w:cs="Times New Roman"/>
          <w:i w:val="0"/>
          <w:iCs w:val="0"/>
          <w:caps w:val="0"/>
          <w:color w:val="000000"/>
          <w:spacing w:val="0"/>
          <w:sz w:val="32"/>
          <w:szCs w:val="32"/>
          <w:shd w:val="clear" w:fill="FFFFFF"/>
        </w:rPr>
        <w:t>在国土空间规划确定的单一宗地上，</w:t>
      </w:r>
      <w:r>
        <w:rPr>
          <w:rFonts w:hint="default" w:ascii="Times New Roman" w:hAnsi="Times New Roman" w:cs="Times New Roman"/>
          <w:i w:val="0"/>
          <w:iCs w:val="0"/>
          <w:caps w:val="0"/>
          <w:color w:val="000000"/>
          <w:spacing w:val="0"/>
          <w:sz w:val="32"/>
          <w:szCs w:val="32"/>
          <w:shd w:val="clear" w:fill="FFFFFF"/>
          <w:lang w:val="en-US" w:eastAsia="zh-CN"/>
        </w:rPr>
        <w:t>土地使用功能超出用地兼容性规定的适建用途或比例，需要采用两种或两种以上用地性质组合表达的复合型用地类别。其中</w:t>
      </w:r>
      <w:r>
        <w:rPr>
          <w:rFonts w:hint="default" w:ascii="Times New Roman" w:hAnsi="Times New Roman" w:eastAsia="仿宋_GB2312" w:cs="Times New Roman"/>
          <w:i w:val="0"/>
          <w:iCs w:val="0"/>
          <w:caps w:val="0"/>
          <w:color w:val="000000"/>
          <w:spacing w:val="0"/>
          <w:sz w:val="32"/>
          <w:szCs w:val="32"/>
          <w:shd w:val="clear" w:fill="FFFFFF"/>
        </w:rPr>
        <w:t>主导用途以工业、物流仓储用地为</w:t>
      </w:r>
      <w:r>
        <w:rPr>
          <w:rFonts w:hint="default" w:ascii="Times New Roman" w:hAnsi="Times New Roman" w:cs="Times New Roman"/>
          <w:i w:val="0"/>
          <w:iCs w:val="0"/>
          <w:caps w:val="0"/>
          <w:color w:val="000000"/>
          <w:spacing w:val="0"/>
          <w:sz w:val="32"/>
          <w:szCs w:val="32"/>
          <w:shd w:val="clear" w:fill="FFFFFF"/>
          <w:lang w:val="en-US" w:eastAsia="zh-CN"/>
        </w:rPr>
        <w:t>主</w:t>
      </w:r>
      <w:r>
        <w:rPr>
          <w:rFonts w:hint="default" w:ascii="Times New Roman" w:hAnsi="Times New Roman" w:eastAsia="仿宋_GB2312" w:cs="Times New Roman"/>
          <w:i w:val="0"/>
          <w:iCs w:val="0"/>
          <w:caps w:val="0"/>
          <w:color w:val="000000"/>
          <w:spacing w:val="0"/>
          <w:sz w:val="32"/>
          <w:szCs w:val="32"/>
          <w:shd w:val="clear" w:fill="FFFFFF"/>
        </w:rPr>
        <w:t>，主导用途的计容建筑面积占宗地总计容建筑面积的比例应大于50%</w:t>
      </w:r>
      <w:r>
        <w:rPr>
          <w:rFonts w:hint="default" w:ascii="Times New Roman" w:hAnsi="Times New Roman"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与服务于主导用途的科研、</w:t>
      </w:r>
      <w:r>
        <w:rPr>
          <w:rFonts w:hint="eastAsia" w:ascii="Times New Roman" w:hAnsi="Times New Roman" w:cs="Times New Roman"/>
          <w:i w:val="0"/>
          <w:iCs w:val="0"/>
          <w:caps w:val="0"/>
          <w:color w:val="000000"/>
          <w:spacing w:val="0"/>
          <w:sz w:val="32"/>
          <w:szCs w:val="32"/>
          <w:shd w:val="clear" w:fill="FFFFFF"/>
          <w:lang w:val="en-US" w:eastAsia="zh-CN"/>
        </w:rPr>
        <w:t>商业</w:t>
      </w:r>
      <w:r>
        <w:rPr>
          <w:rFonts w:hint="default" w:ascii="Times New Roman" w:hAnsi="Times New Roman" w:eastAsia="仿宋_GB2312" w:cs="Times New Roman"/>
          <w:i w:val="0"/>
          <w:iCs w:val="0"/>
          <w:caps w:val="0"/>
          <w:color w:val="000000"/>
          <w:spacing w:val="0"/>
          <w:sz w:val="32"/>
          <w:szCs w:val="32"/>
          <w:shd w:val="clear" w:fill="FFFFFF"/>
        </w:rPr>
        <w:t>、行政办公及生活服务设施等辅助用途的混合开发利用。</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eastAsia"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二、坚持规划引领</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both"/>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0"/>
          <w:sz w:val="32"/>
          <w:szCs w:val="32"/>
          <w:shd w:val="clear" w:fill="FFFFFF"/>
        </w:rPr>
        <w:t>编制国土空间详细规划</w:t>
      </w:r>
      <w:r>
        <w:rPr>
          <w:rFonts w:hint="eastAsia" w:ascii="仿宋_GB2312" w:hAnsi="仿宋_GB2312" w:cs="仿宋_GB2312"/>
          <w:i w:val="0"/>
          <w:iCs w:val="0"/>
          <w:caps w:val="0"/>
          <w:color w:val="000000"/>
          <w:spacing w:val="0"/>
          <w:sz w:val="32"/>
          <w:szCs w:val="32"/>
          <w:shd w:val="clear" w:fill="FFFFFF"/>
          <w:lang w:val="en-US" w:eastAsia="zh-CN"/>
        </w:rPr>
        <w:t>时，倡导</w:t>
      </w:r>
      <w:r>
        <w:rPr>
          <w:rFonts w:hint="eastAsia" w:ascii="仿宋_GB2312" w:hAnsi="仿宋_GB2312" w:eastAsia="仿宋_GB2312" w:cs="仿宋_GB2312"/>
          <w:i w:val="0"/>
          <w:iCs w:val="0"/>
          <w:caps w:val="0"/>
          <w:color w:val="000000"/>
          <w:spacing w:val="0"/>
          <w:sz w:val="32"/>
          <w:szCs w:val="32"/>
          <w:shd w:val="clear" w:fill="FFFFFF"/>
        </w:rPr>
        <w:t>按照</w:t>
      </w:r>
      <w:r>
        <w:rPr>
          <w:rFonts w:hint="eastAsia" w:ascii="仿宋_GB2312" w:hAnsi="仿宋_GB2312" w:eastAsia="仿宋_GB2312" w:cs="仿宋_GB2312"/>
          <w:b w:val="0"/>
          <w:bCs w:val="0"/>
          <w:i w:val="0"/>
          <w:iCs w:val="0"/>
          <w:caps w:val="0"/>
          <w:color w:val="000000"/>
          <w:spacing w:val="0"/>
          <w:sz w:val="32"/>
          <w:szCs w:val="32"/>
          <w:shd w:val="clear" w:fill="FFFFFF"/>
        </w:rPr>
        <w:t>“</w:t>
      </w:r>
      <w:r>
        <w:rPr>
          <w:rFonts w:hint="eastAsia" w:ascii="仿宋_GB2312" w:hAnsi="仿宋_GB2312" w:cs="仿宋_GB2312"/>
          <w:b w:val="0"/>
          <w:bCs w:val="0"/>
          <w:i w:val="0"/>
          <w:iCs w:val="0"/>
          <w:caps w:val="0"/>
          <w:color w:val="000000"/>
          <w:spacing w:val="0"/>
          <w:sz w:val="32"/>
          <w:szCs w:val="32"/>
          <w:shd w:val="clear" w:fill="FFFFFF"/>
          <w:lang w:val="en-US" w:eastAsia="zh-CN"/>
        </w:rPr>
        <w:t>产业关联</w:t>
      </w:r>
      <w:r>
        <w:rPr>
          <w:rFonts w:hint="eastAsia" w:ascii="仿宋_GB2312" w:hAnsi="仿宋_GB2312" w:eastAsia="仿宋_GB2312" w:cs="仿宋_GB2312"/>
          <w:b w:val="0"/>
          <w:bCs w:val="0"/>
          <w:i w:val="0"/>
          <w:iCs w:val="0"/>
          <w:caps w:val="0"/>
          <w:color w:val="000000"/>
          <w:spacing w:val="0"/>
          <w:sz w:val="32"/>
          <w:szCs w:val="32"/>
          <w:shd w:val="clear" w:fill="FFFFFF"/>
        </w:rPr>
        <w:t>、功能相容、互不干扰、设施共享</w:t>
      </w:r>
      <w:r>
        <w:rPr>
          <w:rFonts w:hint="eastAsia" w:ascii="仿宋_GB2312" w:hAnsi="仿宋_GB2312" w:cs="仿宋_GB2312"/>
          <w:b w:val="0"/>
          <w:bCs w:val="0"/>
          <w:i w:val="0"/>
          <w:iCs w:val="0"/>
          <w:caps w:val="0"/>
          <w:color w:val="000000"/>
          <w:spacing w:val="0"/>
          <w:sz w:val="32"/>
          <w:szCs w:val="32"/>
          <w:shd w:val="clear" w:fill="FFFFFF"/>
          <w:lang w:eastAsia="zh-CN"/>
        </w:rPr>
        <w:t>、</w:t>
      </w:r>
      <w:r>
        <w:rPr>
          <w:rFonts w:hint="eastAsia" w:ascii="仿宋_GB2312" w:hAnsi="仿宋_GB2312" w:cs="仿宋_GB2312"/>
          <w:b w:val="0"/>
          <w:bCs w:val="0"/>
          <w:i w:val="0"/>
          <w:iCs w:val="0"/>
          <w:caps w:val="0"/>
          <w:color w:val="000000"/>
          <w:spacing w:val="0"/>
          <w:sz w:val="32"/>
          <w:szCs w:val="32"/>
          <w:shd w:val="clear" w:fill="FFFFFF"/>
          <w:lang w:val="en-US" w:eastAsia="zh-CN"/>
        </w:rPr>
        <w:t>效能提升</w:t>
      </w:r>
      <w:r>
        <w:rPr>
          <w:rFonts w:hint="eastAsia" w:ascii="仿宋_GB2312" w:hAnsi="仿宋_GB2312" w:eastAsia="仿宋_GB2312" w:cs="仿宋_GB2312"/>
          <w:b w:val="0"/>
          <w:bCs w:val="0"/>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rPr>
        <w:t>的原则</w:t>
      </w:r>
      <w:r>
        <w:rPr>
          <w:rFonts w:hint="eastAsia" w:ascii="仿宋_GB2312" w:hAnsi="仿宋_GB2312" w:cs="仿宋_GB2312"/>
          <w:i w:val="0"/>
          <w:iCs w:val="0"/>
          <w:caps w:val="0"/>
          <w:color w:val="000000"/>
          <w:spacing w:val="0"/>
          <w:sz w:val="32"/>
          <w:szCs w:val="32"/>
          <w:shd w:val="clear" w:fill="FFFFFF"/>
          <w:lang w:val="en-US" w:eastAsia="zh-CN"/>
        </w:rPr>
        <w:t>设置</w:t>
      </w:r>
      <w:r>
        <w:rPr>
          <w:rFonts w:hint="eastAsia" w:ascii="仿宋_GB2312" w:hAnsi="仿宋_GB2312" w:eastAsia="仿宋_GB2312" w:cs="仿宋_GB2312"/>
          <w:i w:val="0"/>
          <w:iCs w:val="0"/>
          <w:caps w:val="0"/>
          <w:color w:val="000000"/>
          <w:spacing w:val="0"/>
          <w:sz w:val="32"/>
          <w:szCs w:val="32"/>
          <w:shd w:val="clear" w:fill="FFFFFF"/>
        </w:rPr>
        <w:t>混合</w:t>
      </w:r>
      <w:r>
        <w:rPr>
          <w:rFonts w:hint="eastAsia" w:ascii="仿宋_GB2312" w:hAnsi="仿宋_GB2312" w:cs="仿宋_GB2312"/>
          <w:i w:val="0"/>
          <w:iCs w:val="0"/>
          <w:caps w:val="0"/>
          <w:color w:val="000000"/>
          <w:spacing w:val="0"/>
          <w:sz w:val="32"/>
          <w:szCs w:val="32"/>
          <w:shd w:val="clear" w:fill="FFFFFF"/>
          <w:lang w:val="en-US" w:eastAsia="zh-CN"/>
        </w:rPr>
        <w:t>产业用地，提出混合产业用地功能引导要求，明确混合产业用地主导用途及辅助用途类型，科学确定经济技术指标。混合产业用地的用地代码之间采用“+”符号连接，在国土空间详细规划中明确表达。</w:t>
      </w:r>
      <w:r>
        <w:rPr>
          <w:rFonts w:hint="eastAsia" w:ascii="仿宋_GB2312" w:hAnsi="仿宋_GB2312" w:eastAsia="仿宋_GB2312" w:cs="仿宋_GB2312"/>
          <w:i w:val="0"/>
          <w:iCs w:val="0"/>
          <w:caps w:val="0"/>
          <w:color w:val="000000"/>
          <w:spacing w:val="0"/>
          <w:sz w:val="32"/>
          <w:szCs w:val="32"/>
          <w:shd w:val="clear" w:fill="FFFFFF"/>
        </w:rPr>
        <w:t>对不符合国土空间详细规划但确需混合利用的地块，依法依规调整国土空间详细规划后</w:t>
      </w:r>
      <w:r>
        <w:rPr>
          <w:rFonts w:hint="eastAsia" w:ascii="仿宋_GB2312" w:hAnsi="仿宋_GB2312" w:cs="仿宋_GB2312"/>
          <w:i w:val="0"/>
          <w:iCs w:val="0"/>
          <w:caps w:val="0"/>
          <w:color w:val="000000"/>
          <w:spacing w:val="0"/>
          <w:sz w:val="32"/>
          <w:szCs w:val="32"/>
          <w:shd w:val="clear" w:fill="FFFFFF"/>
          <w:lang w:val="en-US" w:eastAsia="zh-CN"/>
        </w:rPr>
        <w:t>方可进行混合利用</w:t>
      </w:r>
      <w:r>
        <w:rPr>
          <w:rFonts w:hint="eastAsia" w:ascii="仿宋_GB2312" w:hAnsi="仿宋_GB2312" w:eastAsia="仿宋_GB2312" w:cs="仿宋_GB2312"/>
          <w:i w:val="0"/>
          <w:iCs w:val="0"/>
          <w:caps w:val="0"/>
          <w:color w:val="000000"/>
          <w:spacing w:val="0"/>
          <w:sz w:val="32"/>
          <w:szCs w:val="32"/>
          <w:shd w:val="clear" w:fill="FFFFFF"/>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eastAsia"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三、实行正负面清单管理</w:t>
      </w:r>
    </w:p>
    <w:p>
      <w:pPr>
        <w:keepNext w:val="0"/>
        <w:keepLines w:val="0"/>
        <w:pageBreakBefore w:val="0"/>
        <w:widowControl w:val="0"/>
        <w:suppressLineNumbers w:val="0"/>
        <w:kinsoku w:val="0"/>
        <w:wordWrap/>
        <w:overflowPunct/>
        <w:topLinePunct/>
        <w:autoSpaceDE w:val="0"/>
        <w:autoSpaceDN w:val="0"/>
        <w:bidi w:val="0"/>
        <w:adjustRightInd w:val="0"/>
        <w:snapToGrid w:val="0"/>
        <w:spacing w:line="560" w:lineRule="exact"/>
        <w:jc w:val="both"/>
        <w:textAlignment w:val="baseline"/>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cs="仿宋_GB2312"/>
          <w:i w:val="0"/>
          <w:iCs w:val="0"/>
          <w:caps w:val="0"/>
          <w:color w:val="000000"/>
          <w:spacing w:val="0"/>
          <w:sz w:val="32"/>
          <w:szCs w:val="32"/>
          <w:shd w:val="clear" w:fill="FFFFFF"/>
          <w:lang w:val="en-US" w:eastAsia="zh-CN"/>
        </w:rPr>
        <w:t>依据自</w:t>
      </w:r>
      <w:bookmarkStart w:id="0" w:name="_GoBack"/>
      <w:r>
        <w:rPr>
          <w:rFonts w:hint="eastAsia" w:ascii="仿宋_GB2312" w:hAnsi="仿宋_GB2312" w:cs="仿宋_GB2312"/>
          <w:i w:val="0"/>
          <w:iCs w:val="0"/>
          <w:caps w:val="0"/>
          <w:color w:val="000000"/>
          <w:spacing w:val="0"/>
          <w:sz w:val="32"/>
          <w:szCs w:val="32"/>
          <w:shd w:val="clear" w:fill="FFFFFF"/>
          <w:lang w:val="en-US" w:eastAsia="zh-CN"/>
        </w:rPr>
        <w:t>然资源部印发《国</w:t>
      </w:r>
      <w:bookmarkEnd w:id="0"/>
      <w:r>
        <w:rPr>
          <w:rFonts w:hint="eastAsia" w:ascii="仿宋_GB2312" w:hAnsi="仿宋_GB2312" w:cs="仿宋_GB2312"/>
          <w:i w:val="0"/>
          <w:iCs w:val="0"/>
          <w:caps w:val="0"/>
          <w:color w:val="000000"/>
          <w:spacing w:val="0"/>
          <w:sz w:val="32"/>
          <w:szCs w:val="32"/>
          <w:shd w:val="clear" w:fill="FFFFFF"/>
          <w:lang w:val="en-US" w:eastAsia="zh-CN"/>
        </w:rPr>
        <w:t>土空间调查、规划、用途管制用地用海分类指南》，</w:t>
      </w:r>
      <w:r>
        <w:rPr>
          <w:rFonts w:hint="eastAsia" w:ascii="仿宋_GB2312" w:hAnsi="仿宋_GB2312" w:eastAsia="仿宋_GB2312" w:cs="仿宋_GB2312"/>
          <w:i w:val="0"/>
          <w:iCs w:val="0"/>
          <w:caps w:val="0"/>
          <w:color w:val="000000"/>
          <w:spacing w:val="0"/>
          <w:sz w:val="32"/>
          <w:szCs w:val="32"/>
          <w:shd w:val="clear" w:fill="FFFFFF"/>
        </w:rPr>
        <w:t>混合产业用地</w:t>
      </w:r>
      <w:r>
        <w:rPr>
          <w:rFonts w:hint="eastAsia" w:ascii="仿宋_GB2312" w:hAnsi="仿宋_GB2312" w:cs="仿宋_GB2312"/>
          <w:i w:val="0"/>
          <w:iCs w:val="0"/>
          <w:caps w:val="0"/>
          <w:color w:val="000000"/>
          <w:spacing w:val="0"/>
          <w:sz w:val="32"/>
          <w:szCs w:val="32"/>
          <w:shd w:val="clear" w:fill="FFFFFF"/>
          <w:lang w:val="en-US" w:eastAsia="zh-CN"/>
        </w:rPr>
        <w:t>实行正负面清单管理</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cs="仿宋_GB2312"/>
          <w:i w:val="0"/>
          <w:iCs w:val="0"/>
          <w:caps w:val="0"/>
          <w:color w:val="000000"/>
          <w:spacing w:val="0"/>
          <w:sz w:val="32"/>
          <w:szCs w:val="32"/>
          <w:shd w:val="clear" w:fill="FFFFFF"/>
          <w:lang w:val="en-US" w:eastAsia="zh-CN"/>
        </w:rPr>
        <w:t>参考</w:t>
      </w:r>
      <w:r>
        <w:rPr>
          <w:rFonts w:hint="eastAsia" w:ascii="仿宋_GB2312" w:hAnsi="仿宋_GB2312" w:eastAsia="仿宋_GB2312" w:cs="仿宋_GB2312"/>
          <w:i w:val="0"/>
          <w:iCs w:val="0"/>
          <w:caps w:val="0"/>
          <w:color w:val="000000"/>
          <w:spacing w:val="0"/>
          <w:sz w:val="32"/>
          <w:szCs w:val="32"/>
          <w:shd w:val="clear" w:fill="FFFFFF"/>
        </w:rPr>
        <w:t>附件</w:t>
      </w:r>
      <w:r>
        <w:rPr>
          <w:rFonts w:hint="eastAsia" w:ascii="仿宋_GB2312" w:hAnsi="仿宋_GB2312" w:cs="仿宋_GB2312"/>
          <w:i w:val="0"/>
          <w:iCs w:val="0"/>
          <w:caps w:val="0"/>
          <w:color w:val="000000"/>
          <w:spacing w:val="0"/>
          <w:sz w:val="32"/>
          <w:szCs w:val="32"/>
          <w:shd w:val="clear" w:fill="FFFFFF"/>
          <w:lang w:val="en-US" w:eastAsia="zh-CN"/>
        </w:rPr>
        <w:t>1</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cs="仿宋_GB2312"/>
          <w:i w:val="0"/>
          <w:iCs w:val="0"/>
          <w:caps w:val="0"/>
          <w:color w:val="000000"/>
          <w:spacing w:val="0"/>
          <w:sz w:val="32"/>
          <w:szCs w:val="32"/>
          <w:shd w:val="clear" w:fill="FFFFFF"/>
          <w:lang w:eastAsia="zh-CN"/>
        </w:rPr>
        <w:t>，</w:t>
      </w:r>
      <w:r>
        <w:rPr>
          <w:rFonts w:hint="eastAsia" w:ascii="仿宋_GB2312" w:hAnsi="仿宋_GB2312" w:cs="仿宋_GB2312"/>
          <w:i w:val="0"/>
          <w:iCs w:val="0"/>
          <w:caps w:val="0"/>
          <w:color w:val="000000"/>
          <w:spacing w:val="0"/>
          <w:sz w:val="32"/>
          <w:szCs w:val="32"/>
          <w:shd w:val="clear" w:fill="FFFFFF"/>
          <w:lang w:val="en-US" w:eastAsia="zh-CN"/>
        </w:rPr>
        <w:t>划分“允许混合”“禁止混合”用地类型。其中，“允许混合”即鼓励工业、仓储、科研等功能互利的用地混合布局、融合发展；“禁止混合”即</w:t>
      </w:r>
      <w:r>
        <w:rPr>
          <w:rFonts w:hint="eastAsia" w:ascii="仿宋_GB2312" w:hAnsi="仿宋_GB2312" w:eastAsia="仿宋_GB2312" w:cs="仿宋_GB2312"/>
          <w:i w:val="0"/>
          <w:iCs w:val="0"/>
          <w:caps w:val="0"/>
          <w:color w:val="000000"/>
          <w:spacing w:val="0"/>
          <w:sz w:val="32"/>
          <w:szCs w:val="32"/>
          <w:shd w:val="clear" w:fill="FFFFFF"/>
        </w:rPr>
        <w:t>涉及公共安全、公共利益、环境保护及特殊功能需求的用地不得进行多用途混合利用。</w:t>
      </w:r>
      <w:r>
        <w:rPr>
          <w:rFonts w:hint="eastAsia" w:ascii="仿宋_GB2312" w:hAnsi="仿宋_GB2312" w:eastAsia="仿宋_GB2312" w:cs="仿宋_GB2312"/>
          <w:i w:val="0"/>
          <w:iCs w:val="0"/>
          <w:caps w:val="0"/>
          <w:color w:val="000000"/>
          <w:spacing w:val="0"/>
          <w:sz w:val="32"/>
          <w:szCs w:val="32"/>
          <w:shd w:val="clear" w:fill="FFFFFF"/>
          <w:lang w:val="en-US" w:eastAsia="zh-CN"/>
        </w:rPr>
        <w:t>对于正负面清单中未</w:t>
      </w:r>
      <w:r>
        <w:rPr>
          <w:rFonts w:hint="eastAsia" w:ascii="仿宋_GB2312" w:hAnsi="仿宋_GB2312" w:cs="仿宋_GB2312"/>
          <w:i w:val="0"/>
          <w:iCs w:val="0"/>
          <w:caps w:val="0"/>
          <w:color w:val="000000"/>
          <w:spacing w:val="0"/>
          <w:sz w:val="32"/>
          <w:szCs w:val="32"/>
          <w:shd w:val="clear" w:fill="FFFFFF"/>
          <w:lang w:val="en-US" w:eastAsia="zh-CN"/>
        </w:rPr>
        <w:t>列出</w:t>
      </w:r>
      <w:r>
        <w:rPr>
          <w:rFonts w:hint="eastAsia" w:ascii="仿宋_GB2312" w:hAnsi="仿宋_GB2312" w:eastAsia="仿宋_GB2312" w:cs="仿宋_GB2312"/>
          <w:i w:val="0"/>
          <w:iCs w:val="0"/>
          <w:caps w:val="0"/>
          <w:color w:val="000000"/>
          <w:spacing w:val="0"/>
          <w:sz w:val="32"/>
          <w:szCs w:val="32"/>
          <w:shd w:val="clear" w:fill="FFFFFF"/>
          <w:lang w:val="en-US" w:eastAsia="zh-CN"/>
        </w:rPr>
        <w:t>的土地用途确需混合利用的，应经地方政府专题研究确定。支持地方按照主导用途二级类和三级类，综合考虑空间、布局、业态融合、安全生产、环境保护等因素，</w:t>
      </w:r>
      <w:r>
        <w:rPr>
          <w:rFonts w:hint="eastAsia" w:ascii="仿宋_GB2312" w:hAnsi="仿宋_GB2312" w:cs="仿宋_GB2312"/>
          <w:i w:val="0"/>
          <w:iCs w:val="0"/>
          <w:caps w:val="0"/>
          <w:color w:val="000000"/>
          <w:spacing w:val="0"/>
          <w:sz w:val="32"/>
          <w:szCs w:val="32"/>
          <w:shd w:val="clear" w:fill="FFFFFF"/>
          <w:lang w:val="en-US" w:eastAsia="zh-CN"/>
        </w:rPr>
        <w:t>细化完善产业用地混合利用正</w:t>
      </w:r>
      <w:r>
        <w:rPr>
          <w:rFonts w:hint="eastAsia" w:ascii="仿宋_GB2312" w:hAnsi="仿宋_GB2312" w:eastAsia="仿宋_GB2312" w:cs="仿宋_GB2312"/>
          <w:i w:val="0"/>
          <w:iCs w:val="0"/>
          <w:caps w:val="0"/>
          <w:color w:val="000000"/>
          <w:spacing w:val="0"/>
          <w:sz w:val="32"/>
          <w:szCs w:val="32"/>
          <w:shd w:val="clear" w:fill="FFFFFF"/>
          <w:lang w:val="en-US" w:eastAsia="zh-CN"/>
        </w:rPr>
        <w:t>负面清单，明确两种或两种以上用途混合的类型和比例等内容，引导工业、仓储、</w:t>
      </w:r>
      <w:r>
        <w:rPr>
          <w:rFonts w:hint="eastAsia" w:ascii="仿宋_GB2312" w:hAnsi="仿宋_GB2312" w:cs="仿宋_GB2312"/>
          <w:i w:val="0"/>
          <w:iCs w:val="0"/>
          <w:caps w:val="0"/>
          <w:color w:val="000000"/>
          <w:spacing w:val="0"/>
          <w:sz w:val="32"/>
          <w:szCs w:val="32"/>
          <w:shd w:val="clear" w:fill="FFFFFF"/>
          <w:lang w:val="en-US" w:eastAsia="zh-CN"/>
        </w:rPr>
        <w:t>科研</w:t>
      </w:r>
      <w:r>
        <w:rPr>
          <w:rFonts w:hint="eastAsia" w:ascii="仿宋_GB2312" w:hAnsi="仿宋_GB2312" w:eastAsia="仿宋_GB2312" w:cs="仿宋_GB2312"/>
          <w:i w:val="0"/>
          <w:iCs w:val="0"/>
          <w:caps w:val="0"/>
          <w:color w:val="000000"/>
          <w:spacing w:val="0"/>
          <w:sz w:val="32"/>
          <w:szCs w:val="32"/>
          <w:shd w:val="clear" w:fill="FFFFFF"/>
          <w:lang w:val="en-US" w:eastAsia="zh-CN"/>
        </w:rPr>
        <w:t>、办公、商业等用途混合布局、空间设施共享。</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eastAsia"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四、完善土地供应方式</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both"/>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0"/>
          <w:sz w:val="32"/>
          <w:szCs w:val="32"/>
          <w:shd w:val="clear" w:fill="FFFFFF"/>
        </w:rPr>
        <w:t>混合产业用地</w:t>
      </w:r>
      <w:r>
        <w:rPr>
          <w:rFonts w:hint="eastAsia" w:ascii="仿宋_GB2312" w:hAnsi="仿宋_GB2312" w:cs="仿宋_GB2312"/>
          <w:i w:val="0"/>
          <w:iCs w:val="0"/>
          <w:caps w:val="0"/>
          <w:color w:val="000000"/>
          <w:spacing w:val="0"/>
          <w:sz w:val="32"/>
          <w:szCs w:val="32"/>
          <w:shd w:val="clear" w:fill="FFFFFF"/>
          <w:lang w:val="en-US" w:eastAsia="zh-CN"/>
        </w:rPr>
        <w:t>供应要按照“公平、公开、公正”原则，切实维护土地市场规范运行，必须以招标、拍卖、挂牌方式供地。</w:t>
      </w:r>
      <w:r>
        <w:rPr>
          <w:rFonts w:hint="eastAsia" w:ascii="仿宋_GB2312" w:hAnsi="仿宋_GB2312" w:eastAsia="仿宋_GB2312" w:cs="仿宋_GB2312"/>
          <w:i w:val="0"/>
          <w:iCs w:val="0"/>
          <w:caps w:val="0"/>
          <w:color w:val="000000"/>
          <w:spacing w:val="0"/>
          <w:sz w:val="32"/>
          <w:szCs w:val="32"/>
          <w:shd w:val="clear" w:fill="FFFFFF"/>
        </w:rPr>
        <w:t>鼓励各地结合主导用途、产业政策、项目特点和生命周期等因素，通过弹性年期、长期租赁、先租后让、租让结合等方式供地。产业主管部门对产业类型、建设时序、自持比例、产权分割及移交管理等提出要求的应一并纳入土地供应方案。</w:t>
      </w:r>
      <w:r>
        <w:rPr>
          <w:rFonts w:hint="eastAsia" w:ascii="仿宋_GB2312" w:hAnsi="仿宋_GB2312" w:cs="仿宋_GB2312"/>
          <w:i w:val="0"/>
          <w:iCs w:val="0"/>
          <w:caps w:val="0"/>
          <w:color w:val="000000"/>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000000"/>
          <w:spacing w:val="0"/>
          <w:sz w:val="32"/>
          <w:szCs w:val="32"/>
          <w:shd w:val="clear" w:fill="FFFFFF"/>
        </w:rPr>
        <w:t>在符合国土空间规划、建设用地控制标准和准入管理的前提下，探索采用“带产业项目”“带设计方案”供地。</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default"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五、合理设定使用年限</w:t>
      </w:r>
    </w:p>
    <w:p>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right="0" w:rightChars="0" w:firstLine="640" w:firstLineChars="200"/>
        <w:jc w:val="both"/>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0"/>
          <w:sz w:val="32"/>
          <w:szCs w:val="32"/>
          <w:shd w:val="clear" w:fill="FFFFFF"/>
        </w:rPr>
        <w:t>因土地用途不同导致最高出让年限不一致，采取</w:t>
      </w:r>
      <w:r>
        <w:rPr>
          <w:rFonts w:hint="eastAsia" w:ascii="仿宋_GB2312" w:hAnsi="仿宋_GB2312" w:cs="仿宋_GB2312"/>
          <w:i w:val="0"/>
          <w:iCs w:val="0"/>
          <w:caps w:val="0"/>
          <w:color w:val="000000"/>
          <w:spacing w:val="0"/>
          <w:sz w:val="32"/>
          <w:szCs w:val="32"/>
          <w:shd w:val="clear" w:fill="FFFFFF"/>
          <w:lang w:val="en-US" w:eastAsia="zh-CN"/>
        </w:rPr>
        <w:t>出让、</w:t>
      </w:r>
      <w:r>
        <w:rPr>
          <w:rFonts w:hint="eastAsia" w:ascii="仿宋_GB2312" w:hAnsi="仿宋_GB2312" w:eastAsia="仿宋_GB2312" w:cs="仿宋_GB2312"/>
          <w:i w:val="0"/>
          <w:iCs w:val="0"/>
          <w:caps w:val="0"/>
          <w:color w:val="000000"/>
          <w:spacing w:val="0"/>
          <w:sz w:val="32"/>
          <w:szCs w:val="32"/>
          <w:shd w:val="clear" w:fill="FFFFFF"/>
        </w:rPr>
        <w:t>先租后让</w:t>
      </w:r>
      <w:r>
        <w:rPr>
          <w:rFonts w:hint="eastAsia" w:ascii="仿宋_GB2312" w:hAnsi="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租让结合</w:t>
      </w:r>
      <w:r>
        <w:rPr>
          <w:rFonts w:hint="eastAsia" w:ascii="仿宋_GB2312" w:hAnsi="仿宋_GB2312" w:cs="仿宋_GB2312"/>
          <w:i w:val="0"/>
          <w:iCs w:val="0"/>
          <w:caps w:val="0"/>
          <w:color w:val="000000"/>
          <w:spacing w:val="0"/>
          <w:sz w:val="32"/>
          <w:szCs w:val="32"/>
          <w:shd w:val="clear" w:fill="FFFFFF"/>
          <w:lang w:val="en-US" w:eastAsia="zh-CN"/>
        </w:rPr>
        <w:t>等方式</w:t>
      </w:r>
      <w:r>
        <w:rPr>
          <w:rFonts w:hint="eastAsia" w:ascii="仿宋_GB2312" w:hAnsi="仿宋_GB2312" w:eastAsia="仿宋_GB2312" w:cs="仿宋_GB2312"/>
          <w:i w:val="0"/>
          <w:iCs w:val="0"/>
          <w:caps w:val="0"/>
          <w:color w:val="000000"/>
          <w:spacing w:val="0"/>
          <w:sz w:val="32"/>
          <w:szCs w:val="32"/>
          <w:shd w:val="clear" w:fill="FFFFFF"/>
        </w:rPr>
        <w:t>供应的，混合产业用地出让年限</w:t>
      </w:r>
      <w:r>
        <w:rPr>
          <w:rFonts w:hint="eastAsia" w:ascii="仿宋_GB2312" w:hAnsi="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租让年限之和不得高于主导用途和辅助用途中最短的法定最高出让年限。鼓励根据主导用途产业类型特点，合理确定出让年限。</w:t>
      </w:r>
      <w:r>
        <w:rPr>
          <w:rFonts w:hint="eastAsia" w:ascii="仿宋_GB2312" w:hAnsi="仿宋_GB2312" w:eastAsia="仿宋_GB2312" w:cs="仿宋_GB2312"/>
          <w:i w:val="0"/>
          <w:iCs w:val="0"/>
          <w:caps w:val="0"/>
          <w:color w:val="000000"/>
          <w:spacing w:val="0"/>
          <w:sz w:val="32"/>
          <w:szCs w:val="32"/>
          <w:shd w:val="clear" w:fill="FFFFFF"/>
          <w:lang w:val="en-US" w:eastAsia="zh-CN"/>
        </w:rPr>
        <w:t>土地使用权使用期限届满后的续期和续期费用缴纳，依照法律、法规和相关行政规定办理。</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eastAsia"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六、科学确定土地价格</w:t>
      </w:r>
    </w:p>
    <w:p>
      <w:pPr>
        <w:keepNext w:val="0"/>
        <w:keepLines w:val="0"/>
        <w:pageBreakBefore w:val="0"/>
        <w:widowControl w:val="0"/>
        <w:numPr>
          <w:ilvl w:val="0"/>
          <w:numId w:val="0"/>
        </w:numPr>
        <w:suppressLineNumbers w:val="0"/>
        <w:kinsoku w:val="0"/>
        <w:wordWrap/>
        <w:overflowPunct/>
        <w:topLinePunct/>
        <w:autoSpaceDE w:val="0"/>
        <w:autoSpaceDN w:val="0"/>
        <w:bidi w:val="0"/>
        <w:adjustRightInd w:val="0"/>
        <w:snapToGrid w:val="0"/>
        <w:spacing w:line="560" w:lineRule="exact"/>
        <w:ind w:firstLine="640" w:firstLineChars="200"/>
        <w:jc w:val="both"/>
        <w:textAlignment w:val="baseline"/>
        <w:rPr>
          <w:rFonts w:hint="eastAsia" w:ascii="仿宋_GB2312" w:hAnsi="仿宋_GB2312" w:eastAsia="仿宋_GB2312" w:cs="仿宋_GB2312"/>
          <w:i w:val="0"/>
          <w:iCs w:val="0"/>
          <w:caps w:val="0"/>
          <w:snapToGrid w:val="0"/>
          <w:color w:val="000000"/>
          <w:spacing w:val="0"/>
          <w:kern w:val="0"/>
          <w:sz w:val="32"/>
          <w:szCs w:val="32"/>
          <w:shd w:val="clear" w:fill="FFFFFF"/>
          <w:lang w:val="en-US" w:eastAsia="zh-CN" w:bidi="ar"/>
        </w:rPr>
      </w:pPr>
      <w:r>
        <w:rPr>
          <w:rFonts w:hint="eastAsia" w:ascii="仿宋_GB2312" w:hAnsi="仿宋_GB2312" w:eastAsia="仿宋_GB2312" w:cs="仿宋_GB2312"/>
          <w:i w:val="0"/>
          <w:iCs w:val="0"/>
          <w:caps w:val="0"/>
          <w:color w:val="000000"/>
          <w:spacing w:val="0"/>
          <w:sz w:val="32"/>
          <w:szCs w:val="32"/>
          <w:shd w:val="clear" w:fill="FFFFFF"/>
        </w:rPr>
        <w:t>混合产业用地涉及多种用途土地使用权出让时，应按不同用途分项评估后</w:t>
      </w:r>
      <w:r>
        <w:rPr>
          <w:rFonts w:hint="eastAsia" w:ascii="仿宋_GB2312" w:hAnsi="仿宋_GB2312" w:cs="仿宋_GB2312"/>
          <w:i w:val="0"/>
          <w:iCs w:val="0"/>
          <w:caps w:val="0"/>
          <w:color w:val="000000"/>
          <w:spacing w:val="0"/>
          <w:sz w:val="32"/>
          <w:szCs w:val="32"/>
          <w:shd w:val="clear" w:fill="FFFFFF"/>
          <w:lang w:val="en-US" w:eastAsia="zh-CN"/>
        </w:rPr>
        <w:t>加总</w:t>
      </w:r>
      <w:r>
        <w:rPr>
          <w:rFonts w:hint="eastAsia" w:ascii="仿宋_GB2312" w:hAnsi="仿宋_GB2312" w:eastAsia="仿宋_GB2312" w:cs="仿宋_GB2312"/>
          <w:i w:val="0"/>
          <w:iCs w:val="0"/>
          <w:caps w:val="0"/>
          <w:color w:val="000000"/>
          <w:spacing w:val="0"/>
          <w:sz w:val="32"/>
          <w:szCs w:val="32"/>
          <w:shd w:val="clear" w:fill="FFFFFF"/>
        </w:rPr>
        <w:t>确定出让底价。估价报告</w:t>
      </w:r>
      <w:r>
        <w:rPr>
          <w:rFonts w:hint="eastAsia" w:ascii="仿宋_GB2312" w:hAnsi="仿宋_GB2312" w:cs="仿宋_GB2312"/>
          <w:i w:val="0"/>
          <w:iCs w:val="0"/>
          <w:caps w:val="0"/>
          <w:color w:val="000000"/>
          <w:spacing w:val="0"/>
          <w:sz w:val="32"/>
          <w:szCs w:val="32"/>
          <w:shd w:val="clear" w:fill="FFFFFF"/>
          <w:lang w:val="en-US" w:eastAsia="zh-CN"/>
        </w:rPr>
        <w:t>中估价结果和土地估价结果一览表</w:t>
      </w:r>
      <w:r>
        <w:rPr>
          <w:rFonts w:hint="eastAsia" w:ascii="仿宋_GB2312" w:hAnsi="仿宋_GB2312" w:eastAsia="仿宋_GB2312" w:cs="仿宋_GB2312"/>
          <w:i w:val="0"/>
          <w:iCs w:val="0"/>
          <w:caps w:val="0"/>
          <w:color w:val="000000"/>
          <w:spacing w:val="0"/>
          <w:sz w:val="32"/>
          <w:szCs w:val="32"/>
          <w:shd w:val="clear" w:fill="FFFFFF"/>
        </w:rPr>
        <w:t>应在总地价外按各用途单列地面地价、楼面地价和总价。采取弹性年期出让的，出让</w:t>
      </w:r>
      <w:r>
        <w:rPr>
          <w:rFonts w:hint="eastAsia" w:ascii="仿宋_GB2312" w:hAnsi="仿宋_GB2312" w:cs="仿宋_GB2312"/>
          <w:i w:val="0"/>
          <w:iCs w:val="0"/>
          <w:caps w:val="0"/>
          <w:color w:val="000000"/>
          <w:spacing w:val="0"/>
          <w:sz w:val="32"/>
          <w:szCs w:val="32"/>
          <w:shd w:val="clear" w:fill="FFFFFF"/>
          <w:lang w:val="en-US" w:eastAsia="zh-CN"/>
        </w:rPr>
        <w:t>底价</w:t>
      </w:r>
      <w:r>
        <w:rPr>
          <w:rFonts w:hint="eastAsia" w:ascii="仿宋_GB2312" w:hAnsi="仿宋_GB2312" w:eastAsia="仿宋_GB2312" w:cs="仿宋_GB2312"/>
          <w:i w:val="0"/>
          <w:iCs w:val="0"/>
          <w:caps w:val="0"/>
          <w:color w:val="000000"/>
          <w:spacing w:val="0"/>
          <w:sz w:val="32"/>
          <w:szCs w:val="32"/>
          <w:shd w:val="clear" w:fill="FFFFFF"/>
        </w:rPr>
        <w:t>按不低于弹性年期与最高年期的比值进行年期修正。采取先租后让</w:t>
      </w:r>
      <w:r>
        <w:rPr>
          <w:rFonts w:hint="eastAsia" w:ascii="仿宋_GB2312" w:hAnsi="仿宋_GB2312" w:cs="仿宋_GB2312"/>
          <w:i w:val="0"/>
          <w:iCs w:val="0"/>
          <w:caps w:val="0"/>
          <w:color w:val="000000"/>
          <w:spacing w:val="0"/>
          <w:sz w:val="32"/>
          <w:szCs w:val="32"/>
          <w:shd w:val="clear" w:fill="FFFFFF"/>
          <w:lang w:val="en-US" w:eastAsia="zh-CN"/>
        </w:rPr>
        <w:t>供应</w:t>
      </w:r>
      <w:r>
        <w:rPr>
          <w:rFonts w:hint="eastAsia" w:ascii="仿宋_GB2312" w:hAnsi="仿宋_GB2312" w:eastAsia="仿宋_GB2312" w:cs="仿宋_GB2312"/>
          <w:i w:val="0"/>
          <w:iCs w:val="0"/>
          <w:caps w:val="0"/>
          <w:color w:val="000000"/>
          <w:spacing w:val="0"/>
          <w:sz w:val="32"/>
          <w:szCs w:val="32"/>
          <w:shd w:val="clear" w:fill="FFFFFF"/>
        </w:rPr>
        <w:t>的，租赁期租金标准按照租赁期与最高年期的比值进行年期修正，转出让后</w:t>
      </w:r>
      <w:r>
        <w:rPr>
          <w:rFonts w:hint="eastAsia" w:ascii="仿宋_GB2312" w:hAnsi="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已交租金</w:t>
      </w:r>
      <w:r>
        <w:rPr>
          <w:rFonts w:hint="eastAsia" w:ascii="仿宋_GB2312" w:hAnsi="仿宋_GB2312" w:cs="仿宋_GB2312"/>
          <w:i w:val="0"/>
          <w:iCs w:val="0"/>
          <w:caps w:val="0"/>
          <w:color w:val="000000"/>
          <w:spacing w:val="0"/>
          <w:sz w:val="32"/>
          <w:szCs w:val="32"/>
          <w:shd w:val="clear" w:fill="FFFFFF"/>
          <w:lang w:val="en-US" w:eastAsia="zh-CN"/>
        </w:rPr>
        <w:t>的剩余部分</w:t>
      </w:r>
      <w:r>
        <w:rPr>
          <w:rFonts w:hint="eastAsia" w:ascii="仿宋_GB2312" w:hAnsi="仿宋_GB2312" w:eastAsia="仿宋_GB2312" w:cs="仿宋_GB2312"/>
          <w:i w:val="0"/>
          <w:iCs w:val="0"/>
          <w:caps w:val="0"/>
          <w:color w:val="000000"/>
          <w:spacing w:val="0"/>
          <w:sz w:val="32"/>
          <w:szCs w:val="32"/>
          <w:shd w:val="clear" w:fill="FFFFFF"/>
        </w:rPr>
        <w:t>可冲抵出让价款。</w:t>
      </w:r>
      <w:r>
        <w:rPr>
          <w:rFonts w:hint="eastAsia" w:ascii="仿宋_GB2312" w:hAnsi="仿宋_GB2312" w:eastAsia="仿宋_GB2312" w:cs="仿宋_GB2312"/>
          <w:i w:val="0"/>
          <w:iCs w:val="0"/>
          <w:caps w:val="0"/>
          <w:snapToGrid w:val="0"/>
          <w:color w:val="000000"/>
          <w:spacing w:val="0"/>
          <w:kern w:val="0"/>
          <w:sz w:val="32"/>
          <w:szCs w:val="32"/>
          <w:shd w:val="clear" w:fill="FFFFFF"/>
          <w:lang w:val="en-US" w:eastAsia="zh-CN" w:bidi="ar"/>
        </w:rPr>
        <w:t>土地使用权人利用自有</w:t>
      </w:r>
      <w:r>
        <w:rPr>
          <w:rFonts w:hint="default" w:ascii="Times New Roman" w:hAnsi="Times New Roman" w:eastAsia="仿宋_GB2312" w:cs="Times New Roman"/>
          <w:i w:val="0"/>
          <w:iCs w:val="0"/>
          <w:caps w:val="0"/>
          <w:color w:val="000000"/>
          <w:spacing w:val="0"/>
          <w:sz w:val="32"/>
          <w:szCs w:val="32"/>
          <w:shd w:val="clear" w:fill="FFFFFF"/>
        </w:rPr>
        <w:t>工业、物流仓储用地</w:t>
      </w:r>
      <w:r>
        <w:rPr>
          <w:rFonts w:hint="eastAsia" w:ascii="仿宋_GB2312" w:hAnsi="仿宋_GB2312" w:eastAsia="仿宋_GB2312" w:cs="仿宋_GB2312"/>
          <w:i w:val="0"/>
          <w:iCs w:val="0"/>
          <w:caps w:val="0"/>
          <w:snapToGrid w:val="0"/>
          <w:color w:val="000000"/>
          <w:spacing w:val="0"/>
          <w:kern w:val="0"/>
          <w:sz w:val="32"/>
          <w:szCs w:val="32"/>
          <w:shd w:val="clear" w:fill="FFFFFF"/>
          <w:lang w:val="en-US" w:eastAsia="zh-CN" w:bidi="ar"/>
        </w:rPr>
        <w:t>，根据相关规划及有关规定允许提高容积率和增加地下空间的，不增收土地价款。</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eastAsia"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七、加强合同及履约监管</w:t>
      </w:r>
    </w:p>
    <w:p>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right="0" w:rightChars="0" w:firstLine="640" w:firstLineChars="200"/>
        <w:jc w:val="left"/>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i w:val="0"/>
          <w:iCs w:val="0"/>
          <w:caps w:val="0"/>
          <w:color w:val="000000"/>
          <w:spacing w:val="0"/>
          <w:sz w:val="32"/>
          <w:szCs w:val="32"/>
          <w:shd w:val="clear" w:fill="FFFFFF"/>
        </w:rPr>
        <w:t>混合产业用地成交后，受让人（承租人）按程序与出让人（出租人）签订</w:t>
      </w:r>
      <w:r>
        <w:rPr>
          <w:rFonts w:hint="eastAsia" w:ascii="仿宋_GB2312" w:hAnsi="仿宋_GB2312" w:cs="仿宋_GB2312"/>
          <w:i w:val="0"/>
          <w:iCs w:val="0"/>
          <w:caps w:val="0"/>
          <w:color w:val="000000"/>
          <w:spacing w:val="0"/>
          <w:sz w:val="32"/>
          <w:szCs w:val="32"/>
          <w:shd w:val="clear" w:fill="FFFFFF"/>
          <w:lang w:val="en-US" w:eastAsia="zh-CN"/>
        </w:rPr>
        <w:t>土地出让</w:t>
      </w:r>
      <w:r>
        <w:rPr>
          <w:rFonts w:hint="eastAsia" w:ascii="仿宋_GB2312" w:hAnsi="仿宋_GB2312" w:eastAsia="仿宋_GB2312" w:cs="仿宋_GB2312"/>
          <w:i w:val="0"/>
          <w:iCs w:val="0"/>
          <w:caps w:val="0"/>
          <w:color w:val="000000"/>
          <w:spacing w:val="0"/>
          <w:sz w:val="32"/>
          <w:szCs w:val="32"/>
          <w:shd w:val="clear" w:fill="FFFFFF"/>
        </w:rPr>
        <w:t>合同</w:t>
      </w:r>
      <w:r>
        <w:rPr>
          <w:rFonts w:hint="eastAsia" w:ascii="仿宋_GB2312" w:hAnsi="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依据规划条件明确用途清单、比例构成和不动产权利处分的限制</w:t>
      </w:r>
      <w:r>
        <w:rPr>
          <w:rFonts w:hint="eastAsia" w:ascii="仿宋_GB2312" w:hAnsi="仿宋_GB2312" w:cs="仿宋_GB2312"/>
          <w:i w:val="0"/>
          <w:iCs w:val="0"/>
          <w:caps w:val="0"/>
          <w:color w:val="000000"/>
          <w:spacing w:val="0"/>
          <w:sz w:val="32"/>
          <w:szCs w:val="32"/>
          <w:shd w:val="clear" w:fill="FFFFFF"/>
          <w:lang w:val="en-US" w:eastAsia="zh-CN"/>
        </w:rPr>
        <w:t>性</w:t>
      </w:r>
      <w:r>
        <w:rPr>
          <w:rFonts w:hint="eastAsia" w:ascii="仿宋_GB2312" w:hAnsi="仿宋_GB2312" w:eastAsia="仿宋_GB2312" w:cs="仿宋_GB2312"/>
          <w:i w:val="0"/>
          <w:iCs w:val="0"/>
          <w:caps w:val="0"/>
          <w:color w:val="000000"/>
          <w:spacing w:val="0"/>
          <w:sz w:val="32"/>
          <w:szCs w:val="32"/>
          <w:shd w:val="clear" w:fill="FFFFFF"/>
        </w:rPr>
        <w:t>条款等内容。同时与提出产业条件的主管部门签订履约监管协议（包括但不限于投资强度、产出强度、投产时间以及违约责任等）。</w:t>
      </w:r>
      <w:r>
        <w:rPr>
          <w:rFonts w:hint="eastAsia" w:ascii="仿宋_GB2312" w:hAnsi="仿宋_GB2312" w:cs="仿宋_GB2312"/>
          <w:i w:val="0"/>
          <w:iCs w:val="0"/>
          <w:caps w:val="0"/>
          <w:color w:val="000000"/>
          <w:spacing w:val="0"/>
          <w:sz w:val="32"/>
          <w:szCs w:val="32"/>
          <w:shd w:val="clear" w:fill="FFFFFF"/>
          <w:lang w:val="en-US" w:eastAsia="zh-CN"/>
        </w:rPr>
        <w:t>混合产业用地原则上应整体持有。确需分割的，</w:t>
      </w:r>
      <w:r>
        <w:rPr>
          <w:rFonts w:hint="eastAsia" w:ascii="仿宋_GB2312" w:hAnsi="仿宋_GB2312" w:cs="仿宋_GB2312"/>
          <w:sz w:val="32"/>
          <w:szCs w:val="32"/>
          <w:highlight w:val="none"/>
          <w:shd w:val="clear" w:fill="FFFFFF"/>
        </w:rPr>
        <w:t>在符合规划、消防、安全等前提下，在满足原权利人自身需要后节余的部分，经</w:t>
      </w:r>
      <w:r>
        <w:rPr>
          <w:rFonts w:hint="eastAsia" w:ascii="仿宋_GB2312" w:hAnsi="仿宋_GB2312" w:cs="仿宋_GB2312"/>
          <w:sz w:val="32"/>
          <w:szCs w:val="32"/>
          <w:highlight w:val="none"/>
          <w:shd w:val="clear" w:fill="FFFFFF"/>
          <w:lang w:val="en-US" w:eastAsia="zh-CN"/>
        </w:rPr>
        <w:t>自然资源主管</w:t>
      </w:r>
      <w:r>
        <w:rPr>
          <w:rFonts w:hint="eastAsia" w:ascii="仿宋_GB2312" w:hAnsi="仿宋_GB2312" w:cs="仿宋_GB2312"/>
          <w:sz w:val="32"/>
          <w:szCs w:val="32"/>
          <w:highlight w:val="none"/>
          <w:shd w:val="clear" w:fill="FFFFFF"/>
        </w:rPr>
        <w:t>部门明确分割部分的规划条件</w:t>
      </w:r>
      <w:r>
        <w:rPr>
          <w:rFonts w:hint="eastAsia" w:ascii="仿宋_GB2312" w:hAnsi="仿宋_GB2312" w:cs="仿宋_GB2312"/>
          <w:sz w:val="32"/>
          <w:szCs w:val="32"/>
          <w:highlight w:val="none"/>
          <w:shd w:val="clear" w:fill="FFFFFF"/>
          <w:lang w:eastAsia="zh-CN"/>
        </w:rPr>
        <w:t>、</w:t>
      </w:r>
      <w:r>
        <w:rPr>
          <w:rFonts w:hint="eastAsia" w:ascii="仿宋_GB2312" w:hAnsi="仿宋_GB2312" w:cs="仿宋_GB2312"/>
          <w:sz w:val="32"/>
          <w:szCs w:val="32"/>
          <w:highlight w:val="none"/>
          <w:shd w:val="clear" w:fill="FFFFFF"/>
        </w:rPr>
        <w:t>产业准入和投入产出要求后</w:t>
      </w:r>
      <w:r>
        <w:rPr>
          <w:rFonts w:hint="eastAsia" w:ascii="仿宋_GB2312" w:hAnsi="仿宋_GB2312" w:cs="仿宋_GB2312"/>
          <w:sz w:val="32"/>
          <w:szCs w:val="32"/>
          <w:highlight w:val="none"/>
          <w:shd w:val="clear" w:fill="FFFFFF"/>
          <w:lang w:eastAsia="zh-CN"/>
        </w:rPr>
        <w:t>，</w:t>
      </w:r>
      <w:r>
        <w:rPr>
          <w:rFonts w:hint="eastAsia" w:ascii="仿宋_GB2312" w:hAnsi="仿宋_GB2312" w:cs="仿宋_GB2312"/>
          <w:sz w:val="32"/>
          <w:szCs w:val="32"/>
          <w:highlight w:val="none"/>
          <w:shd w:val="clear" w:fill="FFFFFF"/>
          <w:lang w:val="en-US" w:eastAsia="zh-CN"/>
        </w:rPr>
        <w:t>混合利用的工业用地、物流仓储用地及地上建筑物</w:t>
      </w:r>
      <w:r>
        <w:rPr>
          <w:rFonts w:hint="eastAsia" w:ascii="仿宋_GB2312" w:hAnsi="仿宋_GB2312" w:cs="仿宋_GB2312"/>
          <w:sz w:val="32"/>
          <w:szCs w:val="32"/>
          <w:highlight w:val="none"/>
          <w:shd w:val="clear" w:fill="FFFFFF"/>
        </w:rPr>
        <w:t>可按幢、层等基本单元进行分割转让、抵押、登记</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cs="仿宋_GB2312"/>
          <w:i w:val="0"/>
          <w:iCs w:val="0"/>
          <w:caps w:val="0"/>
          <w:color w:val="000000"/>
          <w:spacing w:val="0"/>
          <w:sz w:val="32"/>
          <w:szCs w:val="32"/>
          <w:shd w:val="clear" w:fill="FFFFFF"/>
          <w:lang w:val="en-US" w:eastAsia="zh-CN"/>
        </w:rPr>
        <w:t>土地</w:t>
      </w:r>
      <w:r>
        <w:rPr>
          <w:rFonts w:hint="eastAsia" w:ascii="仿宋_GB2312" w:hAnsi="仿宋_GB2312" w:eastAsia="仿宋_GB2312" w:cs="仿宋_GB2312"/>
          <w:i w:val="0"/>
          <w:iCs w:val="0"/>
          <w:caps w:val="0"/>
          <w:color w:val="000000"/>
          <w:spacing w:val="0"/>
          <w:sz w:val="32"/>
          <w:szCs w:val="32"/>
          <w:shd w:val="clear" w:fill="FFFFFF"/>
        </w:rPr>
        <w:t>使用权发生转让的，</w:t>
      </w:r>
      <w:r>
        <w:rPr>
          <w:rFonts w:hint="eastAsia" w:ascii="仿宋_GB2312" w:hAnsi="仿宋_GB2312" w:cs="仿宋_GB2312"/>
          <w:i w:val="0"/>
          <w:iCs w:val="0"/>
          <w:caps w:val="0"/>
          <w:color w:val="000000"/>
          <w:spacing w:val="0"/>
          <w:sz w:val="32"/>
          <w:szCs w:val="32"/>
          <w:shd w:val="clear" w:fill="FFFFFF"/>
          <w:lang w:val="en-US" w:eastAsia="zh-CN"/>
        </w:rPr>
        <w:t>土地出让</w:t>
      </w:r>
      <w:r>
        <w:rPr>
          <w:rFonts w:hint="eastAsia" w:ascii="仿宋_GB2312" w:hAnsi="仿宋_GB2312" w:eastAsia="仿宋_GB2312" w:cs="仿宋_GB2312"/>
          <w:i w:val="0"/>
          <w:iCs w:val="0"/>
          <w:caps w:val="0"/>
          <w:color w:val="000000"/>
          <w:spacing w:val="0"/>
          <w:sz w:val="32"/>
          <w:szCs w:val="32"/>
          <w:shd w:val="clear" w:fill="FFFFFF"/>
        </w:rPr>
        <w:t>合同和履约监管协议载明的权利、义务随之转移。</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eastAsia"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八、依法办理不动产登记</w:t>
      </w:r>
    </w:p>
    <w:p>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right="0" w:rightChars="0" w:firstLine="640" w:firstLineChars="200"/>
        <w:jc w:val="both"/>
        <w:textAlignment w:val="baseline"/>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cs="仿宋_GB2312"/>
          <w:sz w:val="32"/>
          <w:szCs w:val="32"/>
          <w:highlight w:val="none"/>
          <w:shd w:val="clear" w:fill="FFFFFF"/>
        </w:rPr>
        <w:t>企业按土地出让合同约定缴纳土地出让金及有关税费后，不动产登记部门依申请办理不动产登记。</w:t>
      </w:r>
      <w:r>
        <w:rPr>
          <w:rFonts w:hint="eastAsia" w:ascii="仿宋_GB2312" w:hAnsi="仿宋_GB2312" w:eastAsia="仿宋_GB2312" w:cs="仿宋_GB2312"/>
          <w:i w:val="0"/>
          <w:iCs w:val="0"/>
          <w:caps w:val="0"/>
          <w:color w:val="000000"/>
          <w:spacing w:val="0"/>
          <w:sz w:val="32"/>
          <w:szCs w:val="32"/>
          <w:highlight w:val="none"/>
          <w:shd w:val="clear" w:fill="FFFFFF"/>
        </w:rPr>
        <w:t>混合产业用地不动产权证书的证载用途应与土地出让合同确定的用途保持一致</w:t>
      </w:r>
      <w:r>
        <w:rPr>
          <w:rFonts w:hint="eastAsia" w:ascii="仿宋_GB2312" w:hAnsi="仿宋_GB2312" w:cs="仿宋_GB2312"/>
          <w:i w:val="0"/>
          <w:iCs w:val="0"/>
          <w:caps w:val="0"/>
          <w:color w:val="000000"/>
          <w:spacing w:val="0"/>
          <w:sz w:val="32"/>
          <w:szCs w:val="32"/>
          <w:highlight w:val="none"/>
          <w:shd w:val="clear" w:fill="FFFFFF"/>
          <w:lang w:eastAsia="zh-CN"/>
        </w:rPr>
        <w:t>。</w:t>
      </w:r>
      <w:r>
        <w:rPr>
          <w:rFonts w:hint="eastAsia" w:ascii="仿宋_GB2312" w:hAnsi="仿宋_GB2312" w:eastAsia="仿宋_GB2312" w:cs="仿宋_GB2312"/>
          <w:i w:val="0"/>
          <w:iCs w:val="0"/>
          <w:caps w:val="0"/>
          <w:color w:val="000000"/>
          <w:spacing w:val="0"/>
          <w:sz w:val="32"/>
          <w:szCs w:val="32"/>
          <w:highlight w:val="none"/>
          <w:shd w:val="clear" w:fill="FFFFFF"/>
        </w:rPr>
        <w:t>土地出让合同约定的用途清单、比例</w:t>
      </w:r>
      <w:r>
        <w:rPr>
          <w:rFonts w:hint="eastAsia" w:ascii="仿宋_GB2312" w:hAnsi="仿宋_GB2312" w:cs="仿宋_GB2312"/>
          <w:i w:val="0"/>
          <w:iCs w:val="0"/>
          <w:caps w:val="0"/>
          <w:color w:val="000000"/>
          <w:spacing w:val="0"/>
          <w:sz w:val="32"/>
          <w:szCs w:val="32"/>
          <w:highlight w:val="none"/>
          <w:shd w:val="clear" w:fill="FFFFFF"/>
          <w:lang w:val="en-US" w:eastAsia="zh-CN"/>
        </w:rPr>
        <w:t>构成</w:t>
      </w:r>
      <w:r>
        <w:rPr>
          <w:rFonts w:hint="eastAsia" w:ascii="仿宋_GB2312" w:hAnsi="仿宋_GB2312" w:eastAsia="仿宋_GB2312" w:cs="仿宋_GB2312"/>
          <w:i w:val="0"/>
          <w:iCs w:val="0"/>
          <w:caps w:val="0"/>
          <w:color w:val="000000"/>
          <w:spacing w:val="0"/>
          <w:sz w:val="32"/>
          <w:szCs w:val="32"/>
          <w:highlight w:val="none"/>
          <w:shd w:val="clear" w:fill="FFFFFF"/>
        </w:rPr>
        <w:t>、不动产权利处分的限制</w:t>
      </w:r>
      <w:r>
        <w:rPr>
          <w:rFonts w:hint="eastAsia" w:ascii="仿宋_GB2312" w:hAnsi="仿宋_GB2312" w:cs="仿宋_GB2312"/>
          <w:i w:val="0"/>
          <w:iCs w:val="0"/>
          <w:caps w:val="0"/>
          <w:color w:val="000000"/>
          <w:spacing w:val="0"/>
          <w:sz w:val="32"/>
          <w:szCs w:val="32"/>
          <w:highlight w:val="none"/>
          <w:shd w:val="clear" w:fill="FFFFFF"/>
          <w:lang w:val="en-US" w:eastAsia="zh-CN"/>
        </w:rPr>
        <w:t>性</w:t>
      </w:r>
      <w:r>
        <w:rPr>
          <w:rFonts w:hint="eastAsia" w:ascii="仿宋_GB2312" w:hAnsi="仿宋_GB2312" w:eastAsia="仿宋_GB2312" w:cs="仿宋_GB2312"/>
          <w:i w:val="0"/>
          <w:iCs w:val="0"/>
          <w:caps w:val="0"/>
          <w:color w:val="000000"/>
          <w:spacing w:val="0"/>
          <w:sz w:val="32"/>
          <w:szCs w:val="32"/>
          <w:highlight w:val="none"/>
          <w:shd w:val="clear" w:fill="FFFFFF"/>
        </w:rPr>
        <w:t>条款等有关信息应当在不动产登记簿附记栏中注记。</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Fonts w:hint="eastAsia" w:ascii="仿宋_GB2312" w:hAnsi="仿宋_GB2312" w:cs="仿宋_GB2312"/>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九、支持存量产业用地混合利用</w:t>
      </w:r>
    </w:p>
    <w:p>
      <w:pPr>
        <w:keepNext w:val="0"/>
        <w:keepLines w:val="0"/>
        <w:pageBreakBefore w:val="0"/>
        <w:widowControl w:val="0"/>
        <w:suppressLineNumbers w:val="0"/>
        <w:kinsoku w:val="0"/>
        <w:wordWrap/>
        <w:overflowPunct/>
        <w:topLinePunct/>
        <w:autoSpaceDE w:val="0"/>
        <w:autoSpaceDN w:val="0"/>
        <w:bidi w:val="0"/>
        <w:adjustRightInd w:val="0"/>
        <w:snapToGrid w:val="0"/>
        <w:spacing w:line="560" w:lineRule="exact"/>
        <w:jc w:val="both"/>
        <w:textAlignment w:val="baseline"/>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仿宋_GB2312" w:cs="Times New Roman"/>
          <w:i w:val="0"/>
          <w:iCs w:val="0"/>
          <w:caps w:val="0"/>
          <w:color w:val="000000"/>
          <w:spacing w:val="0"/>
          <w:sz w:val="32"/>
          <w:szCs w:val="32"/>
          <w:shd w:val="clear" w:fill="FFFFFF"/>
          <w:lang w:val="en-US" w:eastAsia="zh-CN"/>
        </w:rPr>
        <w:t>对已合法取得用地手续的存量</w:t>
      </w:r>
      <w:r>
        <w:rPr>
          <w:rFonts w:hint="default" w:ascii="Times New Roman" w:hAnsi="Times New Roman" w:cs="Times New Roman"/>
          <w:i w:val="0"/>
          <w:iCs w:val="0"/>
          <w:caps w:val="0"/>
          <w:color w:val="000000"/>
          <w:spacing w:val="0"/>
          <w:sz w:val="32"/>
          <w:szCs w:val="32"/>
          <w:shd w:val="clear" w:fill="FFFFFF"/>
          <w:lang w:val="en-US" w:eastAsia="zh-CN"/>
        </w:rPr>
        <w:t>产业</w:t>
      </w:r>
      <w:r>
        <w:rPr>
          <w:rFonts w:hint="default" w:ascii="Times New Roman" w:hAnsi="Times New Roman" w:eastAsia="仿宋_GB2312" w:cs="Times New Roman"/>
          <w:i w:val="0"/>
          <w:iCs w:val="0"/>
          <w:caps w:val="0"/>
          <w:color w:val="000000"/>
          <w:spacing w:val="0"/>
          <w:sz w:val="32"/>
          <w:szCs w:val="32"/>
          <w:shd w:val="clear" w:fill="FFFFFF"/>
          <w:lang w:val="en-US" w:eastAsia="zh-CN"/>
        </w:rPr>
        <w:t>用地，</w:t>
      </w:r>
      <w:r>
        <w:rPr>
          <w:rFonts w:hint="default" w:ascii="Times New Roman" w:hAnsi="Times New Roman" w:cs="Times New Roman"/>
          <w:i w:val="0"/>
          <w:iCs w:val="0"/>
          <w:caps w:val="0"/>
          <w:color w:val="000000"/>
          <w:spacing w:val="0"/>
          <w:sz w:val="32"/>
          <w:szCs w:val="32"/>
          <w:shd w:val="clear" w:fill="FFFFFF"/>
          <w:lang w:val="en-US" w:eastAsia="zh-CN"/>
        </w:rPr>
        <w:t>除</w:t>
      </w:r>
      <w:r>
        <w:rPr>
          <w:rFonts w:hint="default" w:ascii="Times New Roman" w:hAnsi="Times New Roman" w:cs="Times New Roman"/>
          <w:szCs w:val="32"/>
          <w:shd w:val="clear" w:fill="FFFFFF"/>
          <w:lang w:eastAsia="zh-CN"/>
        </w:rPr>
        <w:t>不支持存量产业用地混合利用的情形</w:t>
      </w:r>
      <w:r>
        <w:rPr>
          <w:rFonts w:hint="default" w:ascii="Times New Roman" w:hAnsi="Times New Roman" w:cs="Times New Roman"/>
          <w:i w:val="0"/>
          <w:iCs w:val="0"/>
          <w:caps w:val="0"/>
          <w:color w:val="000000"/>
          <w:spacing w:val="0"/>
          <w:sz w:val="32"/>
          <w:szCs w:val="32"/>
          <w:shd w:val="clear" w:fill="FFFFFF"/>
          <w:lang w:val="en-US" w:eastAsia="zh-CN"/>
        </w:rPr>
        <w:t>（附件2）外</w:t>
      </w:r>
      <w:r>
        <w:rPr>
          <w:rFonts w:hint="eastAsia" w:ascii="Times New Roman" w:hAnsi="Times New Roman"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在符合国土空间规划</w:t>
      </w:r>
      <w:r>
        <w:rPr>
          <w:rFonts w:hint="default" w:ascii="Times New Roman" w:hAnsi="Times New Roman" w:cs="Times New Roman"/>
          <w:i w:val="0"/>
          <w:iCs w:val="0"/>
          <w:caps w:val="0"/>
          <w:color w:val="000000"/>
          <w:spacing w:val="0"/>
          <w:sz w:val="32"/>
          <w:szCs w:val="32"/>
          <w:shd w:val="clear" w:fill="FFFFFF"/>
          <w:lang w:val="en-US" w:eastAsia="zh-CN"/>
        </w:rPr>
        <w:t>的前提下</w:t>
      </w:r>
      <w:r>
        <w:rPr>
          <w:rFonts w:hint="default" w:ascii="Times New Roman" w:hAnsi="Times New Roman" w:eastAsia="仿宋_GB2312" w:cs="Times New Roman"/>
          <w:i w:val="0"/>
          <w:iCs w:val="0"/>
          <w:caps w:val="0"/>
          <w:color w:val="000000"/>
          <w:spacing w:val="0"/>
          <w:sz w:val="32"/>
          <w:szCs w:val="32"/>
          <w:shd w:val="clear" w:fill="FFFFFF"/>
          <w:lang w:val="en-US" w:eastAsia="zh-CN"/>
        </w:rPr>
        <w:t>，结合新产业新业态发展需要，</w:t>
      </w:r>
      <w:r>
        <w:rPr>
          <w:rFonts w:hint="default" w:ascii="Times New Roman" w:hAnsi="Times New Roman" w:cs="Times New Roman"/>
          <w:i w:val="0"/>
          <w:iCs w:val="0"/>
          <w:caps w:val="0"/>
          <w:color w:val="000000"/>
          <w:spacing w:val="0"/>
          <w:sz w:val="32"/>
          <w:szCs w:val="32"/>
          <w:shd w:val="clear" w:fill="FFFFFF"/>
          <w:lang w:val="en-US" w:eastAsia="zh-CN"/>
        </w:rPr>
        <w:t>存量</w:t>
      </w:r>
      <w:r>
        <w:rPr>
          <w:rFonts w:hint="default" w:ascii="Times New Roman" w:hAnsi="Times New Roman" w:eastAsia="仿宋_GB2312" w:cs="Times New Roman"/>
          <w:i w:val="0"/>
          <w:iCs w:val="0"/>
          <w:caps w:val="0"/>
          <w:color w:val="000000"/>
          <w:spacing w:val="0"/>
          <w:sz w:val="32"/>
          <w:szCs w:val="32"/>
          <w:shd w:val="clear" w:fill="FFFFFF"/>
          <w:lang w:val="en-US" w:eastAsia="zh-CN"/>
        </w:rPr>
        <w:t>产业用地</w:t>
      </w:r>
      <w:r>
        <w:rPr>
          <w:rFonts w:hint="default" w:ascii="Times New Roman" w:hAnsi="Times New Roman" w:cs="Times New Roman"/>
          <w:i w:val="0"/>
          <w:iCs w:val="0"/>
          <w:caps w:val="0"/>
          <w:color w:val="000000"/>
          <w:spacing w:val="0"/>
          <w:sz w:val="32"/>
          <w:szCs w:val="32"/>
          <w:shd w:val="clear" w:fill="FFFFFF"/>
          <w:lang w:val="en-US" w:eastAsia="zh-CN"/>
        </w:rPr>
        <w:t>及建筑</w:t>
      </w:r>
      <w:r>
        <w:rPr>
          <w:rFonts w:hint="eastAsia" w:ascii="Times New Roman" w:hAnsi="Times New Roman" w:cs="Times New Roman"/>
          <w:i w:val="0"/>
          <w:iCs w:val="0"/>
          <w:caps w:val="0"/>
          <w:color w:val="000000"/>
          <w:spacing w:val="0"/>
          <w:sz w:val="32"/>
          <w:szCs w:val="32"/>
          <w:shd w:val="clear" w:fill="FFFFFF"/>
          <w:lang w:val="en-US" w:eastAsia="zh-CN"/>
        </w:rPr>
        <w:t>可</w:t>
      </w:r>
      <w:r>
        <w:rPr>
          <w:rFonts w:hint="default" w:ascii="Times New Roman" w:hAnsi="Times New Roman" w:cs="Times New Roman"/>
          <w:i w:val="0"/>
          <w:iCs w:val="0"/>
          <w:caps w:val="0"/>
          <w:color w:val="000000"/>
          <w:spacing w:val="0"/>
          <w:sz w:val="32"/>
          <w:szCs w:val="32"/>
          <w:shd w:val="clear" w:fill="FFFFFF"/>
          <w:lang w:val="en-US" w:eastAsia="zh-CN"/>
        </w:rPr>
        <w:t>参照附件1向多用途</w:t>
      </w:r>
      <w:r>
        <w:rPr>
          <w:rFonts w:hint="default" w:ascii="Times New Roman" w:hAnsi="Times New Roman" w:eastAsia="仿宋_GB2312" w:cs="Times New Roman"/>
          <w:i w:val="0"/>
          <w:iCs w:val="0"/>
          <w:caps w:val="0"/>
          <w:color w:val="000000"/>
          <w:spacing w:val="0"/>
          <w:sz w:val="32"/>
          <w:szCs w:val="32"/>
          <w:shd w:val="clear" w:fill="FFFFFF"/>
          <w:lang w:val="en-US" w:eastAsia="zh-CN"/>
        </w:rPr>
        <w:t>合理转换</w:t>
      </w:r>
      <w:r>
        <w:rPr>
          <w:rFonts w:hint="default" w:ascii="Times New Roman" w:hAnsi="Times New Roman"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复合改造</w:t>
      </w:r>
      <w:r>
        <w:rPr>
          <w:rFonts w:hint="default" w:ascii="Times New Roman" w:hAnsi="Times New Roman" w:cs="Times New Roman"/>
          <w:i w:val="0"/>
          <w:iCs w:val="0"/>
          <w:caps w:val="0"/>
          <w:color w:val="000000"/>
          <w:spacing w:val="0"/>
          <w:sz w:val="32"/>
          <w:szCs w:val="32"/>
          <w:shd w:val="clear" w:fill="FFFFFF"/>
          <w:lang w:eastAsia="zh-CN"/>
        </w:rPr>
        <w:t>。</w:t>
      </w:r>
      <w:r>
        <w:rPr>
          <w:rFonts w:hint="default" w:ascii="Times New Roman" w:hAnsi="Times New Roman" w:cs="Times New Roman"/>
          <w:i w:val="0"/>
          <w:iCs w:val="0"/>
          <w:caps w:val="0"/>
          <w:color w:val="000000"/>
          <w:spacing w:val="0"/>
          <w:sz w:val="32"/>
          <w:szCs w:val="32"/>
          <w:shd w:val="clear" w:fill="FFFFFF"/>
          <w:lang w:val="en-US" w:eastAsia="zh-CN"/>
        </w:rPr>
        <w:t>改造后，主导用途的计容建筑面积应大于宗地总计容建筑面积的50%。</w:t>
      </w:r>
      <w:r>
        <w:rPr>
          <w:rFonts w:hint="default" w:ascii="Times New Roman" w:hAnsi="Times New Roman" w:eastAsia="仿宋_GB2312" w:cs="Times New Roman"/>
          <w:i w:val="0"/>
          <w:iCs w:val="0"/>
          <w:caps w:val="0"/>
          <w:color w:val="000000"/>
          <w:spacing w:val="0"/>
          <w:sz w:val="32"/>
          <w:szCs w:val="32"/>
          <w:shd w:val="clear" w:fill="FFFFFF"/>
          <w:lang w:val="en-US" w:eastAsia="zh-CN"/>
        </w:rPr>
        <w:t>原土地使用权人可通过自主、入股、转让等方式开展改造，但法律、法规等明确规定及划拨决定书、</w:t>
      </w:r>
      <w:r>
        <w:rPr>
          <w:rFonts w:hint="default" w:ascii="Times New Roman" w:hAnsi="Times New Roman" w:cs="Times New Roman"/>
          <w:i w:val="0"/>
          <w:iCs w:val="0"/>
          <w:caps w:val="0"/>
          <w:color w:val="000000"/>
          <w:spacing w:val="0"/>
          <w:sz w:val="32"/>
          <w:szCs w:val="32"/>
          <w:shd w:val="clear" w:fill="FFFFFF"/>
          <w:lang w:val="en-US" w:eastAsia="zh-CN"/>
        </w:rPr>
        <w:t>土地出让</w:t>
      </w:r>
      <w:r>
        <w:rPr>
          <w:rFonts w:hint="default" w:ascii="Times New Roman" w:hAnsi="Times New Roman" w:eastAsia="仿宋_GB2312" w:cs="Times New Roman"/>
          <w:i w:val="0"/>
          <w:iCs w:val="0"/>
          <w:caps w:val="0"/>
          <w:color w:val="000000"/>
          <w:spacing w:val="0"/>
          <w:sz w:val="32"/>
          <w:szCs w:val="32"/>
          <w:shd w:val="clear" w:fill="FFFFFF"/>
          <w:lang w:val="en-US" w:eastAsia="zh-CN"/>
        </w:rPr>
        <w:t>合同等约定应当由政府依法收回土地使用权的除外；原土地使用权人无法自主实施改造的，可申请由政府收储并取得合理补偿。</w:t>
      </w:r>
      <w:r>
        <w:rPr>
          <w:rFonts w:hint="default" w:ascii="Times New Roman" w:hAnsi="Times New Roman" w:cs="Times New Roman"/>
          <w:i w:val="0"/>
          <w:iCs w:val="0"/>
          <w:caps w:val="0"/>
          <w:color w:val="000000"/>
          <w:spacing w:val="0"/>
          <w:sz w:val="32"/>
          <w:szCs w:val="32"/>
          <w:shd w:val="clear" w:fill="FFFFFF"/>
          <w:lang w:val="en-US" w:eastAsia="zh-CN"/>
        </w:rPr>
        <w:t>存量产业用地及建筑转换为混合利用的，应</w:t>
      </w:r>
      <w:r>
        <w:rPr>
          <w:rFonts w:hint="default" w:ascii="Times New Roman" w:hAnsi="Times New Roman" w:eastAsia="仿宋_GB2312" w:cs="Times New Roman"/>
          <w:i w:val="0"/>
          <w:iCs w:val="0"/>
          <w:caps w:val="0"/>
          <w:color w:val="000000"/>
          <w:spacing w:val="0"/>
          <w:sz w:val="32"/>
          <w:szCs w:val="32"/>
          <w:shd w:val="clear" w:fill="FFFFFF"/>
        </w:rPr>
        <w:t>经</w:t>
      </w:r>
      <w:r>
        <w:rPr>
          <w:rFonts w:hint="default" w:ascii="Times New Roman" w:hAnsi="Times New Roman" w:cs="Times New Roman"/>
          <w:i w:val="0"/>
          <w:iCs w:val="0"/>
          <w:caps w:val="0"/>
          <w:color w:val="000000"/>
          <w:spacing w:val="0"/>
          <w:sz w:val="32"/>
          <w:szCs w:val="32"/>
          <w:shd w:val="clear" w:fill="FFFFFF"/>
          <w:lang w:val="en-US" w:eastAsia="zh-CN"/>
        </w:rPr>
        <w:t>地方政府</w:t>
      </w:r>
      <w:r>
        <w:rPr>
          <w:rFonts w:hint="default" w:ascii="Times New Roman" w:hAnsi="Times New Roman" w:eastAsia="仿宋_GB2312" w:cs="Times New Roman"/>
          <w:i w:val="0"/>
          <w:iCs w:val="0"/>
          <w:caps w:val="0"/>
          <w:color w:val="000000"/>
          <w:spacing w:val="0"/>
          <w:sz w:val="32"/>
          <w:szCs w:val="32"/>
          <w:shd w:val="clear" w:fill="FFFFFF"/>
        </w:rPr>
        <w:t>批准</w:t>
      </w:r>
      <w:r>
        <w:rPr>
          <w:rFonts w:hint="default" w:ascii="Times New Roman" w:hAnsi="Times New Roman" w:cs="Times New Roman"/>
          <w:i w:val="0"/>
          <w:iCs w:val="0"/>
          <w:caps w:val="0"/>
          <w:color w:val="000000"/>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rPr>
        <w:t>依法办理土地用途变更手续</w:t>
      </w:r>
      <w:r>
        <w:rPr>
          <w:rFonts w:hint="default" w:ascii="Times New Roman" w:hAnsi="Times New Roman" w:cs="Times New Roman"/>
          <w:i w:val="0"/>
          <w:iCs w:val="0"/>
          <w:caps w:val="0"/>
          <w:color w:val="000000"/>
          <w:spacing w:val="0"/>
          <w:sz w:val="32"/>
          <w:szCs w:val="32"/>
          <w:shd w:val="clear" w:fill="FFFFFF"/>
          <w:lang w:val="en-US" w:eastAsia="zh-CN"/>
        </w:rPr>
        <w:t>和</w:t>
      </w:r>
      <w:r>
        <w:rPr>
          <w:rFonts w:hint="default" w:ascii="Times New Roman" w:hAnsi="Times New Roman" w:eastAsia="仿宋_GB2312" w:cs="Times New Roman"/>
          <w:i w:val="0"/>
          <w:iCs w:val="0"/>
          <w:caps w:val="0"/>
          <w:color w:val="000000"/>
          <w:spacing w:val="0"/>
          <w:sz w:val="32"/>
          <w:szCs w:val="32"/>
          <w:shd w:val="clear" w:fill="FFFFFF"/>
        </w:rPr>
        <w:t>规划建设手续，</w:t>
      </w:r>
      <w:r>
        <w:rPr>
          <w:rFonts w:hint="default" w:ascii="Times New Roman" w:hAnsi="Times New Roman" w:cs="Times New Roman"/>
          <w:i w:val="0"/>
          <w:iCs w:val="0"/>
          <w:caps w:val="0"/>
          <w:color w:val="000000"/>
          <w:spacing w:val="0"/>
          <w:sz w:val="32"/>
          <w:szCs w:val="32"/>
          <w:shd w:val="clear" w:fill="FFFFFF"/>
          <w:lang w:val="en-US" w:eastAsia="zh-CN"/>
        </w:rPr>
        <w:t>并</w:t>
      </w:r>
      <w:r>
        <w:rPr>
          <w:rFonts w:hint="default" w:ascii="Times New Roman" w:hAnsi="Times New Roman" w:eastAsia="仿宋_GB2312" w:cs="Times New Roman"/>
          <w:i w:val="0"/>
          <w:iCs w:val="0"/>
          <w:caps w:val="0"/>
          <w:color w:val="000000"/>
          <w:spacing w:val="0"/>
          <w:sz w:val="32"/>
          <w:szCs w:val="32"/>
          <w:shd w:val="clear" w:fill="FFFFFF"/>
        </w:rPr>
        <w:t>按照不同建筑用途的建筑规模综合确定</w:t>
      </w:r>
      <w:r>
        <w:rPr>
          <w:rFonts w:hint="default" w:ascii="Times New Roman" w:hAnsi="Times New Roman" w:cs="Times New Roman"/>
          <w:i w:val="0"/>
          <w:iCs w:val="0"/>
          <w:caps w:val="0"/>
          <w:color w:val="000000"/>
          <w:spacing w:val="0"/>
          <w:sz w:val="32"/>
          <w:szCs w:val="32"/>
          <w:shd w:val="clear" w:fill="FFFFFF"/>
          <w:lang w:val="en-US" w:eastAsia="zh-CN"/>
        </w:rPr>
        <w:t>应补缴价款</w:t>
      </w:r>
      <w:r>
        <w:rPr>
          <w:rFonts w:hint="default" w:ascii="Times New Roman" w:hAnsi="Times New Roman" w:eastAsia="仿宋_GB2312" w:cs="Times New Roman"/>
          <w:i w:val="0"/>
          <w:iCs w:val="0"/>
          <w:caps w:val="0"/>
          <w:color w:val="000000"/>
          <w:spacing w:val="0"/>
          <w:sz w:val="32"/>
          <w:szCs w:val="32"/>
          <w:shd w:val="clear" w:fill="FFFFFF"/>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topLinePunct/>
        <w:autoSpaceDE w:val="0"/>
        <w:autoSpaceDN w:val="0"/>
        <w:bidi w:val="0"/>
        <w:adjustRightInd w:val="0"/>
        <w:snapToGrid w:val="0"/>
        <w:spacing w:before="0" w:beforeAutospacing="0" w:after="0" w:afterAutospacing="0" w:line="560" w:lineRule="exact"/>
        <w:ind w:left="0" w:right="0"/>
        <w:jc w:val="left"/>
        <w:textAlignment w:val="baseline"/>
        <w:rPr>
          <w:rStyle w:val="11"/>
          <w:rFonts w:hint="eastAsia" w:ascii="黑体" w:hAnsi="黑体" w:eastAsia="黑体" w:cs="黑体"/>
          <w:b w:val="0"/>
          <w:bCs/>
          <w:i w:val="0"/>
          <w:iCs w:val="0"/>
          <w:caps w:val="0"/>
          <w:color w:val="000000"/>
          <w:spacing w:val="0"/>
          <w:sz w:val="32"/>
          <w:szCs w:val="32"/>
          <w:shd w:val="clear" w:fill="FFFFFF"/>
          <w:lang w:val="en-US" w:eastAsia="zh-CN"/>
        </w:rPr>
      </w:pPr>
      <w:r>
        <w:rPr>
          <w:rStyle w:val="11"/>
          <w:rFonts w:hint="eastAsia" w:ascii="黑体" w:hAnsi="黑体" w:eastAsia="黑体" w:cs="黑体"/>
          <w:b w:val="0"/>
          <w:bCs/>
          <w:i w:val="0"/>
          <w:iCs w:val="0"/>
          <w:caps w:val="0"/>
          <w:color w:val="000000"/>
          <w:spacing w:val="0"/>
          <w:sz w:val="32"/>
          <w:szCs w:val="32"/>
          <w:shd w:val="clear" w:fill="FFFFFF"/>
          <w:lang w:val="en-US" w:eastAsia="zh-CN"/>
        </w:rPr>
        <w:t>十、支持探索多类型土地混合利用</w:t>
      </w:r>
    </w:p>
    <w:p>
      <w:pPr>
        <w:keepNext w:val="0"/>
        <w:keepLines w:val="0"/>
        <w:pageBreakBefore w:val="0"/>
        <w:widowControl w:val="0"/>
        <w:suppressLineNumbers w:val="0"/>
        <w:kinsoku w:val="0"/>
        <w:wordWrap/>
        <w:overflowPunct/>
        <w:topLinePunct w:val="0"/>
        <w:autoSpaceDE w:val="0"/>
        <w:autoSpaceDN w:val="0"/>
        <w:bidi w:val="0"/>
        <w:adjustRightInd w:val="0"/>
        <w:snapToGrid w:val="0"/>
        <w:spacing w:line="560" w:lineRule="exact"/>
        <w:ind w:firstLine="0" w:firstLineChars="0"/>
        <w:jc w:val="both"/>
        <w:textAlignment w:val="baseline"/>
        <w:rPr>
          <w:rFonts w:hint="default" w:ascii="Times New Roman" w:hAnsi="Times New Roman" w:cs="Times New Roman"/>
          <w:i w:val="0"/>
          <w:iCs w:val="0"/>
          <w:caps w:val="0"/>
          <w:color w:val="000000"/>
          <w:spacing w:val="0"/>
          <w:sz w:val="32"/>
          <w:szCs w:val="32"/>
          <w:shd w:val="clear" w:fill="FFFFFF"/>
          <w:lang w:val="en-US" w:eastAsia="zh-CN"/>
        </w:rPr>
      </w:pPr>
      <w:r>
        <w:rPr>
          <w:rFonts w:hint="eastAsia" w:ascii="Times New Roman" w:hAnsi="Times New Roman" w:cs="Times New Roman"/>
          <w:szCs w:val="32"/>
          <w:shd w:val="clear" w:fill="FFFFFF"/>
          <w:lang w:val="en-US" w:eastAsia="zh-CN"/>
        </w:rPr>
        <w:t xml:space="preserve">    </w:t>
      </w:r>
      <w:r>
        <w:rPr>
          <w:rFonts w:hint="eastAsia" w:ascii="Times New Roman" w:hAnsi="Times New Roman" w:cs="Times New Roman"/>
          <w:i w:val="0"/>
          <w:iCs w:val="0"/>
          <w:caps w:val="0"/>
          <w:color w:val="000000"/>
          <w:spacing w:val="0"/>
          <w:sz w:val="32"/>
          <w:szCs w:val="32"/>
          <w:shd w:val="clear" w:fill="FFFFFF"/>
          <w:lang w:val="en-US" w:eastAsia="zh-CN"/>
        </w:rPr>
        <w:t>支持</w:t>
      </w:r>
      <w:r>
        <w:rPr>
          <w:rFonts w:hint="eastAsia" w:ascii="仿宋_GB2312" w:hAnsi="仿宋_GB2312" w:eastAsia="仿宋_GB2312" w:cs="仿宋_GB2312"/>
          <w:i w:val="0"/>
          <w:iCs w:val="0"/>
          <w:caps w:val="0"/>
          <w:color w:val="000000"/>
          <w:spacing w:val="0"/>
          <w:sz w:val="32"/>
          <w:szCs w:val="32"/>
          <w:shd w:val="clear" w:fill="FFFFFF"/>
        </w:rPr>
        <w:t>各地在符合安全生产和环境保护要求的前提下，</w:t>
      </w:r>
      <w:r>
        <w:rPr>
          <w:rFonts w:hint="eastAsia" w:ascii="Times New Roman" w:hAnsi="Times New Roman" w:cs="Times New Roman"/>
          <w:i w:val="0"/>
          <w:iCs w:val="0"/>
          <w:caps w:val="0"/>
          <w:color w:val="000000"/>
          <w:spacing w:val="0"/>
          <w:sz w:val="32"/>
          <w:szCs w:val="32"/>
          <w:shd w:val="clear" w:fill="FFFFFF"/>
          <w:lang w:val="en-US" w:eastAsia="zh-CN"/>
        </w:rPr>
        <w:t>探索以</w:t>
      </w:r>
      <w:r>
        <w:rPr>
          <w:rFonts w:hint="eastAsia" w:ascii="Times New Roman" w:hAnsi="Times New Roman" w:cs="Times New Roman"/>
          <w:szCs w:val="32"/>
          <w:shd w:val="clear" w:fill="FFFFFF"/>
          <w:lang w:eastAsia="zh-CN"/>
        </w:rPr>
        <w:t>公共管理与公共服务用地、商业服务业用地、交通运输用地、公用设施用地、</w:t>
      </w:r>
      <w:r>
        <w:rPr>
          <w:rFonts w:hint="eastAsia" w:ascii="Times New Roman" w:hAnsi="Times New Roman" w:cs="Times New Roman"/>
          <w:szCs w:val="32"/>
          <w:shd w:val="clear" w:fill="FFFFFF"/>
          <w:lang w:val="en-US" w:eastAsia="zh-CN"/>
        </w:rPr>
        <w:t>城镇住宅用地</w:t>
      </w:r>
      <w:r>
        <w:rPr>
          <w:rFonts w:hint="eastAsia" w:ascii="Times New Roman" w:hAnsi="Times New Roman" w:cs="Times New Roman"/>
          <w:i w:val="0"/>
          <w:iCs w:val="0"/>
          <w:caps w:val="0"/>
          <w:color w:val="000000"/>
          <w:spacing w:val="0"/>
          <w:sz w:val="32"/>
          <w:szCs w:val="32"/>
          <w:shd w:val="clear" w:fill="FFFFFF"/>
          <w:lang w:val="en-US" w:eastAsia="zh-CN"/>
        </w:rPr>
        <w:t>等为主导用途的多类型土地混合利用模式。在符合相关规划的基础上，</w:t>
      </w:r>
      <w:r>
        <w:rPr>
          <w:rFonts w:hint="eastAsia" w:ascii="仿宋_GB2312" w:hAnsi="仿宋_GB2312" w:eastAsia="仿宋_GB2312" w:cs="仿宋_GB2312"/>
          <w:i w:val="0"/>
          <w:iCs w:val="0"/>
          <w:caps w:val="0"/>
          <w:color w:val="000000"/>
          <w:spacing w:val="0"/>
          <w:sz w:val="32"/>
          <w:szCs w:val="32"/>
          <w:shd w:val="clear" w:fill="FFFFFF"/>
        </w:rPr>
        <w:t>探</w:t>
      </w:r>
      <w:r>
        <w:rPr>
          <w:rFonts w:hint="eastAsia" w:ascii="仿宋_GB2312" w:hAnsi="仿宋_GB2312" w:eastAsia="仿宋_GB2312" w:cs="仿宋_GB2312"/>
          <w:i w:val="0"/>
          <w:iCs w:val="0"/>
          <w:caps w:val="0"/>
          <w:color w:val="000000"/>
          <w:spacing w:val="0"/>
          <w:sz w:val="32"/>
          <w:szCs w:val="32"/>
          <w:highlight w:val="none"/>
          <w:shd w:val="clear" w:fill="FFFFFF"/>
        </w:rPr>
        <w:t>索</w:t>
      </w:r>
      <w:r>
        <w:rPr>
          <w:rFonts w:hint="eastAsia" w:ascii="仿宋_GB2312" w:hAnsi="仿宋_GB2312" w:cs="仿宋_GB2312"/>
          <w:i w:val="0"/>
          <w:iCs w:val="0"/>
          <w:caps w:val="0"/>
          <w:color w:val="000000"/>
          <w:spacing w:val="0"/>
          <w:sz w:val="32"/>
          <w:szCs w:val="32"/>
          <w:highlight w:val="none"/>
          <w:shd w:val="clear" w:fill="FFFFFF"/>
          <w:lang w:val="en-US" w:eastAsia="zh-CN"/>
        </w:rPr>
        <w:t>制定</w:t>
      </w:r>
      <w:r>
        <w:rPr>
          <w:rFonts w:hint="eastAsia" w:ascii="仿宋_GB2312" w:hAnsi="仿宋_GB2312" w:cs="仿宋_GB2312"/>
          <w:i w:val="0"/>
          <w:iCs w:val="0"/>
          <w:caps w:val="0"/>
          <w:color w:val="000000"/>
          <w:spacing w:val="0"/>
          <w:sz w:val="32"/>
          <w:szCs w:val="32"/>
          <w:shd w:val="clear" w:fill="FFFFFF"/>
          <w:lang w:val="en-US" w:eastAsia="zh-CN"/>
        </w:rPr>
        <w:t>正</w:t>
      </w:r>
      <w:r>
        <w:rPr>
          <w:rFonts w:hint="eastAsia" w:ascii="仿宋_GB2312" w:hAnsi="仿宋_GB2312" w:eastAsia="仿宋_GB2312" w:cs="仿宋_GB2312"/>
          <w:i w:val="0"/>
          <w:iCs w:val="0"/>
          <w:caps w:val="0"/>
          <w:color w:val="000000"/>
          <w:spacing w:val="0"/>
          <w:sz w:val="32"/>
          <w:szCs w:val="32"/>
          <w:shd w:val="clear" w:fill="FFFFFF"/>
        </w:rPr>
        <w:t>负面清单，明确两种或两种以上用途混合的类型和比例等内容。</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cs="Times New Roman"/>
          <w:i w:val="0"/>
          <w:iCs w:val="0"/>
          <w:caps w:val="0"/>
          <w:color w:val="000000"/>
          <w:spacing w:val="0"/>
          <w:sz w:val="32"/>
          <w:szCs w:val="32"/>
          <w:shd w:val="clear" w:fill="FFFFFF"/>
          <w:lang w:val="en-US" w:eastAsia="zh-CN"/>
        </w:rPr>
      </w:pP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cs="Times New Roman"/>
          <w:i w:val="0"/>
          <w:iCs w:val="0"/>
          <w:caps w:val="0"/>
          <w:color w:val="000000"/>
          <w:spacing w:val="0"/>
          <w:sz w:val="32"/>
          <w:szCs w:val="32"/>
          <w:shd w:val="clear" w:fill="FFFFFF"/>
          <w:lang w:val="en-US" w:eastAsia="zh-CN"/>
        </w:rPr>
      </w:pPr>
      <w:r>
        <w:rPr>
          <w:rFonts w:hint="default" w:ascii="Times New Roman" w:hAnsi="Times New Roman" w:cs="Times New Roman"/>
          <w:i w:val="0"/>
          <w:iCs w:val="0"/>
          <w:caps w:val="0"/>
          <w:color w:val="000000"/>
          <w:spacing w:val="0"/>
          <w:sz w:val="32"/>
          <w:szCs w:val="32"/>
          <w:shd w:val="clear" w:fill="FFFFFF"/>
          <w:lang w:val="en-US" w:eastAsia="zh-CN"/>
        </w:rPr>
        <w:t>附件：1.产业用地混合利用正负面清单（试行）</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1600" w:firstLineChars="500"/>
        <w:jc w:val="both"/>
        <w:textAlignment w:val="baseline"/>
        <w:rPr>
          <w:rFonts w:hint="default" w:ascii="Times New Roman" w:hAnsi="Times New Roman" w:cs="Times New Roman"/>
          <w:i w:val="0"/>
          <w:iCs w:val="0"/>
          <w:caps w:val="0"/>
          <w:color w:val="000000"/>
          <w:spacing w:val="0"/>
          <w:sz w:val="32"/>
          <w:szCs w:val="32"/>
          <w:shd w:val="clear" w:fill="FFFFFF"/>
          <w:lang w:val="en-US" w:eastAsia="zh-CN"/>
        </w:rPr>
      </w:pPr>
      <w:r>
        <w:rPr>
          <w:rFonts w:hint="default" w:ascii="Times New Roman" w:hAnsi="Times New Roman" w:cs="Times New Roman"/>
          <w:i w:val="0"/>
          <w:iCs w:val="0"/>
          <w:caps w:val="0"/>
          <w:color w:val="000000"/>
          <w:spacing w:val="0"/>
          <w:sz w:val="32"/>
          <w:szCs w:val="32"/>
          <w:shd w:val="clear" w:fill="FFFFFF"/>
          <w:lang w:val="en-US" w:eastAsia="zh-CN"/>
        </w:rPr>
        <w:t>2.不支持存量产业用地混合利用的情形（试行）</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1600" w:leftChars="0"/>
        <w:jc w:val="right"/>
        <w:textAlignment w:val="baseline"/>
        <w:rPr>
          <w:rFonts w:hint="default" w:ascii="Times New Roman" w:hAnsi="Times New Roman" w:cs="Times New Roman"/>
          <w:i w:val="0"/>
          <w:iCs w:val="0"/>
          <w:caps w:val="0"/>
          <w:color w:val="000000"/>
          <w:spacing w:val="0"/>
          <w:sz w:val="32"/>
          <w:szCs w:val="32"/>
          <w:shd w:val="clear" w:fill="FFFFFF"/>
          <w:lang w:val="en-US" w:eastAsia="zh-CN"/>
        </w:rPr>
      </w:pPr>
      <w:r>
        <w:rPr>
          <w:rFonts w:hint="default" w:ascii="Times New Roman" w:hAnsi="Times New Roman" w:cs="Times New Roman"/>
          <w:i w:val="0"/>
          <w:iCs w:val="0"/>
          <w:caps w:val="0"/>
          <w:color w:val="000000"/>
          <w:spacing w:val="0"/>
          <w:sz w:val="32"/>
          <w:szCs w:val="32"/>
          <w:shd w:val="clear" w:fill="FFFFFF"/>
          <w:lang w:val="en-US" w:eastAsia="zh-CN"/>
        </w:rPr>
        <w:t>湖北省自然资源厅</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1600" w:leftChars="0"/>
        <w:jc w:val="right"/>
        <w:textAlignment w:val="baseline"/>
        <w:rPr>
          <w:rFonts w:hint="default" w:ascii="Times New Roman" w:hAnsi="Times New Roman" w:cs="Times New Roman"/>
          <w:i w:val="0"/>
          <w:iCs w:val="0"/>
          <w:caps w:val="0"/>
          <w:color w:val="000000"/>
          <w:spacing w:val="0"/>
          <w:sz w:val="32"/>
          <w:szCs w:val="32"/>
          <w:shd w:val="clear" w:fill="FFFFFF"/>
          <w:lang w:val="en-US" w:eastAsia="zh-CN"/>
        </w:rPr>
        <w:sectPr>
          <w:footerReference r:id="rId5" w:type="default"/>
          <w:pgSz w:w="11906" w:h="16838"/>
          <w:pgMar w:top="2098" w:right="1474" w:bottom="1984" w:left="1587" w:header="0" w:footer="0" w:gutter="0"/>
          <w:pgBorders>
            <w:top w:val="none" w:sz="0" w:space="0"/>
            <w:left w:val="none" w:sz="0" w:space="0"/>
            <w:bottom w:val="none" w:sz="0" w:space="0"/>
            <w:right w:val="none" w:sz="0" w:space="0"/>
          </w:pgBorders>
          <w:pgNumType w:fmt="decimal" w:start="1"/>
          <w:cols w:space="720" w:num="1"/>
        </w:sectPr>
      </w:pPr>
      <w:r>
        <w:rPr>
          <w:rFonts w:hint="eastAsia" w:ascii="Times New Roman" w:hAnsi="Times New Roman" w:cs="Times New Roman"/>
          <w:i w:val="0"/>
          <w:iCs w:val="0"/>
          <w:caps w:val="0"/>
          <w:color w:val="000000"/>
          <w:spacing w:val="0"/>
          <w:sz w:val="32"/>
          <w:szCs w:val="32"/>
          <w:shd w:val="clear" w:fill="FFFFFF"/>
          <w:lang w:val="en-US" w:eastAsia="zh-CN"/>
        </w:rPr>
        <w:t xml:space="preserve"> </w:t>
      </w:r>
      <w:r>
        <w:rPr>
          <w:rFonts w:hint="default" w:ascii="Times New Roman" w:hAnsi="Times New Roman" w:cs="Times New Roman"/>
          <w:i w:val="0"/>
          <w:iCs w:val="0"/>
          <w:caps w:val="0"/>
          <w:color w:val="000000"/>
          <w:spacing w:val="0"/>
          <w:sz w:val="32"/>
          <w:szCs w:val="32"/>
          <w:shd w:val="clear" w:fill="FFFFFF"/>
          <w:lang w:val="en-US" w:eastAsia="zh-CN"/>
        </w:rPr>
        <w:t>2025</w:t>
      </w:r>
      <w:r>
        <w:rPr>
          <w:rFonts w:hint="eastAsia" w:ascii="Times New Roman" w:hAnsi="Times New Roman" w:cs="Times New Roman"/>
          <w:i w:val="0"/>
          <w:iCs w:val="0"/>
          <w:caps w:val="0"/>
          <w:color w:val="000000"/>
          <w:spacing w:val="0"/>
          <w:sz w:val="32"/>
          <w:szCs w:val="32"/>
          <w:shd w:val="clear" w:fill="FFFFFF"/>
          <w:lang w:val="en-US" w:eastAsia="zh-CN"/>
        </w:rPr>
        <w:t xml:space="preserve"> </w:t>
      </w:r>
      <w:r>
        <w:rPr>
          <w:rFonts w:hint="default" w:ascii="Times New Roman" w:hAnsi="Times New Roman" w:cs="Times New Roman"/>
          <w:i w:val="0"/>
          <w:iCs w:val="0"/>
          <w:caps w:val="0"/>
          <w:color w:val="000000"/>
          <w:spacing w:val="0"/>
          <w:sz w:val="32"/>
          <w:szCs w:val="32"/>
          <w:shd w:val="clear" w:fill="FFFFFF"/>
          <w:lang w:val="en-US" w:eastAsia="zh-CN"/>
        </w:rPr>
        <w:t>年</w:t>
      </w:r>
      <w:r>
        <w:rPr>
          <w:rFonts w:hint="eastAsia" w:ascii="Times New Roman" w:hAnsi="Times New Roman" w:cs="Times New Roman"/>
          <w:i w:val="0"/>
          <w:iCs w:val="0"/>
          <w:caps w:val="0"/>
          <w:color w:val="000000"/>
          <w:spacing w:val="0"/>
          <w:sz w:val="32"/>
          <w:szCs w:val="32"/>
          <w:shd w:val="clear" w:fill="FFFFFF"/>
          <w:lang w:val="en-US" w:eastAsia="zh-CN"/>
        </w:rPr>
        <w:t xml:space="preserve"> 7 </w:t>
      </w:r>
      <w:r>
        <w:rPr>
          <w:rFonts w:hint="default" w:ascii="Times New Roman" w:hAnsi="Times New Roman" w:cs="Times New Roman"/>
          <w:i w:val="0"/>
          <w:iCs w:val="0"/>
          <w:caps w:val="0"/>
          <w:color w:val="000000"/>
          <w:spacing w:val="0"/>
          <w:sz w:val="32"/>
          <w:szCs w:val="32"/>
          <w:shd w:val="clear" w:fill="FFFFFF"/>
          <w:lang w:val="en-US" w:eastAsia="zh-CN"/>
        </w:rPr>
        <w:t>月   日</w:t>
      </w:r>
    </w:p>
    <w:p>
      <w:pPr>
        <w:keepNext w:val="0"/>
        <w:keepLines w:val="0"/>
        <w:pageBreakBefore w:val="0"/>
        <w:widowControl w:val="0"/>
        <w:kinsoku w:val="0"/>
        <w:wordWrap/>
        <w:overflowPunct/>
        <w:autoSpaceDE w:val="0"/>
        <w:autoSpaceDN w:val="0"/>
        <w:bidi w:val="0"/>
        <w:adjustRightInd w:val="0"/>
        <w:snapToGrid w:val="0"/>
        <w:spacing w:before="101" w:line="230" w:lineRule="auto"/>
        <w:ind w:left="0" w:leftChars="0" w:firstLine="0" w:firstLineChars="0"/>
        <w:textAlignment w:val="baseline"/>
        <w:rPr>
          <w:rFonts w:hint="eastAsia" w:ascii="仿宋_GB2312" w:hAnsi="仿宋_GB2312" w:eastAsia="仿宋_GB2312" w:cs="仿宋_GB2312"/>
          <w:spacing w:val="-6"/>
          <w:sz w:val="32"/>
          <w:szCs w:val="32"/>
          <w:lang w:val="en-US" w:eastAsia="zh-CN"/>
        </w:rPr>
      </w:pPr>
      <w:r>
        <w:rPr>
          <w:rFonts w:hint="default" w:ascii="仿宋_GB2312" w:hAnsi="仿宋_GB2312" w:eastAsia="仿宋_GB2312" w:cs="仿宋_GB2312"/>
          <w:spacing w:val="-6"/>
          <w:sz w:val="32"/>
          <w:szCs w:val="32"/>
        </w:rPr>
        <w:t>附件</w:t>
      </w:r>
      <w:r>
        <w:rPr>
          <w:rFonts w:hint="eastAsia" w:ascii="仿宋_GB2312" w:hAnsi="仿宋_GB2312" w:cs="仿宋_GB2312"/>
          <w:spacing w:val="-6"/>
          <w:sz w:val="32"/>
          <w:szCs w:val="32"/>
          <w:lang w:val="en-US" w:eastAsia="zh-CN"/>
        </w:rPr>
        <w:t>1</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autoSpaceDE w:val="0"/>
        <w:autoSpaceDN w:val="0"/>
        <w:bidi w:val="0"/>
        <w:adjustRightInd w:val="0"/>
        <w:snapToGrid w:val="0"/>
        <w:spacing w:before="0" w:beforeAutospacing="0" w:after="0" w:afterAutospacing="0" w:line="540" w:lineRule="atLeast"/>
        <w:ind w:left="0" w:leftChars="0" w:right="0" w:firstLine="0" w:firstLineChars="0"/>
        <w:jc w:val="center"/>
        <w:textAlignment w:val="baseline"/>
        <w:rPr>
          <w:rFonts w:hint="default"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pPr>
      <w:r>
        <w:rPr>
          <w:rFonts w:hint="default"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产业用地</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混合利用</w:t>
      </w:r>
      <w:r>
        <w:rPr>
          <w:rFonts w:hint="default"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正负面清单（试行）</w:t>
      </w:r>
    </w:p>
    <w:tbl>
      <w:tblPr>
        <w:tblStyle w:val="9"/>
        <w:tblW w:w="4883" w:type="pct"/>
        <w:tblInd w:w="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1825"/>
        <w:gridCol w:w="1804"/>
        <w:gridCol w:w="1900"/>
        <w:gridCol w:w="1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857" w:type="pct"/>
            <w:tcBorders>
              <w:tl2br w:val="single" w:color="auto" w:sz="4" w:space="0"/>
            </w:tcBorders>
            <w:vAlign w:val="top"/>
          </w:tcPr>
          <w:p>
            <w:pPr>
              <w:widowControl/>
              <w:spacing w:line="240" w:lineRule="auto"/>
              <w:jc w:val="both"/>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主导用途</w:t>
            </w:r>
          </w:p>
          <w:p>
            <w:pPr>
              <w:widowControl/>
              <w:spacing w:line="240" w:lineRule="auto"/>
              <w:ind w:left="0" w:leftChars="0" w:firstLine="0" w:firstLineChars="0"/>
              <w:jc w:val="both"/>
              <w:rPr>
                <w:rFonts w:hint="default" w:ascii="Times New Roman" w:hAnsi="Times New Roman" w:cs="Times New Roman"/>
                <w:b/>
                <w:bCs/>
                <w:sz w:val="21"/>
                <w:szCs w:val="21"/>
                <w:vertAlign w:val="baseline"/>
                <w:lang w:val="en-US" w:eastAsia="zh-CN"/>
              </w:rPr>
            </w:pPr>
          </w:p>
          <w:p>
            <w:pPr>
              <w:widowControl/>
              <w:spacing w:line="240" w:lineRule="auto"/>
              <w:ind w:left="0" w:leftChars="0" w:firstLine="0" w:firstLineChars="0"/>
              <w:jc w:val="both"/>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混合要求</w:t>
            </w:r>
          </w:p>
        </w:tc>
        <w:tc>
          <w:tcPr>
            <w:tcW w:w="1031" w:type="pct"/>
            <w:vAlign w:val="center"/>
          </w:tcPr>
          <w:p>
            <w:pPr>
              <w:widowControl/>
              <w:spacing w:line="240" w:lineRule="auto"/>
              <w:ind w:firstLine="0" w:firstLineChars="0"/>
              <w:jc w:val="center"/>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一类工业用地</w:t>
            </w:r>
          </w:p>
          <w:p>
            <w:pPr>
              <w:widowControl/>
              <w:spacing w:line="240" w:lineRule="auto"/>
              <w:ind w:firstLine="0" w:firstLineChars="0"/>
              <w:jc w:val="center"/>
              <w:rPr>
                <w:rFonts w:hint="default" w:ascii="Times New Roman" w:hAnsi="Times New Roman" w:cs="Times New Roman"/>
                <w:b/>
                <w:bCs/>
                <w:sz w:val="21"/>
                <w:szCs w:val="21"/>
                <w:vertAlign w:val="baseline"/>
                <w:lang w:eastAsia="zh-CN"/>
              </w:rPr>
            </w:pPr>
            <w:r>
              <w:rPr>
                <w:rFonts w:hint="default" w:ascii="Times New Roman" w:hAnsi="Times New Roman" w:cs="Times New Roman"/>
                <w:b/>
                <w:bCs/>
                <w:sz w:val="21"/>
                <w:szCs w:val="21"/>
                <w:vertAlign w:val="baseline"/>
                <w:lang w:val="en-US" w:eastAsia="zh-CN"/>
              </w:rPr>
              <w:t>（100101）</w:t>
            </w:r>
          </w:p>
        </w:tc>
        <w:tc>
          <w:tcPr>
            <w:tcW w:w="1019" w:type="pct"/>
            <w:vAlign w:val="center"/>
          </w:tcPr>
          <w:p>
            <w:pPr>
              <w:widowControl/>
              <w:spacing w:line="240" w:lineRule="auto"/>
              <w:ind w:firstLine="0" w:firstLineChars="0"/>
              <w:jc w:val="center"/>
              <w:rPr>
                <w:rFonts w:hint="default" w:ascii="Times New Roman" w:hAnsi="Times New Roman" w:cs="Times New Roman"/>
                <w:b/>
                <w:bCs/>
                <w:sz w:val="21"/>
                <w:szCs w:val="21"/>
                <w:vertAlign w:val="baseline"/>
              </w:rPr>
            </w:pPr>
            <w:r>
              <w:rPr>
                <w:rFonts w:hint="default" w:ascii="Times New Roman" w:hAnsi="Times New Roman" w:cs="Times New Roman"/>
                <w:b/>
                <w:bCs/>
                <w:sz w:val="21"/>
                <w:szCs w:val="21"/>
                <w:vertAlign w:val="baseline"/>
                <w:lang w:val="en-US" w:eastAsia="zh-CN"/>
              </w:rPr>
              <w:t>二类工业用地100102）</w:t>
            </w:r>
          </w:p>
        </w:tc>
        <w:tc>
          <w:tcPr>
            <w:tcW w:w="1073" w:type="pct"/>
            <w:vAlign w:val="center"/>
          </w:tcPr>
          <w:p>
            <w:pPr>
              <w:widowControl/>
              <w:spacing w:line="240" w:lineRule="auto"/>
              <w:ind w:firstLine="0" w:firstLineChars="0"/>
              <w:jc w:val="center"/>
              <w:rPr>
                <w:rFonts w:hint="default" w:ascii="Times New Roman" w:hAnsi="Times New Roman" w:cs="Times New Roman"/>
                <w:b/>
                <w:bCs/>
                <w:sz w:val="21"/>
                <w:szCs w:val="21"/>
                <w:vertAlign w:val="baseline"/>
                <w:lang w:eastAsia="zh-CN"/>
              </w:rPr>
            </w:pPr>
            <w:r>
              <w:rPr>
                <w:rFonts w:hint="default" w:ascii="Times New Roman" w:hAnsi="Times New Roman" w:cs="Times New Roman"/>
                <w:b/>
                <w:bCs/>
                <w:sz w:val="21"/>
                <w:szCs w:val="21"/>
                <w:vertAlign w:val="baseline"/>
                <w:lang w:val="en-US" w:eastAsia="zh-CN"/>
              </w:rPr>
              <w:t>一类物流仓储用地（110101）</w:t>
            </w:r>
          </w:p>
        </w:tc>
        <w:tc>
          <w:tcPr>
            <w:tcW w:w="1018" w:type="pct"/>
            <w:vAlign w:val="center"/>
          </w:tcPr>
          <w:p>
            <w:pPr>
              <w:widowControl/>
              <w:spacing w:line="240" w:lineRule="auto"/>
              <w:ind w:firstLine="0" w:firstLineChars="0"/>
              <w:jc w:val="center"/>
              <w:rPr>
                <w:rFonts w:hint="default" w:ascii="Times New Roman" w:hAnsi="Times New Roman" w:cs="Times New Roman"/>
                <w:b/>
                <w:bCs/>
                <w:sz w:val="21"/>
                <w:szCs w:val="21"/>
                <w:vertAlign w:val="baseline"/>
              </w:rPr>
            </w:pPr>
            <w:r>
              <w:rPr>
                <w:rFonts w:hint="default" w:ascii="Times New Roman" w:hAnsi="Times New Roman" w:cs="Times New Roman"/>
                <w:b/>
                <w:bCs/>
                <w:sz w:val="21"/>
                <w:szCs w:val="21"/>
                <w:vertAlign w:val="baseline"/>
                <w:lang w:val="en-US" w:eastAsia="zh-CN"/>
              </w:rPr>
              <w:t>二类物流仓储用地（110102）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6" w:hRule="atLeast"/>
        </w:trPr>
        <w:tc>
          <w:tcPr>
            <w:tcW w:w="857" w:type="pct"/>
            <w:vAlign w:val="center"/>
          </w:tcPr>
          <w:p>
            <w:pPr>
              <w:widowControl/>
              <w:spacing w:line="240" w:lineRule="auto"/>
              <w:ind w:firstLine="0" w:firstLineChars="0"/>
              <w:jc w:val="center"/>
              <w:rPr>
                <w:rFonts w:hint="default" w:ascii="Times New Roman" w:hAnsi="Times New Roman" w:cs="Times New Roman"/>
                <w:b/>
                <w:bCs/>
                <w:sz w:val="21"/>
                <w:szCs w:val="21"/>
                <w:vertAlign w:val="baseline"/>
                <w:lang w:eastAsia="zh-CN"/>
              </w:rPr>
            </w:pPr>
            <w:r>
              <w:rPr>
                <w:rFonts w:hint="default" w:ascii="Times New Roman" w:hAnsi="Times New Roman" w:cs="Times New Roman"/>
                <w:b/>
                <w:bCs/>
                <w:sz w:val="21"/>
                <w:szCs w:val="21"/>
                <w:vertAlign w:val="baseline"/>
                <w:lang w:val="en-US" w:eastAsia="zh-CN"/>
              </w:rPr>
              <w:t>允许混合</w:t>
            </w:r>
          </w:p>
        </w:tc>
        <w:tc>
          <w:tcPr>
            <w:tcW w:w="1031" w:type="pct"/>
            <w:vAlign w:val="center"/>
          </w:tcPr>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1.科研用地（0802）；                2.商业用地（0901）；         </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3.商务金融用地（0902）；                  4.其他商业服务业用地（0904）；</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5.</w:t>
            </w:r>
            <w:r>
              <w:rPr>
                <w:rFonts w:hint="eastAsia" w:ascii="Times New Roman" w:hAnsi="Times New Roman" w:cs="Times New Roman"/>
                <w:b w:val="0"/>
                <w:bCs w:val="0"/>
                <w:sz w:val="21"/>
                <w:szCs w:val="21"/>
                <w:vertAlign w:val="baseline"/>
                <w:lang w:val="en-US" w:eastAsia="zh-CN"/>
              </w:rPr>
              <w:t>一</w:t>
            </w:r>
            <w:r>
              <w:rPr>
                <w:rFonts w:hint="default" w:ascii="Times New Roman" w:hAnsi="Times New Roman" w:cs="Times New Roman"/>
                <w:b w:val="0"/>
                <w:bCs w:val="0"/>
                <w:sz w:val="21"/>
                <w:szCs w:val="21"/>
                <w:vertAlign w:val="baseline"/>
                <w:lang w:val="en-US" w:eastAsia="zh-CN"/>
              </w:rPr>
              <w:t>类物流仓储用地（110102）。</w:t>
            </w:r>
          </w:p>
        </w:tc>
        <w:tc>
          <w:tcPr>
            <w:tcW w:w="1019" w:type="pct"/>
            <w:vAlign w:val="center"/>
          </w:tcPr>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1.科研用地（0802）；                2.商业用地（0901）；         </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3.商务金融用地（0902）；                  4.其他商业服务业用地（0904）；</w:t>
            </w:r>
          </w:p>
          <w:p>
            <w:pPr>
              <w:widowControl/>
              <w:spacing w:line="240" w:lineRule="auto"/>
              <w:ind w:firstLine="0" w:firstLineChars="0"/>
              <w:jc w:val="both"/>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lang w:val="en-US" w:eastAsia="zh-CN"/>
              </w:rPr>
              <w:t xml:space="preserve">5.二类物流仓储用地（110102）。 </w:t>
            </w:r>
          </w:p>
        </w:tc>
        <w:tc>
          <w:tcPr>
            <w:tcW w:w="1073" w:type="pct"/>
            <w:vAlign w:val="center"/>
          </w:tcPr>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1.科研用地（0802）；                2.商业用地（0901）；         </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3.商务金融用地（0902）；                  4.其他商业服务业用地（0904）；</w:t>
            </w:r>
          </w:p>
          <w:p>
            <w:pPr>
              <w:widowControl/>
              <w:spacing w:line="240" w:lineRule="auto"/>
              <w:ind w:firstLine="0" w:firstLineChars="0"/>
              <w:jc w:val="center"/>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lang w:val="en-US" w:eastAsia="zh-CN"/>
              </w:rPr>
              <w:t xml:space="preserve">5.一类工业用地（100101）。 </w:t>
            </w:r>
          </w:p>
        </w:tc>
        <w:tc>
          <w:tcPr>
            <w:tcW w:w="1018" w:type="pct"/>
            <w:vAlign w:val="center"/>
          </w:tcPr>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1.科研用地（0802）；                2.商业用地（0901）；         </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3.商务金融用地（0902）；                  4.其他商业服务业用地（0904）；</w:t>
            </w:r>
          </w:p>
          <w:p>
            <w:pPr>
              <w:widowControl/>
              <w:spacing w:line="240" w:lineRule="auto"/>
              <w:ind w:firstLine="0" w:firstLineChars="0"/>
              <w:jc w:val="both"/>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lang w:val="en-US" w:eastAsia="zh-CN"/>
              </w:rPr>
              <w:t xml:space="preserve">5.二类工业用地（120102）。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8" w:hRule="atLeast"/>
        </w:trPr>
        <w:tc>
          <w:tcPr>
            <w:tcW w:w="857" w:type="pct"/>
            <w:vAlign w:val="center"/>
          </w:tcPr>
          <w:p>
            <w:pPr>
              <w:widowControl/>
              <w:spacing w:line="240" w:lineRule="auto"/>
              <w:ind w:firstLine="0" w:firstLineChars="0"/>
              <w:jc w:val="center"/>
              <w:rPr>
                <w:rFonts w:hint="default" w:ascii="Times New Roman" w:hAnsi="Times New Roman" w:cs="Times New Roman"/>
                <w:b/>
                <w:bCs/>
                <w:sz w:val="21"/>
                <w:szCs w:val="21"/>
                <w:vertAlign w:val="baseline"/>
                <w:lang w:eastAsia="zh-CN"/>
              </w:rPr>
            </w:pPr>
            <w:r>
              <w:rPr>
                <w:rFonts w:hint="default" w:ascii="Times New Roman" w:hAnsi="Times New Roman" w:cs="Times New Roman"/>
                <w:b/>
                <w:bCs/>
                <w:sz w:val="21"/>
                <w:szCs w:val="21"/>
                <w:vertAlign w:val="baseline"/>
                <w:lang w:val="en-US" w:eastAsia="zh-CN"/>
              </w:rPr>
              <w:t>禁止混合</w:t>
            </w:r>
          </w:p>
        </w:tc>
        <w:tc>
          <w:tcPr>
            <w:tcW w:w="1031" w:type="pct"/>
            <w:vAlign w:val="center"/>
          </w:tcPr>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1.城镇住宅用地（0701）；</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2.三类工业用地（100103）；    </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3.三类物流仓储用地（110103）。</w:t>
            </w:r>
          </w:p>
        </w:tc>
        <w:tc>
          <w:tcPr>
            <w:tcW w:w="1019" w:type="pct"/>
            <w:vAlign w:val="center"/>
          </w:tcPr>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1.城镇住宅用地（0701）；</w:t>
            </w:r>
          </w:p>
          <w:p>
            <w:pPr>
              <w:widowControl/>
              <w:numPr>
                <w:ilvl w:val="-1"/>
                <w:numId w:val="0"/>
              </w:numPr>
              <w:spacing w:line="240" w:lineRule="auto"/>
              <w:ind w:firstLine="0" w:firstLineChars="0"/>
              <w:jc w:val="both"/>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2.三类工业用地（100103）；       </w:t>
            </w:r>
          </w:p>
          <w:p>
            <w:pPr>
              <w:widowControl/>
              <w:spacing w:line="240" w:lineRule="auto"/>
              <w:ind w:firstLine="0" w:firstLineChars="0"/>
              <w:jc w:val="both"/>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lang w:val="en-US" w:eastAsia="zh-CN"/>
              </w:rPr>
              <w:t>3.三类物流仓储用地（110103）。</w:t>
            </w:r>
          </w:p>
        </w:tc>
        <w:tc>
          <w:tcPr>
            <w:tcW w:w="1073" w:type="pct"/>
            <w:vAlign w:val="center"/>
          </w:tcPr>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1.城镇住宅用地（0701）；</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2.三类工业用地（100103）；    </w:t>
            </w:r>
          </w:p>
          <w:p>
            <w:pPr>
              <w:widowControl/>
              <w:spacing w:line="240" w:lineRule="auto"/>
              <w:ind w:firstLine="0" w:firstLineChars="0"/>
              <w:jc w:val="both"/>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lang w:val="en-US" w:eastAsia="zh-CN"/>
              </w:rPr>
              <w:t>3.三类物流仓储用地（110103）。</w:t>
            </w:r>
          </w:p>
        </w:tc>
        <w:tc>
          <w:tcPr>
            <w:tcW w:w="1018" w:type="pct"/>
            <w:vAlign w:val="center"/>
          </w:tcPr>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1.城镇住宅用地（0701）；</w:t>
            </w:r>
          </w:p>
          <w:p>
            <w:pPr>
              <w:widowControl/>
              <w:numPr>
                <w:ilvl w:val="-1"/>
                <w:numId w:val="0"/>
              </w:numPr>
              <w:spacing w:line="240" w:lineRule="auto"/>
              <w:ind w:firstLine="0" w:firstLineChars="0"/>
              <w:jc w:val="left"/>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 xml:space="preserve">2.三类工业用地（100103）； </w:t>
            </w:r>
          </w:p>
          <w:p>
            <w:pPr>
              <w:widowControl/>
              <w:spacing w:line="240" w:lineRule="auto"/>
              <w:ind w:firstLine="0" w:firstLineChars="0"/>
              <w:jc w:val="both"/>
              <w:rPr>
                <w:rFonts w:hint="default" w:ascii="Times New Roman" w:hAnsi="Times New Roman" w:cs="Times New Roman"/>
                <w:b w:val="0"/>
                <w:bCs w:val="0"/>
                <w:sz w:val="21"/>
                <w:szCs w:val="21"/>
                <w:vertAlign w:val="baseline"/>
              </w:rPr>
            </w:pPr>
            <w:r>
              <w:rPr>
                <w:rFonts w:hint="default" w:ascii="Times New Roman" w:hAnsi="Times New Roman" w:cs="Times New Roman"/>
                <w:b w:val="0"/>
                <w:bCs w:val="0"/>
                <w:sz w:val="21"/>
                <w:szCs w:val="21"/>
                <w:vertAlign w:val="baseline"/>
                <w:lang w:val="en-US" w:eastAsia="zh-CN"/>
              </w:rPr>
              <w:t xml:space="preserve">3.三类物流仓储用地（110103）。    </w:t>
            </w:r>
          </w:p>
        </w:tc>
      </w:tr>
    </w:tbl>
    <w:p>
      <w:pPr>
        <w:widowControl/>
        <w:spacing w:line="240" w:lineRule="auto"/>
        <w:ind w:left="0" w:leftChars="0" w:firstLine="0" w:firstLineChars="0"/>
        <w:rPr>
          <w:rFonts w:hint="eastAsia" w:ascii="宋体" w:hAnsi="宋体" w:cs="宋体"/>
          <w:b/>
          <w:bCs/>
          <w:sz w:val="18"/>
          <w:szCs w:val="18"/>
        </w:rPr>
      </w:pPr>
    </w:p>
    <w:p>
      <w:pPr>
        <w:widowControl/>
        <w:spacing w:line="240" w:lineRule="auto"/>
        <w:ind w:left="0" w:leftChars="0" w:firstLine="0" w:firstLineChars="0"/>
        <w:rPr>
          <w:rFonts w:hint="eastAsia" w:ascii="宋体" w:hAnsi="宋体" w:cs="宋体"/>
          <w:b w:val="0"/>
          <w:bCs w:val="0"/>
          <w:sz w:val="21"/>
          <w:szCs w:val="21"/>
          <w:lang w:val="en-US" w:eastAsia="zh-CN"/>
        </w:rPr>
      </w:pPr>
      <w:r>
        <w:rPr>
          <w:rFonts w:hint="eastAsia" w:ascii="宋体" w:hAnsi="宋体" w:cs="宋体"/>
          <w:b/>
          <w:bCs/>
          <w:sz w:val="21"/>
          <w:szCs w:val="21"/>
          <w:lang w:val="en-US" w:eastAsia="zh-CN"/>
        </w:rPr>
        <w:t>备</w:t>
      </w:r>
      <w:r>
        <w:rPr>
          <w:rFonts w:hint="eastAsia" w:ascii="宋体" w:hAnsi="宋体" w:cs="宋体"/>
          <w:b/>
          <w:bCs/>
          <w:sz w:val="21"/>
          <w:szCs w:val="21"/>
        </w:rPr>
        <w:t>注：</w:t>
      </w:r>
      <w:r>
        <w:rPr>
          <w:rFonts w:hint="eastAsia" w:ascii="宋体" w:hAnsi="宋体" w:cs="宋体"/>
          <w:b w:val="0"/>
          <w:bCs w:val="0"/>
          <w:sz w:val="21"/>
          <w:szCs w:val="21"/>
          <w:lang w:val="en-US" w:eastAsia="zh-CN"/>
        </w:rPr>
        <w:t>1.“允许混合”即鼓励工业、仓储、科研等功能互利的用地混合利用；“禁止混合”即涉及公共安全、公共利益、环境保护及特殊功能需求的用地不得进行混合利用。</w:t>
      </w:r>
    </w:p>
    <w:p>
      <w:pPr>
        <w:widowControl/>
        <w:spacing w:line="240" w:lineRule="auto"/>
        <w:ind w:left="0" w:leftChars="0" w:firstLine="630" w:firstLineChars="300"/>
        <w:rPr>
          <w:rFonts w:hint="eastAsia" w:ascii="宋体" w:hAnsi="宋体" w:cs="宋体"/>
          <w:b w:val="0"/>
          <w:bCs w:val="0"/>
          <w:sz w:val="21"/>
          <w:szCs w:val="21"/>
        </w:rPr>
      </w:pPr>
      <w:r>
        <w:rPr>
          <w:rFonts w:hint="eastAsia" w:ascii="宋体" w:hAnsi="宋体" w:cs="宋体"/>
          <w:b w:val="0"/>
          <w:bCs w:val="0"/>
          <w:sz w:val="21"/>
          <w:szCs w:val="21"/>
          <w:lang w:val="en-US" w:eastAsia="zh-CN"/>
        </w:rPr>
        <w:t>2.对于正负面清单中未列出的土地用途确需混合利用的，应经地方政府专题研究确定。</w:t>
      </w:r>
    </w:p>
    <w:p>
      <w:pPr>
        <w:widowControl/>
        <w:spacing w:line="240" w:lineRule="auto"/>
        <w:ind w:left="0" w:leftChars="0" w:firstLine="420" w:firstLineChars="200"/>
        <w:rPr>
          <w:rFonts w:hint="eastAsia" w:ascii="宋体" w:hAnsi="宋体" w:cs="宋体"/>
          <w:b w:val="0"/>
          <w:bCs w:val="0"/>
          <w:sz w:val="21"/>
          <w:szCs w:val="21"/>
        </w:rPr>
      </w:pPr>
      <w:r>
        <w:rPr>
          <w:rFonts w:hint="eastAsia" w:ascii="宋体" w:hAnsi="宋体" w:cs="宋体"/>
          <w:b w:val="0"/>
          <w:bCs w:val="0"/>
          <w:sz w:val="21"/>
          <w:szCs w:val="21"/>
          <w:lang w:val="en-US" w:eastAsia="zh-CN"/>
        </w:rPr>
        <w:t xml:space="preserve">  3.</w:t>
      </w:r>
      <w:r>
        <w:rPr>
          <w:rFonts w:hint="eastAsia" w:ascii="宋体" w:hAnsi="宋体" w:cs="宋体"/>
          <w:b w:val="0"/>
          <w:bCs w:val="0"/>
          <w:sz w:val="21"/>
          <w:szCs w:val="21"/>
        </w:rPr>
        <w:t>严禁建设成套住宅、专家楼等非生产性配套设施。</w:t>
      </w:r>
    </w:p>
    <w:p>
      <w:pPr>
        <w:widowControl/>
        <w:spacing w:line="240" w:lineRule="auto"/>
        <w:ind w:left="0" w:leftChars="0" w:firstLine="420" w:firstLineChars="200"/>
        <w:rPr>
          <w:rFonts w:hint="eastAsia" w:ascii="宋体" w:hAnsi="宋体" w:cs="宋体"/>
          <w:b w:val="0"/>
          <w:bCs w:val="0"/>
          <w:sz w:val="21"/>
          <w:szCs w:val="21"/>
          <w:lang w:val="en-US" w:eastAsia="en-US"/>
        </w:rPr>
      </w:pPr>
      <w:r>
        <w:rPr>
          <w:rFonts w:hint="eastAsia" w:ascii="宋体" w:hAnsi="宋体" w:cs="宋体"/>
          <w:b w:val="0"/>
          <w:bCs w:val="0"/>
          <w:sz w:val="21"/>
          <w:szCs w:val="21"/>
          <w:lang w:val="en-US" w:eastAsia="zh-CN"/>
        </w:rPr>
        <w:t xml:space="preserve">  4.</w:t>
      </w:r>
      <w:r>
        <w:rPr>
          <w:rFonts w:hint="eastAsia" w:ascii="宋体" w:hAnsi="宋体" w:cs="宋体"/>
          <w:b w:val="0"/>
          <w:bCs w:val="0"/>
          <w:sz w:val="21"/>
          <w:szCs w:val="21"/>
          <w:lang w:val="en-US" w:eastAsia="en-US"/>
        </w:rPr>
        <w:t>属于涉法涉诉等权利不清晰的</w:t>
      </w:r>
      <w:r>
        <w:rPr>
          <w:rFonts w:hint="eastAsia" w:ascii="宋体" w:hAnsi="宋体" w:cs="宋体"/>
          <w:b w:val="0"/>
          <w:bCs w:val="0"/>
          <w:sz w:val="21"/>
          <w:szCs w:val="21"/>
        </w:rPr>
        <w:t>禁止与其他用地</w:t>
      </w:r>
      <w:r>
        <w:rPr>
          <w:rFonts w:hint="eastAsia" w:ascii="宋体" w:hAnsi="宋体" w:cs="宋体"/>
          <w:b w:val="0"/>
          <w:bCs w:val="0"/>
          <w:sz w:val="21"/>
          <w:szCs w:val="21"/>
          <w:lang w:val="en-US" w:eastAsia="zh-CN"/>
        </w:rPr>
        <w:t>混合</w:t>
      </w:r>
      <w:r>
        <w:rPr>
          <w:rFonts w:hint="eastAsia" w:ascii="宋体" w:hAnsi="宋体" w:cs="宋体"/>
          <w:b w:val="0"/>
          <w:bCs w:val="0"/>
          <w:sz w:val="21"/>
          <w:szCs w:val="21"/>
          <w:lang w:val="en-US" w:eastAsia="en-US"/>
        </w:rPr>
        <w:t>。</w:t>
      </w:r>
    </w:p>
    <w:p>
      <w:pPr>
        <w:keepNext w:val="0"/>
        <w:keepLines w:val="0"/>
        <w:pageBreakBefore w:val="0"/>
        <w:widowControl/>
        <w:kinsoku/>
        <w:wordWrap/>
        <w:overflowPunct/>
        <w:autoSpaceDE/>
        <w:autoSpaceDN/>
        <w:bidi w:val="0"/>
        <w:adjustRightInd/>
        <w:snapToGrid/>
        <w:spacing w:before="0" w:line="240" w:lineRule="auto"/>
        <w:ind w:left="0" w:leftChars="0" w:firstLine="0" w:firstLineChars="0"/>
        <w:textAlignment w:val="auto"/>
        <w:rPr>
          <w:rFonts w:hint="default" w:ascii="仿宋_GB2312" w:hAnsi="仿宋_GB2312" w:eastAsia="仿宋_GB2312" w:cs="仿宋_GB2312"/>
          <w:spacing w:val="-6"/>
          <w:sz w:val="32"/>
          <w:szCs w:val="32"/>
        </w:rPr>
      </w:pPr>
      <w:r>
        <w:rPr>
          <w:rFonts w:hint="default" w:ascii="仿宋_GB2312" w:hAnsi="仿宋_GB2312" w:eastAsia="仿宋_GB2312" w:cs="仿宋_GB2312"/>
          <w:spacing w:val="-6"/>
          <w:sz w:val="32"/>
          <w:szCs w:val="32"/>
        </w:rPr>
        <w:br w:type="page"/>
      </w:r>
    </w:p>
    <w:p>
      <w:pPr>
        <w:keepNext w:val="0"/>
        <w:keepLines w:val="0"/>
        <w:pageBreakBefore w:val="0"/>
        <w:widowControl w:val="0"/>
        <w:kinsoku w:val="0"/>
        <w:wordWrap/>
        <w:overflowPunct/>
        <w:autoSpaceDE w:val="0"/>
        <w:autoSpaceDN w:val="0"/>
        <w:bidi w:val="0"/>
        <w:adjustRightInd w:val="0"/>
        <w:snapToGrid w:val="0"/>
        <w:spacing w:before="101" w:line="230" w:lineRule="auto"/>
        <w:ind w:left="0" w:leftChars="0" w:firstLine="0" w:firstLineChars="0"/>
        <w:textAlignment w:val="baseline"/>
        <w:rPr>
          <w:rFonts w:hint="default" w:ascii="仿宋_GB2312" w:hAnsi="仿宋_GB2312" w:eastAsia="仿宋_GB2312" w:cs="仿宋_GB2312"/>
          <w:spacing w:val="-6"/>
          <w:sz w:val="32"/>
          <w:szCs w:val="32"/>
        </w:rPr>
      </w:pPr>
      <w:r>
        <w:rPr>
          <w:rFonts w:hint="default" w:ascii="仿宋_GB2312" w:hAnsi="仿宋_GB2312" w:eastAsia="仿宋_GB2312" w:cs="仿宋_GB2312"/>
          <w:spacing w:val="-6"/>
          <w:sz w:val="32"/>
          <w:szCs w:val="32"/>
        </w:rPr>
        <w:t>附件2</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val="0"/>
        <w:wordWrap/>
        <w:overflowPunct/>
        <w:autoSpaceDE w:val="0"/>
        <w:autoSpaceDN w:val="0"/>
        <w:bidi w:val="0"/>
        <w:adjustRightInd w:val="0"/>
        <w:snapToGrid w:val="0"/>
        <w:spacing w:before="0" w:beforeAutospacing="0" w:after="0" w:afterAutospacing="0" w:line="540" w:lineRule="atLeast"/>
        <w:ind w:left="0" w:leftChars="0" w:right="0" w:firstLine="0" w:firstLineChars="0"/>
        <w:jc w:val="center"/>
        <w:textAlignment w:val="baseline"/>
        <w:rPr>
          <w:rFonts w:hint="default"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pP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不支持</w:t>
      </w:r>
      <w:r>
        <w:rPr>
          <w:rFonts w:hint="default"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存量</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产业</w:t>
      </w:r>
      <w:r>
        <w:rPr>
          <w:rFonts w:hint="default"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用地</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混合利用的情形</w:t>
      </w:r>
      <w:r>
        <w:rPr>
          <w:rFonts w:hint="default"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（试行）</w:t>
      </w:r>
    </w:p>
    <w:p>
      <w:pPr>
        <w:spacing w:line="268" w:lineRule="auto"/>
        <w:rPr>
          <w:rFonts w:hint="default" w:ascii="Times New Roman" w:hAnsi="Times New Roman" w:cs="Times New Roman"/>
          <w:sz w:val="21"/>
        </w:rPr>
      </w:pPr>
    </w:p>
    <w:p>
      <w:pPr>
        <w:spacing w:line="269" w:lineRule="auto"/>
        <w:rPr>
          <w:rFonts w:hint="default" w:ascii="Times New Roman" w:hAnsi="Times New Roman" w:cs="Times New Roman"/>
          <w:sz w:val="21"/>
        </w:rPr>
      </w:pP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en-US"/>
        </w:rPr>
      </w:pPr>
      <w:r>
        <w:rPr>
          <w:rFonts w:hint="default" w:ascii="仿宋_GB2312" w:hAnsi="仿宋_GB2312" w:cs="仿宋_GB2312"/>
          <w:i w:val="0"/>
          <w:iCs w:val="0"/>
          <w:caps w:val="0"/>
          <w:color w:val="000000"/>
          <w:spacing w:val="0"/>
          <w:sz w:val="32"/>
          <w:szCs w:val="32"/>
          <w:shd w:val="clear" w:fill="FFFFFF"/>
          <w:lang w:val="en-US" w:eastAsia="en-US"/>
        </w:rPr>
        <w:t>1．列入国家、省《产业结构调整指导目录》明确的“限制类”或“淘汰类”的。</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en-US"/>
        </w:rPr>
      </w:pPr>
      <w:r>
        <w:rPr>
          <w:rFonts w:hint="default" w:ascii="仿宋_GB2312" w:hAnsi="仿宋_GB2312" w:cs="仿宋_GB2312"/>
          <w:i w:val="0"/>
          <w:iCs w:val="0"/>
          <w:caps w:val="0"/>
          <w:color w:val="000000"/>
          <w:spacing w:val="0"/>
          <w:sz w:val="32"/>
          <w:szCs w:val="32"/>
          <w:shd w:val="clear" w:fill="FFFFFF"/>
          <w:lang w:val="en-US" w:eastAsia="en-US"/>
        </w:rPr>
        <w:t>2．列入国家、省《市场准入负面清单》禁止准入类的。</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en-US"/>
        </w:rPr>
      </w:pPr>
      <w:r>
        <w:rPr>
          <w:rFonts w:hint="default" w:ascii="仿宋_GB2312" w:hAnsi="仿宋_GB2312" w:cs="仿宋_GB2312"/>
          <w:i w:val="0"/>
          <w:iCs w:val="0"/>
          <w:caps w:val="0"/>
          <w:color w:val="000000"/>
          <w:spacing w:val="0"/>
          <w:sz w:val="32"/>
          <w:szCs w:val="32"/>
          <w:shd w:val="clear" w:fill="FFFFFF"/>
          <w:lang w:val="en-US" w:eastAsia="en-US"/>
        </w:rPr>
        <w:t>3．列入《自然资源要素支撑产业高质量发展指导目录》“限制类”或“禁止类”的。</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en-US"/>
        </w:rPr>
      </w:pPr>
      <w:r>
        <w:rPr>
          <w:rFonts w:hint="default" w:ascii="仿宋_GB2312" w:hAnsi="仿宋_GB2312" w:cs="仿宋_GB2312"/>
          <w:i w:val="0"/>
          <w:iCs w:val="0"/>
          <w:caps w:val="0"/>
          <w:color w:val="000000"/>
          <w:spacing w:val="0"/>
          <w:sz w:val="32"/>
          <w:szCs w:val="32"/>
          <w:shd w:val="clear" w:fill="FFFFFF"/>
          <w:lang w:val="en-US" w:eastAsia="en-US"/>
        </w:rPr>
        <w:t>4．不符合国土空间规划用途管制要求的。</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en-US"/>
        </w:rPr>
      </w:pPr>
      <w:r>
        <w:rPr>
          <w:rFonts w:hint="default" w:ascii="仿宋_GB2312" w:hAnsi="仿宋_GB2312" w:cs="仿宋_GB2312"/>
          <w:i w:val="0"/>
          <w:iCs w:val="0"/>
          <w:caps w:val="0"/>
          <w:color w:val="000000"/>
          <w:spacing w:val="0"/>
          <w:sz w:val="32"/>
          <w:szCs w:val="32"/>
          <w:shd w:val="clear" w:fill="FFFFFF"/>
          <w:lang w:val="en-US" w:eastAsia="en-US"/>
        </w:rPr>
        <w:t>5．已确定为政府回购的或已列入政府征收、储备范围的低效用地。</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en-US"/>
        </w:rPr>
      </w:pPr>
      <w:r>
        <w:rPr>
          <w:rFonts w:hint="default" w:ascii="仿宋_GB2312" w:hAnsi="仿宋_GB2312" w:cs="仿宋_GB2312"/>
          <w:i w:val="0"/>
          <w:iCs w:val="0"/>
          <w:caps w:val="0"/>
          <w:color w:val="000000"/>
          <w:spacing w:val="0"/>
          <w:sz w:val="32"/>
          <w:szCs w:val="32"/>
          <w:shd w:val="clear" w:fill="FFFFFF"/>
          <w:lang w:val="en-US" w:eastAsia="en-US"/>
        </w:rPr>
        <w:t>6．属于涉法涉诉、设立抵押权未撤销等权利不清晰的。</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en-US"/>
        </w:rPr>
      </w:pPr>
      <w:r>
        <w:rPr>
          <w:rFonts w:hint="default" w:ascii="仿宋_GB2312" w:hAnsi="仿宋_GB2312" w:cs="仿宋_GB2312"/>
          <w:i w:val="0"/>
          <w:iCs w:val="0"/>
          <w:caps w:val="0"/>
          <w:color w:val="000000"/>
          <w:spacing w:val="0"/>
          <w:sz w:val="32"/>
          <w:szCs w:val="32"/>
          <w:shd w:val="clear" w:fill="FFFFFF"/>
          <w:lang w:val="en-US" w:eastAsia="en-US"/>
        </w:rPr>
        <w:t>7．属于擅自改变用途、土地闲置等情形的。</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en-US"/>
        </w:rPr>
      </w:pPr>
      <w:r>
        <w:rPr>
          <w:rFonts w:hint="default" w:ascii="仿宋_GB2312" w:hAnsi="仿宋_GB2312" w:cs="仿宋_GB2312"/>
          <w:i w:val="0"/>
          <w:iCs w:val="0"/>
          <w:caps w:val="0"/>
          <w:color w:val="000000"/>
          <w:spacing w:val="0"/>
          <w:sz w:val="32"/>
          <w:szCs w:val="32"/>
          <w:shd w:val="clear" w:fill="FFFFFF"/>
          <w:lang w:val="en-US" w:eastAsia="en-US"/>
        </w:rPr>
        <w:t>8．其他不符合法定规划、环境保护、安全生产、消防安全等法律法规情形的。</w:t>
      </w:r>
    </w:p>
    <w:p>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仿宋_GB2312" w:cs="仿宋_GB2312"/>
          <w:i w:val="0"/>
          <w:iCs w:val="0"/>
          <w:caps w:val="0"/>
          <w:color w:val="000000"/>
          <w:spacing w:val="0"/>
          <w:sz w:val="32"/>
          <w:szCs w:val="32"/>
          <w:shd w:val="clear" w:fill="FFFFFF"/>
          <w:lang w:val="en-US" w:eastAsia="zh-CN"/>
        </w:rPr>
      </w:pPr>
    </w:p>
    <w:sectPr>
      <w:footerReference r:id="rId6" w:type="default"/>
      <w:pgSz w:w="11906" w:h="16838"/>
      <w:pgMar w:top="2098" w:right="1474" w:bottom="1984" w:left="1587" w:header="0" w:footer="0"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w:rPr>
        <w:sz w:val="18"/>
      </w:rPr>
      <mc:AlternateContent>
        <mc:Choice Requires="wps">
          <w:drawing>
            <wp:anchor distT="0" distB="0" distL="114300" distR="114300" simplePos="0" relativeHeight="251661312" behindDoc="0" locked="0" layoutInCell="1" allowOverlap="1">
              <wp:simplePos x="0" y="0"/>
              <wp:positionH relativeFrom="margin">
                <wp:posOffset>2468880</wp:posOffset>
              </wp:positionH>
              <wp:positionV relativeFrom="paragraph">
                <wp:posOffset>-1247140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194.4pt;margin-top:-98.2pt;height:144pt;width:144pt;mso-position-horizontal-relative:margin;mso-wrap-style:none;z-index:251661312;mso-width-relative:page;mso-height-relative:page;" filled="f" stroked="f" coordsize="21600,21600" o:gfxdata="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huUXj2AAAAAsBAAAPAAAAAAAAAAEAIAAAADgAAABkcnMvZG93bnJldi54bWxQ&#10;SwECFAAUAAAACACHTuJAJhrSbhoCAAApBAAADgAAAAAAAAABACAAAAA9AQAAZHJzL2Uyb0RvYy54&#10;bWxQSwUGAAAAAAYABgBZAQAAyQUAAAAA&#10;">
              <v:fill on="f" focussize="0,0"/>
              <v:stroke on="f" weight="0.5pt"/>
              <v:imagedata o:title=""/>
              <o:lock v:ext="edit" aspectratio="f"/>
              <v:textbox inset="0mm,0mm,0mm,0mm" style="mso-fit-shape-to-text:t;">
                <w:txbxContent>
                  <w:p>
                    <w:pPr>
                      <w:pStyle w:val="5"/>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t xml:space="preserve"> —</w:t>
                    </w:r>
                  </w:p>
                </w:txbxContent>
              </v:textbox>
            </v:shape>
          </w:pict>
        </mc:Fallback>
      </mc:AlternateContent>
    </w: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kinsoku w:val="0"/>
      <w:autoSpaceDE w:val="0"/>
      <w:autoSpaceDN w:val="0"/>
      <w:adjustRightInd w:val="0"/>
      <w:snapToGrid w:val="0"/>
      <w:spacing w:line="588" w:lineRule="exact"/>
      <w:ind w:firstLine="360" w:firstLineChars="200"/>
      <w:jc w:val="left"/>
      <w:textAlignment w:val="baseline"/>
      <w:rPr>
        <w:rFonts w:ascii="Arial" w:hAnsi="Arial" w:eastAsia="仿宋_GB2312" w:cs="Arial"/>
        <w:snapToGrid w:val="0"/>
        <w:color w:val="000000"/>
        <w:kern w:val="0"/>
        <w:sz w:val="18"/>
        <w:szCs w:val="21"/>
        <w:lang w:val="en-US" w:eastAsia="en-US" w:bidi="ar-SA"/>
      </w:rPr>
    </w:pPr>
    <w:r>
      <w:rPr>
        <w:sz w:val="18"/>
      </w:rPr>
      <mc:AlternateContent>
        <mc:Choice Requires="wps">
          <w:drawing>
            <wp:anchor distT="0" distB="0" distL="114300" distR="114300" simplePos="0" relativeHeight="251660288" behindDoc="0" locked="0" layoutInCell="1" allowOverlap="1">
              <wp:simplePos x="0" y="0"/>
              <wp:positionH relativeFrom="margin">
                <wp:posOffset>2468880</wp:posOffset>
              </wp:positionH>
              <wp:positionV relativeFrom="paragraph">
                <wp:posOffset>-883285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 </w:t>
                          </w:r>
                          <w:r>
                            <w:fldChar w:fldCharType="begin"/>
                          </w:r>
                          <w:r>
                            <w:instrText xml:space="preserve"> PAGE  \* MERGEFORMAT </w:instrText>
                          </w:r>
                          <w:r>
                            <w:fldChar w:fldCharType="separate"/>
                          </w:r>
                          <w:r>
                            <w:t>7</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194.4pt;margin-top:-69.55pt;height:144pt;width:144pt;mso-position-horizontal-relative:margin;mso-wrap-style:none;z-index:251660288;mso-width-relative:page;mso-height-relative:page;" filled="f" stroked="f" coordsize="21600,21600" o:gfxdata="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OdZdbNkAAAAMAQAADwAAAAAAAAABACAAAAA4AAAAZHJzL2Rvd25yZXYu&#10;eG1sUEsBAhQAFAAAAAgAh07iQIDxM9IdAgAAKQQAAA4AAAAAAAAAAQAgAAAAPgEAAGRycy9lMm9E&#10;b2MueG1sUEsFBgAAAAAGAAYAWQEAAM0FAAAAAA==&#10;">
              <v:fill on="f" focussize="0,0"/>
              <v:stroke on="f" weight="0.5pt"/>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7</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8E716D"/>
    <w:rsid w:val="00136EA5"/>
    <w:rsid w:val="003C68F3"/>
    <w:rsid w:val="00AD7338"/>
    <w:rsid w:val="01347F69"/>
    <w:rsid w:val="01D20984"/>
    <w:rsid w:val="0241242E"/>
    <w:rsid w:val="027C3466"/>
    <w:rsid w:val="03505229"/>
    <w:rsid w:val="04867337"/>
    <w:rsid w:val="05143E2A"/>
    <w:rsid w:val="064779CE"/>
    <w:rsid w:val="068C109B"/>
    <w:rsid w:val="07796AEE"/>
    <w:rsid w:val="07A07BF6"/>
    <w:rsid w:val="08085899"/>
    <w:rsid w:val="08A949DA"/>
    <w:rsid w:val="094336A5"/>
    <w:rsid w:val="09643DEB"/>
    <w:rsid w:val="096E0948"/>
    <w:rsid w:val="0A11280D"/>
    <w:rsid w:val="0A206DCD"/>
    <w:rsid w:val="0A9357F1"/>
    <w:rsid w:val="0B275F39"/>
    <w:rsid w:val="0B3568A8"/>
    <w:rsid w:val="0B7A6336"/>
    <w:rsid w:val="0BC4150E"/>
    <w:rsid w:val="0BDF20F0"/>
    <w:rsid w:val="0C792F95"/>
    <w:rsid w:val="0DC2711D"/>
    <w:rsid w:val="0DDA653B"/>
    <w:rsid w:val="0EE52EF5"/>
    <w:rsid w:val="0F242EBB"/>
    <w:rsid w:val="0F6C4862"/>
    <w:rsid w:val="0FE74A3D"/>
    <w:rsid w:val="10665213"/>
    <w:rsid w:val="10881228"/>
    <w:rsid w:val="11162294"/>
    <w:rsid w:val="111F5B74"/>
    <w:rsid w:val="115F642C"/>
    <w:rsid w:val="11681925"/>
    <w:rsid w:val="1185357E"/>
    <w:rsid w:val="11A5549D"/>
    <w:rsid w:val="11F71A07"/>
    <w:rsid w:val="122250B4"/>
    <w:rsid w:val="12327A5D"/>
    <w:rsid w:val="12337AF9"/>
    <w:rsid w:val="12635AA8"/>
    <w:rsid w:val="129257D5"/>
    <w:rsid w:val="12A60098"/>
    <w:rsid w:val="1310281D"/>
    <w:rsid w:val="136476D1"/>
    <w:rsid w:val="13882F96"/>
    <w:rsid w:val="140E413A"/>
    <w:rsid w:val="14B60A59"/>
    <w:rsid w:val="14FD7A65"/>
    <w:rsid w:val="1537146E"/>
    <w:rsid w:val="157F78DA"/>
    <w:rsid w:val="15CC7E09"/>
    <w:rsid w:val="15CD5139"/>
    <w:rsid w:val="15DC051B"/>
    <w:rsid w:val="16422ACF"/>
    <w:rsid w:val="16CA07EC"/>
    <w:rsid w:val="17222155"/>
    <w:rsid w:val="173D57C7"/>
    <w:rsid w:val="17D20F94"/>
    <w:rsid w:val="17F5355D"/>
    <w:rsid w:val="18260ED8"/>
    <w:rsid w:val="18B232E6"/>
    <w:rsid w:val="19E53B6A"/>
    <w:rsid w:val="19EA7285"/>
    <w:rsid w:val="1A8E38DF"/>
    <w:rsid w:val="1ACC4B81"/>
    <w:rsid w:val="1ADA2FC8"/>
    <w:rsid w:val="1AFF2A2E"/>
    <w:rsid w:val="1B222279"/>
    <w:rsid w:val="1B783077"/>
    <w:rsid w:val="1BC379CB"/>
    <w:rsid w:val="1BE01070"/>
    <w:rsid w:val="1CE47D76"/>
    <w:rsid w:val="1D013891"/>
    <w:rsid w:val="1D6D0123"/>
    <w:rsid w:val="1D780A56"/>
    <w:rsid w:val="1DAB47A7"/>
    <w:rsid w:val="1E803E86"/>
    <w:rsid w:val="1FE37836"/>
    <w:rsid w:val="20022AA7"/>
    <w:rsid w:val="210963B5"/>
    <w:rsid w:val="21E0264C"/>
    <w:rsid w:val="21F6236F"/>
    <w:rsid w:val="22F866E1"/>
    <w:rsid w:val="22FB3ADB"/>
    <w:rsid w:val="235A2EF8"/>
    <w:rsid w:val="237D2B9F"/>
    <w:rsid w:val="241A61E3"/>
    <w:rsid w:val="26075DD2"/>
    <w:rsid w:val="270E4E25"/>
    <w:rsid w:val="2737754A"/>
    <w:rsid w:val="28341F69"/>
    <w:rsid w:val="28843DB9"/>
    <w:rsid w:val="28D97A3D"/>
    <w:rsid w:val="28E05C4D"/>
    <w:rsid w:val="2916341D"/>
    <w:rsid w:val="29BD7D3C"/>
    <w:rsid w:val="29F941FD"/>
    <w:rsid w:val="2AB733C7"/>
    <w:rsid w:val="2B674404"/>
    <w:rsid w:val="2C236465"/>
    <w:rsid w:val="2C81383C"/>
    <w:rsid w:val="2CD05FD9"/>
    <w:rsid w:val="2CD94E8D"/>
    <w:rsid w:val="2D843E0C"/>
    <w:rsid w:val="2DCA6ECC"/>
    <w:rsid w:val="2E25003C"/>
    <w:rsid w:val="2E3A7BAD"/>
    <w:rsid w:val="2E9B1B3F"/>
    <w:rsid w:val="2EA17E56"/>
    <w:rsid w:val="2EE518B2"/>
    <w:rsid w:val="2FB15C25"/>
    <w:rsid w:val="2FBC200C"/>
    <w:rsid w:val="2FEE716D"/>
    <w:rsid w:val="30344C43"/>
    <w:rsid w:val="30376483"/>
    <w:rsid w:val="304549CB"/>
    <w:rsid w:val="309953A3"/>
    <w:rsid w:val="31413001"/>
    <w:rsid w:val="314A45AB"/>
    <w:rsid w:val="322C1F03"/>
    <w:rsid w:val="328246CE"/>
    <w:rsid w:val="32F31D98"/>
    <w:rsid w:val="333D3C9C"/>
    <w:rsid w:val="34085A31"/>
    <w:rsid w:val="34645984"/>
    <w:rsid w:val="347149DE"/>
    <w:rsid w:val="34B61F58"/>
    <w:rsid w:val="34C0036D"/>
    <w:rsid w:val="35F9034E"/>
    <w:rsid w:val="36C40E71"/>
    <w:rsid w:val="36FB2BC4"/>
    <w:rsid w:val="37CB5D1A"/>
    <w:rsid w:val="38B1580F"/>
    <w:rsid w:val="38C55428"/>
    <w:rsid w:val="38D735C8"/>
    <w:rsid w:val="3911775D"/>
    <w:rsid w:val="39420A74"/>
    <w:rsid w:val="39627560"/>
    <w:rsid w:val="39C12F31"/>
    <w:rsid w:val="39E0715D"/>
    <w:rsid w:val="39F245A0"/>
    <w:rsid w:val="39FA6443"/>
    <w:rsid w:val="3A2B484E"/>
    <w:rsid w:val="3A9D4355"/>
    <w:rsid w:val="3AC622C7"/>
    <w:rsid w:val="3B3D2A8B"/>
    <w:rsid w:val="3B9D404A"/>
    <w:rsid w:val="3BC27434"/>
    <w:rsid w:val="3BFD67EC"/>
    <w:rsid w:val="3C4B567C"/>
    <w:rsid w:val="3C860462"/>
    <w:rsid w:val="3D3F477C"/>
    <w:rsid w:val="3D9A41C5"/>
    <w:rsid w:val="3DD05E38"/>
    <w:rsid w:val="3E7B5785"/>
    <w:rsid w:val="3E824EDE"/>
    <w:rsid w:val="401F09B1"/>
    <w:rsid w:val="41D61543"/>
    <w:rsid w:val="4210547E"/>
    <w:rsid w:val="422F6109"/>
    <w:rsid w:val="42DC0DDB"/>
    <w:rsid w:val="43CA3C3C"/>
    <w:rsid w:val="43F839F3"/>
    <w:rsid w:val="453F1E21"/>
    <w:rsid w:val="4567674D"/>
    <w:rsid w:val="4587458C"/>
    <w:rsid w:val="45AF0A29"/>
    <w:rsid w:val="45D05932"/>
    <w:rsid w:val="46B67B95"/>
    <w:rsid w:val="46B865FE"/>
    <w:rsid w:val="478A34FC"/>
    <w:rsid w:val="47F44E19"/>
    <w:rsid w:val="47FD63CF"/>
    <w:rsid w:val="48783354"/>
    <w:rsid w:val="490554BC"/>
    <w:rsid w:val="4944592C"/>
    <w:rsid w:val="49543DC1"/>
    <w:rsid w:val="4B0C5FD6"/>
    <w:rsid w:val="4B234E1D"/>
    <w:rsid w:val="4CEC6BD9"/>
    <w:rsid w:val="4CF7700C"/>
    <w:rsid w:val="4D777BF4"/>
    <w:rsid w:val="4DD76334"/>
    <w:rsid w:val="4E0F475B"/>
    <w:rsid w:val="4EDF576D"/>
    <w:rsid w:val="4F344298"/>
    <w:rsid w:val="4F6467A6"/>
    <w:rsid w:val="50621EF1"/>
    <w:rsid w:val="512F6EC2"/>
    <w:rsid w:val="514C2100"/>
    <w:rsid w:val="515A1BD9"/>
    <w:rsid w:val="515B1A65"/>
    <w:rsid w:val="52A42F98"/>
    <w:rsid w:val="52E61068"/>
    <w:rsid w:val="53207162"/>
    <w:rsid w:val="53AF1CD0"/>
    <w:rsid w:val="53DA423D"/>
    <w:rsid w:val="542C6BB0"/>
    <w:rsid w:val="544669FD"/>
    <w:rsid w:val="548F2152"/>
    <w:rsid w:val="54BE3FD7"/>
    <w:rsid w:val="54F14BBA"/>
    <w:rsid w:val="54FB70F7"/>
    <w:rsid w:val="560721BC"/>
    <w:rsid w:val="56340B41"/>
    <w:rsid w:val="57534552"/>
    <w:rsid w:val="57686C8A"/>
    <w:rsid w:val="578F4217"/>
    <w:rsid w:val="57A9177C"/>
    <w:rsid w:val="57DD31D4"/>
    <w:rsid w:val="59017922"/>
    <w:rsid w:val="59993A8B"/>
    <w:rsid w:val="5B8F4246"/>
    <w:rsid w:val="5BC65BFE"/>
    <w:rsid w:val="5CA70254"/>
    <w:rsid w:val="5CDF4CD9"/>
    <w:rsid w:val="5D71414A"/>
    <w:rsid w:val="5DF34326"/>
    <w:rsid w:val="5E0A4992"/>
    <w:rsid w:val="5E876B61"/>
    <w:rsid w:val="5F7460AF"/>
    <w:rsid w:val="5FAD28F6"/>
    <w:rsid w:val="5FD6518C"/>
    <w:rsid w:val="612754C0"/>
    <w:rsid w:val="613D2B21"/>
    <w:rsid w:val="625422E5"/>
    <w:rsid w:val="62634C1E"/>
    <w:rsid w:val="62AC66BA"/>
    <w:rsid w:val="630433E9"/>
    <w:rsid w:val="635F4AD9"/>
    <w:rsid w:val="6431680D"/>
    <w:rsid w:val="65DA40D9"/>
    <w:rsid w:val="664A237C"/>
    <w:rsid w:val="669E6E49"/>
    <w:rsid w:val="67957627"/>
    <w:rsid w:val="687C2595"/>
    <w:rsid w:val="68C42E83"/>
    <w:rsid w:val="68CE2545"/>
    <w:rsid w:val="6910631F"/>
    <w:rsid w:val="69210AA2"/>
    <w:rsid w:val="692D388F"/>
    <w:rsid w:val="69673CF2"/>
    <w:rsid w:val="698E716D"/>
    <w:rsid w:val="69AD4AF1"/>
    <w:rsid w:val="69F8028F"/>
    <w:rsid w:val="6A026ACA"/>
    <w:rsid w:val="6A2E5B11"/>
    <w:rsid w:val="6A37106E"/>
    <w:rsid w:val="6B5477F9"/>
    <w:rsid w:val="6BD31939"/>
    <w:rsid w:val="6C5C0714"/>
    <w:rsid w:val="6D9A3AAC"/>
    <w:rsid w:val="6DAE6980"/>
    <w:rsid w:val="6EB309D4"/>
    <w:rsid w:val="6F046E40"/>
    <w:rsid w:val="6F062BB9"/>
    <w:rsid w:val="6F3E67F6"/>
    <w:rsid w:val="6F702A43"/>
    <w:rsid w:val="709B5583"/>
    <w:rsid w:val="711A4EA7"/>
    <w:rsid w:val="71752277"/>
    <w:rsid w:val="719646C8"/>
    <w:rsid w:val="720C2E92"/>
    <w:rsid w:val="72227FC0"/>
    <w:rsid w:val="72BD14F3"/>
    <w:rsid w:val="75054015"/>
    <w:rsid w:val="767B7F99"/>
    <w:rsid w:val="7691457E"/>
    <w:rsid w:val="76EB6545"/>
    <w:rsid w:val="77753372"/>
    <w:rsid w:val="77F9775E"/>
    <w:rsid w:val="77FF9890"/>
    <w:rsid w:val="79193FCE"/>
    <w:rsid w:val="792B7DEB"/>
    <w:rsid w:val="79554E68"/>
    <w:rsid w:val="799E680F"/>
    <w:rsid w:val="79DD375D"/>
    <w:rsid w:val="7A7255A6"/>
    <w:rsid w:val="7AF82549"/>
    <w:rsid w:val="7B022DCE"/>
    <w:rsid w:val="7B902602"/>
    <w:rsid w:val="7BAA3714"/>
    <w:rsid w:val="7CBA2463"/>
    <w:rsid w:val="7D8B601E"/>
    <w:rsid w:val="7DA912DF"/>
    <w:rsid w:val="7EF87E34"/>
    <w:rsid w:val="F6FD8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588" w:lineRule="exact"/>
      <w:ind w:firstLine="420" w:firstLineChars="200"/>
      <w:jc w:val="left"/>
      <w:textAlignment w:val="baseline"/>
    </w:pPr>
    <w:rPr>
      <w:rFonts w:ascii="Arial" w:hAnsi="Arial" w:eastAsia="仿宋_GB2312" w:cs="Arial"/>
      <w:snapToGrid w:val="0"/>
      <w:color w:val="000000"/>
      <w:kern w:val="0"/>
      <w:sz w:val="32"/>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Lines="0" w:afterAutospacing="0" w:line="590" w:lineRule="exact"/>
      <w:ind w:firstLine="880" w:firstLineChars="200"/>
    </w:pPr>
    <w:rPr>
      <w:rFonts w:ascii="仿宋" w:hAnsi="仿宋" w:eastAsia="仿宋" w:cs="Times New Roman"/>
      <w:szCs w:val="2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Table Text"/>
    <w:basedOn w:val="1"/>
    <w:semiHidden/>
    <w:qFormat/>
    <w:uiPriority w:val="0"/>
    <w:rPr>
      <w:rFonts w:ascii="宋体" w:hAnsi="宋体" w:eastAsia="宋体" w:cs="宋体"/>
      <w:sz w:val="23"/>
      <w:szCs w:val="23"/>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3382</Words>
  <Characters>3574</Characters>
  <Lines>0</Lines>
  <Paragraphs>0</Paragraphs>
  <TotalTime>10</TotalTime>
  <ScaleCrop>false</ScaleCrop>
  <LinksUpToDate>false</LinksUpToDate>
  <CharactersWithSpaces>3788</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2025-02-28T00:35:00Z</dcterms:created>
  <dc:creator>少青</dc:creator>
  <cp:lastModifiedBy>thtf</cp:lastModifiedBy>
  <cp:lastPrinted>2025-07-31T02:57:00Z</cp:lastPrinted>
  <dcterms:modified xsi:type="dcterms:W3CDTF">2025-08-01T12:27:35Z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DCBCD2F4FA42414EA5AD55803C3E6192_13</vt:lpwstr>
  </property>
  <property fmtid="{D5CDD505-2E9C-101B-9397-08002B2CF9AE}" pid="4" name="KSOTemplateDocerSaveRecord">
    <vt:lpwstr>eyJoZGlkIjoiNjhjM2YxNzNlOGRkMDQ5OGJkZWFkMGYwMTAxMzk1MWEiLCJ1c2VySWQiOiIxMzg0NzcyMTQ4In0=</vt:lpwstr>
  </property>
</Properties>
</file>