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eastAsia" w:ascii="方正小标宋简体" w:hAnsi="方正小标宋简体" w:eastAsia="方正小标宋简体" w:cs="方正小标宋简体"/>
          <w:b w:val="0"/>
          <w:bCs/>
          <w:sz w:val="40"/>
          <w:szCs w:val="40"/>
          <w:lang w:val="en-US" w:eastAsia="zh-CN"/>
        </w:rPr>
      </w:pPr>
      <w:bookmarkStart w:id="0" w:name="_Toc17676"/>
      <w:bookmarkStart w:id="1" w:name="_Toc15697"/>
      <w:bookmarkStart w:id="2" w:name="_Toc2143"/>
      <w:bookmarkStart w:id="3" w:name="_Toc23459"/>
    </w:p>
    <w:p>
      <w:pPr>
        <w:pStyle w:val="2"/>
        <w:keepNext/>
        <w:keepLines/>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方正小标宋简体" w:hAnsi="方正小标宋简体" w:eastAsia="方正小标宋简体" w:cs="方正小标宋简体"/>
          <w:b w:val="0"/>
          <w:bCs/>
          <w:sz w:val="40"/>
          <w:szCs w:val="40"/>
          <w:lang w:val="en-US" w:eastAsia="zh-CN"/>
        </w:rPr>
      </w:pPr>
      <w:r>
        <w:rPr>
          <w:rFonts w:hint="eastAsia" w:ascii="方正小标宋简体" w:hAnsi="方正小标宋简体" w:eastAsia="方正小标宋简体" w:cs="方正小标宋简体"/>
          <w:b w:val="0"/>
          <w:bCs/>
          <w:sz w:val="40"/>
          <w:szCs w:val="40"/>
          <w:lang w:val="en-US" w:eastAsia="zh-CN"/>
        </w:rPr>
        <w:t>关于《湖北省“十五五”时期地质灾害防治实施方案（征求意见稿）》的起草说明</w:t>
      </w:r>
    </w:p>
    <w:p>
      <w:pPr>
        <w:pStyle w:val="2"/>
        <w:keepNext/>
        <w:keepLines/>
        <w:pageBreakBefore w:val="0"/>
        <w:widowControl w:val="0"/>
        <w:kinsoku/>
        <w:wordWrap/>
        <w:overflowPunct/>
        <w:topLinePunct w:val="0"/>
        <w:autoSpaceDE/>
        <w:autoSpaceDN/>
        <w:bidi w:val="0"/>
        <w:adjustRightInd/>
        <w:snapToGrid/>
        <w:spacing w:before="0" w:after="0" w:line="240" w:lineRule="auto"/>
        <w:ind w:firstLine="642" w:firstLineChars="200"/>
        <w:textAlignment w:val="auto"/>
        <w:rPr>
          <w:rFonts w:hint="default" w:ascii="Times New Roman" w:hAnsi="Times New Roman" w:eastAsia="黑体" w:cs="Times New Roman"/>
          <w:bCs w:val="0"/>
          <w:lang w:val="en-US" w:eastAsia="zh-CN"/>
        </w:rPr>
      </w:pPr>
    </w:p>
    <w:p>
      <w:pPr>
        <w:pStyle w:val="2"/>
        <w:keepNext/>
        <w:keepLines/>
        <w:pageBreakBefore w:val="0"/>
        <w:widowControl w:val="0"/>
        <w:kinsoku/>
        <w:wordWrap/>
        <w:overflowPunct/>
        <w:topLinePunct w:val="0"/>
        <w:autoSpaceDE/>
        <w:autoSpaceDN/>
        <w:bidi w:val="0"/>
        <w:adjustRightInd/>
        <w:snapToGrid/>
        <w:spacing w:before="0" w:after="0" w:line="240" w:lineRule="auto"/>
        <w:ind w:firstLine="722" w:firstLineChars="200"/>
        <w:textAlignment w:val="auto"/>
        <w:rPr>
          <w:rFonts w:hint="default" w:ascii="Times New Roman" w:hAnsi="Times New Roman" w:eastAsia="黑体" w:cs="Times New Roman"/>
          <w:bCs w:val="0"/>
          <w:sz w:val="36"/>
          <w:szCs w:val="36"/>
          <w:lang w:val="en-US" w:eastAsia="zh-CN"/>
        </w:rPr>
      </w:pPr>
      <w:r>
        <w:rPr>
          <w:rFonts w:hint="default" w:ascii="Times New Roman" w:hAnsi="Times New Roman" w:eastAsia="黑体" w:cs="Times New Roman"/>
          <w:bCs w:val="0"/>
          <w:sz w:val="36"/>
          <w:szCs w:val="36"/>
          <w:lang w:val="en-US" w:eastAsia="zh-CN"/>
        </w:rPr>
        <w:t>一、</w:t>
      </w:r>
      <w:r>
        <w:rPr>
          <w:rFonts w:hint="eastAsia" w:ascii="Times New Roman" w:hAnsi="Times New Roman" w:eastAsia="黑体" w:cs="Times New Roman"/>
          <w:bCs w:val="0"/>
          <w:sz w:val="36"/>
          <w:szCs w:val="36"/>
          <w:lang w:val="en-US" w:eastAsia="zh-CN"/>
        </w:rPr>
        <w:t>起草</w:t>
      </w:r>
      <w:r>
        <w:rPr>
          <w:rFonts w:hint="default" w:ascii="Times New Roman" w:hAnsi="Times New Roman" w:eastAsia="黑体" w:cs="Times New Roman"/>
          <w:bCs w:val="0"/>
          <w:sz w:val="36"/>
          <w:szCs w:val="36"/>
          <w:lang w:val="en-US" w:eastAsia="zh-CN"/>
        </w:rPr>
        <w:t>背景</w:t>
      </w:r>
      <w:bookmarkEnd w:id="0"/>
      <w:bookmarkEnd w:id="1"/>
      <w:bookmarkEnd w:id="2"/>
      <w:bookmarkEnd w:id="3"/>
    </w:p>
    <w:p>
      <w:pPr>
        <w:pageBreakBefore w:val="0"/>
        <w:widowControl w:val="0"/>
        <w:kinsoku/>
        <w:wordWrap/>
        <w:overflowPunct/>
        <w:topLinePunct w:val="0"/>
        <w:autoSpaceDE/>
        <w:autoSpaceDN/>
        <w:bidi w:val="0"/>
        <w:adjustRightInd/>
        <w:snapToGrid/>
        <w:spacing w:line="360" w:lineRule="auto"/>
        <w:ind w:firstLine="720" w:firstLineChars="200"/>
        <w:textAlignment w:val="auto"/>
        <w:rPr>
          <w:rFonts w:hint="default" w:ascii="Times New Roman" w:hAnsi="Times New Roman" w:eastAsia="仿宋_GB2312"/>
          <w:sz w:val="36"/>
          <w:szCs w:val="36"/>
        </w:rPr>
      </w:pPr>
      <w:r>
        <w:rPr>
          <w:rFonts w:hint="eastAsia"/>
          <w:sz w:val="36"/>
          <w:szCs w:val="36"/>
          <w:lang w:eastAsia="zh-CN"/>
        </w:rPr>
        <w:t>“</w:t>
      </w:r>
      <w:r>
        <w:rPr>
          <w:rFonts w:hint="default" w:ascii="Times New Roman" w:hAnsi="Times New Roman" w:eastAsia="仿宋_GB2312"/>
          <w:sz w:val="36"/>
          <w:szCs w:val="36"/>
        </w:rPr>
        <w:t>十四五</w:t>
      </w:r>
      <w:r>
        <w:rPr>
          <w:rFonts w:hint="eastAsia"/>
          <w:sz w:val="36"/>
          <w:szCs w:val="36"/>
          <w:lang w:eastAsia="zh-CN"/>
        </w:rPr>
        <w:t>”</w:t>
      </w:r>
      <w:r>
        <w:rPr>
          <w:rFonts w:hint="default" w:ascii="Times New Roman" w:hAnsi="Times New Roman" w:eastAsia="仿宋_GB2312"/>
          <w:sz w:val="36"/>
          <w:szCs w:val="36"/>
        </w:rPr>
        <w:t>时期，湖北省深入贯彻落实习近平总书记关于防灾减灾救灾的重要论述</w:t>
      </w:r>
      <w:r>
        <w:rPr>
          <w:rFonts w:hint="default"/>
          <w:sz w:val="36"/>
          <w:szCs w:val="36"/>
          <w:lang w:val="en-US" w:eastAsia="zh-CN"/>
        </w:rPr>
        <w:t>和考察湖北重要讲话精神</w:t>
      </w:r>
      <w:r>
        <w:rPr>
          <w:rFonts w:hint="default" w:ascii="Times New Roman" w:hAnsi="Times New Roman" w:eastAsia="仿宋_GB2312"/>
          <w:sz w:val="36"/>
          <w:szCs w:val="36"/>
        </w:rPr>
        <w:t>，地质灾害防治工作取得显著成效，但受复杂地质地貌条件、气候变化影响及人类工程活动加剧等因素叠加，全省地质灾害防治形势仍面临诸多挑战。</w:t>
      </w:r>
    </w:p>
    <w:p>
      <w:pPr>
        <w:pageBreakBefore w:val="0"/>
        <w:widowControl w:val="0"/>
        <w:kinsoku/>
        <w:wordWrap/>
        <w:overflowPunct/>
        <w:topLinePunct w:val="0"/>
        <w:autoSpaceDE/>
        <w:autoSpaceDN/>
        <w:bidi w:val="0"/>
        <w:adjustRightInd/>
        <w:snapToGrid/>
        <w:spacing w:line="360" w:lineRule="auto"/>
        <w:ind w:firstLine="720" w:firstLineChars="200"/>
        <w:textAlignment w:val="auto"/>
        <w:rPr>
          <w:rFonts w:hint="default" w:ascii="Times New Roman" w:hAnsi="Times New Roman" w:eastAsia="仿宋_GB2312"/>
          <w:sz w:val="36"/>
          <w:szCs w:val="36"/>
          <w:lang w:val="en-US" w:eastAsia="zh-CN"/>
        </w:rPr>
      </w:pPr>
      <w:r>
        <w:rPr>
          <w:rFonts w:hint="default" w:ascii="Times New Roman" w:hAnsi="Times New Roman" w:eastAsia="仿宋_GB2312"/>
          <w:sz w:val="36"/>
          <w:szCs w:val="36"/>
          <w:lang w:val="en-US" w:eastAsia="zh-CN"/>
        </w:rPr>
        <w:t>为适应新形势下我省国民经济和社会发展对地质灾害防治工作的需求，科学谋划</w:t>
      </w:r>
      <w:r>
        <w:rPr>
          <w:rFonts w:hint="eastAsia"/>
          <w:sz w:val="36"/>
          <w:szCs w:val="36"/>
          <w:lang w:val="en-US" w:eastAsia="zh-CN"/>
        </w:rPr>
        <w:t>“</w:t>
      </w:r>
      <w:r>
        <w:rPr>
          <w:rFonts w:hint="default" w:ascii="Times New Roman" w:hAnsi="Times New Roman" w:eastAsia="仿宋_GB2312"/>
          <w:sz w:val="36"/>
          <w:szCs w:val="36"/>
          <w:lang w:val="en-US" w:eastAsia="zh-CN"/>
        </w:rPr>
        <w:t>十五五</w:t>
      </w:r>
      <w:r>
        <w:rPr>
          <w:rFonts w:hint="eastAsia"/>
          <w:sz w:val="36"/>
          <w:szCs w:val="36"/>
          <w:lang w:val="en-US" w:eastAsia="zh-CN"/>
        </w:rPr>
        <w:t>”</w:t>
      </w:r>
      <w:r>
        <w:rPr>
          <w:rFonts w:hint="default" w:ascii="Times New Roman" w:hAnsi="Times New Roman" w:eastAsia="仿宋_GB2312"/>
          <w:sz w:val="36"/>
          <w:szCs w:val="36"/>
          <w:lang w:val="en-US" w:eastAsia="zh-CN"/>
        </w:rPr>
        <w:t>时期（2026</w:t>
      </w:r>
      <w:r>
        <w:rPr>
          <w:rFonts w:hint="eastAsia"/>
          <w:sz w:val="36"/>
          <w:szCs w:val="36"/>
          <w:lang w:val="en-US" w:eastAsia="zh-CN"/>
        </w:rPr>
        <w:t>—</w:t>
      </w:r>
      <w:r>
        <w:rPr>
          <w:rFonts w:hint="default" w:ascii="Times New Roman" w:hAnsi="Times New Roman" w:eastAsia="仿宋_GB2312"/>
          <w:sz w:val="36"/>
          <w:szCs w:val="36"/>
          <w:lang w:val="en-US" w:eastAsia="zh-CN"/>
        </w:rPr>
        <w:t>2030年）地质灾害防治工作，夯实全省防灾减灾安全基石，根据《地质灾害防治条例》</w:t>
      </w:r>
      <w:r>
        <w:rPr>
          <w:rFonts w:hint="default"/>
          <w:sz w:val="36"/>
          <w:szCs w:val="36"/>
          <w:lang w:val="en-US" w:eastAsia="zh-CN"/>
        </w:rPr>
        <w:t>《国务院关于加强地质灾害防治工作的决定》</w:t>
      </w:r>
      <w:r>
        <w:rPr>
          <w:rFonts w:hint="default" w:ascii="Times New Roman" w:hAnsi="Times New Roman" w:eastAsia="仿宋_GB2312"/>
          <w:sz w:val="36"/>
          <w:szCs w:val="36"/>
        </w:rPr>
        <w:t>《湖北省地质环境管理条例》</w:t>
      </w:r>
      <w:r>
        <w:rPr>
          <w:rFonts w:hint="eastAsia"/>
          <w:sz w:val="36"/>
          <w:szCs w:val="36"/>
          <w:lang w:eastAsia="zh-CN"/>
        </w:rPr>
        <w:t>《中共湖北省委关于制定全省国民经济和社会发展第十五个五年规划的建议》</w:t>
      </w:r>
      <w:r>
        <w:rPr>
          <w:rFonts w:hint="eastAsia" w:ascii="Times New Roman" w:hAnsi="Times New Roman"/>
          <w:sz w:val="36"/>
          <w:szCs w:val="36"/>
        </w:rPr>
        <w:t>等</w:t>
      </w:r>
      <w:r>
        <w:rPr>
          <w:rFonts w:hint="default" w:ascii="Times New Roman" w:hAnsi="Times New Roman" w:eastAsia="仿宋_GB2312"/>
          <w:sz w:val="36"/>
          <w:szCs w:val="36"/>
          <w:lang w:val="en-US" w:eastAsia="zh-CN"/>
        </w:rPr>
        <w:t>，</w:t>
      </w:r>
      <w:r>
        <w:rPr>
          <w:rFonts w:hint="default" w:ascii="Times New Roman" w:hAnsi="Times New Roman"/>
          <w:sz w:val="36"/>
          <w:szCs w:val="36"/>
          <w:lang w:val="en-US" w:eastAsia="zh-CN"/>
        </w:rPr>
        <w:t>湖北省自然资源厅组织开展了《湖北省</w:t>
      </w:r>
      <w:r>
        <w:rPr>
          <w:rFonts w:hint="eastAsia"/>
          <w:sz w:val="36"/>
          <w:szCs w:val="36"/>
          <w:lang w:val="en-US" w:eastAsia="zh-CN"/>
        </w:rPr>
        <w:t>“</w:t>
      </w:r>
      <w:r>
        <w:rPr>
          <w:rFonts w:hint="default" w:ascii="Times New Roman" w:hAnsi="Times New Roman"/>
          <w:sz w:val="36"/>
          <w:szCs w:val="36"/>
          <w:lang w:val="en-US" w:eastAsia="zh-CN"/>
        </w:rPr>
        <w:t>十五五</w:t>
      </w:r>
      <w:r>
        <w:rPr>
          <w:rFonts w:hint="eastAsia"/>
          <w:sz w:val="36"/>
          <w:szCs w:val="36"/>
          <w:lang w:val="en-US" w:eastAsia="zh-CN"/>
        </w:rPr>
        <w:t>”</w:t>
      </w:r>
      <w:r>
        <w:rPr>
          <w:rFonts w:hint="default" w:ascii="Times New Roman" w:hAnsi="Times New Roman"/>
          <w:sz w:val="36"/>
          <w:szCs w:val="36"/>
          <w:lang w:val="en-US" w:eastAsia="zh-CN"/>
        </w:rPr>
        <w:t>时期地质灾害防治实施方案》编制工作</w:t>
      </w:r>
      <w:r>
        <w:rPr>
          <w:rFonts w:hint="default" w:ascii="Times New Roman" w:hAnsi="Times New Roman" w:eastAsia="仿宋_GB2312"/>
          <w:sz w:val="36"/>
          <w:szCs w:val="36"/>
          <w:lang w:val="en-US" w:eastAsia="zh-CN"/>
        </w:rPr>
        <w:t>（以下简称《</w:t>
      </w:r>
      <w:r>
        <w:rPr>
          <w:rFonts w:hint="eastAsia"/>
          <w:sz w:val="36"/>
          <w:szCs w:val="36"/>
          <w:lang w:val="en-US" w:eastAsia="zh-CN"/>
        </w:rPr>
        <w:t>方案</w:t>
      </w:r>
      <w:r>
        <w:rPr>
          <w:rFonts w:hint="default" w:ascii="Times New Roman" w:hAnsi="Times New Roman" w:eastAsia="仿宋_GB2312"/>
          <w:sz w:val="36"/>
          <w:szCs w:val="36"/>
          <w:lang w:val="en-US" w:eastAsia="zh-CN"/>
        </w:rPr>
        <w:t>》）。</w:t>
      </w:r>
    </w:p>
    <w:p>
      <w:pPr>
        <w:pageBreakBefore w:val="0"/>
        <w:widowControl w:val="0"/>
        <w:kinsoku/>
        <w:wordWrap/>
        <w:overflowPunct/>
        <w:topLinePunct w:val="0"/>
        <w:autoSpaceDE/>
        <w:autoSpaceDN/>
        <w:bidi w:val="0"/>
        <w:adjustRightInd/>
        <w:snapToGrid/>
        <w:spacing w:line="360" w:lineRule="auto"/>
        <w:ind w:firstLine="720" w:firstLineChars="200"/>
        <w:textAlignment w:val="auto"/>
        <w:rPr>
          <w:rFonts w:hint="default" w:ascii="Times New Roman" w:hAnsi="Times New Roman" w:eastAsia="仿宋_GB2312"/>
          <w:sz w:val="36"/>
          <w:szCs w:val="36"/>
          <w:lang w:val="en-US" w:eastAsia="zh-CN"/>
        </w:rPr>
      </w:pPr>
      <w:r>
        <w:rPr>
          <w:rFonts w:hint="default" w:ascii="Times New Roman" w:hAnsi="Times New Roman" w:eastAsia="仿宋_GB2312"/>
          <w:sz w:val="36"/>
          <w:szCs w:val="36"/>
          <w:lang w:val="en-US" w:eastAsia="zh-CN"/>
        </w:rPr>
        <w:t>本</w:t>
      </w:r>
      <w:r>
        <w:rPr>
          <w:rFonts w:hint="eastAsia"/>
          <w:sz w:val="36"/>
          <w:szCs w:val="36"/>
          <w:lang w:val="en-US" w:eastAsia="zh-CN"/>
        </w:rPr>
        <w:t>方案</w:t>
      </w:r>
      <w:r>
        <w:rPr>
          <w:rFonts w:hint="default" w:ascii="Times New Roman" w:hAnsi="Times New Roman" w:eastAsia="仿宋_GB2312"/>
          <w:sz w:val="36"/>
          <w:szCs w:val="36"/>
          <w:lang w:val="en-US" w:eastAsia="zh-CN"/>
        </w:rPr>
        <w:t>范围涵盖湖北省行政辖区全部国土空间，</w:t>
      </w:r>
      <w:r>
        <w:rPr>
          <w:rFonts w:hint="eastAsia"/>
          <w:sz w:val="36"/>
          <w:szCs w:val="36"/>
          <w:lang w:val="en-US" w:eastAsia="zh-CN"/>
        </w:rPr>
        <w:t>方案</w:t>
      </w:r>
      <w:r>
        <w:rPr>
          <w:rFonts w:hint="default" w:ascii="Times New Roman" w:hAnsi="Times New Roman" w:eastAsia="仿宋_GB2312"/>
          <w:sz w:val="36"/>
          <w:szCs w:val="36"/>
          <w:lang w:val="en-US" w:eastAsia="zh-CN"/>
        </w:rPr>
        <w:t>基期为2025年，规划期限为2026</w:t>
      </w:r>
      <w:r>
        <w:rPr>
          <w:rFonts w:hint="eastAsia"/>
          <w:sz w:val="36"/>
          <w:szCs w:val="36"/>
          <w:lang w:val="en-US" w:eastAsia="zh-CN"/>
        </w:rPr>
        <w:t>—</w:t>
      </w:r>
      <w:r>
        <w:rPr>
          <w:rFonts w:hint="default" w:ascii="Times New Roman" w:hAnsi="Times New Roman" w:eastAsia="仿宋_GB2312"/>
          <w:sz w:val="36"/>
          <w:szCs w:val="36"/>
          <w:lang w:val="en-US" w:eastAsia="zh-CN"/>
        </w:rPr>
        <w:t>2030年。</w:t>
      </w:r>
    </w:p>
    <w:p>
      <w:pPr>
        <w:pStyle w:val="2"/>
        <w:keepNext/>
        <w:keepLines/>
        <w:pageBreakBefore w:val="0"/>
        <w:widowControl w:val="0"/>
        <w:kinsoku/>
        <w:wordWrap/>
        <w:overflowPunct/>
        <w:topLinePunct w:val="0"/>
        <w:autoSpaceDE/>
        <w:autoSpaceDN/>
        <w:bidi w:val="0"/>
        <w:adjustRightInd/>
        <w:snapToGrid/>
        <w:spacing w:before="0" w:after="0" w:line="240" w:lineRule="auto"/>
        <w:ind w:firstLine="722" w:firstLineChars="200"/>
        <w:textAlignment w:val="auto"/>
        <w:rPr>
          <w:rFonts w:hint="eastAsia" w:ascii="Times New Roman" w:hAnsi="Times New Roman" w:eastAsia="黑体" w:cs="Times New Roman"/>
          <w:bCs w:val="0"/>
          <w:sz w:val="36"/>
          <w:szCs w:val="36"/>
          <w:lang w:val="en-US" w:eastAsia="zh-CN"/>
        </w:rPr>
      </w:pPr>
      <w:r>
        <w:rPr>
          <w:rFonts w:hint="eastAsia" w:ascii="Times New Roman" w:hAnsi="Times New Roman" w:eastAsia="黑体" w:cs="Times New Roman"/>
          <w:bCs w:val="0"/>
          <w:sz w:val="36"/>
          <w:szCs w:val="36"/>
          <w:lang w:val="en-US" w:eastAsia="zh-CN"/>
        </w:rPr>
        <w:t>二</w:t>
      </w:r>
      <w:r>
        <w:rPr>
          <w:rFonts w:hint="default" w:ascii="Times New Roman" w:hAnsi="Times New Roman" w:eastAsia="黑体" w:cs="Times New Roman"/>
          <w:bCs w:val="0"/>
          <w:sz w:val="36"/>
          <w:szCs w:val="36"/>
          <w:lang w:val="en-US" w:eastAsia="zh-CN"/>
        </w:rPr>
        <w:t>、</w:t>
      </w:r>
      <w:r>
        <w:rPr>
          <w:rFonts w:hint="eastAsia" w:ascii="Times New Roman" w:hAnsi="Times New Roman" w:eastAsia="黑体" w:cs="Times New Roman"/>
          <w:bCs w:val="0"/>
          <w:sz w:val="36"/>
          <w:szCs w:val="36"/>
          <w:lang w:val="en-US" w:eastAsia="zh-CN"/>
        </w:rPr>
        <w:t>起草过程</w:t>
      </w:r>
    </w:p>
    <w:p>
      <w:pPr>
        <w:pageBreakBefore w:val="0"/>
        <w:widowControl w:val="0"/>
        <w:kinsoku/>
        <w:wordWrap/>
        <w:overflowPunct/>
        <w:topLinePunct w:val="0"/>
        <w:autoSpaceDE/>
        <w:autoSpaceDN/>
        <w:bidi w:val="0"/>
        <w:adjustRightInd/>
        <w:snapToGrid/>
        <w:spacing w:line="360" w:lineRule="auto"/>
        <w:ind w:firstLine="720" w:firstLineChars="200"/>
        <w:textAlignment w:val="auto"/>
        <w:rPr>
          <w:rFonts w:hint="eastAsia" w:ascii="Times New Roman" w:hAnsi="Times New Roman" w:eastAsia="仿宋_GB2312" w:cs="Times New Roman"/>
          <w:sz w:val="36"/>
          <w:szCs w:val="36"/>
          <w:lang w:val="en-US" w:eastAsia="zh-CN"/>
        </w:rPr>
      </w:pPr>
      <w:r>
        <w:rPr>
          <w:rFonts w:hint="eastAsia" w:ascii="Times New Roman" w:hAnsi="Times New Roman" w:eastAsia="仿宋_GB2312" w:cs="仿宋_GB2312"/>
          <w:sz w:val="36"/>
          <w:szCs w:val="36"/>
        </w:rPr>
        <w:t>基于前期</w:t>
      </w:r>
      <w:r>
        <w:rPr>
          <w:rFonts w:hint="eastAsia" w:ascii="Times New Roman" w:hAnsi="Times New Roman" w:cs="仿宋_GB2312"/>
          <w:sz w:val="36"/>
          <w:szCs w:val="36"/>
          <w:lang w:val="en-US" w:eastAsia="zh-CN"/>
        </w:rPr>
        <w:t>充分</w:t>
      </w:r>
      <w:r>
        <w:rPr>
          <w:rFonts w:hint="eastAsia" w:ascii="Times New Roman" w:hAnsi="Times New Roman" w:eastAsia="仿宋_GB2312" w:cs="仿宋_GB2312"/>
          <w:sz w:val="36"/>
          <w:szCs w:val="36"/>
        </w:rPr>
        <w:t>调研和评估成果，完成</w:t>
      </w:r>
      <w:r>
        <w:rPr>
          <w:rFonts w:hint="eastAsia" w:ascii="Times New Roman" w:hAnsi="Times New Roman" w:cs="仿宋_GB2312"/>
          <w:sz w:val="36"/>
          <w:szCs w:val="36"/>
          <w:lang w:val="en-US" w:eastAsia="zh-CN"/>
        </w:rPr>
        <w:t>方案</w:t>
      </w:r>
      <w:r>
        <w:rPr>
          <w:rFonts w:hint="eastAsia" w:ascii="Times New Roman" w:hAnsi="Times New Roman" w:eastAsia="仿宋_GB2312" w:cs="仿宋_GB2312"/>
          <w:sz w:val="36"/>
          <w:szCs w:val="36"/>
        </w:rPr>
        <w:t>草稿</w:t>
      </w:r>
      <w:r>
        <w:rPr>
          <w:rFonts w:hint="eastAsia" w:ascii="Times New Roman" w:hAnsi="Times New Roman" w:eastAsia="仿宋_GB2312" w:cs="仿宋_GB2312"/>
          <w:sz w:val="36"/>
          <w:szCs w:val="36"/>
          <w:lang w:eastAsia="zh-CN"/>
        </w:rPr>
        <w:t>。</w:t>
      </w:r>
      <w:r>
        <w:rPr>
          <w:rFonts w:hint="eastAsia" w:ascii="Times New Roman" w:hAnsi="Times New Roman" w:eastAsia="仿宋_GB2312" w:cs="仿宋_GB2312"/>
          <w:sz w:val="36"/>
          <w:szCs w:val="36"/>
          <w:lang w:val="en-US" w:eastAsia="zh-CN"/>
        </w:rPr>
        <w:t>随后</w:t>
      </w:r>
      <w:r>
        <w:rPr>
          <w:rFonts w:hint="eastAsia" w:ascii="Times New Roman" w:hAnsi="Times New Roman" w:eastAsia="仿宋_GB2312" w:cs="仿宋_GB2312"/>
          <w:sz w:val="36"/>
          <w:szCs w:val="36"/>
        </w:rPr>
        <w:t>先后组织</w:t>
      </w:r>
      <w:r>
        <w:rPr>
          <w:rFonts w:hint="eastAsia" w:ascii="Times New Roman" w:hAnsi="Times New Roman" w:cs="仿宋_GB2312"/>
          <w:sz w:val="36"/>
          <w:szCs w:val="36"/>
          <w:lang w:val="en-US" w:eastAsia="zh-CN"/>
        </w:rPr>
        <w:t>多轮次</w:t>
      </w:r>
      <w:r>
        <w:rPr>
          <w:rFonts w:hint="eastAsia" w:ascii="Times New Roman" w:hAnsi="Times New Roman" w:eastAsia="仿宋_GB2312" w:cs="仿宋_GB2312"/>
          <w:sz w:val="36"/>
          <w:szCs w:val="36"/>
        </w:rPr>
        <w:t>部省级专家咨询</w:t>
      </w:r>
      <w:r>
        <w:rPr>
          <w:rFonts w:hint="eastAsia" w:ascii="Times New Roman" w:hAnsi="Times New Roman" w:eastAsia="仿宋_GB2312" w:cs="仿宋_GB2312"/>
          <w:sz w:val="36"/>
          <w:szCs w:val="36"/>
          <w:lang w:val="en-US" w:eastAsia="zh-CN"/>
        </w:rPr>
        <w:t>论证，</w:t>
      </w:r>
      <w:r>
        <w:rPr>
          <w:rFonts w:hint="eastAsia" w:ascii="Times New Roman" w:hAnsi="Times New Roman" w:eastAsia="仿宋_GB2312" w:cs="仿宋_GB2312"/>
          <w:sz w:val="36"/>
          <w:szCs w:val="36"/>
        </w:rPr>
        <w:t>厅领导</w:t>
      </w:r>
      <w:r>
        <w:rPr>
          <w:rFonts w:hint="eastAsia" w:ascii="Times New Roman" w:hAnsi="Times New Roman" w:eastAsia="仿宋_GB2312" w:cs="仿宋_GB2312"/>
          <w:sz w:val="36"/>
          <w:szCs w:val="36"/>
          <w:lang w:val="en-US" w:eastAsia="zh-CN"/>
        </w:rPr>
        <w:t>多次</w:t>
      </w:r>
      <w:r>
        <w:rPr>
          <w:rFonts w:hint="eastAsia" w:ascii="Times New Roman" w:hAnsi="Times New Roman" w:eastAsia="仿宋_GB2312" w:cs="仿宋_GB2312"/>
          <w:sz w:val="36"/>
          <w:szCs w:val="36"/>
        </w:rPr>
        <w:t>专题</w:t>
      </w:r>
      <w:r>
        <w:rPr>
          <w:rFonts w:hint="eastAsia" w:ascii="Times New Roman" w:hAnsi="Times New Roman" w:eastAsia="仿宋_GB2312" w:cs="仿宋_GB2312"/>
          <w:sz w:val="36"/>
          <w:szCs w:val="36"/>
          <w:lang w:val="en-US" w:eastAsia="zh-CN"/>
        </w:rPr>
        <w:t>听取编制进展汇报，</w:t>
      </w:r>
      <w:r>
        <w:rPr>
          <w:rFonts w:hint="eastAsia" w:ascii="Times New Roman" w:hAnsi="Times New Roman" w:eastAsia="仿宋_GB2312" w:cs="仿宋_GB2312"/>
          <w:sz w:val="36"/>
          <w:szCs w:val="36"/>
        </w:rPr>
        <w:t>并</w:t>
      </w:r>
      <w:r>
        <w:rPr>
          <w:rFonts w:hint="eastAsia" w:ascii="Times New Roman" w:hAnsi="Times New Roman" w:eastAsia="仿宋_GB2312" w:cs="仿宋_GB2312"/>
          <w:sz w:val="36"/>
          <w:szCs w:val="36"/>
          <w:lang w:val="en-US" w:eastAsia="zh-CN"/>
        </w:rPr>
        <w:t>先后赴</w:t>
      </w:r>
      <w:r>
        <w:rPr>
          <w:rFonts w:hint="eastAsia" w:ascii="Times New Roman" w:hAnsi="Times New Roman" w:eastAsia="仿宋_GB2312" w:cs="仿宋_GB2312"/>
          <w:sz w:val="36"/>
          <w:szCs w:val="36"/>
        </w:rPr>
        <w:t>自然资源部、中国地质环境监测院，就重大项目布局、目标、工作任务量及重点防治分区等内容开展对接。</w:t>
      </w:r>
      <w:r>
        <w:rPr>
          <w:rFonts w:hint="eastAsia" w:ascii="Times New Roman" w:hAnsi="Times New Roman" w:cs="仿宋_GB2312"/>
          <w:sz w:val="36"/>
          <w:szCs w:val="36"/>
          <w:lang w:val="en-US" w:eastAsia="zh-CN"/>
        </w:rPr>
        <w:t>在充分衔接上位规划和实施方案</w:t>
      </w:r>
      <w:r>
        <w:rPr>
          <w:rFonts w:hint="eastAsia" w:cs="仿宋_GB2312"/>
          <w:sz w:val="36"/>
          <w:szCs w:val="36"/>
          <w:lang w:val="en-US" w:eastAsia="zh-CN"/>
        </w:rPr>
        <w:t>基础上</w:t>
      </w:r>
      <w:bookmarkStart w:id="4" w:name="_GoBack"/>
      <w:bookmarkEnd w:id="4"/>
      <w:r>
        <w:rPr>
          <w:rFonts w:hint="eastAsia" w:ascii="Times New Roman" w:hAnsi="Times New Roman" w:cs="仿宋_GB2312"/>
          <w:sz w:val="36"/>
          <w:szCs w:val="36"/>
          <w:lang w:val="en-US" w:eastAsia="zh-CN"/>
        </w:rPr>
        <w:t>，形成</w:t>
      </w:r>
      <w:r>
        <w:rPr>
          <w:rFonts w:hint="eastAsia" w:ascii="Times New Roman" w:hAnsi="Times New Roman" w:cs="仿宋_GB2312"/>
          <w:sz w:val="36"/>
          <w:szCs w:val="36"/>
          <w:lang w:eastAsia="zh-CN"/>
        </w:rPr>
        <w:t>《</w:t>
      </w:r>
      <w:r>
        <w:rPr>
          <w:rFonts w:hint="eastAsia" w:ascii="Times New Roman" w:hAnsi="Times New Roman" w:cs="仿宋_GB2312"/>
          <w:sz w:val="36"/>
          <w:szCs w:val="36"/>
          <w:lang w:val="en-US" w:eastAsia="zh-CN"/>
        </w:rPr>
        <w:t>方案（征求意见稿）</w:t>
      </w:r>
      <w:r>
        <w:rPr>
          <w:rFonts w:hint="eastAsia" w:ascii="Times New Roman" w:hAnsi="Times New Roman" w:cs="仿宋_GB2312"/>
          <w:sz w:val="36"/>
          <w:szCs w:val="36"/>
          <w:lang w:eastAsia="zh-CN"/>
        </w:rPr>
        <w:t>》</w:t>
      </w:r>
      <w:r>
        <w:rPr>
          <w:rFonts w:hint="eastAsia" w:ascii="Times New Roman" w:hAnsi="Times New Roman" w:cs="仿宋_GB2312"/>
          <w:sz w:val="36"/>
          <w:szCs w:val="36"/>
          <w:lang w:val="en-US" w:eastAsia="zh-CN"/>
        </w:rPr>
        <w:t>，并主动征求住建、交通运输、文旅、水利等13个</w:t>
      </w:r>
      <w:r>
        <w:rPr>
          <w:rFonts w:hint="eastAsia" w:ascii="Times New Roman" w:hAnsi="Times New Roman" w:eastAsia="仿宋_GB2312" w:cs="仿宋_GB2312"/>
          <w:sz w:val="36"/>
          <w:szCs w:val="36"/>
          <w:lang w:val="en-US" w:eastAsia="zh-CN"/>
        </w:rPr>
        <w:t>相关</w:t>
      </w:r>
      <w:r>
        <w:rPr>
          <w:rFonts w:hint="eastAsia" w:ascii="Times New Roman" w:hAnsi="Times New Roman" w:eastAsia="仿宋_GB2312" w:cs="仿宋_GB2312"/>
          <w:sz w:val="36"/>
          <w:szCs w:val="36"/>
        </w:rPr>
        <w:t>省直</w:t>
      </w:r>
      <w:r>
        <w:rPr>
          <w:rFonts w:hint="eastAsia" w:ascii="Times New Roman" w:hAnsi="Times New Roman" w:eastAsia="仿宋_GB2312" w:cs="仿宋_GB2312"/>
          <w:sz w:val="36"/>
          <w:szCs w:val="36"/>
          <w:lang w:val="en-US" w:eastAsia="zh-CN"/>
        </w:rPr>
        <w:t>单位</w:t>
      </w:r>
      <w:r>
        <w:rPr>
          <w:rFonts w:hint="eastAsia" w:ascii="Times New Roman" w:hAnsi="Times New Roman" w:eastAsia="仿宋_GB2312" w:cs="仿宋_GB2312"/>
          <w:sz w:val="36"/>
          <w:szCs w:val="36"/>
        </w:rPr>
        <w:t>及</w:t>
      </w:r>
      <w:r>
        <w:rPr>
          <w:rFonts w:hint="eastAsia" w:ascii="Times New Roman" w:hAnsi="Times New Roman" w:cs="仿宋_GB2312"/>
          <w:sz w:val="36"/>
          <w:szCs w:val="36"/>
          <w:lang w:val="en-US" w:eastAsia="zh-CN"/>
        </w:rPr>
        <w:t>17个</w:t>
      </w:r>
      <w:r>
        <w:rPr>
          <w:rFonts w:hint="eastAsia" w:ascii="Times New Roman" w:hAnsi="Times New Roman" w:eastAsia="仿宋_GB2312" w:cs="仿宋_GB2312"/>
          <w:sz w:val="36"/>
          <w:szCs w:val="36"/>
        </w:rPr>
        <w:t>市</w:t>
      </w:r>
      <w:r>
        <w:rPr>
          <w:rFonts w:hint="eastAsia" w:ascii="Times New Roman" w:hAnsi="Times New Roman" w:cs="仿宋_GB2312"/>
          <w:sz w:val="36"/>
          <w:szCs w:val="36"/>
          <w:lang w:eastAsia="zh-CN"/>
        </w:rPr>
        <w:t>、</w:t>
      </w:r>
      <w:r>
        <w:rPr>
          <w:rFonts w:hint="eastAsia" w:ascii="Times New Roman" w:hAnsi="Times New Roman" w:eastAsia="仿宋_GB2312" w:cs="仿宋_GB2312"/>
          <w:sz w:val="36"/>
          <w:szCs w:val="36"/>
        </w:rPr>
        <w:t>州</w:t>
      </w:r>
      <w:r>
        <w:rPr>
          <w:rFonts w:hint="eastAsia" w:ascii="Times New Roman" w:hAnsi="Times New Roman" w:cs="仿宋_GB2312"/>
          <w:sz w:val="36"/>
          <w:szCs w:val="36"/>
          <w:lang w:eastAsia="zh-CN"/>
        </w:rPr>
        <w:t>、</w:t>
      </w:r>
      <w:r>
        <w:rPr>
          <w:rFonts w:hint="eastAsia" w:ascii="Times New Roman" w:hAnsi="Times New Roman" w:cs="仿宋_GB2312"/>
          <w:sz w:val="36"/>
          <w:szCs w:val="36"/>
          <w:lang w:val="en-US" w:eastAsia="zh-CN"/>
        </w:rPr>
        <w:t>林区、直管市</w:t>
      </w:r>
      <w:r>
        <w:rPr>
          <w:rFonts w:hint="eastAsia" w:ascii="Times New Roman" w:hAnsi="Times New Roman" w:eastAsia="仿宋_GB2312" w:cs="仿宋_GB2312"/>
          <w:sz w:val="36"/>
          <w:szCs w:val="36"/>
          <w:lang w:val="en-US" w:eastAsia="zh-CN"/>
        </w:rPr>
        <w:t>自然资源主管</w:t>
      </w:r>
      <w:r>
        <w:rPr>
          <w:rFonts w:hint="eastAsia" w:ascii="Times New Roman" w:hAnsi="Times New Roman" w:eastAsia="仿宋_GB2312" w:cs="仿宋_GB2312"/>
          <w:sz w:val="36"/>
          <w:szCs w:val="36"/>
        </w:rPr>
        <w:t>部门意见征求</w:t>
      </w:r>
      <w:r>
        <w:rPr>
          <w:rFonts w:hint="eastAsia" w:ascii="Times New Roman" w:hAnsi="Times New Roman" w:cs="仿宋_GB2312"/>
          <w:sz w:val="36"/>
          <w:szCs w:val="36"/>
          <w:lang w:eastAsia="zh-CN"/>
        </w:rPr>
        <w:t>。</w:t>
      </w:r>
    </w:p>
    <w:p>
      <w:pPr>
        <w:pStyle w:val="2"/>
        <w:keepNext/>
        <w:keepLines/>
        <w:pageBreakBefore w:val="0"/>
        <w:widowControl w:val="0"/>
        <w:kinsoku/>
        <w:wordWrap/>
        <w:overflowPunct/>
        <w:topLinePunct w:val="0"/>
        <w:autoSpaceDE/>
        <w:autoSpaceDN/>
        <w:bidi w:val="0"/>
        <w:adjustRightInd/>
        <w:snapToGrid/>
        <w:spacing w:before="0" w:after="0" w:line="240" w:lineRule="auto"/>
        <w:ind w:firstLine="722" w:firstLineChars="200"/>
        <w:textAlignment w:val="auto"/>
        <w:rPr>
          <w:rFonts w:hint="eastAsia" w:ascii="Times New Roman" w:hAnsi="Times New Roman" w:eastAsia="黑体" w:cs="Times New Roman"/>
          <w:bCs w:val="0"/>
          <w:sz w:val="36"/>
          <w:szCs w:val="36"/>
          <w:lang w:val="en-US" w:eastAsia="zh-CN"/>
        </w:rPr>
      </w:pPr>
      <w:r>
        <w:rPr>
          <w:rFonts w:hint="eastAsia" w:ascii="Times New Roman" w:hAnsi="Times New Roman" w:eastAsia="黑体" w:cs="Times New Roman"/>
          <w:bCs w:val="0"/>
          <w:sz w:val="36"/>
          <w:szCs w:val="36"/>
          <w:lang w:val="en-US" w:eastAsia="zh-CN"/>
        </w:rPr>
        <w:t>三、总体考虑</w:t>
      </w:r>
    </w:p>
    <w:p>
      <w:pPr>
        <w:pageBreakBefore w:val="0"/>
        <w:widowControl w:val="0"/>
        <w:kinsoku/>
        <w:wordWrap/>
        <w:overflowPunct/>
        <w:topLinePunct w:val="0"/>
        <w:autoSpaceDE/>
        <w:autoSpaceDN/>
        <w:bidi w:val="0"/>
        <w:adjustRightInd/>
        <w:snapToGrid/>
        <w:spacing w:line="360" w:lineRule="auto"/>
        <w:ind w:firstLine="720" w:firstLineChars="200"/>
        <w:textAlignment w:val="auto"/>
        <w:rPr>
          <w:rFonts w:hint="default" w:ascii="Times New Roman" w:hAnsi="Times New Roman" w:eastAsia="仿宋_GB2312"/>
          <w:sz w:val="36"/>
          <w:szCs w:val="36"/>
          <w:lang w:val="en-US" w:eastAsia="zh-CN"/>
        </w:rPr>
      </w:pPr>
      <w:r>
        <w:rPr>
          <w:rFonts w:hint="default" w:ascii="Times New Roman" w:hAnsi="Times New Roman" w:eastAsia="仿宋_GB2312"/>
          <w:sz w:val="36"/>
          <w:szCs w:val="36"/>
          <w:lang w:val="en-US" w:eastAsia="zh-CN"/>
        </w:rPr>
        <w:t>本</w:t>
      </w:r>
      <w:r>
        <w:rPr>
          <w:rFonts w:hint="default"/>
          <w:sz w:val="36"/>
          <w:szCs w:val="36"/>
          <w:lang w:val="en-US" w:eastAsia="zh-CN"/>
        </w:rPr>
        <w:t>《</w:t>
      </w:r>
      <w:r>
        <w:rPr>
          <w:rFonts w:hint="eastAsia"/>
          <w:sz w:val="36"/>
          <w:szCs w:val="36"/>
          <w:lang w:val="en-US" w:eastAsia="zh-CN"/>
        </w:rPr>
        <w:t>方案</w:t>
      </w:r>
      <w:r>
        <w:rPr>
          <w:rFonts w:hint="default"/>
          <w:sz w:val="36"/>
          <w:szCs w:val="36"/>
          <w:lang w:val="en-US" w:eastAsia="zh-CN"/>
        </w:rPr>
        <w:t>》</w:t>
      </w:r>
      <w:r>
        <w:rPr>
          <w:rFonts w:hint="default" w:eastAsia="仿宋_GB2312"/>
          <w:sz w:val="36"/>
          <w:szCs w:val="36"/>
        </w:rPr>
        <w:t>以习近平新时代中国特色社会主义思想为指导，</w:t>
      </w:r>
      <w:r>
        <w:rPr>
          <w:rFonts w:hint="eastAsia" w:ascii="Times New Roman" w:hAnsi="Times New Roman"/>
          <w:sz w:val="36"/>
          <w:szCs w:val="36"/>
        </w:rPr>
        <w:t>深入贯彻党的二十大和二十届历次全会精神，全面落实习近平总书记关于防灾减灾救灾工作系列重要论述和考察湖北重要讲话精神</w:t>
      </w:r>
      <w:r>
        <w:rPr>
          <w:rFonts w:hint="default"/>
          <w:sz w:val="36"/>
          <w:szCs w:val="36"/>
          <w:lang w:val="en-US" w:eastAsia="zh-CN"/>
        </w:rPr>
        <w:t>，</w:t>
      </w:r>
      <w:r>
        <w:rPr>
          <w:rFonts w:hint="default" w:eastAsia="仿宋_GB2312"/>
          <w:sz w:val="36"/>
          <w:szCs w:val="36"/>
        </w:rPr>
        <w:t>践行</w:t>
      </w:r>
      <w:r>
        <w:rPr>
          <w:rFonts w:hint="eastAsia"/>
          <w:sz w:val="36"/>
          <w:szCs w:val="36"/>
          <w:lang w:eastAsia="zh-CN"/>
        </w:rPr>
        <w:t>“</w:t>
      </w:r>
      <w:r>
        <w:rPr>
          <w:rFonts w:hint="default" w:eastAsia="仿宋_GB2312"/>
          <w:sz w:val="36"/>
          <w:szCs w:val="36"/>
        </w:rPr>
        <w:t>两个坚持、三个转变</w:t>
      </w:r>
      <w:r>
        <w:rPr>
          <w:rFonts w:hint="eastAsia"/>
          <w:sz w:val="36"/>
          <w:szCs w:val="36"/>
          <w:lang w:eastAsia="zh-CN"/>
        </w:rPr>
        <w:t>”</w:t>
      </w:r>
      <w:r>
        <w:rPr>
          <w:rFonts w:hint="default" w:eastAsia="仿宋_GB2312"/>
          <w:sz w:val="36"/>
          <w:szCs w:val="36"/>
        </w:rPr>
        <w:t>理念，坚持人民至上、生命至上，</w:t>
      </w:r>
      <w:r>
        <w:rPr>
          <w:rFonts w:hint="default"/>
          <w:sz w:val="36"/>
          <w:szCs w:val="36"/>
          <w:lang w:val="en-US" w:eastAsia="zh-CN"/>
        </w:rPr>
        <w:t>把造福人民作为根本价值取向。</w:t>
      </w:r>
      <w:r>
        <w:rPr>
          <w:rFonts w:hint="default" w:eastAsia="仿宋_GB2312"/>
          <w:sz w:val="36"/>
          <w:szCs w:val="36"/>
        </w:rPr>
        <w:t>围绕省委省政府关于防灾减灾救灾工作要求</w:t>
      </w:r>
      <w:r>
        <w:rPr>
          <w:rFonts w:hint="default"/>
          <w:sz w:val="36"/>
          <w:szCs w:val="36"/>
          <w:lang w:val="en-US" w:eastAsia="zh-CN"/>
        </w:rPr>
        <w:t>和自然资源部关于地质灾害防治</w:t>
      </w:r>
      <w:r>
        <w:rPr>
          <w:rFonts w:hint="eastAsia"/>
          <w:sz w:val="36"/>
          <w:szCs w:val="36"/>
          <w:lang w:val="en-US" w:eastAsia="zh-CN"/>
        </w:rPr>
        <w:t>“</w:t>
      </w:r>
      <w:r>
        <w:rPr>
          <w:rFonts w:hint="default"/>
          <w:sz w:val="36"/>
          <w:szCs w:val="36"/>
          <w:lang w:val="en-US" w:eastAsia="zh-CN"/>
        </w:rPr>
        <w:t>一项行动、两项工程</w:t>
      </w:r>
      <w:r>
        <w:rPr>
          <w:rFonts w:hint="eastAsia"/>
          <w:sz w:val="36"/>
          <w:szCs w:val="36"/>
          <w:lang w:val="en-US" w:eastAsia="zh-CN"/>
        </w:rPr>
        <w:t>”</w:t>
      </w:r>
      <w:r>
        <w:rPr>
          <w:rFonts w:hint="default"/>
          <w:sz w:val="36"/>
          <w:szCs w:val="36"/>
          <w:lang w:val="en-US" w:eastAsia="zh-CN"/>
        </w:rPr>
        <w:t>的总体部署</w:t>
      </w:r>
      <w:r>
        <w:rPr>
          <w:rFonts w:hint="default" w:eastAsia="仿宋_GB2312"/>
          <w:sz w:val="36"/>
          <w:szCs w:val="36"/>
        </w:rPr>
        <w:t>，</w:t>
      </w:r>
      <w:r>
        <w:rPr>
          <w:rFonts w:hint="default" w:eastAsia="仿宋_GB2312"/>
          <w:sz w:val="36"/>
          <w:szCs w:val="36"/>
          <w:lang w:val="en-US" w:eastAsia="zh-CN"/>
        </w:rPr>
        <w:t>结合我省汉襄宜</w:t>
      </w:r>
      <w:r>
        <w:rPr>
          <w:rFonts w:hint="eastAsia"/>
          <w:sz w:val="36"/>
          <w:szCs w:val="36"/>
          <w:lang w:val="en-US" w:eastAsia="zh-CN"/>
        </w:rPr>
        <w:t>“</w:t>
      </w:r>
      <w:r>
        <w:rPr>
          <w:rFonts w:hint="default" w:eastAsia="仿宋_GB2312"/>
          <w:sz w:val="36"/>
          <w:szCs w:val="36"/>
          <w:lang w:val="en-US" w:eastAsia="zh-CN"/>
        </w:rPr>
        <w:t>金三角</w:t>
      </w:r>
      <w:r>
        <w:rPr>
          <w:rFonts w:hint="eastAsia"/>
          <w:sz w:val="36"/>
          <w:szCs w:val="36"/>
          <w:lang w:val="en-US" w:eastAsia="zh-CN"/>
        </w:rPr>
        <w:t>”</w:t>
      </w:r>
      <w:r>
        <w:rPr>
          <w:rFonts w:hint="default" w:eastAsia="仿宋_GB2312"/>
          <w:sz w:val="36"/>
          <w:szCs w:val="36"/>
          <w:lang w:val="en-US" w:eastAsia="zh-CN"/>
        </w:rPr>
        <w:t>协同高质量发展布局，健全完善科学高效的地质灾害防治体系，全面提</w:t>
      </w:r>
      <w:r>
        <w:rPr>
          <w:rFonts w:hint="eastAsia"/>
          <w:sz w:val="36"/>
          <w:szCs w:val="36"/>
          <w:lang w:val="en-US" w:eastAsia="zh-CN"/>
        </w:rPr>
        <w:t>升</w:t>
      </w:r>
      <w:r>
        <w:rPr>
          <w:rFonts w:hint="default" w:eastAsia="仿宋_GB2312"/>
          <w:sz w:val="36"/>
          <w:szCs w:val="36"/>
          <w:lang w:val="en-US" w:eastAsia="zh-CN"/>
        </w:rPr>
        <w:t>基层抵御地质灾害的综合能力，</w:t>
      </w:r>
      <w:r>
        <w:rPr>
          <w:rFonts w:hint="eastAsia" w:ascii="Times New Roman" w:hAnsi="Times New Roman"/>
          <w:sz w:val="36"/>
          <w:szCs w:val="36"/>
        </w:rPr>
        <w:t>最大限度</w:t>
      </w:r>
      <w:r>
        <w:rPr>
          <w:rFonts w:hint="eastAsia"/>
          <w:sz w:val="36"/>
          <w:szCs w:val="36"/>
          <w:lang w:val="en-US" w:eastAsia="zh-CN"/>
        </w:rPr>
        <w:t>避免和</w:t>
      </w:r>
      <w:r>
        <w:rPr>
          <w:rFonts w:hint="eastAsia" w:ascii="Times New Roman" w:hAnsi="Times New Roman"/>
          <w:sz w:val="36"/>
          <w:szCs w:val="36"/>
        </w:rPr>
        <w:t>减少人员伤亡</w:t>
      </w:r>
      <w:r>
        <w:rPr>
          <w:rFonts w:hint="eastAsia"/>
          <w:sz w:val="36"/>
          <w:szCs w:val="36"/>
          <w:lang w:val="en-US" w:eastAsia="zh-CN"/>
        </w:rPr>
        <w:t>及</w:t>
      </w:r>
      <w:r>
        <w:rPr>
          <w:rFonts w:hint="eastAsia" w:ascii="Times New Roman" w:hAnsi="Times New Roman"/>
          <w:sz w:val="36"/>
          <w:szCs w:val="36"/>
        </w:rPr>
        <w:t>财产损失</w:t>
      </w:r>
      <w:r>
        <w:rPr>
          <w:rFonts w:hint="default" w:eastAsia="仿宋_GB2312"/>
          <w:sz w:val="36"/>
          <w:szCs w:val="36"/>
          <w:lang w:val="en-US" w:eastAsia="zh-CN"/>
        </w:rPr>
        <w:t>，</w:t>
      </w:r>
      <w:r>
        <w:rPr>
          <w:rFonts w:hint="default"/>
          <w:sz w:val="36"/>
          <w:szCs w:val="36"/>
          <w:lang w:val="en-US" w:eastAsia="zh-CN"/>
        </w:rPr>
        <w:t>有效支撑</w:t>
      </w:r>
      <w:r>
        <w:rPr>
          <w:rFonts w:hint="eastAsia"/>
          <w:sz w:val="36"/>
          <w:szCs w:val="36"/>
          <w:lang w:val="en-US" w:eastAsia="zh-CN"/>
        </w:rPr>
        <w:t>“</w:t>
      </w:r>
      <w:r>
        <w:rPr>
          <w:rFonts w:hint="default"/>
          <w:sz w:val="36"/>
          <w:szCs w:val="36"/>
          <w:lang w:val="en-US" w:eastAsia="zh-CN"/>
        </w:rPr>
        <w:t>七大战略</w:t>
      </w:r>
      <w:r>
        <w:rPr>
          <w:rFonts w:hint="eastAsia"/>
          <w:sz w:val="36"/>
          <w:szCs w:val="36"/>
          <w:lang w:val="en-US" w:eastAsia="zh-CN"/>
        </w:rPr>
        <w:t>”</w:t>
      </w:r>
      <w:r>
        <w:rPr>
          <w:rFonts w:hint="default"/>
          <w:sz w:val="36"/>
          <w:szCs w:val="36"/>
          <w:lang w:val="en-US" w:eastAsia="zh-CN"/>
        </w:rPr>
        <w:t>实施，</w:t>
      </w:r>
      <w:r>
        <w:rPr>
          <w:rFonts w:ascii="Times New Roman" w:hAnsi="Times New Roman" w:eastAsia="仿宋_GB2312"/>
          <w:sz w:val="36"/>
          <w:szCs w:val="36"/>
        </w:rPr>
        <w:t>为在长江经济带高质量发展中奋勇争先、加快建成中部地区崛起的重要战略支点、奋力谱写中国式现代化湖北篇章提供坚实</w:t>
      </w:r>
      <w:r>
        <w:rPr>
          <w:rFonts w:hint="default" w:ascii="Times New Roman" w:hAnsi="Times New Roman" w:eastAsia="仿宋_GB2312"/>
          <w:sz w:val="36"/>
          <w:szCs w:val="36"/>
          <w:lang w:val="en-US" w:eastAsia="zh-CN"/>
        </w:rPr>
        <w:t>地质安全保障。</w:t>
      </w:r>
    </w:p>
    <w:p>
      <w:pPr>
        <w:pStyle w:val="2"/>
        <w:keepNext/>
        <w:keepLines/>
        <w:pageBreakBefore w:val="0"/>
        <w:widowControl w:val="0"/>
        <w:kinsoku/>
        <w:wordWrap/>
        <w:overflowPunct/>
        <w:topLinePunct w:val="0"/>
        <w:autoSpaceDE/>
        <w:autoSpaceDN/>
        <w:bidi w:val="0"/>
        <w:adjustRightInd/>
        <w:snapToGrid/>
        <w:spacing w:before="0" w:after="0" w:line="240" w:lineRule="auto"/>
        <w:ind w:firstLine="722" w:firstLineChars="200"/>
        <w:textAlignment w:val="auto"/>
        <w:rPr>
          <w:rFonts w:hint="eastAsia" w:ascii="Times New Roman" w:hAnsi="Times New Roman" w:eastAsia="黑体" w:cs="Times New Roman"/>
          <w:bCs w:val="0"/>
          <w:sz w:val="36"/>
          <w:szCs w:val="36"/>
          <w:lang w:val="en-US" w:eastAsia="zh-CN"/>
        </w:rPr>
      </w:pPr>
      <w:r>
        <w:rPr>
          <w:rFonts w:hint="eastAsia" w:ascii="Times New Roman" w:hAnsi="Times New Roman" w:eastAsia="黑体" w:cs="Times New Roman"/>
          <w:bCs w:val="0"/>
          <w:sz w:val="36"/>
          <w:szCs w:val="36"/>
          <w:lang w:val="en-US" w:eastAsia="zh-CN"/>
        </w:rPr>
        <w:t>四、基本框架</w:t>
      </w:r>
    </w:p>
    <w:p>
      <w:pPr>
        <w:pageBreakBefore w:val="0"/>
        <w:widowControl w:val="0"/>
        <w:kinsoku/>
        <w:wordWrap/>
        <w:overflowPunct/>
        <w:topLinePunct w:val="0"/>
        <w:autoSpaceDE/>
        <w:autoSpaceDN/>
        <w:bidi w:val="0"/>
        <w:adjustRightInd/>
        <w:snapToGrid/>
        <w:spacing w:line="360" w:lineRule="auto"/>
        <w:ind w:firstLine="720" w:firstLineChars="200"/>
        <w:textAlignment w:val="auto"/>
        <w:rPr>
          <w:rFonts w:hint="eastAsia" w:ascii="Times New Roman" w:hAnsi="Times New Roman" w:cs="Times New Roman"/>
          <w:sz w:val="36"/>
          <w:szCs w:val="36"/>
          <w:lang w:val="zh-CN"/>
        </w:rPr>
      </w:pPr>
      <w:r>
        <w:rPr>
          <w:rFonts w:hint="eastAsia" w:ascii="Times New Roman" w:hAnsi="Times New Roman" w:cs="Times New Roman"/>
          <w:sz w:val="36"/>
          <w:szCs w:val="36"/>
          <w:lang w:val="en-US" w:eastAsia="zh-CN"/>
        </w:rPr>
        <w:t>方案总体</w:t>
      </w:r>
      <w:r>
        <w:rPr>
          <w:rFonts w:hint="eastAsia" w:ascii="Times New Roman" w:hAnsi="Times New Roman" w:cs="Times New Roman"/>
          <w:sz w:val="36"/>
          <w:szCs w:val="36"/>
        </w:rPr>
        <w:t>共</w:t>
      </w:r>
      <w:r>
        <w:rPr>
          <w:rFonts w:hint="eastAsia" w:ascii="Times New Roman" w:hAnsi="Times New Roman" w:cs="Times New Roman"/>
          <w:sz w:val="36"/>
          <w:szCs w:val="36"/>
          <w:lang w:eastAsia="zh-CN"/>
        </w:rPr>
        <w:t>分为</w:t>
      </w:r>
      <w:r>
        <w:rPr>
          <w:rFonts w:hint="eastAsia" w:ascii="Times New Roman" w:hAnsi="Times New Roman" w:cs="Times New Roman"/>
          <w:sz w:val="36"/>
          <w:szCs w:val="36"/>
        </w:rPr>
        <w:t>五个</w:t>
      </w:r>
      <w:r>
        <w:rPr>
          <w:rFonts w:hint="eastAsia" w:ascii="Times New Roman" w:hAnsi="Times New Roman" w:cs="Times New Roman"/>
          <w:sz w:val="36"/>
          <w:szCs w:val="36"/>
          <w:lang w:val="en-US" w:eastAsia="zh-CN"/>
        </w:rPr>
        <w:t>部分</w:t>
      </w:r>
      <w:r>
        <w:rPr>
          <w:rFonts w:hint="eastAsia" w:ascii="Times New Roman" w:hAnsi="Times New Roman" w:cs="Times New Roman"/>
          <w:sz w:val="36"/>
          <w:szCs w:val="36"/>
        </w:rPr>
        <w:t>。一是现状与形势</w:t>
      </w:r>
      <w:r>
        <w:rPr>
          <w:rFonts w:hint="eastAsia" w:ascii="Times New Roman" w:hAnsi="Times New Roman" w:cs="Times New Roman"/>
          <w:sz w:val="36"/>
          <w:szCs w:val="36"/>
          <w:lang w:eastAsia="zh-CN"/>
        </w:rPr>
        <w:t>。</w:t>
      </w:r>
      <w:r>
        <w:rPr>
          <w:rFonts w:hint="eastAsia" w:ascii="Times New Roman" w:hAnsi="Times New Roman" w:cs="Times New Roman"/>
          <w:sz w:val="36"/>
          <w:szCs w:val="36"/>
        </w:rPr>
        <w:t>总结、评估“十四五”末期全省地质灾害防治工作取得的成绩和存在的短板，评估“十五五”时期全省地质灾害面临的</w:t>
      </w:r>
      <w:r>
        <w:rPr>
          <w:rFonts w:hint="eastAsia" w:ascii="Times New Roman" w:hAnsi="Times New Roman" w:cs="Times New Roman"/>
          <w:sz w:val="36"/>
          <w:szCs w:val="36"/>
          <w:lang w:val="en-US" w:eastAsia="zh-CN"/>
        </w:rPr>
        <w:t>形势和挑战</w:t>
      </w:r>
      <w:r>
        <w:rPr>
          <w:rFonts w:hint="eastAsia" w:ascii="Times New Roman" w:hAnsi="Times New Roman" w:cs="Times New Roman"/>
          <w:sz w:val="36"/>
          <w:szCs w:val="36"/>
        </w:rPr>
        <w:t>。二是总体要求</w:t>
      </w:r>
      <w:r>
        <w:rPr>
          <w:rFonts w:hint="eastAsia" w:ascii="Times New Roman" w:hAnsi="Times New Roman" w:cs="Times New Roman"/>
          <w:sz w:val="36"/>
          <w:szCs w:val="36"/>
          <w:lang w:eastAsia="zh-CN"/>
        </w:rPr>
        <w:t>。</w:t>
      </w:r>
      <w:r>
        <w:rPr>
          <w:rFonts w:hint="eastAsia" w:ascii="Times New Roman" w:hAnsi="Times New Roman" w:cs="Times New Roman"/>
          <w:sz w:val="36"/>
          <w:szCs w:val="36"/>
        </w:rPr>
        <w:t>贯彻习近平总书记关于防灾减灾救灾的重要论述，落实省委省政府关于经济社会发展和防灾减灾救灾的工作要求，健全完善科学高效的地质灾害防治体系。三是重点防治区</w:t>
      </w:r>
      <w:r>
        <w:rPr>
          <w:rFonts w:hint="eastAsia" w:ascii="Times New Roman" w:hAnsi="Times New Roman" w:cs="Times New Roman"/>
          <w:sz w:val="36"/>
          <w:szCs w:val="36"/>
          <w:lang w:eastAsia="zh-CN"/>
        </w:rPr>
        <w:t>。</w:t>
      </w:r>
      <w:r>
        <w:rPr>
          <w:rFonts w:hint="eastAsia" w:ascii="Times New Roman" w:hAnsi="Times New Roman" w:cs="Times New Roman"/>
          <w:sz w:val="36"/>
          <w:szCs w:val="36"/>
        </w:rPr>
        <w:t>按照“定性分析为主，定量分析为辅”的原则，以崩塌、滑坡、泥石流、地面塌陷四类主要地质灾害为分区评价灾种</w:t>
      </w:r>
      <w:r>
        <w:rPr>
          <w:rFonts w:hint="eastAsia" w:ascii="Times New Roman" w:hAnsi="Times New Roman" w:cs="Times New Roman"/>
          <w:sz w:val="36"/>
          <w:szCs w:val="36"/>
          <w:lang w:eastAsia="zh-CN"/>
        </w:rPr>
        <w:t>，</w:t>
      </w:r>
      <w:r>
        <w:rPr>
          <w:rFonts w:hint="eastAsia" w:ascii="Times New Roman" w:hAnsi="Times New Roman" w:cs="Times New Roman"/>
          <w:sz w:val="36"/>
          <w:szCs w:val="36"/>
        </w:rPr>
        <w:t>划定</w:t>
      </w:r>
      <w:r>
        <w:rPr>
          <w:rFonts w:hint="eastAsia" w:ascii="Times New Roman" w:hAnsi="Times New Roman" w:cs="Times New Roman"/>
          <w:sz w:val="36"/>
          <w:szCs w:val="36"/>
          <w:lang w:val="en-US" w:eastAsia="zh-CN"/>
        </w:rPr>
        <w:t>8大</w:t>
      </w:r>
      <w:r>
        <w:rPr>
          <w:rFonts w:hint="eastAsia" w:ascii="Times New Roman" w:hAnsi="Times New Roman" w:cs="Times New Roman"/>
          <w:sz w:val="36"/>
          <w:szCs w:val="36"/>
        </w:rPr>
        <w:t>重点防治区。四是防治任务</w:t>
      </w:r>
      <w:r>
        <w:rPr>
          <w:rFonts w:hint="eastAsia" w:ascii="Times New Roman" w:hAnsi="Times New Roman" w:cs="Times New Roman"/>
          <w:sz w:val="36"/>
          <w:szCs w:val="36"/>
          <w:lang w:eastAsia="zh-CN"/>
        </w:rPr>
        <w:t>。</w:t>
      </w:r>
      <w:r>
        <w:rPr>
          <w:rFonts w:hint="eastAsia" w:ascii="Times New Roman" w:hAnsi="Times New Roman" w:cs="Times New Roman"/>
          <w:sz w:val="36"/>
          <w:szCs w:val="36"/>
          <w:lang w:val="en-US" w:eastAsia="zh-CN"/>
        </w:rPr>
        <w:t>完成</w:t>
      </w:r>
      <w:r>
        <w:rPr>
          <w:rFonts w:hint="eastAsia" w:ascii="Times New Roman" w:hAnsi="Times New Roman" w:cs="Times New Roman"/>
          <w:sz w:val="36"/>
          <w:szCs w:val="36"/>
        </w:rPr>
        <w:t>6大任务，明确15项具体工作。五是保障措施</w:t>
      </w:r>
      <w:r>
        <w:rPr>
          <w:rFonts w:hint="eastAsia" w:ascii="Times New Roman" w:hAnsi="Times New Roman" w:cs="Times New Roman"/>
          <w:sz w:val="36"/>
          <w:szCs w:val="36"/>
          <w:lang w:eastAsia="zh-CN"/>
        </w:rPr>
        <w:t>。</w:t>
      </w:r>
      <w:r>
        <w:rPr>
          <w:rFonts w:hint="eastAsia" w:ascii="Times New Roman" w:hAnsi="Times New Roman" w:cs="Times New Roman"/>
          <w:sz w:val="36"/>
          <w:szCs w:val="36"/>
        </w:rPr>
        <w:t>主要在组织、资金、人才、机制上加强保障，确保</w:t>
      </w:r>
      <w:r>
        <w:rPr>
          <w:rFonts w:hint="eastAsia" w:ascii="Times New Roman" w:hAnsi="Times New Roman" w:cs="Times New Roman"/>
          <w:sz w:val="36"/>
          <w:szCs w:val="36"/>
          <w:lang w:val="en-US" w:eastAsia="zh-CN"/>
        </w:rPr>
        <w:t>各项工作任务顺利开展</w:t>
      </w:r>
      <w:r>
        <w:rPr>
          <w:rFonts w:hint="eastAsia" w:ascii="Times New Roman" w:hAnsi="Times New Roman" w:cs="Times New Roman"/>
          <w:sz w:val="36"/>
          <w:szCs w:val="36"/>
        </w:rPr>
        <w:t>。</w:t>
      </w:r>
    </w:p>
    <w:p>
      <w:pPr>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sz w:val="32"/>
          <w:szCs w:val="32"/>
          <w:lang w:val="en-US" w:eastAsia="zh-CN"/>
        </w:rPr>
      </w:pPr>
    </w:p>
    <w:p>
      <w:pPr>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sz w:val="32"/>
          <w:szCs w:val="32"/>
          <w:lang w:val="en-US" w:eastAsia="zh-CN"/>
        </w:rPr>
      </w:pPr>
    </w:p>
    <w:p>
      <w:pPr>
        <w:pageBreakBefore w:val="0"/>
        <w:widowControl w:val="0"/>
        <w:kinsoku/>
        <w:wordWrap/>
        <w:overflowPunct/>
        <w:topLinePunct w:val="0"/>
        <w:autoSpaceDE/>
        <w:autoSpaceDN/>
        <w:bidi w:val="0"/>
        <w:adjustRightInd/>
        <w:snapToGrid/>
        <w:textAlignment w:val="auto"/>
      </w:pPr>
    </w:p>
    <w:sectPr>
      <w:pgSz w:w="11906" w:h="16838"/>
      <w:pgMar w:top="2098" w:right="1304"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9A6C74"/>
    <w:rsid w:val="04B862AB"/>
    <w:rsid w:val="086C1BEB"/>
    <w:rsid w:val="088F37C7"/>
    <w:rsid w:val="099A6C74"/>
    <w:rsid w:val="0B4B1C27"/>
    <w:rsid w:val="0D136775"/>
    <w:rsid w:val="0D980BDE"/>
    <w:rsid w:val="0E0D7668"/>
    <w:rsid w:val="0FCD43EE"/>
    <w:rsid w:val="10120F66"/>
    <w:rsid w:val="11052878"/>
    <w:rsid w:val="118916FB"/>
    <w:rsid w:val="13692FE5"/>
    <w:rsid w:val="18BA4890"/>
    <w:rsid w:val="19B7492C"/>
    <w:rsid w:val="1B9E5DA3"/>
    <w:rsid w:val="1C7B5687"/>
    <w:rsid w:val="1EF1268E"/>
    <w:rsid w:val="1F022AED"/>
    <w:rsid w:val="211F4451"/>
    <w:rsid w:val="2AA56F7B"/>
    <w:rsid w:val="2C3C763E"/>
    <w:rsid w:val="2ED33B5E"/>
    <w:rsid w:val="2EF57F78"/>
    <w:rsid w:val="34761214"/>
    <w:rsid w:val="34D577E7"/>
    <w:rsid w:val="34E27153"/>
    <w:rsid w:val="384C6246"/>
    <w:rsid w:val="3A7C32FC"/>
    <w:rsid w:val="3CF8135F"/>
    <w:rsid w:val="3E5A3954"/>
    <w:rsid w:val="411C1395"/>
    <w:rsid w:val="46821C9A"/>
    <w:rsid w:val="4ACD7CCE"/>
    <w:rsid w:val="54C43A01"/>
    <w:rsid w:val="5A671778"/>
    <w:rsid w:val="63936E3D"/>
    <w:rsid w:val="6D2F407A"/>
    <w:rsid w:val="6D3A3FAE"/>
    <w:rsid w:val="6E602011"/>
    <w:rsid w:val="71707E34"/>
    <w:rsid w:val="7CDE44A4"/>
    <w:rsid w:val="7DFFECC9"/>
    <w:rsid w:val="7E015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21"/>
      <w:szCs w:val="24"/>
      <w:lang w:val="en-US" w:eastAsia="zh-CN" w:bidi="ar-SA"/>
    </w:rPr>
  </w:style>
  <w:style w:type="paragraph" w:styleId="2">
    <w:name w:val="heading 2"/>
    <w:basedOn w:val="1"/>
    <w:next w:val="1"/>
    <w:qFormat/>
    <w:uiPriority w:val="0"/>
    <w:pPr>
      <w:keepNext/>
      <w:spacing w:before="260" w:after="260" w:line="416" w:lineRule="auto"/>
      <w:outlineLvl w:val="1"/>
    </w:pPr>
    <w:rPr>
      <w:rFonts w:ascii="Arial" w:hAnsi="Arial"/>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1021</Words>
  <Characters>1041</Characters>
  <Lines>0</Lines>
  <Paragraphs>0</Paragraphs>
  <TotalTime>1</TotalTime>
  <ScaleCrop>false</ScaleCrop>
  <LinksUpToDate>false</LinksUpToDate>
  <CharactersWithSpaces>1041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2026-07-22T14:49:00Z</dcterms:created>
  <dc:creator>乐梓箫晓</dc:creator>
  <cp:lastModifiedBy>thtf</cp:lastModifiedBy>
  <dcterms:modified xsi:type="dcterms:W3CDTF">2026-07-22T16:07:53Z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32EC47BA195D4FE0B360EB286884C023_11</vt:lpwstr>
  </property>
  <property fmtid="{D5CDD505-2E9C-101B-9397-08002B2CF9AE}" pid="4" name="KSOTemplateDocerSaveRecord">
    <vt:lpwstr>eyJoZGlkIjoiYjJjOTQxYzhjODMyMDAzZmE0MDJkMWFkNmJlNDkwYTUiLCJ1c2VySWQiOiIxMDY5NzI5ODY1In0=</vt:lpwstr>
  </property>
</Properties>
</file>