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43" w:firstLineChars="200"/>
        <w:jc w:val="center"/>
        <w:rPr>
          <w:rFonts w:hint="eastAsia" w:ascii="仿宋_GB2312" w:hAnsi="Times New Roman" w:eastAsia="仿宋_GB2312"/>
          <w:sz w:val="32"/>
          <w:szCs w:val="32"/>
        </w:rPr>
      </w:pPr>
      <w:r>
        <w:rPr>
          <w:rFonts w:ascii="Times New Roman" w:hAnsi="Times New Roman" w:eastAsia="楷体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国有建设用地供应总量同比</w:t>
      </w:r>
      <w:r>
        <w:rPr>
          <w:rFonts w:hint="eastAsia" w:ascii="Times New Roman" w:hAnsi="Times New Roman" w:eastAsia="楷体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下降一成多</w:t>
      </w:r>
    </w:p>
    <w:p>
      <w:pPr>
        <w:ind w:firstLine="640" w:firstLineChars="200"/>
        <w:rPr>
          <w:rFonts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/>
          <w:sz w:val="32"/>
          <w:szCs w:val="32"/>
        </w:rPr>
        <w:t>2019年上半年，全省国有建设用地供应8442.63公顷（12.66万亩），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同比下降16.7%。</w:t>
      </w:r>
    </w:p>
    <w:p>
      <w:pPr>
        <w:ind w:firstLine="640" w:firstLineChars="200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从</w:t>
      </w:r>
      <w:r>
        <w:rPr>
          <w:rFonts w:hint="eastAsia" w:ascii="仿宋_GB2312" w:hAnsi="Times New Roman" w:eastAsia="仿宋_GB2312"/>
          <w:sz w:val="32"/>
          <w:szCs w:val="32"/>
        </w:rPr>
        <w:t>土地用途来看，商服用地、工矿仓储用地、住宅用地及其他用地供应面积分别为769.36公顷、3315公顷、1793.67公顷和2564.60公顷，同比分别增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长</w:t>
      </w:r>
      <w:r>
        <w:rPr>
          <w:rFonts w:hint="eastAsia" w:ascii="仿宋_GB2312" w:hAnsi="Times New Roman" w:eastAsia="仿宋_GB2312"/>
          <w:sz w:val="32"/>
          <w:szCs w:val="32"/>
        </w:rPr>
        <w:t>13.14%、增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长</w:t>
      </w:r>
      <w:r>
        <w:rPr>
          <w:rFonts w:hint="eastAsia" w:ascii="仿宋_GB2312" w:hAnsi="Times New Roman" w:eastAsia="仿宋_GB2312"/>
          <w:sz w:val="32"/>
          <w:szCs w:val="32"/>
        </w:rPr>
        <w:t>15.50%、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下降</w:t>
      </w:r>
      <w:r>
        <w:rPr>
          <w:rFonts w:hint="eastAsia" w:ascii="仿宋_GB2312" w:hAnsi="Times New Roman" w:eastAsia="仿宋_GB2312"/>
          <w:sz w:val="32"/>
          <w:szCs w:val="32"/>
        </w:rPr>
        <w:t>13.04%和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下降</w:t>
      </w:r>
      <w:r>
        <w:rPr>
          <w:rFonts w:hint="eastAsia" w:ascii="仿宋_GB2312" w:hAnsi="Times New Roman" w:eastAsia="仿宋_GB2312"/>
          <w:sz w:val="32"/>
          <w:szCs w:val="32"/>
        </w:rPr>
        <w:t>43.29%，四类用地分别占国有建设用地供应总量的9.11%、39.27%、21.25%和30.37%。</w:t>
      </w:r>
    </w:p>
    <w:p>
      <w:pPr>
        <w:ind w:firstLine="640" w:firstLineChars="200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基础设施用地供应2512.72公顷，同比减少44.42%。</w:t>
      </w:r>
      <w:r>
        <w:rPr>
          <w:rFonts w:hint="eastAsia" w:ascii="仿宋_GB2312" w:hAnsi="Times New Roman" w:eastAsia="仿宋_GB2312"/>
          <w:sz w:val="32"/>
          <w:szCs w:val="32"/>
        </w:rPr>
        <w:t>其中，公共管理与公共服务用地供应889.50公顷，交通运输用地供应1483.06公顷，水域及水利设施用地49.45公顷，特殊用地90.71公顷，较上年同比分别增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长</w:t>
      </w:r>
      <w:r>
        <w:rPr>
          <w:rFonts w:hint="eastAsia" w:ascii="仿宋_GB2312" w:hAnsi="Times New Roman" w:eastAsia="仿宋_GB2312"/>
          <w:sz w:val="32"/>
          <w:szCs w:val="32"/>
        </w:rPr>
        <w:t>1.67%、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下降</w:t>
      </w:r>
      <w:r>
        <w:rPr>
          <w:rFonts w:hint="eastAsia" w:ascii="仿宋_GB2312" w:hAnsi="Times New Roman" w:eastAsia="仿宋_GB2312"/>
          <w:sz w:val="32"/>
          <w:szCs w:val="32"/>
        </w:rPr>
        <w:t>54.9%、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下降</w:t>
      </w:r>
      <w:r>
        <w:rPr>
          <w:rFonts w:hint="eastAsia" w:ascii="仿宋_GB2312" w:hAnsi="Times New Roman" w:eastAsia="仿宋_GB2312"/>
          <w:sz w:val="32"/>
          <w:szCs w:val="32"/>
        </w:rPr>
        <w:t>84.88%和增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长</w:t>
      </w:r>
      <w:r>
        <w:rPr>
          <w:rFonts w:hint="eastAsia" w:ascii="仿宋_GB2312" w:hAnsi="Times New Roman" w:eastAsia="仿宋_GB2312"/>
          <w:sz w:val="32"/>
          <w:szCs w:val="32"/>
        </w:rPr>
        <w:t>193.09%。</w:t>
      </w:r>
    </w:p>
    <w:p>
      <w:pPr>
        <w:ind w:firstLine="640" w:firstLineChars="200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房地产用地供应2563.03公顷，同比下降6.55%，住宅用地供应</w:t>
      </w:r>
      <w:r>
        <w:rPr>
          <w:rFonts w:hint="eastAsia" w:ascii="仿宋_GB2312" w:hAnsi="Times New Roman" w:eastAsia="仿宋_GB2312"/>
          <w:sz w:val="32"/>
          <w:szCs w:val="32"/>
        </w:rPr>
        <w:t>达1793.67公顷，占房地产供地总量的69.98%，较上年同期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下降</w:t>
      </w:r>
      <w:r>
        <w:rPr>
          <w:rFonts w:hint="eastAsia" w:ascii="仿宋_GB2312" w:hAnsi="Times New Roman" w:eastAsia="仿宋_GB2312"/>
          <w:sz w:val="32"/>
          <w:szCs w:val="32"/>
        </w:rPr>
        <w:t>13.04%。其中，普通商品住房供地1521.11公顷，经济适用房供地197.05公顷，公共租赁住房用地供地74.47公顷，较上年同期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下降</w:t>
      </w:r>
      <w:r>
        <w:rPr>
          <w:rFonts w:hint="eastAsia" w:ascii="仿宋_GB2312" w:hAnsi="Times New Roman" w:eastAsia="仿宋_GB2312"/>
          <w:sz w:val="32"/>
          <w:szCs w:val="32"/>
        </w:rPr>
        <w:t>19.73%、增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长</w:t>
      </w:r>
      <w:r>
        <w:rPr>
          <w:rFonts w:hint="eastAsia" w:ascii="仿宋_GB2312" w:hAnsi="Times New Roman" w:eastAsia="仿宋_GB2312"/>
          <w:sz w:val="32"/>
          <w:szCs w:val="32"/>
        </w:rPr>
        <w:t>99.12%和增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长</w:t>
      </w:r>
      <w:r>
        <w:rPr>
          <w:rFonts w:hint="eastAsia" w:ascii="仿宋_GB2312" w:hAnsi="Times New Roman" w:eastAsia="仿宋_GB2312"/>
          <w:sz w:val="32"/>
          <w:szCs w:val="32"/>
        </w:rPr>
        <w:t>580.09%。</w:t>
      </w:r>
    </w:p>
    <w:p>
      <w:pPr>
        <w:ind w:firstLine="157" w:firstLineChars="49"/>
        <w:jc w:val="center"/>
        <w:rPr>
          <w:rFonts w:ascii="Times New Roman" w:hAnsi="Times New Roman" w:eastAsia="仿宋_GB2312"/>
          <w:b/>
          <w:color w:val="000000"/>
          <w:sz w:val="32"/>
          <w:szCs w:val="32"/>
        </w:rPr>
      </w:pPr>
      <w:r>
        <w:rPr>
          <w:rFonts w:ascii="Times New Roman" w:hAnsi="Times New Roman" w:eastAsia="仿宋_GB2312"/>
          <w:b/>
          <w:color w:val="000000"/>
          <w:sz w:val="32"/>
          <w:szCs w:val="32"/>
        </w:rPr>
        <w:drawing>
          <wp:inline distT="0" distB="0" distL="0" distR="0">
            <wp:extent cx="5181600" cy="3028315"/>
            <wp:effectExtent l="0" t="0" r="0" b="635"/>
            <wp:docPr id="17" name="图表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>
      <w:pPr>
        <w:ind w:firstLine="157" w:firstLineChars="49"/>
        <w:jc w:val="center"/>
        <w:rPr>
          <w:rFonts w:ascii="Times New Roman" w:hAnsi="Times New Roman" w:eastAsia="仿宋_GB2312"/>
          <w:b/>
          <w:color w:val="000000"/>
          <w:sz w:val="32"/>
          <w:szCs w:val="32"/>
        </w:rPr>
      </w:pPr>
    </w:p>
    <w:p>
      <w:pPr>
        <w:pStyle w:val="4"/>
        <w:ind w:firstLine="640"/>
        <w:rPr>
          <w:rFonts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从土地供应方式上看，土地出让面积和成交价款出现量价双降,主要以招拍挂出让为主，上半年土地出让5931.51公顷，出让成交价款1113.60亿元，同比下降7.49%、0.75%。其中，采用招拍</w:t>
      </w:r>
      <w:r>
        <w:rPr>
          <w:rFonts w:hint="eastAsia" w:ascii="仿宋_GB2312" w:hAnsi="Times New Roman" w:eastAsia="仿宋_GB2312"/>
          <w:sz w:val="32"/>
          <w:szCs w:val="32"/>
        </w:rPr>
        <w:t>挂方式出让土地5740.16公顷，收取价款1099.34亿元，同比增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长</w:t>
      </w:r>
      <w:r>
        <w:rPr>
          <w:rFonts w:hint="eastAsia" w:ascii="仿宋_GB2312" w:hAnsi="Times New Roman" w:eastAsia="仿宋_GB2312"/>
          <w:sz w:val="32"/>
          <w:szCs w:val="32"/>
        </w:rPr>
        <w:t>8%、1.72%；协议出让191.35公顷，收取价款14.26亿元，同比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下降</w:t>
      </w:r>
      <w:r>
        <w:rPr>
          <w:rFonts w:hint="eastAsia" w:ascii="仿宋_GB2312" w:hAnsi="Times New Roman" w:eastAsia="仿宋_GB2312"/>
          <w:sz w:val="32"/>
          <w:szCs w:val="32"/>
        </w:rPr>
        <w:t>5.74%、41.77%；以划拨方式供地2506.81公顷，同比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下降</w:t>
      </w:r>
      <w:r>
        <w:rPr>
          <w:rFonts w:hint="eastAsia" w:ascii="仿宋_GB2312" w:hAnsi="Times New Roman" w:eastAsia="仿宋_GB2312"/>
          <w:sz w:val="32"/>
          <w:szCs w:val="32"/>
        </w:rPr>
        <w:t>45.66%；租赁供地4.32公顷，收取租金0.16亿元。招拍挂出让占土地出让总面积的96.77%，协议出让仅占3.23%。</w:t>
      </w:r>
      <w:bookmarkStart w:id="0" w:name="_GoBack"/>
      <w:bookmarkEnd w:id="0"/>
    </w:p>
    <w:p>
      <w:r>
        <w:rPr>
          <w:rFonts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5054600" cy="3018790"/>
            <wp:effectExtent l="0" t="0" r="12700" b="10160"/>
            <wp:docPr id="18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roman"/>
    <w:pitch w:val="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6000009F" w:csb1="DFD70000"/>
  </w:font>
  <w:font w:name="Wide Latin">
    <w:panose1 w:val="020A0A07050505020404"/>
    <w:charset w:val="00"/>
    <w:family w:val="auto"/>
    <w:pitch w:val="default"/>
    <w:sig w:usb0="00000003" w:usb1="00000000" w:usb2="00000000" w:usb3="00000000" w:csb0="2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6A4D74"/>
    <w:rsid w:val="776A4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列出段落1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chart" Target="charts/chart2.xml"/><Relationship Id="rId4" Type="http://schemas.openxmlformats.org/officeDocument/2006/relationships/chart" Target="charts/chart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22269;&#22303;&#36164;&#28304;&#32479;&#35745;\2019&#24180;&#25253;&#34920;\2019&#24180;&#19978;&#21322;&#24180;\&#22270;&#34920;&#21046;&#20316;\2019&#24180;&#19978;&#21322;&#24180;&#22270;&#34920;&#21046;&#20316;8.30&#20462;&#25913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22269;&#22303;&#36164;&#28304;&#32479;&#35745;\2019&#24180;&#25253;&#34920;\2019&#24180;&#19978;&#21322;&#24180;\&#22270;&#34920;&#21046;&#20316;\2019&#24180;&#19978;&#21322;&#24180;&#22270;&#34920;&#21046;&#20316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>
              <a:defRPr lang="zh-CN" sz="18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zh-CN" altLang="en-US" sz="1600" b="0">
                <a:latin typeface="方正小标宋_GBK" panose="03000509000000000000" charset="-122"/>
                <a:ea typeface="方正小标宋_GBK" panose="03000509000000000000" charset="-122"/>
              </a:rPr>
              <a:t>国有建设用地供应情况  </a:t>
            </a:r>
            <a:r>
              <a:rPr lang="zh-CN" altLang="en-US" sz="1200" b="0">
                <a:latin typeface="楷体" panose="02010609060101010101" pitchFamily="49" charset="-122"/>
                <a:ea typeface="楷体" panose="02010609060101010101" pitchFamily="49" charset="-122"/>
              </a:rPr>
              <a:t>单位：公顷</a:t>
            </a:r>
            <a:endParaRPr lang="zh-CN" altLang="en-US" sz="1200" b="0">
              <a:latin typeface="楷体" panose="02010609060101010101" pitchFamily="49" charset="-122"/>
              <a:ea typeface="楷体" panose="02010609060101010101" pitchFamily="49" charset="-122"/>
            </a:endParaRPr>
          </a:p>
        </c:rich>
      </c:tx>
      <c:layout>
        <c:manualLayout>
          <c:xMode val="edge"/>
          <c:yMode val="edge"/>
          <c:x val="0.249877450980393"/>
          <c:y val="0.0278884462151394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Sheet1!$B$115</c:f>
              <c:strCache>
                <c:ptCount val="1"/>
                <c:pt idx="0">
                  <c:v>建设用地供应总面积</c:v>
                </c:pt>
              </c:strCache>
            </c:strRef>
          </c:tx>
          <c:invertIfNegative val="0"/>
          <c:dLbls>
            <c:delete val="1"/>
          </c:dLbls>
          <c:cat>
            <c:strRef>
              <c:f>Sheet1!$C$114:$I$114</c:f>
              <c:strCache>
                <c:ptCount val="7"/>
                <c:pt idx="0">
                  <c:v>2013年上半年</c:v>
                </c:pt>
                <c:pt idx="1">
                  <c:v>2014年上半年</c:v>
                </c:pt>
                <c:pt idx="2">
                  <c:v>2015年上半年</c:v>
                </c:pt>
                <c:pt idx="3">
                  <c:v>2016年上半年</c:v>
                </c:pt>
                <c:pt idx="4">
                  <c:v>2017年上半年</c:v>
                </c:pt>
                <c:pt idx="5">
                  <c:v>2018年上半年</c:v>
                </c:pt>
                <c:pt idx="6">
                  <c:v>2019年上半年</c:v>
                </c:pt>
              </c:strCache>
            </c:strRef>
          </c:cat>
          <c:val>
            <c:numRef>
              <c:f>Sheet1!$C$115:$I$115</c:f>
              <c:numCache>
                <c:formatCode>0.00</c:formatCode>
                <c:ptCount val="7"/>
                <c:pt idx="0">
                  <c:v>12918.9373</c:v>
                </c:pt>
                <c:pt idx="1" c:formatCode="General">
                  <c:v>17152.75</c:v>
                </c:pt>
                <c:pt idx="2" c:formatCode="General">
                  <c:v>8471.20999999994</c:v>
                </c:pt>
                <c:pt idx="3" c:formatCode="General">
                  <c:v>7035.17</c:v>
                </c:pt>
                <c:pt idx="4">
                  <c:v>8080.0404</c:v>
                </c:pt>
                <c:pt idx="5" c:formatCode="General">
                  <c:v>10135.1</c:v>
                </c:pt>
                <c:pt idx="6">
                  <c:v>8442.632179</c:v>
                </c:pt>
              </c:numCache>
            </c:numRef>
          </c:val>
        </c:ser>
        <c:ser>
          <c:idx val="1"/>
          <c:order val="1"/>
          <c:tx>
            <c:strRef>
              <c:f>Sheet1!$B$116</c:f>
              <c:strCache>
                <c:ptCount val="1"/>
                <c:pt idx="0">
                  <c:v>工矿仓储用地</c:v>
                </c:pt>
              </c:strCache>
            </c:strRef>
          </c:tx>
          <c:invertIfNegative val="0"/>
          <c:dLbls>
            <c:delete val="1"/>
          </c:dLbls>
          <c:cat>
            <c:strRef>
              <c:f>Sheet1!$C$114:$I$114</c:f>
              <c:strCache>
                <c:ptCount val="7"/>
                <c:pt idx="0">
                  <c:v>2013年上半年</c:v>
                </c:pt>
                <c:pt idx="1">
                  <c:v>2014年上半年</c:v>
                </c:pt>
                <c:pt idx="2">
                  <c:v>2015年上半年</c:v>
                </c:pt>
                <c:pt idx="3">
                  <c:v>2016年上半年</c:v>
                </c:pt>
                <c:pt idx="4">
                  <c:v>2017年上半年</c:v>
                </c:pt>
                <c:pt idx="5">
                  <c:v>2018年上半年</c:v>
                </c:pt>
                <c:pt idx="6">
                  <c:v>2019年上半年</c:v>
                </c:pt>
              </c:strCache>
            </c:strRef>
          </c:cat>
          <c:val>
            <c:numRef>
              <c:f>Sheet1!$C$116:$I$116</c:f>
              <c:numCache>
                <c:formatCode>0.00</c:formatCode>
                <c:ptCount val="7"/>
                <c:pt idx="0">
                  <c:v>5487.3668</c:v>
                </c:pt>
                <c:pt idx="1" c:formatCode="General">
                  <c:v>4117.09</c:v>
                </c:pt>
                <c:pt idx="2" c:formatCode="General">
                  <c:v>3223.48</c:v>
                </c:pt>
                <c:pt idx="3" c:formatCode="General">
                  <c:v>2895.79</c:v>
                </c:pt>
                <c:pt idx="4" c:formatCode="General">
                  <c:v>2271.22</c:v>
                </c:pt>
                <c:pt idx="5" c:formatCode="General">
                  <c:v>2870.24</c:v>
                </c:pt>
                <c:pt idx="6">
                  <c:v>3315.004362</c:v>
                </c:pt>
              </c:numCache>
            </c:numRef>
          </c:val>
        </c:ser>
        <c:ser>
          <c:idx val="2"/>
          <c:order val="2"/>
          <c:tx>
            <c:strRef>
              <c:f>Sheet1!$B$117</c:f>
              <c:strCache>
                <c:ptCount val="1"/>
                <c:pt idx="0">
                  <c:v>房地产用地</c:v>
                </c:pt>
              </c:strCache>
            </c:strRef>
          </c:tx>
          <c:invertIfNegative val="0"/>
          <c:dLbls>
            <c:delete val="1"/>
          </c:dLbls>
          <c:cat>
            <c:strRef>
              <c:f>Sheet1!$C$114:$I$114</c:f>
              <c:strCache>
                <c:ptCount val="7"/>
                <c:pt idx="0">
                  <c:v>2013年上半年</c:v>
                </c:pt>
                <c:pt idx="1">
                  <c:v>2014年上半年</c:v>
                </c:pt>
                <c:pt idx="2">
                  <c:v>2015年上半年</c:v>
                </c:pt>
                <c:pt idx="3">
                  <c:v>2016年上半年</c:v>
                </c:pt>
                <c:pt idx="4">
                  <c:v>2017年上半年</c:v>
                </c:pt>
                <c:pt idx="5">
                  <c:v>2018年上半年</c:v>
                </c:pt>
                <c:pt idx="6">
                  <c:v>2019年上半年</c:v>
                </c:pt>
              </c:strCache>
            </c:strRef>
          </c:cat>
          <c:val>
            <c:numRef>
              <c:f>Sheet1!$C$117:$I$117</c:f>
              <c:numCache>
                <c:formatCode>0.00</c:formatCode>
                <c:ptCount val="7"/>
                <c:pt idx="0">
                  <c:v>3500.94</c:v>
                </c:pt>
                <c:pt idx="1" c:formatCode="General">
                  <c:v>3478.14</c:v>
                </c:pt>
                <c:pt idx="2" c:formatCode="General">
                  <c:v>2653.25</c:v>
                </c:pt>
                <c:pt idx="3" c:formatCode="General">
                  <c:v>2338.03</c:v>
                </c:pt>
                <c:pt idx="4" c:formatCode="General">
                  <c:v>1986.5</c:v>
                </c:pt>
                <c:pt idx="5" c:formatCode="General">
                  <c:v>2742.67</c:v>
                </c:pt>
                <c:pt idx="6">
                  <c:v>2563.03</c:v>
                </c:pt>
              </c:numCache>
            </c:numRef>
          </c:val>
        </c:ser>
        <c:ser>
          <c:idx val="3"/>
          <c:order val="3"/>
          <c:tx>
            <c:strRef>
              <c:f>Sheet1!$B$118</c:f>
              <c:strCache>
                <c:ptCount val="1"/>
                <c:pt idx="0">
                  <c:v>基础设施用地</c:v>
                </c:pt>
              </c:strCache>
            </c:strRef>
          </c:tx>
          <c:invertIfNegative val="0"/>
          <c:dLbls>
            <c:delete val="1"/>
          </c:dLbls>
          <c:cat>
            <c:strRef>
              <c:f>Sheet1!$C$114:$I$114</c:f>
              <c:strCache>
                <c:ptCount val="7"/>
                <c:pt idx="0">
                  <c:v>2013年上半年</c:v>
                </c:pt>
                <c:pt idx="1">
                  <c:v>2014年上半年</c:v>
                </c:pt>
                <c:pt idx="2">
                  <c:v>2015年上半年</c:v>
                </c:pt>
                <c:pt idx="3">
                  <c:v>2016年上半年</c:v>
                </c:pt>
                <c:pt idx="4">
                  <c:v>2017年上半年</c:v>
                </c:pt>
                <c:pt idx="5">
                  <c:v>2018年上半年</c:v>
                </c:pt>
                <c:pt idx="6">
                  <c:v>2019年上半年</c:v>
                </c:pt>
              </c:strCache>
            </c:strRef>
          </c:cat>
          <c:val>
            <c:numRef>
              <c:f>Sheet1!$C$118:$I$118</c:f>
              <c:numCache>
                <c:formatCode>0.00</c:formatCode>
                <c:ptCount val="7"/>
                <c:pt idx="0">
                  <c:v>3930.64</c:v>
                </c:pt>
                <c:pt idx="1" c:formatCode="General">
                  <c:v>9557.52</c:v>
                </c:pt>
                <c:pt idx="2" c:formatCode="General">
                  <c:v>2594.48</c:v>
                </c:pt>
                <c:pt idx="3" c:formatCode="General">
                  <c:v>1801.35</c:v>
                </c:pt>
                <c:pt idx="4" c:formatCode="General">
                  <c:v>3824.26</c:v>
                </c:pt>
                <c:pt idx="5" c:formatCode="General">
                  <c:v>4520.87</c:v>
                </c:pt>
                <c:pt idx="6">
                  <c:v>2512.72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-25"/>
        <c:axId val="94946432"/>
        <c:axId val="94947968"/>
      </c:barChart>
      <c:catAx>
        <c:axId val="9494643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chemeClr val="tx1"/>
                </a:solidFill>
                <a:latin typeface="Times New Roman" panose="02020603050405020304" charset="0"/>
                <a:ea typeface="Times New Roman" panose="02020603050405020304" charset="0"/>
                <a:cs typeface="Times New Roman" panose="02020603050405020304" charset="0"/>
                <a:sym typeface="Times New Roman" panose="02020603050405020304" charset="0"/>
              </a:defRPr>
            </a:pPr>
          </a:p>
        </c:txPr>
        <c:crossAx val="94947968"/>
        <c:crosses val="autoZero"/>
        <c:auto val="1"/>
        <c:lblAlgn val="ctr"/>
        <c:lblOffset val="100"/>
        <c:noMultiLvlLbl val="0"/>
      </c:catAx>
      <c:valAx>
        <c:axId val="94947968"/>
        <c:scaling>
          <c:orientation val="minMax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chemeClr val="tx1"/>
                </a:solidFill>
                <a:latin typeface="Times New Roman" panose="02020603050405020304" charset="0"/>
                <a:ea typeface="Times New Roman" panose="02020603050405020304" charset="0"/>
                <a:cs typeface="Times New Roman" panose="02020603050405020304" charset="0"/>
                <a:sym typeface="Times New Roman" panose="02020603050405020304" charset="0"/>
              </a:defRPr>
            </a:pPr>
          </a:p>
        </c:txPr>
        <c:crossAx val="94946432"/>
        <c:crosses val="autoZero"/>
        <c:crossBetween val="between"/>
      </c:valAx>
    </c:plotArea>
    <c:legend>
      <c:legendPos val="b"/>
      <c:layout/>
      <c:overlay val="0"/>
      <c:txPr>
        <a:bodyPr rot="0" spcFirstLastPara="0" vertOverflow="ellipsis" vert="horz" wrap="square" anchor="ctr" anchorCtr="1"/>
        <a:lstStyle/>
        <a:p>
          <a:pPr>
            <a:defRPr lang="zh-CN"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spPr>
    <a:ln w="9525" cap="flat" cmpd="sng" algn="ctr">
      <a:noFill/>
      <a:prstDash val="solid"/>
      <a:round/>
    </a:ln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 algn="ctr">
              <a:defRPr lang="zh-CN" sz="1600" b="0" i="0" u="none" strike="noStrike" kern="1200" baseline="0">
                <a:solidFill>
                  <a:schemeClr val="tx1"/>
                </a:solidFill>
                <a:latin typeface="方正小标宋_GBK" panose="03000509000000000000" charset="-122"/>
                <a:ea typeface="方正小标宋_GBK" panose="03000509000000000000" charset="-122"/>
                <a:cs typeface="方正小标宋_GBK" panose="03000509000000000000" charset="-122"/>
                <a:sym typeface="方正小标宋_GBK" panose="03000509000000000000" charset="-122"/>
              </a:defRPr>
            </a:pPr>
            <a:r>
              <a:rPr lang="zh-CN" altLang="en-US" b="0">
                <a:latin typeface="方正小标宋_GBK" panose="03000509000000000000" charset="-122"/>
                <a:ea typeface="方正小标宋_GBK" panose="03000509000000000000" charset="-122"/>
                <a:cs typeface="方正小标宋_GBK" panose="03000509000000000000" charset="-122"/>
                <a:sym typeface="方正小标宋_GBK" panose="03000509000000000000" charset="-122"/>
              </a:rPr>
              <a:t>国有建设用地出让方式占比</a:t>
            </a:r>
            <a:endParaRPr lang="zh-CN" altLang="en-US" b="0">
              <a:latin typeface="方正小标宋_GBK" panose="03000509000000000000" charset="-122"/>
              <a:ea typeface="方正小标宋_GBK" panose="03000509000000000000" charset="-122"/>
              <a:cs typeface="方正小标宋_GBK" panose="03000509000000000000" charset="-122"/>
              <a:sym typeface="方正小标宋_GBK" panose="03000509000000000000" charset="-122"/>
            </a:endParaRPr>
          </a:p>
        </c:rich>
      </c:tx>
      <c:layout>
        <c:manualLayout>
          <c:xMode val="edge"/>
          <c:yMode val="edge"/>
          <c:x val="0.195647097785093"/>
          <c:y val="0.0932472944457879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315505652829561"/>
          <c:y val="0.258255128710509"/>
          <c:w val="0.386611403474064"/>
          <c:h val="0.647334196813955"/>
        </c:manualLayout>
      </c:layout>
      <c:pieChart>
        <c:varyColors val="1"/>
        <c:ser>
          <c:idx val="0"/>
          <c:order val="0"/>
          <c:spPr>
            <a:effectLst>
              <a:innerShdw blurRad="63500" dist="50800" dir="2700000">
                <a:prstClr val="black">
                  <a:alpha val="50000"/>
                </a:prstClr>
              </a:innerShdw>
            </a:effectLst>
          </c:spPr>
          <c:explosion val="5"/>
          <c:dPt>
            <c:idx val="0"/>
            <c:bubble3D val="0"/>
            <c:spPr>
              <a:effectLst>
                <a:innerShdw blurRad="63500" dist="50800" dir="2700000">
                  <a:prstClr val="black">
                    <a:alpha val="50000"/>
                  </a:prstClr>
                </a:innerShdw>
              </a:effectLst>
            </c:spPr>
          </c:dPt>
          <c:dPt>
            <c:idx val="1"/>
            <c:bubble3D val="0"/>
            <c:spPr>
              <a:effectLst>
                <a:innerShdw blurRad="63500" dist="50800" dir="2700000">
                  <a:prstClr val="black">
                    <a:alpha val="50000"/>
                  </a:prstClr>
                </a:innerShdw>
              </a:effectLst>
            </c:spPr>
          </c:dPt>
          <c:dPt>
            <c:idx val="2"/>
            <c:bubble3D val="0"/>
            <c:spPr>
              <a:effectLst>
                <a:innerShdw blurRad="63500" dist="50800" dir="2700000">
                  <a:prstClr val="black">
                    <a:alpha val="50000"/>
                  </a:prstClr>
                </a:innerShdw>
              </a:effectLst>
              <a:scene3d>
                <a:camera prst="orthographicFront"/>
                <a:lightRig rig="threePt" dir="t"/>
              </a:scene3d>
              <a:sp3d>
                <a:bevelB w="6350"/>
              </a:sp3d>
            </c:spPr>
          </c:dPt>
          <c:dPt>
            <c:idx val="3"/>
            <c:bubble3D val="0"/>
            <c:spPr>
              <a:effectLst>
                <a:innerShdw blurRad="63500" dist="50800" dir="2700000">
                  <a:prstClr val="black">
                    <a:alpha val="50000"/>
                  </a:prstClr>
                </a:innerShdw>
              </a:effectLst>
            </c:spPr>
          </c:dPt>
          <c:dPt>
            <c:idx val="4"/>
            <c:bubble3D val="0"/>
            <c:spPr>
              <a:effectLst>
                <a:innerShdw blurRad="63500" dist="50800" dir="2700000">
                  <a:prstClr val="black">
                    <a:alpha val="50000"/>
                  </a:prstClr>
                </a:innerShdw>
              </a:effectLst>
            </c:spPr>
          </c:dPt>
          <c:dLbls>
            <c:dLbl>
              <c:idx val="0"/>
              <c:layout>
                <c:manualLayout>
                  <c:x val="0.312795869109327"/>
                  <c:y val="-0.0574521579838281"/>
                </c:manualLayout>
              </c:layout>
              <c:tx>
                <c:rich>
                  <a:bodyPr rot="0" spcFirstLastPara="0" vertOverflow="ellipsis" vert="horz" wrap="square" lIns="38100" tIns="19050" rIns="38100" bIns="19050" anchor="ctr" anchorCtr="1"/>
                  <a:lstStyle/>
                  <a:p>
                    <a:pPr>
                      <a:defRPr lang="zh-CN" sz="1200" b="0" i="0" u="none" strike="noStrike" kern="1200" baseline="0">
                        <a:solidFill>
                          <a:schemeClr val="tx1"/>
                        </a:solidFill>
                        <a:latin typeface="Times New Roman" panose="02020603050405020304" charset="0"/>
                        <a:ea typeface="Times New Roman" panose="02020603050405020304" charset="0"/>
                        <a:cs typeface="Times New Roman" panose="02020603050405020304" charset="0"/>
                        <a:sym typeface="Times New Roman" panose="02020603050405020304" charset="0"/>
                      </a:defRPr>
                    </a:pPr>
                    <a:r>
                      <a:rPr lang="zh-CN" altLang="en-US">
                        <a:latin typeface="楷体" panose="02010609060101010101" pitchFamily="49" charset="-122"/>
                        <a:ea typeface="楷体" panose="02010609060101010101" pitchFamily="49" charset="-122"/>
                      </a:rPr>
                      <a:t>单位：</a:t>
                    </a:r>
                    <a:r>
                      <a:rPr lang="en-US" altLang="zh-CN">
                        <a:latin typeface="楷体" panose="02010609060101010101" pitchFamily="49" charset="-122"/>
                        <a:ea typeface="楷体" panose="02010609060101010101" pitchFamily="49" charset="-122"/>
                      </a:rPr>
                      <a:t>%</a:t>
                    </a:r>
                    <a:endParaRPr lang="en-US" altLang="zh-CN">
                      <a:latin typeface="楷体" panose="02010609060101010101" pitchFamily="49" charset="-122"/>
                      <a:ea typeface="楷体" panose="02010609060101010101" pitchFamily="49" charset="-122"/>
                    </a:endParaRP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delete val="1"/>
            </c:dLbl>
            <c:dLbl>
              <c:idx val="2"/>
              <c:layout>
                <c:manualLayout>
                  <c:x val="-0.0825333274018714"/>
                  <c:y val="-0.0731785025294551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0.071491910968756"/>
                  <c:y val="0.0833473260637373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1200" b="0" i="0" u="none" strike="noStrike" kern="1200" baseline="0">
                    <a:solidFill>
                      <a:schemeClr val="tx1"/>
                    </a:solidFill>
                    <a:latin typeface="Times New Roman" panose="02020603050405020304" charset="0"/>
                    <a:ea typeface="Times New Roman" panose="02020603050405020304" charset="0"/>
                    <a:cs typeface="Times New Roman" panose="02020603050405020304" charset="0"/>
                    <a:sym typeface="Times New Roman" panose="02020603050405020304" charset="0"/>
                  </a:defRPr>
                </a:pPr>
              </a:p>
            </c:txPr>
            <c:dLblPos val="bestFit"/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  <c15:leaderLines/>
              </c:ext>
            </c:extLst>
          </c:dLbls>
          <c:cat>
            <c:strRef>
              <c:f>Sheet1!$I$142:$I$146</c:f>
              <c:strCache>
                <c:ptCount val="5"/>
                <c:pt idx="0">
                  <c:v>国有建设用地出让面积和价款情况</c:v>
                </c:pt>
                <c:pt idx="2">
                  <c:v>招拍挂</c:v>
                </c:pt>
                <c:pt idx="3">
                  <c:v>协议出让</c:v>
                </c:pt>
                <c:pt idx="4">
                  <c:v>划拨</c:v>
                </c:pt>
              </c:strCache>
            </c:strRef>
          </c:cat>
          <c:val>
            <c:numRef>
              <c:f>Sheet1!$J$142:$J$146</c:f>
              <c:numCache>
                <c:formatCode>General</c:formatCode>
                <c:ptCount val="5"/>
                <c:pt idx="1">
                  <c:v>0</c:v>
                </c:pt>
                <c:pt idx="2">
                  <c:v>5740.16</c:v>
                </c:pt>
                <c:pt idx="3">
                  <c:v>191.35</c:v>
                </c:pt>
                <c:pt idx="4">
                  <c:v>2506.81</c:v>
                </c:pt>
              </c:numCache>
            </c:numRef>
          </c:val>
        </c:ser>
        <c:ser>
          <c:idx val="1"/>
          <c:order val="1"/>
          <c:explosion val="0"/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dPt>
            <c:idx val="4"/>
            <c:bubble3D val="0"/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bestFit"/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  <c15:leaderLines/>
              </c:ext>
            </c:extLst>
          </c:dLbls>
          <c:cat>
            <c:strRef>
              <c:f>Sheet1!$I$142:$I$146</c:f>
              <c:strCache>
                <c:ptCount val="5"/>
                <c:pt idx="0">
                  <c:v>国有建设用地出让面积和价款情况</c:v>
                </c:pt>
                <c:pt idx="2">
                  <c:v>招拍挂</c:v>
                </c:pt>
                <c:pt idx="3">
                  <c:v>协议出让</c:v>
                </c:pt>
                <c:pt idx="4">
                  <c:v>划拨</c:v>
                </c:pt>
              </c:strCache>
            </c:strRef>
          </c:cat>
          <c:val>
            <c:numRef>
              <c:f>Sheet1!$K$142:$K$146</c:f>
              <c:numCache>
                <c:formatCode>General</c:formatCode>
                <c:ptCount val="5"/>
                <c:pt idx="1">
                  <c:v>0</c:v>
                </c:pt>
                <c:pt idx="2">
                  <c:v>10993418.67</c:v>
                </c:pt>
                <c:pt idx="3">
                  <c:v>142571.49</c:v>
                </c:pt>
              </c:numCache>
            </c:numRef>
          </c:val>
        </c:ser>
        <c:ser>
          <c:idx val="2"/>
          <c:order val="2"/>
          <c:explosion val="0"/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dPt>
            <c:idx val="4"/>
            <c:bubble3D val="0"/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bestFit"/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  <c15:leaderLines/>
              </c:ext>
            </c:extLst>
          </c:dLbls>
          <c:cat>
            <c:strRef>
              <c:f>Sheet1!$I$142:$I$146</c:f>
              <c:strCache>
                <c:ptCount val="5"/>
                <c:pt idx="0">
                  <c:v>国有建设用地出让面积和价款情况</c:v>
                </c:pt>
                <c:pt idx="2">
                  <c:v>招拍挂</c:v>
                </c:pt>
                <c:pt idx="3">
                  <c:v>协议出让</c:v>
                </c:pt>
                <c:pt idx="4">
                  <c:v>划拨</c:v>
                </c:pt>
              </c:strCache>
            </c:strRef>
          </c:cat>
          <c:val>
            <c:numRef>
              <c:f>Sheet1!$L$142:$L$146</c:f>
              <c:numCache>
                <c:formatCode>General</c:formatCode>
                <c:ptCount val="5"/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  <c:firstSliceAng val="0"/>
      </c:pieChart>
    </c:plotArea>
    <c:legend>
      <c:legendPos val="r"/>
      <c:legendEntry>
        <c:idx val="0"/>
        <c:delete val="1"/>
      </c:legendEntry>
      <c:legendEntry>
        <c:idx val="1"/>
        <c:delete val="1"/>
      </c:legendEntry>
      <c:layout>
        <c:manualLayout>
          <c:xMode val="edge"/>
          <c:yMode val="edge"/>
          <c:x val="0.755276381909547"/>
          <c:y val="0.614114429953723"/>
        </c:manualLayout>
      </c:layout>
      <c:overlay val="0"/>
      <c:txPr>
        <a:bodyPr rot="0" spcFirstLastPara="0" vertOverflow="ellipsis" vert="horz" wrap="square" anchor="ctr" anchorCtr="1"/>
        <a:lstStyle/>
        <a:p>
          <a:pPr>
            <a:defRPr lang="zh-CN" sz="12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zero"/>
    <c:showDLblsOverMax val="0"/>
  </c:chart>
  <c:spPr>
    <a:ln w="9525" cap="flat" cmpd="sng" algn="ctr">
      <a:noFill/>
      <a:prstDash val="solid"/>
      <a:round/>
    </a:ln>
  </c:spPr>
  <c:txPr>
    <a:bodyPr/>
    <a:lstStyle/>
    <a:p>
      <a:pPr>
        <a:defRPr lang="zh-CN"/>
      </a:pPr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2019-12-16T02:34:00Z</dcterms:created>
  <dc:creator>sebastion.f</dc:creator>
  <cp:lastModifiedBy>sebastion.f</cp:lastModifiedBy>
  <dcterms:modified xsi:type="dcterms:W3CDTF">2019-12-16T02:51:11Z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