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15" w:lineRule="atLeast"/>
        <w:jc w:val="center"/>
        <w:rPr>
          <w:rFonts w:hint="default" w:ascii="Times New Roman" w:hAnsi="Times New Roman" w:eastAsia="创艺简标宋"/>
          <w:b w:val="0"/>
          <w:bCs w:val="0"/>
          <w:spacing w:val="-10"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创艺简标宋"/>
          <w:b w:val="0"/>
          <w:bCs w:val="0"/>
          <w:spacing w:val="-10"/>
          <w:kern w:val="2"/>
          <w:sz w:val="44"/>
          <w:szCs w:val="44"/>
        </w:rPr>
        <w:t>2022年1—6月自然资源综合统计报告</w:t>
      </w:r>
    </w:p>
    <w:p/>
    <w:p/>
    <w:p>
      <w:pPr>
        <w:pStyle w:val="5"/>
        <w:widowControl/>
        <w:numPr>
          <w:ilvl w:val="0"/>
          <w:numId w:val="1"/>
        </w:numPr>
        <w:spacing w:beforeAutospacing="0" w:afterAutospacing="0"/>
        <w:ind w:firstLine="722" w:firstLineChars="200"/>
        <w:jc w:val="both"/>
        <w:rPr>
          <w:rStyle w:val="9"/>
          <w:rFonts w:ascii="仿宋" w:hAnsi="仿宋" w:eastAsia="仿宋" w:cs="仿宋"/>
          <w:bCs/>
          <w:color w:val="333333"/>
          <w:sz w:val="36"/>
          <w:szCs w:val="36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Cs/>
          <w:color w:val="333333"/>
          <w:sz w:val="36"/>
          <w:szCs w:val="36"/>
          <w:shd w:val="clear" w:color="auto" w:fill="FFFFFF"/>
        </w:rPr>
        <w:t>建设用地审批情况</w:t>
      </w:r>
    </w:p>
    <w:p>
      <w:pPr>
        <w:pStyle w:val="5"/>
        <w:widowControl/>
        <w:spacing w:beforeAutospacing="0" w:afterAutospacing="0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全省</w:t>
      </w:r>
      <w:r>
        <w:rPr>
          <w:rFonts w:ascii="Times New Roman" w:hAnsi="Times New Roman" w:eastAsia="仿宋"/>
          <w:color w:val="333333"/>
          <w:sz w:val="36"/>
          <w:szCs w:val="36"/>
          <w:shd w:val="clear" w:color="auto" w:fill="FFFFFF"/>
        </w:rPr>
        <w:t>1—6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月批准建设用地</w:t>
      </w:r>
      <w:r>
        <w:rPr>
          <w:rFonts w:ascii="Times New Roman" w:hAnsi="Times New Roman" w:eastAsia="仿宋"/>
          <w:color w:val="333333"/>
          <w:sz w:val="36"/>
          <w:szCs w:val="36"/>
          <w:shd w:val="clear" w:color="auto" w:fill="FFFFFF"/>
        </w:rPr>
        <w:t>24.1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万亩。按区域分，主要集中在宜昌、孝感、黄冈、武汉、襄阳等地，分别占总量的</w:t>
      </w:r>
      <w:r>
        <w:rPr>
          <w:rFonts w:ascii="Times New Roman" w:hAnsi="Times New Roman" w:eastAsia="仿宋"/>
          <w:color w:val="333333"/>
          <w:sz w:val="36"/>
          <w:szCs w:val="36"/>
          <w:shd w:val="clear" w:color="auto" w:fill="FFFFFF"/>
        </w:rPr>
        <w:t>15.30％、12.55％、11.81％、10.93％、8.70％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300" w:lineRule="atLeast"/>
        <w:jc w:val="center"/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</w:pP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500245" cy="2600960"/>
            <wp:effectExtent l="0" t="0" r="0" b="889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l="1356" t="11005" r="1071" b="1638"/>
                    <a:stretch>
                      <a:fillRect/>
                    </a:stretch>
                  </pic:blipFill>
                  <pic:spPr>
                    <a:xfrm>
                      <a:off x="0" y="0"/>
                      <a:ext cx="4507614" cy="26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Autospacing="0" w:afterAutospacing="0" w:line="300" w:lineRule="atLeast"/>
        <w:jc w:val="center"/>
        <w:rPr>
          <w:rFonts w:ascii="黑体" w:hAnsi="黑体" w:eastAsia="黑体" w:cs="仿宋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6"/>
          <w:szCs w:val="36"/>
          <w:shd w:val="clear" w:color="auto" w:fill="FFFFFF"/>
        </w:rPr>
        <w:t>建设用地</w:t>
      </w:r>
      <w:r>
        <w:rPr>
          <w:rFonts w:ascii="黑体" w:hAnsi="黑体" w:eastAsia="黑体" w:cs="仿宋"/>
          <w:color w:val="333333"/>
          <w:sz w:val="36"/>
          <w:szCs w:val="36"/>
          <w:shd w:val="clear" w:color="auto" w:fill="FFFFFF"/>
        </w:rPr>
        <w:t>审批</w:t>
      </w:r>
      <w:r>
        <w:rPr>
          <w:rFonts w:hint="eastAsia" w:ascii="黑体" w:hAnsi="黑体" w:eastAsia="黑体" w:cs="仿宋"/>
          <w:color w:val="333333"/>
          <w:sz w:val="36"/>
          <w:szCs w:val="36"/>
          <w:shd w:val="clear" w:color="auto" w:fill="FFFFFF"/>
        </w:rPr>
        <w:t>情况</w:t>
      </w:r>
    </w:p>
    <w:p>
      <w:pPr>
        <w:pStyle w:val="5"/>
        <w:widowControl/>
        <w:spacing w:beforeAutospacing="0" w:afterAutospacing="0"/>
        <w:ind w:firstLine="722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Style w:val="9"/>
          <w:rFonts w:hint="eastAsia" w:ascii="仿宋" w:hAnsi="仿宋" w:eastAsia="仿宋" w:cs="仿宋"/>
          <w:bCs/>
          <w:color w:val="333333"/>
          <w:sz w:val="36"/>
          <w:szCs w:val="36"/>
          <w:shd w:val="clear" w:color="auto" w:fill="FFFFFF"/>
        </w:rPr>
        <w:t>二、建设用地供应情况</w:t>
      </w:r>
    </w:p>
    <w:p>
      <w:pPr>
        <w:pStyle w:val="5"/>
        <w:widowControl/>
        <w:spacing w:beforeAutospacing="0" w:afterAutospacing="0"/>
        <w:ind w:firstLine="720" w:firstLineChars="200"/>
        <w:jc w:val="both"/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全省</w:t>
      </w:r>
      <w:r>
        <w:rPr>
          <w:rFonts w:hint="default"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1—6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月供应建设用地</w:t>
      </w:r>
      <w:r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20.21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万亩。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从用途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分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主要集中在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工矿仓储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、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房地产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、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公共管理与公共服务设施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、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交通运输和水域及水利设施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，供应量分别为</w:t>
      </w:r>
      <w:r>
        <w:rPr>
          <w:rFonts w:hint="default"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7.9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万亩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、</w:t>
      </w:r>
      <w:r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3.2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万亩、</w:t>
      </w:r>
      <w:r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2.2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万亩、</w:t>
      </w:r>
      <w:r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6.8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万亩，四类用地分别占土地供应总量的</w:t>
      </w:r>
      <w:r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39.2%、15.7%、11%、33.5%</w:t>
      </w:r>
      <w:r>
        <w:rPr>
          <w:rFonts w:ascii="仿宋" w:hAnsi="仿宋" w:eastAsia="仿宋" w:cs="仿宋"/>
          <w:color w:val="333333"/>
          <w:sz w:val="36"/>
          <w:szCs w:val="36"/>
          <w:shd w:val="clear" w:color="auto" w:fill="FFFFFF"/>
        </w:rPr>
        <w:t>。</w:t>
      </w:r>
    </w:p>
    <w:p>
      <w:pPr>
        <w:pStyle w:val="5"/>
        <w:widowControl/>
        <w:spacing w:before="210" w:beforeAutospacing="0" w:after="210" w:afterAutospacing="0" w:line="300" w:lineRule="atLeast"/>
        <w:ind w:firstLine="420"/>
        <w:jc w:val="both"/>
        <w:rPr>
          <w:rFonts w:ascii="仿宋" w:hAnsi="仿宋" w:eastAsia="仿宋" w:cs="仿宋"/>
          <w:sz w:val="36"/>
          <w:szCs w:val="36"/>
        </w:rPr>
      </w:pPr>
    </w:p>
    <w:p>
      <w:pPr>
        <w:pStyle w:val="5"/>
        <w:widowControl/>
        <w:spacing w:beforeAutospacing="0" w:afterAutospacing="0" w:line="300" w:lineRule="atLeast"/>
        <w:jc w:val="center"/>
      </w:pPr>
      <w:r>
        <w:drawing>
          <wp:inline distT="0" distB="0" distL="0" distR="0">
            <wp:extent cx="5413375" cy="280797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rcRect t="13561" b="2224"/>
                    <a:stretch>
                      <a:fillRect/>
                    </a:stretch>
                  </pic:blipFill>
                  <pic:spPr>
                    <a:xfrm>
                      <a:off x="0" y="0"/>
                      <a:ext cx="5413406" cy="280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widowControl/>
        <w:spacing w:beforeAutospacing="0" w:afterAutospacing="0" w:line="300" w:lineRule="atLeast"/>
        <w:jc w:val="center"/>
        <w:rPr>
          <w:rFonts w:hint="eastAsia" w:ascii="黑体" w:hAnsi="黑体" w:eastAsia="黑体" w:cs="仿宋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6"/>
          <w:szCs w:val="36"/>
          <w:shd w:val="clear" w:color="auto" w:fill="FFFFFF"/>
        </w:rPr>
        <w:t>土地供应</w:t>
      </w:r>
      <w:r>
        <w:rPr>
          <w:rFonts w:ascii="黑体" w:hAnsi="黑体" w:eastAsia="黑体" w:cs="仿宋"/>
          <w:color w:val="333333"/>
          <w:sz w:val="36"/>
          <w:szCs w:val="36"/>
          <w:shd w:val="clear" w:color="auto" w:fill="FFFFFF"/>
        </w:rPr>
        <w:t>结构</w:t>
      </w:r>
    </w:p>
    <w:p>
      <w:pPr>
        <w:pStyle w:val="5"/>
        <w:widowControl/>
        <w:spacing w:beforeAutospacing="0" w:afterAutospacing="0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ascii="Times New Roman" w:hAnsi="Times New Roman" w:eastAsia="仿宋"/>
          <w:color w:val="333333"/>
          <w:sz w:val="36"/>
          <w:szCs w:val="36"/>
          <w:shd w:val="clear" w:color="auto" w:fill="FFFFFF"/>
        </w:rPr>
        <w:t>按方式分，上半年出让土地总面积11.1万亩。其中，招拍挂出让10.7万亩；划拨出让9.1万亩。出让合同金额905.8亿元。</w:t>
      </w:r>
    </w:p>
    <w:p>
      <w:pPr>
        <w:pStyle w:val="5"/>
        <w:widowControl/>
        <w:spacing w:beforeAutospacing="0" w:afterAutospacing="0"/>
        <w:ind w:firstLine="720" w:firstLineChars="200"/>
        <w:jc w:val="both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按区域分，主要集中在孝感、宜昌、黄冈、荆州、襄阳等地，分别占</w:t>
      </w:r>
      <w:r>
        <w:rPr>
          <w:rFonts w:ascii="Times New Roman" w:hAnsi="Times New Roman" w:eastAsia="仿宋"/>
          <w:color w:val="333333"/>
          <w:sz w:val="36"/>
          <w:szCs w:val="36"/>
          <w:shd w:val="clear" w:color="auto" w:fill="FFFFFF"/>
        </w:rPr>
        <w:t>11.47％、11.22％、10.71％、9.91％、9.59％。</w:t>
      </w:r>
    </w:p>
    <w:p>
      <w:pPr>
        <w:pStyle w:val="5"/>
        <w:widowControl/>
        <w:spacing w:beforeAutospacing="0" w:afterAutospacing="0" w:line="300" w:lineRule="atLeas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</w:rPr>
        <w:drawing>
          <wp:inline distT="0" distB="0" distL="0" distR="0">
            <wp:extent cx="4563110" cy="2555875"/>
            <wp:effectExtent l="0" t="0" r="889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l="1106" t="14567" r="1298" b="1733"/>
                    <a:stretch>
                      <a:fillRect/>
                    </a:stretch>
                  </pic:blipFill>
                  <pic:spPr>
                    <a:xfrm>
                      <a:off x="0" y="0"/>
                      <a:ext cx="4563681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Autospacing="0" w:afterAutospacing="0" w:line="300" w:lineRule="atLeast"/>
        <w:jc w:val="center"/>
        <w:rPr>
          <w:rFonts w:ascii="黑体" w:hAnsi="黑体" w:eastAsia="黑体" w:cs="仿宋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6"/>
          <w:szCs w:val="36"/>
          <w:shd w:val="clear" w:color="auto" w:fill="FFFFFF"/>
        </w:rPr>
        <w:t>建设用地供应情况</w:t>
      </w:r>
    </w:p>
    <w:p>
      <w:pPr>
        <w:pStyle w:val="5"/>
        <w:widowControl/>
        <w:spacing w:before="210" w:beforeAutospacing="0" w:after="210" w:afterAutospacing="0" w:line="300" w:lineRule="atLeast"/>
        <w:ind w:firstLine="420"/>
        <w:jc w:val="both"/>
        <w:rPr>
          <w:rFonts w:ascii="仿宋" w:hAnsi="仿宋" w:eastAsia="仿宋" w:cs="仿宋"/>
          <w:sz w:val="36"/>
          <w:szCs w:val="36"/>
        </w:rPr>
      </w:pPr>
      <w:r>
        <w:rPr>
          <w:rStyle w:val="9"/>
          <w:rFonts w:hint="eastAsia" w:ascii="仿宋" w:hAnsi="仿宋" w:eastAsia="仿宋" w:cs="仿宋"/>
          <w:bCs/>
          <w:color w:val="333333"/>
          <w:sz w:val="36"/>
          <w:szCs w:val="36"/>
          <w:shd w:val="clear" w:color="auto" w:fill="FFFFFF"/>
        </w:rPr>
        <w:t>三、矿业权市场运行情况</w:t>
      </w:r>
    </w:p>
    <w:p>
      <w:pPr>
        <w:pStyle w:val="5"/>
        <w:widowControl/>
        <w:spacing w:before="210" w:beforeAutospacing="0" w:after="210" w:afterAutospacing="0" w:line="300" w:lineRule="atLeast"/>
        <w:ind w:firstLine="420"/>
        <w:jc w:val="both"/>
        <w:rPr>
          <w:rFonts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全省</w:t>
      </w:r>
      <w:r>
        <w:rPr>
          <w:rFonts w:hint="default"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1—6</w:t>
      </w: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月登记探矿权许可证</w:t>
      </w:r>
      <w:r>
        <w:rPr>
          <w:rFonts w:hint="default" w:ascii="Times New Roman" w:hAnsi="Times New Roman" w:eastAsia="仿宋" w:cs="Times New Roman"/>
          <w:color w:val="333333"/>
          <w:sz w:val="36"/>
          <w:szCs w:val="36"/>
          <w:shd w:val="clear" w:color="auto" w:fill="FFFFFF"/>
        </w:rPr>
        <w:t>45个，登记面积198.5平方千米。登记采矿权许可证902个，登记面积858.3平方千米。出让采矿权26个，出让合同金额15.1亿元。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D8FCB"/>
    <w:multiLevelType w:val="singleLevel"/>
    <w:tmpl w:val="66DD8F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2MDcwNmYzNmQ3MmY4OGEyMDljYTMzNTM2Yjg4MjMifQ=="/>
  </w:docVars>
  <w:rsids>
    <w:rsidRoot w:val="686C4D70"/>
    <w:rsid w:val="00345422"/>
    <w:rsid w:val="0037235C"/>
    <w:rsid w:val="003F4A6C"/>
    <w:rsid w:val="0048427A"/>
    <w:rsid w:val="00757B14"/>
    <w:rsid w:val="00842F0F"/>
    <w:rsid w:val="00966547"/>
    <w:rsid w:val="00AA4844"/>
    <w:rsid w:val="00AB2466"/>
    <w:rsid w:val="00E94A42"/>
    <w:rsid w:val="00F9030F"/>
    <w:rsid w:val="29051210"/>
    <w:rsid w:val="686C4D70"/>
    <w:rsid w:val="7C96E005"/>
    <w:rsid w:val="7EB7499E"/>
    <w:rsid w:val="7EE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annotation subject"/>
    <w:basedOn w:val="3"/>
    <w:next w:val="3"/>
    <w:link w:val="12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文字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438</Characters>
  <Lines>3</Lines>
  <Paragraphs>1</Paragraphs>
  <TotalTime>192</TotalTime>
  <ScaleCrop>false</ScaleCrop>
  <LinksUpToDate>false</LinksUpToDate>
  <CharactersWithSpaces>513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2022-08-24T00:53:00Z</dcterms:created>
  <dc:creator>翁天杨</dc:creator>
  <cp:lastModifiedBy>thtf</cp:lastModifiedBy>
  <cp:lastPrinted>2022-08-30T01:42:00Z</cp:lastPrinted>
  <dcterms:modified xsi:type="dcterms:W3CDTF">2022-09-06T09:58:25Z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4D9599C4ED274A39A391FAF2D3A870CC</vt:lpwstr>
  </property>
</Properties>
</file>