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ind w:right="-35"/>
        <w:jc w:val="center"/>
        <w:textAlignment w:val="baseline"/>
        <w:rPr>
          <w:rFonts w:ascii="方正小标宋简体" w:hAnsi="方正小标宋简体" w:eastAsia="方正小标宋简体" w:cs="宋体"/>
          <w:color w:val="333333"/>
          <w:kern w:val="0"/>
          <w:sz w:val="44"/>
          <w:szCs w:val="44"/>
        </w:rPr>
      </w:pPr>
      <w:r>
        <w:rPr>
          <w:rFonts w:hint="eastAsia" w:ascii="方正小标宋简体" w:hAnsi="方正小标宋简体" w:eastAsia="方正小标宋简体" w:cs="宋体"/>
          <w:color w:val="333333"/>
          <w:kern w:val="0"/>
          <w:sz w:val="44"/>
          <w:szCs w:val="44"/>
        </w:rPr>
        <w:t>财政部 税务总局 发展改革委 民政部  商务部卫生健康委公告</w:t>
      </w:r>
    </w:p>
    <w:p>
      <w:pPr>
        <w:widowControl/>
        <w:shd w:val="clear" w:color="auto" w:fill="FFFFFF"/>
        <w:spacing w:line="480" w:lineRule="atLeast"/>
        <w:ind w:right="-35"/>
        <w:jc w:val="center"/>
        <w:textAlignment w:val="baseline"/>
        <w:rPr>
          <w:rFonts w:hint="eastAsia" w:ascii="方正小标宋简体" w:hAnsi="方正小标宋简体" w:eastAsia="方正小标宋简体" w:cs="宋体"/>
          <w:color w:val="333333"/>
          <w:kern w:val="0"/>
          <w:sz w:val="44"/>
          <w:szCs w:val="44"/>
        </w:rPr>
      </w:pPr>
      <w:r>
        <w:rPr>
          <w:rFonts w:hint="eastAsia" w:ascii="方正小标宋简体" w:hAnsi="方正小标宋简体" w:eastAsia="方正小标宋简体" w:cs="宋体"/>
          <w:color w:val="333333"/>
          <w:kern w:val="0"/>
          <w:sz w:val="44"/>
          <w:szCs w:val="44"/>
        </w:rPr>
        <w:t>2019年第76号</w:t>
      </w:r>
    </w:p>
    <w:p>
      <w:pPr>
        <w:widowControl/>
        <w:shd w:val="clear" w:color="auto" w:fill="FFFFFF"/>
        <w:spacing w:line="480" w:lineRule="atLeast"/>
        <w:ind w:right="-35"/>
        <w:jc w:val="center"/>
        <w:textAlignment w:val="baseline"/>
        <w:rPr>
          <w:rFonts w:hint="eastAsia" w:ascii="方正小标宋简体" w:hAnsi="方正小标宋简体" w:eastAsia="方正小标宋简体" w:cs="宋体"/>
          <w:color w:val="333333"/>
          <w:kern w:val="0"/>
          <w:sz w:val="44"/>
          <w:szCs w:val="44"/>
        </w:rPr>
      </w:pPr>
      <w:r>
        <w:rPr>
          <w:rFonts w:hint="eastAsia" w:ascii="方正小标宋简体" w:hAnsi="方正小标宋简体" w:eastAsia="方正小标宋简体" w:cs="宋体"/>
          <w:color w:val="333333"/>
          <w:kern w:val="0"/>
          <w:sz w:val="44"/>
          <w:szCs w:val="44"/>
        </w:rPr>
        <w:t> </w:t>
      </w:r>
    </w:p>
    <w:p>
      <w:pPr>
        <w:widowControl/>
        <w:shd w:val="clear" w:color="auto" w:fill="FFFFFF"/>
        <w:spacing w:line="480" w:lineRule="atLeast"/>
        <w:ind w:right="-35"/>
        <w:jc w:val="center"/>
        <w:textAlignment w:val="baseline"/>
        <w:rPr>
          <w:rFonts w:hint="eastAsia" w:ascii="方正小标宋简体" w:hAnsi="方正小标宋简体" w:eastAsia="方正小标宋简体" w:cs="宋体"/>
          <w:color w:val="333333"/>
          <w:kern w:val="0"/>
          <w:sz w:val="44"/>
          <w:szCs w:val="44"/>
        </w:rPr>
      </w:pPr>
      <w:r>
        <w:rPr>
          <w:rFonts w:hint="eastAsia" w:ascii="方正小标宋简体" w:hAnsi="方正小标宋简体" w:eastAsia="方正小标宋简体" w:cs="宋体"/>
          <w:color w:val="333333"/>
          <w:kern w:val="0"/>
          <w:sz w:val="44"/>
          <w:szCs w:val="44"/>
        </w:rPr>
        <w:t>关于养老、托育、家政等社区家庭服务业税费优惠政策的公告</w:t>
      </w:r>
    </w:p>
    <w:p>
      <w:pPr>
        <w:widowControl/>
        <w:shd w:val="clear" w:color="auto" w:fill="FFFFFF"/>
        <w:spacing w:line="480" w:lineRule="atLeast"/>
        <w:ind w:right="-35"/>
        <w:jc w:val="center"/>
        <w:textAlignment w:val="baseline"/>
        <w:rPr>
          <w:rFonts w:hint="eastAsia" w:ascii="方正小标宋简体" w:hAnsi="方正小标宋简体" w:eastAsia="方正小标宋简体" w:cs="宋体"/>
          <w:color w:val="333333"/>
          <w:kern w:val="0"/>
          <w:sz w:val="44"/>
          <w:szCs w:val="44"/>
        </w:rPr>
      </w:pPr>
      <w:r>
        <w:rPr>
          <w:rFonts w:hint="eastAsia" w:ascii="方正小标宋简体" w:hAnsi="方正小标宋简体" w:eastAsia="方正小标宋简体" w:cs="宋体"/>
          <w:color w:val="333333"/>
          <w:kern w:val="0"/>
          <w:sz w:val="44"/>
          <w:szCs w:val="44"/>
        </w:rPr>
        <w:t> </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宋体" w:hAnsi="宋体" w:eastAsia="宋体" w:cs="宋体"/>
          <w:color w:val="333333"/>
          <w:kern w:val="0"/>
          <w:sz w:val="44"/>
          <w:szCs w:val="44"/>
        </w:rPr>
        <w:t>　　</w:t>
      </w:r>
      <w:r>
        <w:rPr>
          <w:rFonts w:hint="eastAsia" w:ascii="仿宋_GB2312" w:hAnsi="方正小标宋简体" w:eastAsia="仿宋_GB2312" w:cs="宋体"/>
          <w:color w:val="333333"/>
          <w:kern w:val="0"/>
          <w:sz w:val="32"/>
          <w:szCs w:val="32"/>
        </w:rPr>
        <w:t>为支持养老、托育、家政等社区家庭服务业发展，现就有关税费政策公告如下：</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一、为社区提供养老、托育、家政等服务的机构，按照以下规定享受税费优惠政策：</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（一）提供社区养老、托育、家政服务取得的收入，免征增值税。</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（二）提供社区养老、托育、家政服务取得的收入，在计算应纳税所得额时，减按90%计入收入总额。</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（三）承受房屋、土地用于提供社区养老、托育、家政服务的，免征契税。</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四）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二、为社区提供养老、托育、家政等服务的机构自有或其通过承租、无偿使用等方式取得并用于提供社区养老、托育、家政服务的房产、土地，免征房产税、城镇土地使用税。</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三、本公告所称社区是指聚居在一定地域范围内的人们所组成的社会生活共同体，包括城市社区和农村社区。</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四、符合下列条件的家政服务企业提供家政服务取得的收入，比照《</w:t>
      </w:r>
      <w:r>
        <w:fldChar w:fldCharType="begin"/>
      </w:r>
      <w:r>
        <w:instrText xml:space="preserve"> HYPERLINK "http://www.shui5.cn/article/21/86653.html" </w:instrText>
      </w:r>
      <w:r>
        <w:fldChar w:fldCharType="separate"/>
      </w:r>
      <w:r>
        <w:rPr>
          <w:rFonts w:hint="eastAsia" w:ascii="仿宋_GB2312" w:hAnsi="方正小标宋简体" w:eastAsia="仿宋_GB2312" w:cs="宋体"/>
          <w:color w:val="0000FF"/>
          <w:kern w:val="0"/>
          <w:sz w:val="32"/>
          <w:szCs w:val="32"/>
          <w:u w:val="single"/>
        </w:rPr>
        <w:t>营业税改征增值税试点过渡政策的规定</w:t>
      </w:r>
      <w:r>
        <w:rPr>
          <w:rFonts w:hint="eastAsia" w:ascii="仿宋_GB2312" w:hAnsi="方正小标宋简体" w:eastAsia="仿宋_GB2312" w:cs="宋体"/>
          <w:color w:val="0000FF"/>
          <w:kern w:val="0"/>
          <w:sz w:val="32"/>
          <w:szCs w:val="32"/>
          <w:u w:val="single"/>
        </w:rPr>
        <w:fldChar w:fldCharType="end"/>
      </w:r>
      <w:r>
        <w:rPr>
          <w:rFonts w:hint="eastAsia" w:ascii="仿宋_GB2312" w:hAnsi="方正小标宋简体" w:eastAsia="仿宋_GB2312" w:cs="宋体"/>
          <w:color w:val="333333"/>
          <w:kern w:val="0"/>
          <w:sz w:val="32"/>
          <w:szCs w:val="32"/>
        </w:rPr>
        <w:t>》（</w:t>
      </w:r>
      <w:r>
        <w:fldChar w:fldCharType="begin"/>
      </w:r>
      <w:r>
        <w:instrText xml:space="preserve"> HYPERLINK "http://www.shui5.cn/article/21/86653.html" </w:instrText>
      </w:r>
      <w:r>
        <w:fldChar w:fldCharType="separate"/>
      </w:r>
      <w:r>
        <w:rPr>
          <w:rFonts w:hint="eastAsia" w:ascii="仿宋_GB2312" w:hAnsi="方正小标宋简体" w:eastAsia="仿宋_GB2312" w:cs="宋体"/>
          <w:color w:val="0000FF"/>
          <w:kern w:val="0"/>
          <w:sz w:val="32"/>
          <w:szCs w:val="32"/>
          <w:u w:val="single"/>
        </w:rPr>
        <w:t>财税〔2016〕36号附件</w:t>
      </w:r>
      <w:r>
        <w:rPr>
          <w:rFonts w:hint="eastAsia" w:ascii="仿宋_GB2312" w:hAnsi="方正小标宋简体" w:eastAsia="仿宋_GB2312" w:cs="宋体"/>
          <w:color w:val="0000FF"/>
          <w:kern w:val="0"/>
          <w:sz w:val="32"/>
          <w:szCs w:val="32"/>
          <w:u w:val="single"/>
        </w:rPr>
        <w:fldChar w:fldCharType="end"/>
      </w:r>
      <w:r>
        <w:rPr>
          <w:rFonts w:hint="eastAsia" w:ascii="仿宋_GB2312" w:hAnsi="方正小标宋简体" w:eastAsia="仿宋_GB2312" w:cs="宋体"/>
          <w:color w:val="333333"/>
          <w:kern w:val="0"/>
          <w:sz w:val="32"/>
          <w:szCs w:val="32"/>
        </w:rPr>
        <w:t>）第一条第（三十一）项规定，免征增值税。</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（一）与家政服务员、接受家政服务的客户就提供家政服务行为签订三方协议；</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（二）向家政服务员发放劳动报酬，并对家政服务员进行培训管理；</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（三）通过建立业务管理系统对家政服务员进行登记管理。</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五、财政、税费征收机关可根据工作需要与民政、卫生健康、商务等部门建立信息共享和工作配合机制，民政、卫生健康、商务等部门应积极协同配合，保障优惠政策落实到位。</w:t>
      </w:r>
    </w:p>
    <w:p>
      <w:pPr>
        <w:widowControl/>
        <w:shd w:val="clear" w:color="auto" w:fill="FFFFFF"/>
        <w:wordWrap w:val="0"/>
        <w:spacing w:line="540" w:lineRule="atLeast"/>
        <w:jc w:val="lef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　　六、本公告自2019年6月1日起执行至2025年12月31日。</w:t>
      </w:r>
    </w:p>
    <w:p>
      <w:pPr>
        <w:widowControl/>
        <w:shd w:val="clear" w:color="auto" w:fill="FFFFFF"/>
        <w:wordWrap w:val="0"/>
        <w:spacing w:line="540" w:lineRule="atLeast"/>
        <w:jc w:val="righ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财政部</w:t>
      </w:r>
    </w:p>
    <w:p>
      <w:pPr>
        <w:widowControl/>
        <w:shd w:val="clear" w:color="auto" w:fill="FFFFFF"/>
        <w:wordWrap w:val="0"/>
        <w:spacing w:line="540" w:lineRule="atLeast"/>
        <w:jc w:val="righ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税务总局</w:t>
      </w:r>
    </w:p>
    <w:p>
      <w:pPr>
        <w:widowControl/>
        <w:shd w:val="clear" w:color="auto" w:fill="FFFFFF"/>
        <w:wordWrap w:val="0"/>
        <w:spacing w:line="540" w:lineRule="atLeast"/>
        <w:jc w:val="righ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发展改革委</w:t>
      </w:r>
    </w:p>
    <w:p>
      <w:pPr>
        <w:widowControl/>
        <w:shd w:val="clear" w:color="auto" w:fill="FFFFFF"/>
        <w:wordWrap w:val="0"/>
        <w:spacing w:line="540" w:lineRule="atLeast"/>
        <w:jc w:val="righ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民政部</w:t>
      </w:r>
    </w:p>
    <w:p>
      <w:pPr>
        <w:widowControl/>
        <w:shd w:val="clear" w:color="auto" w:fill="FFFFFF"/>
        <w:wordWrap w:val="0"/>
        <w:spacing w:line="540" w:lineRule="atLeast"/>
        <w:jc w:val="righ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商务部</w:t>
      </w:r>
    </w:p>
    <w:p>
      <w:pPr>
        <w:widowControl/>
        <w:shd w:val="clear" w:color="auto" w:fill="FFFFFF"/>
        <w:wordWrap w:val="0"/>
        <w:spacing w:line="540" w:lineRule="atLeast"/>
        <w:jc w:val="right"/>
        <w:rPr>
          <w:rFonts w:hint="eastAsia" w:ascii="方正小标宋简体" w:hAnsi="方正小标宋简体" w:eastAsia="方正小标宋简体" w:cs="宋体"/>
          <w:color w:val="333333"/>
          <w:kern w:val="0"/>
          <w:sz w:val="44"/>
          <w:szCs w:val="44"/>
        </w:rPr>
      </w:pPr>
      <w:r>
        <w:rPr>
          <w:rFonts w:hint="eastAsia" w:ascii="仿宋_GB2312" w:hAnsi="方正小标宋简体" w:eastAsia="仿宋_GB2312" w:cs="宋体"/>
          <w:color w:val="333333"/>
          <w:kern w:val="0"/>
          <w:sz w:val="32"/>
          <w:szCs w:val="32"/>
        </w:rPr>
        <w:t>卫生健康委</w:t>
      </w:r>
    </w:p>
    <w:p>
      <w:pPr>
        <w:widowControl/>
        <w:shd w:val="clear" w:color="auto" w:fill="FFFFFF"/>
        <w:wordWrap w:val="0"/>
        <w:spacing w:line="540" w:lineRule="atLeast"/>
        <w:jc w:val="right"/>
        <w:rPr>
          <w:rFonts w:hint="eastAsia" w:ascii="方正小标宋简体" w:hAnsi="方正小标宋简体" w:eastAsia="方正小标宋简体" w:cs="宋体"/>
          <w:color w:val="333333"/>
          <w:kern w:val="0"/>
          <w:sz w:val="44"/>
          <w:szCs w:val="44"/>
        </w:rPr>
      </w:pPr>
      <w:bookmarkStart w:id="0" w:name="_GoBack"/>
      <w:r>
        <w:rPr>
          <w:rFonts w:hint="eastAsia" w:ascii="仿宋_GB2312" w:hAnsi="方正小标宋简体" w:eastAsia="仿宋_GB2312" w:cs="宋体"/>
          <w:color w:val="333333"/>
          <w:kern w:val="0"/>
          <w:sz w:val="32"/>
          <w:szCs w:val="32"/>
        </w:rPr>
        <w:t>2019年6月28日</w:t>
      </w:r>
    </w:p>
    <w:bookmarkEnd w:id="0"/>
    <w:p>
      <w:pPr>
        <w:widowControl/>
        <w:shd w:val="clear" w:color="auto" w:fill="FFFFFF"/>
        <w:spacing w:line="540" w:lineRule="atLeast"/>
        <w:jc w:val="left"/>
        <w:rPr>
          <w:rFonts w:hint="eastAsia" w:ascii="方正小标宋简体" w:hAnsi="方正小标宋简体" w:eastAsia="方正小标宋简体" w:cs="宋体"/>
          <w:color w:val="333333"/>
          <w:kern w:val="0"/>
          <w:sz w:val="44"/>
          <w:szCs w:val="44"/>
        </w:rPr>
      </w:pPr>
      <w:r>
        <w:rPr>
          <w:rFonts w:hint="eastAsia" w:ascii="方正小标宋简体" w:hAnsi="方正小标宋简体" w:eastAsia="方正小标宋简体" w:cs="宋体"/>
          <w:color w:val="333333"/>
          <w:kern w:val="0"/>
          <w:sz w:val="44"/>
          <w:szCs w:val="4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roma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23"/>
    <w:rsid w:val="002C4F23"/>
    <w:rsid w:val="00BA14B3"/>
    <w:rsid w:val="7BF3D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198</Words>
  <Characters>1132</Characters>
  <Lines>9</Lines>
  <Paragraphs>2</Paragraphs>
  <TotalTime>2</TotalTime>
  <ScaleCrop>false</ScaleCrop>
  <LinksUpToDate>false</LinksUpToDate>
  <CharactersWithSpaces>1328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2021-09-28T17:27:00Z</dcterms:created>
  <dc:creator>Windows User</dc:creator>
  <cp:lastModifiedBy>thtf</cp:lastModifiedBy>
  <dcterms:modified xsi:type="dcterms:W3CDTF">2021-10-11T09:47:05Z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