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3FF33">
      <w:pPr>
        <w:pStyle w:val="45"/>
        <w:spacing w:before="0" w:beforeLines="0" w:line="700" w:lineRule="exact"/>
        <w:ind w:firstLine="640"/>
        <w:rPr>
          <w:rFonts w:ascii="方正书宋_GBK" w:eastAsia="方正书宋_GBK"/>
          <w:spacing w:val="0"/>
        </w:rPr>
      </w:pPr>
      <w:bookmarkStart w:id="148" w:name="_GoBack"/>
      <w:bookmarkEnd w:id="148"/>
    </w:p>
    <w:p w14:paraId="4D8701A7">
      <w:pPr>
        <w:pStyle w:val="45"/>
        <w:spacing w:before="0" w:beforeLines="0" w:line="700" w:lineRule="exact"/>
        <w:ind w:firstLine="640"/>
        <w:rPr>
          <w:rFonts w:ascii="方正书宋_GBK" w:eastAsia="方正书宋_GBK"/>
          <w:spacing w:val="0"/>
        </w:rPr>
      </w:pPr>
    </w:p>
    <w:p w14:paraId="29AF9093">
      <w:pPr>
        <w:pStyle w:val="45"/>
        <w:spacing w:before="0" w:beforeLines="0" w:line="700" w:lineRule="exact"/>
        <w:ind w:firstLine="640"/>
        <w:rPr>
          <w:rFonts w:ascii="方正书宋_GBK" w:eastAsia="方正书宋_GBK"/>
          <w:spacing w:val="0"/>
        </w:rPr>
      </w:pPr>
    </w:p>
    <w:p w14:paraId="5907F6BD">
      <w:pPr>
        <w:suppressAutoHyphens/>
        <w:overflowPunct w:val="0"/>
        <w:spacing w:line="800" w:lineRule="exact"/>
        <w:ind w:firstLine="0" w:firstLineChars="0"/>
        <w:jc w:val="center"/>
        <w:rPr>
          <w:rFonts w:hint="eastAsia" w:eastAsia="方正小标宋_GBK" w:cs="Times New Roman"/>
          <w:spacing w:val="-10"/>
          <w:kern w:val="0"/>
          <w:sz w:val="60"/>
          <w:szCs w:val="60"/>
          <w:lang w:eastAsia="zh-CN"/>
        </w:rPr>
      </w:pPr>
      <w:bookmarkStart w:id="0" w:name="_Toc78216070"/>
      <w:bookmarkStart w:id="1" w:name="_Toc81242775"/>
      <w:bookmarkStart w:id="2" w:name="_Toc72491266"/>
      <w:bookmarkStart w:id="3" w:name="_Toc76982108"/>
      <w:bookmarkStart w:id="4" w:name="_Toc71382086"/>
      <w:bookmarkStart w:id="5" w:name="_Toc71218409"/>
      <w:bookmarkStart w:id="6" w:name="_Toc75433530"/>
      <w:bookmarkStart w:id="7" w:name="_Toc71221019"/>
      <w:bookmarkStart w:id="8" w:name="_Toc74122807"/>
      <w:bookmarkStart w:id="9" w:name="_Toc71736113"/>
      <w:bookmarkStart w:id="10" w:name="_Toc71218557"/>
      <w:bookmarkStart w:id="11" w:name="_Toc80388601"/>
      <w:bookmarkStart w:id="12" w:name="_Toc73032747"/>
      <w:bookmarkStart w:id="13" w:name="_Toc71820400"/>
      <w:bookmarkStart w:id="14" w:name="_Toc72162004"/>
      <w:bookmarkStart w:id="15" w:name="_Toc81242606"/>
      <w:r>
        <w:rPr>
          <w:rFonts w:hint="eastAsia" w:eastAsia="方正小标宋_GBK" w:cs="Times New Roman"/>
          <w:spacing w:val="-10"/>
          <w:kern w:val="0"/>
          <w:sz w:val="60"/>
          <w:szCs w:val="60"/>
        </w:rPr>
        <w:t>湖北省国土空间生态修复规划</w:t>
      </w:r>
    </w:p>
    <w:p w14:paraId="492802AA">
      <w:pPr>
        <w:suppressAutoHyphens/>
        <w:overflowPunct w:val="0"/>
        <w:spacing w:line="800" w:lineRule="exact"/>
        <w:ind w:firstLine="0" w:firstLineChars="0"/>
        <w:jc w:val="center"/>
        <w:rPr>
          <w:rFonts w:eastAsia="方正小标宋_GBK" w:cs="Times New Roman"/>
          <w:spacing w:val="-10"/>
          <w:kern w:val="0"/>
          <w:sz w:val="60"/>
          <w:szCs w:val="60"/>
        </w:rPr>
      </w:pPr>
      <w:r>
        <w:rPr>
          <w:rFonts w:hint="eastAsia" w:eastAsia="方正小标宋_GBK" w:cs="Times New Roman"/>
          <w:spacing w:val="-10"/>
          <w:kern w:val="0"/>
          <w:sz w:val="60"/>
          <w:szCs w:val="60"/>
        </w:rPr>
        <w:t>（</w:t>
      </w:r>
      <w:r>
        <w:rPr>
          <w:rFonts w:eastAsia="方正小标宋_GBK" w:cs="Times New Roman"/>
          <w:spacing w:val="-10"/>
          <w:kern w:val="0"/>
          <w:sz w:val="60"/>
          <w:szCs w:val="60"/>
        </w:rPr>
        <w:t>2021-2035</w:t>
      </w:r>
      <w:r>
        <w:rPr>
          <w:rFonts w:hint="eastAsia" w:eastAsia="方正小标宋_GBK" w:cs="Times New Roman"/>
          <w:spacing w:val="-10"/>
          <w:kern w:val="0"/>
          <w:sz w:val="60"/>
          <w:szCs w:val="60"/>
        </w:rPr>
        <w:t>年）</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38254C51">
      <w:pPr>
        <w:pStyle w:val="45"/>
        <w:suppressAutoHyphens/>
        <w:spacing w:before="0" w:beforeLines="0" w:line="240" w:lineRule="auto"/>
        <w:ind w:firstLine="640"/>
        <w:rPr>
          <w:spacing w:val="0"/>
        </w:rPr>
      </w:pPr>
    </w:p>
    <w:p w14:paraId="0DDB5DD9">
      <w:pPr>
        <w:pStyle w:val="45"/>
        <w:suppressAutoHyphens/>
        <w:spacing w:before="0" w:beforeLines="0" w:line="240" w:lineRule="auto"/>
        <w:ind w:firstLine="640"/>
        <w:rPr>
          <w:spacing w:val="0"/>
        </w:rPr>
      </w:pPr>
    </w:p>
    <w:p w14:paraId="071A01CD">
      <w:pPr>
        <w:pStyle w:val="45"/>
        <w:suppressAutoHyphens/>
        <w:spacing w:before="0" w:beforeLines="0" w:line="240" w:lineRule="auto"/>
        <w:ind w:firstLine="640"/>
        <w:rPr>
          <w:spacing w:val="0"/>
        </w:rPr>
      </w:pPr>
    </w:p>
    <w:p w14:paraId="34D5E65E">
      <w:pPr>
        <w:pStyle w:val="45"/>
        <w:suppressAutoHyphens/>
        <w:spacing w:before="0" w:beforeLines="0" w:line="240" w:lineRule="auto"/>
        <w:ind w:firstLine="640"/>
        <w:rPr>
          <w:spacing w:val="0"/>
        </w:rPr>
      </w:pPr>
    </w:p>
    <w:p w14:paraId="35DAA29D">
      <w:pPr>
        <w:pStyle w:val="45"/>
        <w:suppressAutoHyphens/>
        <w:spacing w:before="0" w:beforeLines="0" w:line="240" w:lineRule="auto"/>
        <w:ind w:firstLine="640"/>
        <w:rPr>
          <w:spacing w:val="0"/>
        </w:rPr>
      </w:pPr>
    </w:p>
    <w:p w14:paraId="7EA69404">
      <w:pPr>
        <w:pStyle w:val="45"/>
        <w:suppressAutoHyphens/>
        <w:spacing w:before="0" w:beforeLines="0" w:line="240" w:lineRule="auto"/>
        <w:ind w:firstLine="640"/>
        <w:rPr>
          <w:spacing w:val="0"/>
        </w:rPr>
      </w:pPr>
    </w:p>
    <w:p w14:paraId="7E17032B">
      <w:pPr>
        <w:pStyle w:val="45"/>
        <w:suppressAutoHyphens/>
        <w:spacing w:before="0" w:beforeLines="0" w:line="240" w:lineRule="auto"/>
        <w:ind w:firstLine="640"/>
        <w:rPr>
          <w:spacing w:val="0"/>
        </w:rPr>
      </w:pPr>
    </w:p>
    <w:p w14:paraId="0BF21058">
      <w:pPr>
        <w:pStyle w:val="45"/>
        <w:suppressAutoHyphens/>
        <w:spacing w:before="0" w:beforeLines="0" w:line="240" w:lineRule="auto"/>
        <w:ind w:firstLine="640"/>
        <w:rPr>
          <w:spacing w:val="0"/>
        </w:rPr>
      </w:pPr>
    </w:p>
    <w:p w14:paraId="30FEB4D9">
      <w:pPr>
        <w:pStyle w:val="45"/>
        <w:suppressAutoHyphens/>
        <w:spacing w:before="0" w:beforeLines="0" w:line="240" w:lineRule="auto"/>
        <w:ind w:firstLine="640"/>
        <w:rPr>
          <w:spacing w:val="0"/>
        </w:rPr>
      </w:pPr>
    </w:p>
    <w:p w14:paraId="07E169A7">
      <w:pPr>
        <w:pStyle w:val="45"/>
        <w:suppressAutoHyphens/>
        <w:spacing w:before="0" w:beforeLines="0" w:line="240" w:lineRule="auto"/>
        <w:ind w:firstLine="640"/>
        <w:rPr>
          <w:spacing w:val="0"/>
        </w:rPr>
      </w:pPr>
    </w:p>
    <w:p w14:paraId="72284D58">
      <w:pPr>
        <w:pStyle w:val="45"/>
        <w:suppressAutoHyphens/>
        <w:spacing w:before="0" w:beforeLines="0" w:line="240" w:lineRule="auto"/>
        <w:ind w:firstLine="640"/>
        <w:rPr>
          <w:spacing w:val="0"/>
        </w:rPr>
      </w:pPr>
    </w:p>
    <w:p w14:paraId="70DBAB1C">
      <w:pPr>
        <w:pStyle w:val="45"/>
        <w:suppressAutoHyphens/>
        <w:spacing w:before="0" w:beforeLines="0" w:line="240" w:lineRule="auto"/>
        <w:ind w:firstLine="640"/>
        <w:rPr>
          <w:spacing w:val="0"/>
        </w:rPr>
      </w:pPr>
    </w:p>
    <w:p w14:paraId="18AFABD5">
      <w:pPr>
        <w:pStyle w:val="45"/>
        <w:suppressAutoHyphens/>
        <w:spacing w:before="0" w:beforeLines="0" w:line="240" w:lineRule="auto"/>
        <w:ind w:firstLine="640"/>
        <w:rPr>
          <w:spacing w:val="0"/>
        </w:rPr>
      </w:pPr>
    </w:p>
    <w:p w14:paraId="64D69ABD">
      <w:pPr>
        <w:pStyle w:val="45"/>
        <w:suppressAutoHyphens/>
        <w:spacing w:before="0" w:beforeLines="0" w:line="240" w:lineRule="auto"/>
        <w:ind w:firstLine="640"/>
        <w:rPr>
          <w:spacing w:val="0"/>
        </w:rPr>
      </w:pPr>
    </w:p>
    <w:p w14:paraId="74A8BC58">
      <w:pPr>
        <w:pStyle w:val="45"/>
        <w:suppressAutoHyphens/>
        <w:spacing w:before="0" w:beforeLines="0" w:line="240" w:lineRule="auto"/>
        <w:ind w:firstLine="640"/>
        <w:rPr>
          <w:spacing w:val="0"/>
        </w:rPr>
      </w:pPr>
    </w:p>
    <w:p w14:paraId="4E1F622D">
      <w:pPr>
        <w:suppressAutoHyphens/>
        <w:overflowPunct w:val="0"/>
        <w:spacing w:line="240" w:lineRule="auto"/>
        <w:ind w:firstLine="0" w:firstLineChars="0"/>
        <w:jc w:val="center"/>
        <w:rPr>
          <w:rFonts w:eastAsia="楷体_GB2312" w:cs="Times New Roman"/>
          <w:szCs w:val="32"/>
        </w:rPr>
      </w:pPr>
      <w:r>
        <w:rPr>
          <w:rFonts w:hint="eastAsia" w:eastAsia="楷体_GB2312" w:cs="Times New Roman"/>
          <w:szCs w:val="32"/>
        </w:rPr>
        <w:t>湖北省自然资源厅</w:t>
      </w:r>
    </w:p>
    <w:p w14:paraId="31938C52">
      <w:pPr>
        <w:suppressAutoHyphens/>
        <w:spacing w:line="240" w:lineRule="auto"/>
        <w:ind w:firstLine="3360" w:firstLineChars="1050"/>
        <w:jc w:val="left"/>
        <w:rPr>
          <w:rFonts w:asciiTheme="minorEastAsia" w:hAnsiTheme="minorEastAsia"/>
          <w:sz w:val="36"/>
        </w:rPr>
      </w:pPr>
      <w:r>
        <w:rPr>
          <w:rFonts w:hint="eastAsia" w:eastAsia="楷体_GB2312" w:cs="Times New Roman"/>
          <w:szCs w:val="32"/>
          <w:lang w:eastAsia="zh-CN"/>
        </w:rPr>
        <w:t>2022年1月</w:t>
      </w:r>
    </w:p>
    <w:p w14:paraId="7B476B7C">
      <w:pPr>
        <w:suppressAutoHyphens/>
        <w:spacing w:line="480" w:lineRule="auto"/>
        <w:ind w:firstLine="0" w:firstLineChars="0"/>
        <w:jc w:val="center"/>
      </w:pPr>
    </w:p>
    <w:p w14:paraId="227FFA5B">
      <w:pPr>
        <w:suppressAutoHyphens/>
        <w:ind w:firstLine="640"/>
      </w:pPr>
    </w:p>
    <w:p w14:paraId="071690A7">
      <w:pPr>
        <w:widowControl/>
        <w:spacing w:line="240" w:lineRule="auto"/>
        <w:ind w:firstLine="0" w:firstLineChars="0"/>
        <w:jc w:val="left"/>
        <w:rPr>
          <w:rFonts w:cs="Times New Roman"/>
          <w:kern w:val="0"/>
          <w:szCs w:val="32"/>
        </w:rPr>
      </w:pPr>
      <w:bookmarkStart w:id="16" w:name="_Toc74122809"/>
      <w:bookmarkStart w:id="17" w:name="_Toc71820401"/>
      <w:bookmarkStart w:id="18" w:name="_Toc81242607"/>
      <w:bookmarkStart w:id="19" w:name="_Toc71382087"/>
      <w:bookmarkStart w:id="20" w:name="_Toc71221020"/>
      <w:bookmarkStart w:id="21" w:name="_Toc71736114"/>
      <w:bookmarkStart w:id="22" w:name="_Toc74122808"/>
      <w:bookmarkStart w:id="23" w:name="_Toc76982109"/>
      <w:bookmarkStart w:id="24" w:name="_Toc78216071"/>
      <w:bookmarkStart w:id="25" w:name="_Toc81242776"/>
      <w:bookmarkStart w:id="26" w:name="_Toc71218410"/>
      <w:bookmarkStart w:id="27" w:name="_Toc80388602"/>
      <w:bookmarkStart w:id="28" w:name="_Toc71218558"/>
      <w:bookmarkStart w:id="29" w:name="_Toc72491267"/>
      <w:bookmarkStart w:id="30" w:name="_Toc73032748"/>
      <w:bookmarkStart w:id="31" w:name="_Toc75433531"/>
      <w:r>
        <w:br w:type="page"/>
      </w:r>
    </w:p>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14:paraId="319F6060">
      <w:pPr>
        <w:pStyle w:val="15"/>
        <w:tabs>
          <w:tab w:val="right" w:leader="dot" w:pos="8720"/>
        </w:tabs>
        <w:spacing w:line="568" w:lineRule="exact"/>
        <w:ind w:left="640" w:firstLine="640"/>
        <w:rPr>
          <w:rStyle w:val="23"/>
          <w:rFonts w:eastAsia="楷体_GB2312" w:cs="Times New Roman"/>
          <w:smallCaps/>
          <w:color w:val="auto"/>
          <w:szCs w:val="32"/>
          <w:u w:val="none"/>
        </w:rPr>
      </w:pPr>
    </w:p>
    <w:p w14:paraId="45F09DED">
      <w:pPr>
        <w:ind w:firstLine="0" w:firstLineChars="0"/>
        <w:jc w:val="center"/>
        <w:rPr>
          <w:rFonts w:ascii="方正小标宋_GBK" w:eastAsia="方正小标宋_GBK"/>
          <w:color w:val="000000" w:themeColor="text1"/>
          <w:sz w:val="44"/>
          <w:szCs w:val="44"/>
          <w14:textFill>
            <w14:solidFill>
              <w14:schemeClr w14:val="tx1"/>
            </w14:solidFill>
          </w14:textFill>
        </w:rPr>
      </w:pPr>
      <w:r>
        <w:rPr>
          <w:rFonts w:hint="eastAsia" w:ascii="方正小标宋_GBK" w:eastAsia="方正小标宋_GBK"/>
          <w:color w:val="000000" w:themeColor="text1"/>
          <w:sz w:val="44"/>
          <w:szCs w:val="44"/>
          <w14:textFill>
            <w14:solidFill>
              <w14:schemeClr w14:val="tx1"/>
            </w14:solidFill>
          </w14:textFill>
        </w:rPr>
        <w:t>目　　录</w:t>
      </w:r>
    </w:p>
    <w:p w14:paraId="3CD0B671">
      <w:pPr>
        <w:ind w:firstLine="0" w:firstLineChars="0"/>
        <w:jc w:val="center"/>
        <w:rPr>
          <w:rFonts w:ascii="方正小标宋_GBK" w:eastAsia="方正小标宋_GBK"/>
          <w:color w:val="000000" w:themeColor="text1"/>
          <w:sz w:val="44"/>
          <w:szCs w:val="44"/>
          <w14:textFill>
            <w14:solidFill>
              <w14:schemeClr w14:val="tx1"/>
            </w14:solidFill>
          </w14:textFill>
        </w:rPr>
      </w:pPr>
    </w:p>
    <w:p w14:paraId="51FC1390">
      <w:pPr>
        <w:pStyle w:val="13"/>
        <w:tabs>
          <w:tab w:val="right" w:leader="dot" w:pos="8647"/>
          <w:tab w:val="clear" w:pos="8947"/>
        </w:tabs>
        <w:spacing w:line="568" w:lineRule="exact"/>
        <w:ind w:right="-58" w:rightChars="-18"/>
        <w:rPr>
          <w:rFonts w:asciiTheme="minorHAnsi" w:hAnsiTheme="minorHAnsi" w:eastAsiaTheme="minorEastAsia"/>
          <w:sz w:val="21"/>
          <w:szCs w:val="22"/>
        </w:rPr>
      </w:pPr>
      <w:r>
        <w:rPr>
          <w:rStyle w:val="23"/>
          <w:rFonts w:hint="eastAsia" w:hAnsi="Times New Roman" w:eastAsia="楷体_GB2312" w:cs="Times New Roman"/>
          <w:smallCaps/>
          <w:color w:val="auto"/>
          <w:szCs w:val="32"/>
          <w:u w:val="none"/>
        </w:rPr>
        <w:fldChar w:fldCharType="begin"/>
      </w:r>
      <w:r>
        <w:rPr>
          <w:rStyle w:val="23"/>
          <w:rFonts w:hint="eastAsia" w:hAnsi="Times New Roman" w:eastAsia="楷体_GB2312" w:cs="Times New Roman"/>
          <w:smallCaps/>
          <w:color w:val="auto"/>
          <w:szCs w:val="32"/>
          <w:u w:val="none"/>
        </w:rPr>
        <w:instrText xml:space="preserve"> TOC \o "1-2" \h \z \u </w:instrText>
      </w:r>
      <w:r>
        <w:rPr>
          <w:rStyle w:val="23"/>
          <w:rFonts w:hint="eastAsia" w:hAnsi="Times New Roman" w:eastAsia="楷体_GB2312" w:cs="Times New Roman"/>
          <w:smallCaps/>
          <w:color w:val="auto"/>
          <w:szCs w:val="32"/>
          <w:u w:val="none"/>
        </w:rPr>
        <w:fldChar w:fldCharType="separate"/>
      </w:r>
      <w:r>
        <w:fldChar w:fldCharType="begin"/>
      </w:r>
      <w:r>
        <w:instrText xml:space="preserve"> HYPERLINK \l "_Toc87200608" </w:instrText>
      </w:r>
      <w:r>
        <w:fldChar w:fldCharType="separate"/>
      </w:r>
      <w:r>
        <w:rPr>
          <w:rStyle w:val="23"/>
          <w:rFonts w:hint="eastAsia" w:ascii="黑体" w:hAnsi="黑体" w:eastAsia="黑体"/>
        </w:rPr>
        <w:t>前　　言</w:t>
      </w:r>
      <w:r>
        <w:tab/>
      </w:r>
      <w:r>
        <w:fldChar w:fldCharType="begin"/>
      </w:r>
      <w:r>
        <w:instrText xml:space="preserve"> PAGEREF _Toc87200608 \h </w:instrText>
      </w:r>
      <w:r>
        <w:fldChar w:fldCharType="separate"/>
      </w:r>
      <w:r>
        <w:t>1</w:t>
      </w:r>
      <w:r>
        <w:fldChar w:fldCharType="end"/>
      </w:r>
      <w:r>
        <w:fldChar w:fldCharType="end"/>
      </w:r>
    </w:p>
    <w:p w14:paraId="338B1A1B">
      <w:pPr>
        <w:pStyle w:val="13"/>
        <w:tabs>
          <w:tab w:val="right" w:leader="dot" w:pos="8647"/>
          <w:tab w:val="clear" w:pos="8947"/>
        </w:tabs>
        <w:spacing w:line="568" w:lineRule="exact"/>
        <w:ind w:right="-58" w:rightChars="-18"/>
        <w:rPr>
          <w:rFonts w:asciiTheme="minorHAnsi" w:hAnsiTheme="minorHAnsi" w:eastAsiaTheme="minorEastAsia"/>
          <w:sz w:val="21"/>
          <w:szCs w:val="22"/>
        </w:rPr>
      </w:pPr>
      <w:r>
        <w:fldChar w:fldCharType="begin"/>
      </w:r>
      <w:r>
        <w:instrText xml:space="preserve"> HYPERLINK \l "_Toc87200609" </w:instrText>
      </w:r>
      <w:r>
        <w:fldChar w:fldCharType="separate"/>
      </w:r>
      <w:r>
        <w:rPr>
          <w:rStyle w:val="23"/>
          <w:rFonts w:hint="eastAsia" w:ascii="黑体" w:hAnsi="黑体" w:eastAsia="黑体"/>
        </w:rPr>
        <w:t>第一章　规划基础与形势要求</w:t>
      </w:r>
      <w:r>
        <w:tab/>
      </w:r>
      <w:r>
        <w:fldChar w:fldCharType="begin"/>
      </w:r>
      <w:r>
        <w:instrText xml:space="preserve"> PAGEREF _Toc87200609 \h </w:instrText>
      </w:r>
      <w:r>
        <w:fldChar w:fldCharType="separate"/>
      </w:r>
      <w:r>
        <w:t>3</w:t>
      </w:r>
      <w:r>
        <w:fldChar w:fldCharType="end"/>
      </w:r>
      <w:r>
        <w:fldChar w:fldCharType="end"/>
      </w:r>
    </w:p>
    <w:p w14:paraId="0ED235EC">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"_Toc87200610" </w:instrText>
      </w:r>
      <w:r>
        <w:fldChar w:fldCharType="separate"/>
      </w:r>
      <w:r>
        <w:rPr>
          <w:rStyle w:val="23"/>
          <w:rFonts w:hint="eastAsia" w:ascii="楷体_GB2312" w:eastAsia="楷体_GB2312"/>
        </w:rPr>
        <w:t>第一节　自然地理与生态现状</w:t>
      </w:r>
      <w:r>
        <w:tab/>
      </w:r>
      <w:r>
        <w:fldChar w:fldCharType="begin"/>
      </w:r>
      <w:r>
        <w:instrText xml:space="preserve"> PAGEREF _Toc87200610 \h </w:instrText>
      </w:r>
      <w:r>
        <w:fldChar w:fldCharType="separate"/>
      </w:r>
      <w:r>
        <w:t>3</w:t>
      </w:r>
      <w:r>
        <w:fldChar w:fldCharType="end"/>
      </w:r>
      <w:r>
        <w:fldChar w:fldCharType="end"/>
      </w:r>
    </w:p>
    <w:p w14:paraId="18A80458">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"_Toc87200611" </w:instrText>
      </w:r>
      <w:r>
        <w:fldChar w:fldCharType="separate"/>
      </w:r>
      <w:r>
        <w:rPr>
          <w:rStyle w:val="23"/>
          <w:rFonts w:hint="eastAsia" w:ascii="楷体_GB2312" w:eastAsia="楷体_GB2312"/>
        </w:rPr>
        <w:t>第二节　生态修复工作成效</w:t>
      </w:r>
      <w:r>
        <w:tab/>
      </w:r>
      <w:r>
        <w:fldChar w:fldCharType="begin"/>
      </w:r>
      <w:r>
        <w:instrText xml:space="preserve"> PAGEREF _Toc87200611 \h </w:instrText>
      </w:r>
      <w:r>
        <w:fldChar w:fldCharType="separate"/>
      </w:r>
      <w:r>
        <w:t>6</w:t>
      </w:r>
      <w:r>
        <w:fldChar w:fldCharType="end"/>
      </w:r>
      <w:r>
        <w:fldChar w:fldCharType="end"/>
      </w:r>
    </w:p>
    <w:p w14:paraId="5245830D">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"_Toc87200612" </w:instrText>
      </w:r>
      <w:r>
        <w:fldChar w:fldCharType="separate"/>
      </w:r>
      <w:r>
        <w:rPr>
          <w:rStyle w:val="23"/>
          <w:rFonts w:hint="eastAsia" w:ascii="楷体_GB2312" w:eastAsia="楷体_GB2312"/>
        </w:rPr>
        <w:t>第三节　主要问题</w:t>
      </w:r>
      <w:r>
        <w:tab/>
      </w:r>
      <w:r>
        <w:fldChar w:fldCharType="begin"/>
      </w:r>
      <w:r>
        <w:instrText xml:space="preserve"> PAGEREF _Toc87200612 \h </w:instrText>
      </w:r>
      <w:r>
        <w:fldChar w:fldCharType="separate"/>
      </w:r>
      <w:r>
        <w:t>10</w:t>
      </w:r>
      <w:r>
        <w:fldChar w:fldCharType="end"/>
      </w:r>
      <w:r>
        <w:fldChar w:fldCharType="end"/>
      </w:r>
    </w:p>
    <w:p w14:paraId="50DFEBEB">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"_Toc87200613" </w:instrText>
      </w:r>
      <w:r>
        <w:fldChar w:fldCharType="separate"/>
      </w:r>
      <w:r>
        <w:rPr>
          <w:rStyle w:val="23"/>
          <w:rFonts w:hint="eastAsia" w:ascii="楷体_GB2312" w:eastAsia="楷体_GB2312"/>
        </w:rPr>
        <w:t>第四节　机遇与挑战</w:t>
      </w:r>
      <w:r>
        <w:tab/>
      </w:r>
      <w:r>
        <w:fldChar w:fldCharType="begin"/>
      </w:r>
      <w:r>
        <w:instrText xml:space="preserve"> PAGEREF _Toc87200613 \h </w:instrText>
      </w:r>
      <w:r>
        <w:fldChar w:fldCharType="separate"/>
      </w:r>
      <w:r>
        <w:t>16</w:t>
      </w:r>
      <w:r>
        <w:fldChar w:fldCharType="end"/>
      </w:r>
      <w:r>
        <w:fldChar w:fldCharType="end"/>
      </w:r>
    </w:p>
    <w:p w14:paraId="5D05C1CB">
      <w:pPr>
        <w:pStyle w:val="13"/>
        <w:tabs>
          <w:tab w:val="right" w:leader="dot" w:pos="8647"/>
          <w:tab w:val="clear" w:pos="8947"/>
        </w:tabs>
        <w:spacing w:line="568" w:lineRule="exact"/>
        <w:ind w:right="-58" w:rightChars="-18"/>
        <w:rPr>
          <w:rFonts w:asciiTheme="minorHAnsi" w:hAnsiTheme="minorHAnsi" w:eastAsiaTheme="minorEastAsia"/>
          <w:sz w:val="21"/>
          <w:szCs w:val="22"/>
        </w:rPr>
      </w:pPr>
      <w:r>
        <w:fldChar w:fldCharType="begin"/>
      </w:r>
      <w:r>
        <w:instrText xml:space="preserve"> HYPERLINK \l "_Toc87200614" </w:instrText>
      </w:r>
      <w:r>
        <w:fldChar w:fldCharType="separate"/>
      </w:r>
      <w:r>
        <w:rPr>
          <w:rStyle w:val="23"/>
          <w:rFonts w:hint="eastAsia" w:ascii="黑体" w:hAnsi="黑体" w:eastAsia="黑体"/>
        </w:rPr>
        <w:t>第二章　总体要求与规划目标</w:t>
      </w:r>
      <w:r>
        <w:tab/>
      </w:r>
      <w:r>
        <w:fldChar w:fldCharType="begin"/>
      </w:r>
      <w:r>
        <w:instrText xml:space="preserve"> PAGEREF _Toc87200614 \h </w:instrText>
      </w:r>
      <w:r>
        <w:fldChar w:fldCharType="separate"/>
      </w:r>
      <w:r>
        <w:t>22</w:t>
      </w:r>
      <w:r>
        <w:fldChar w:fldCharType="end"/>
      </w:r>
      <w:r>
        <w:fldChar w:fldCharType="end"/>
      </w:r>
    </w:p>
    <w:p w14:paraId="1B1FF46A">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"_Toc87200615" </w:instrText>
      </w:r>
      <w:r>
        <w:fldChar w:fldCharType="separate"/>
      </w:r>
      <w:r>
        <w:rPr>
          <w:rStyle w:val="23"/>
          <w:rFonts w:hint="eastAsia" w:ascii="楷体_GB2312" w:eastAsia="楷体_GB2312"/>
        </w:rPr>
        <w:t>第一节　指导思想</w:t>
      </w:r>
      <w:r>
        <w:tab/>
      </w:r>
      <w:r>
        <w:fldChar w:fldCharType="begin"/>
      </w:r>
      <w:r>
        <w:instrText xml:space="preserve"> PAGEREF _Toc87200615 \h </w:instrText>
      </w:r>
      <w:r>
        <w:fldChar w:fldCharType="separate"/>
      </w:r>
      <w:r>
        <w:t>22</w:t>
      </w:r>
      <w:r>
        <w:fldChar w:fldCharType="end"/>
      </w:r>
      <w:r>
        <w:fldChar w:fldCharType="end"/>
      </w:r>
    </w:p>
    <w:p w14:paraId="6D093FA2">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"_Toc87200616" </w:instrText>
      </w:r>
      <w:r>
        <w:fldChar w:fldCharType="separate"/>
      </w:r>
      <w:r>
        <w:rPr>
          <w:rStyle w:val="23"/>
          <w:rFonts w:hint="eastAsia" w:ascii="楷体_GB2312" w:eastAsia="楷体_GB2312"/>
        </w:rPr>
        <w:t>第二节　基本原则</w:t>
      </w:r>
      <w:r>
        <w:tab/>
      </w:r>
      <w:r>
        <w:fldChar w:fldCharType="begin"/>
      </w:r>
      <w:r>
        <w:instrText xml:space="preserve"> PAGEREF _Toc87200616 \h </w:instrText>
      </w:r>
      <w:r>
        <w:fldChar w:fldCharType="separate"/>
      </w:r>
      <w:r>
        <w:t>23</w:t>
      </w:r>
      <w:r>
        <w:fldChar w:fldCharType="end"/>
      </w:r>
      <w:r>
        <w:fldChar w:fldCharType="end"/>
      </w:r>
    </w:p>
    <w:p w14:paraId="7F1BD849">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"_Toc87200617" </w:instrText>
      </w:r>
      <w:r>
        <w:fldChar w:fldCharType="separate"/>
      </w:r>
      <w:r>
        <w:rPr>
          <w:rStyle w:val="23"/>
          <w:rFonts w:hint="eastAsia" w:ascii="楷体_GB2312" w:eastAsia="楷体_GB2312"/>
        </w:rPr>
        <w:t>第三节　规划目标</w:t>
      </w:r>
      <w:r>
        <w:tab/>
      </w:r>
      <w:r>
        <w:fldChar w:fldCharType="begin"/>
      </w:r>
      <w:r>
        <w:instrText xml:space="preserve"> PAGEREF _Toc87200617 \h </w:instrText>
      </w:r>
      <w:r>
        <w:fldChar w:fldCharType="separate"/>
      </w:r>
      <w:r>
        <w:t>24</w:t>
      </w:r>
      <w:r>
        <w:fldChar w:fldCharType="end"/>
      </w:r>
      <w:r>
        <w:fldChar w:fldCharType="end"/>
      </w:r>
    </w:p>
    <w:p w14:paraId="11622E1B">
      <w:pPr>
        <w:pStyle w:val="13"/>
        <w:tabs>
          <w:tab w:val="right" w:leader="dot" w:pos="8647"/>
          <w:tab w:val="clear" w:pos="8947"/>
        </w:tabs>
        <w:spacing w:line="568" w:lineRule="exact"/>
        <w:ind w:right="-58" w:rightChars="-18"/>
        <w:rPr>
          <w:rFonts w:asciiTheme="minorHAnsi" w:hAnsiTheme="minorHAnsi" w:eastAsiaTheme="minorEastAsia"/>
          <w:sz w:val="21"/>
          <w:szCs w:val="22"/>
        </w:rPr>
      </w:pPr>
      <w:r>
        <w:fldChar w:fldCharType="begin"/>
      </w:r>
      <w:r>
        <w:instrText xml:space="preserve"> HYPERLINK \l "_Toc87200618" </w:instrText>
      </w:r>
      <w:r>
        <w:fldChar w:fldCharType="separate"/>
      </w:r>
      <w:r>
        <w:rPr>
          <w:rStyle w:val="23"/>
          <w:rFonts w:hint="eastAsia" w:ascii="黑体" w:hAnsi="黑体" w:eastAsia="黑体"/>
        </w:rPr>
        <w:t>第三章　生态修复布局与分区</w:t>
      </w:r>
      <w:r>
        <w:tab/>
      </w:r>
      <w:r>
        <w:fldChar w:fldCharType="begin"/>
      </w:r>
      <w:r>
        <w:instrText xml:space="preserve"> PAGEREF _Toc87200618 \h </w:instrText>
      </w:r>
      <w:r>
        <w:fldChar w:fldCharType="separate"/>
      </w:r>
      <w:r>
        <w:t>26</w:t>
      </w:r>
      <w:r>
        <w:fldChar w:fldCharType="end"/>
      </w:r>
      <w:r>
        <w:fldChar w:fldCharType="end"/>
      </w:r>
    </w:p>
    <w:p w14:paraId="17BF9C8B">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"_Toc87200619" </w:instrText>
      </w:r>
      <w:r>
        <w:fldChar w:fldCharType="separate"/>
      </w:r>
      <w:r>
        <w:rPr>
          <w:rStyle w:val="23"/>
          <w:rFonts w:hint="eastAsia" w:ascii="楷体_GB2312" w:eastAsia="楷体_GB2312"/>
        </w:rPr>
        <w:t>第一节　构建生态修复总体布局</w:t>
      </w:r>
      <w:r>
        <w:tab/>
      </w:r>
      <w:r>
        <w:fldChar w:fldCharType="begin"/>
      </w:r>
      <w:r>
        <w:instrText xml:space="preserve"> PAGEREF _Toc87200619 \h </w:instrText>
      </w:r>
      <w:r>
        <w:fldChar w:fldCharType="separate"/>
      </w:r>
      <w:r>
        <w:t>26</w:t>
      </w:r>
      <w:r>
        <w:fldChar w:fldCharType="end"/>
      </w:r>
      <w:r>
        <w:fldChar w:fldCharType="end"/>
      </w:r>
    </w:p>
    <w:p w14:paraId="303293EB">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"_Toc87200620" </w:instrText>
      </w:r>
      <w:r>
        <w:fldChar w:fldCharType="separate"/>
      </w:r>
      <w:r>
        <w:rPr>
          <w:rStyle w:val="23"/>
          <w:rFonts w:hint="eastAsia" w:ascii="楷体_GB2312" w:eastAsia="楷体_GB2312"/>
        </w:rPr>
        <w:t>第二节　划定八大生态修复分区</w:t>
      </w:r>
      <w:r>
        <w:tab/>
      </w:r>
      <w:r>
        <w:fldChar w:fldCharType="begin"/>
      </w:r>
      <w:r>
        <w:instrText xml:space="preserve"> PAGEREF _Toc87200620 \h </w:instrText>
      </w:r>
      <w:r>
        <w:fldChar w:fldCharType="separate"/>
      </w:r>
      <w:r>
        <w:t>29</w:t>
      </w:r>
      <w:r>
        <w:fldChar w:fldCharType="end"/>
      </w:r>
      <w:r>
        <w:fldChar w:fldCharType="end"/>
      </w:r>
    </w:p>
    <w:p w14:paraId="4BA59276">
      <w:pPr>
        <w:pStyle w:val="13"/>
        <w:tabs>
          <w:tab w:val="right" w:leader="dot" w:pos="8647"/>
          <w:tab w:val="clear" w:pos="8947"/>
        </w:tabs>
        <w:spacing w:line="568" w:lineRule="exact"/>
        <w:ind w:right="-58" w:rightChars="-18"/>
        <w:rPr>
          <w:rFonts w:asciiTheme="minorHAnsi" w:hAnsiTheme="minorHAnsi" w:eastAsiaTheme="minorEastAsia"/>
          <w:sz w:val="21"/>
          <w:szCs w:val="22"/>
        </w:rPr>
      </w:pPr>
      <w:r>
        <w:fldChar w:fldCharType="begin"/>
      </w:r>
      <w:r>
        <w:instrText xml:space="preserve"> HYPERLINK \l "_Toc87200621" </w:instrText>
      </w:r>
      <w:r>
        <w:fldChar w:fldCharType="separate"/>
      </w:r>
      <w:r>
        <w:rPr>
          <w:rStyle w:val="23"/>
          <w:rFonts w:hint="eastAsia" w:ascii="黑体" w:hAnsi="黑体" w:eastAsia="黑体"/>
        </w:rPr>
        <w:t>第四章　荆楚特色生态廊道建设</w:t>
      </w:r>
      <w:r>
        <w:tab/>
      </w:r>
      <w:r>
        <w:fldChar w:fldCharType="begin"/>
      </w:r>
      <w:r>
        <w:instrText xml:space="preserve"> PAGEREF _Toc87200621 \h </w:instrText>
      </w:r>
      <w:r>
        <w:fldChar w:fldCharType="separate"/>
      </w:r>
      <w:r>
        <w:t>40</w:t>
      </w:r>
      <w:r>
        <w:fldChar w:fldCharType="end"/>
      </w:r>
      <w:r>
        <w:fldChar w:fldCharType="end"/>
      </w:r>
    </w:p>
    <w:p w14:paraId="43B5CDE0">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"_Toc87200622" </w:instrText>
      </w:r>
      <w:r>
        <w:fldChar w:fldCharType="separate"/>
      </w:r>
      <w:r>
        <w:rPr>
          <w:rStyle w:val="23"/>
          <w:rFonts w:hint="eastAsia" w:ascii="楷体_GB2312" w:eastAsia="楷体_GB2312"/>
        </w:rPr>
        <w:t>第一节　全面推进“三江”主廊道建设</w:t>
      </w:r>
      <w:r>
        <w:tab/>
      </w:r>
      <w:r>
        <w:fldChar w:fldCharType="begin"/>
      </w:r>
      <w:r>
        <w:instrText xml:space="preserve"> PAGEREF _Toc87200622 \h </w:instrText>
      </w:r>
      <w:r>
        <w:fldChar w:fldCharType="separate"/>
      </w:r>
      <w:r>
        <w:t>40</w:t>
      </w:r>
      <w:r>
        <w:fldChar w:fldCharType="end"/>
      </w:r>
      <w:r>
        <w:fldChar w:fldCharType="end"/>
      </w:r>
    </w:p>
    <w:p w14:paraId="52D949DE">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"_Toc87200623" </w:instrText>
      </w:r>
      <w:r>
        <w:fldChar w:fldCharType="separate"/>
      </w:r>
      <w:r>
        <w:rPr>
          <w:rStyle w:val="23"/>
          <w:rFonts w:hint="eastAsia" w:ascii="楷体_GB2312" w:eastAsia="楷体_GB2312"/>
        </w:rPr>
        <w:t>第二节　加强骨干廊道与荆楚古道建设</w:t>
      </w:r>
      <w:r>
        <w:tab/>
      </w:r>
      <w:r>
        <w:fldChar w:fldCharType="begin"/>
      </w:r>
      <w:r>
        <w:instrText xml:space="preserve"> PAGEREF _Toc87200623 \h </w:instrText>
      </w:r>
      <w:r>
        <w:fldChar w:fldCharType="separate"/>
      </w:r>
      <w:r>
        <w:t>41</w:t>
      </w:r>
      <w:r>
        <w:fldChar w:fldCharType="end"/>
      </w:r>
      <w:r>
        <w:fldChar w:fldCharType="end"/>
      </w:r>
    </w:p>
    <w:p w14:paraId="5C430508">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"_Toc87200624" </w:instrText>
      </w:r>
      <w:r>
        <w:fldChar w:fldCharType="separate"/>
      </w:r>
      <w:r>
        <w:rPr>
          <w:rStyle w:val="23"/>
          <w:rFonts w:hint="eastAsia" w:ascii="楷体_GB2312" w:eastAsia="楷体_GB2312"/>
        </w:rPr>
        <w:t>第三节　逐步推进湖库等重点区域廊道建设</w:t>
      </w:r>
      <w:r>
        <w:tab/>
      </w:r>
      <w:r>
        <w:fldChar w:fldCharType="begin"/>
      </w:r>
      <w:r>
        <w:instrText xml:space="preserve"> PAGEREF _Toc87200624 \h </w:instrText>
      </w:r>
      <w:r>
        <w:fldChar w:fldCharType="separate"/>
      </w:r>
      <w:r>
        <w:t>43</w:t>
      </w:r>
      <w:r>
        <w:fldChar w:fldCharType="end"/>
      </w:r>
      <w:r>
        <w:fldChar w:fldCharType="end"/>
      </w:r>
    </w:p>
    <w:p w14:paraId="163A36B4">
      <w:pPr>
        <w:pStyle w:val="13"/>
        <w:tabs>
          <w:tab w:val="right" w:leader="dot" w:pos="8647"/>
          <w:tab w:val="clear" w:pos="8947"/>
        </w:tabs>
        <w:spacing w:line="568" w:lineRule="exact"/>
        <w:ind w:right="-58" w:rightChars="-18"/>
        <w:rPr>
          <w:rFonts w:asciiTheme="minorHAnsi" w:hAnsiTheme="minorHAnsi" w:eastAsiaTheme="minorEastAsia"/>
          <w:sz w:val="21"/>
          <w:szCs w:val="22"/>
        </w:rPr>
      </w:pPr>
      <w:r>
        <w:fldChar w:fldCharType="begin"/>
      </w:r>
      <w:r>
        <w:instrText xml:space="preserve"> HYPERLINK \l "_Toc87200625" </w:instrText>
      </w:r>
      <w:r>
        <w:fldChar w:fldCharType="separate"/>
      </w:r>
      <w:r>
        <w:rPr>
          <w:rStyle w:val="23"/>
          <w:rFonts w:hint="eastAsia" w:ascii="黑体" w:hAnsi="黑体" w:eastAsia="黑体"/>
        </w:rPr>
        <w:t>第五章　重点任务与重点工程</w:t>
      </w:r>
      <w:r>
        <w:tab/>
      </w:r>
      <w:r>
        <w:fldChar w:fldCharType="begin"/>
      </w:r>
      <w:r>
        <w:instrText xml:space="preserve"> PAGEREF _Toc87200625 \h </w:instrText>
      </w:r>
      <w:r>
        <w:fldChar w:fldCharType="separate"/>
      </w:r>
      <w:r>
        <w:t>45</w:t>
      </w:r>
      <w:r>
        <w:fldChar w:fldCharType="end"/>
      </w:r>
      <w:r>
        <w:fldChar w:fldCharType="end"/>
      </w:r>
    </w:p>
    <w:p w14:paraId="1734DB20">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"_Toc87200626" </w:instrText>
      </w:r>
      <w:r>
        <w:fldChar w:fldCharType="separate"/>
      </w:r>
      <w:r>
        <w:rPr>
          <w:rStyle w:val="23"/>
          <w:rFonts w:hint="eastAsia" w:ascii="楷体_GB2312" w:eastAsia="楷体_GB2312"/>
        </w:rPr>
        <w:t>第一节　部署生态修复重点任务</w:t>
      </w:r>
      <w:r>
        <w:tab/>
      </w:r>
      <w:r>
        <w:fldChar w:fldCharType="begin"/>
      </w:r>
      <w:r>
        <w:instrText xml:space="preserve"> PAGEREF _Toc87200626 \h </w:instrText>
      </w:r>
      <w:r>
        <w:fldChar w:fldCharType="separate"/>
      </w:r>
      <w:r>
        <w:t>45</w:t>
      </w:r>
      <w:r>
        <w:fldChar w:fldCharType="end"/>
      </w:r>
      <w:r>
        <w:fldChar w:fldCharType="end"/>
      </w:r>
    </w:p>
    <w:p w14:paraId="712AB0D0">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"_Toc87200627" </w:instrText>
      </w:r>
      <w:r>
        <w:fldChar w:fldCharType="separate"/>
      </w:r>
      <w:r>
        <w:rPr>
          <w:rStyle w:val="23"/>
          <w:rFonts w:hint="eastAsia" w:ascii="楷体_GB2312" w:eastAsia="楷体_GB2312"/>
        </w:rPr>
        <w:t>第二节　谋划生态修复重点工程</w:t>
      </w:r>
      <w:r>
        <w:tab/>
      </w:r>
      <w:r>
        <w:fldChar w:fldCharType="begin"/>
      </w:r>
      <w:r>
        <w:instrText xml:space="preserve"> PAGEREF _Toc87200627 \h </w:instrText>
      </w:r>
      <w:r>
        <w:fldChar w:fldCharType="separate"/>
      </w:r>
      <w:r>
        <w:t>56</w:t>
      </w:r>
      <w:r>
        <w:fldChar w:fldCharType="end"/>
      </w:r>
      <w:r>
        <w:fldChar w:fldCharType="end"/>
      </w:r>
    </w:p>
    <w:p w14:paraId="18E233AB">
      <w:pPr>
        <w:pStyle w:val="13"/>
        <w:tabs>
          <w:tab w:val="right" w:leader="dot" w:pos="8647"/>
          <w:tab w:val="clear" w:pos="8947"/>
        </w:tabs>
        <w:spacing w:line="568" w:lineRule="exact"/>
        <w:ind w:right="-58" w:rightChars="-18"/>
        <w:rPr>
          <w:rFonts w:asciiTheme="minorHAnsi" w:hAnsiTheme="minorHAnsi" w:eastAsiaTheme="minorEastAsia"/>
          <w:sz w:val="21"/>
          <w:szCs w:val="22"/>
        </w:rPr>
      </w:pPr>
      <w:r>
        <w:fldChar w:fldCharType="begin"/>
      </w:r>
      <w:r>
        <w:instrText xml:space="preserve"> HYPERLINK \l "_Toc87200628" </w:instrText>
      </w:r>
      <w:r>
        <w:fldChar w:fldCharType="separate"/>
      </w:r>
      <w:r>
        <w:rPr>
          <w:rStyle w:val="23"/>
          <w:rFonts w:hint="eastAsia" w:ascii="黑体" w:hAnsi="黑体" w:eastAsia="黑体"/>
        </w:rPr>
        <w:t>第六章　规划实施保障机制</w:t>
      </w:r>
      <w:r>
        <w:tab/>
      </w:r>
      <w:r>
        <w:fldChar w:fldCharType="begin"/>
      </w:r>
      <w:r>
        <w:instrText xml:space="preserve"> PAGEREF _Toc87200628 \h </w:instrText>
      </w:r>
      <w:r>
        <w:fldChar w:fldCharType="separate"/>
      </w:r>
      <w:r>
        <w:t>69</w:t>
      </w:r>
      <w:r>
        <w:fldChar w:fldCharType="end"/>
      </w:r>
      <w:r>
        <w:fldChar w:fldCharType="end"/>
      </w:r>
    </w:p>
    <w:p w14:paraId="38BE96F2">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"_Toc87200629" </w:instrText>
      </w:r>
      <w:r>
        <w:fldChar w:fldCharType="separate"/>
      </w:r>
      <w:r>
        <w:rPr>
          <w:rStyle w:val="23"/>
          <w:rFonts w:hint="eastAsia" w:ascii="楷体_GB2312" w:eastAsia="楷体_GB2312"/>
        </w:rPr>
        <w:t>第一节　加强组织领导</w:t>
      </w:r>
      <w:r>
        <w:tab/>
      </w:r>
      <w:r>
        <w:fldChar w:fldCharType="begin"/>
      </w:r>
      <w:r>
        <w:instrText xml:space="preserve"> PAGEREF _Toc87200629 \h </w:instrText>
      </w:r>
      <w:r>
        <w:fldChar w:fldCharType="separate"/>
      </w:r>
      <w:r>
        <w:t>69</w:t>
      </w:r>
      <w:r>
        <w:fldChar w:fldCharType="end"/>
      </w:r>
      <w:r>
        <w:fldChar w:fldCharType="end"/>
      </w:r>
    </w:p>
    <w:p w14:paraId="09BCA0BA">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"_Toc87200630" </w:instrText>
      </w:r>
      <w:r>
        <w:fldChar w:fldCharType="separate"/>
      </w:r>
      <w:r>
        <w:rPr>
          <w:rStyle w:val="23"/>
          <w:rFonts w:hint="eastAsia" w:ascii="楷体_GB2312" w:eastAsia="楷体_GB2312"/>
        </w:rPr>
        <w:t>第二节　完善制度体系</w:t>
      </w:r>
      <w:r>
        <w:tab/>
      </w:r>
      <w:r>
        <w:fldChar w:fldCharType="begin"/>
      </w:r>
      <w:r>
        <w:instrText xml:space="preserve"> PAGEREF _Toc87200630 \h </w:instrText>
      </w:r>
      <w:r>
        <w:fldChar w:fldCharType="separate"/>
      </w:r>
      <w:r>
        <w:t>70</w:t>
      </w:r>
      <w:r>
        <w:fldChar w:fldCharType="end"/>
      </w:r>
      <w:r>
        <w:fldChar w:fldCharType="end"/>
      </w:r>
    </w:p>
    <w:p w14:paraId="11825174">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"_Toc87200631" </w:instrText>
      </w:r>
      <w:r>
        <w:fldChar w:fldCharType="separate"/>
      </w:r>
      <w:r>
        <w:rPr>
          <w:rStyle w:val="23"/>
          <w:rFonts w:hint="eastAsia" w:ascii="楷体_GB2312" w:eastAsia="楷体_GB2312"/>
        </w:rPr>
        <w:t>第三节　强化规划实施</w:t>
      </w:r>
      <w:r>
        <w:tab/>
      </w:r>
      <w:r>
        <w:fldChar w:fldCharType="begin"/>
      </w:r>
      <w:r>
        <w:instrText xml:space="preserve"> PAGEREF _Toc87200631 \h </w:instrText>
      </w:r>
      <w:r>
        <w:fldChar w:fldCharType="separate"/>
      </w:r>
      <w:r>
        <w:t>73</w:t>
      </w:r>
      <w:r>
        <w:fldChar w:fldCharType="end"/>
      </w:r>
      <w:r>
        <w:fldChar w:fldCharType="end"/>
      </w:r>
    </w:p>
    <w:p w14:paraId="1840B072">
      <w:pPr>
        <w:pStyle w:val="15"/>
        <w:tabs>
          <w:tab w:val="right" w:leader="dot" w:pos="8647"/>
          <w:tab w:val="right" w:leader="dot" w:pos="8720"/>
        </w:tabs>
        <w:spacing w:line="568" w:lineRule="exact"/>
        <w:ind w:left="0" w:leftChars="0" w:right="-58" w:rightChars="-18" w:firstLine="320" w:firstLineChars="100"/>
        <w:rPr>
          <w:rFonts w:asciiTheme="minorHAnsi" w:hAnsiTheme="minorHAnsi" w:eastAsiaTheme="minorEastAsia"/>
          <w:sz w:val="21"/>
          <w:szCs w:val="22"/>
        </w:rPr>
      </w:pPr>
      <w:r>
        <w:fldChar w:fldCharType="begin"/>
      </w:r>
      <w:r>
        <w:instrText xml:space="preserve"> HYPERLINK \l "_Toc87200632" </w:instrText>
      </w:r>
      <w:r>
        <w:fldChar w:fldCharType="separate"/>
      </w:r>
      <w:r>
        <w:rPr>
          <w:rStyle w:val="23"/>
          <w:rFonts w:hint="eastAsia" w:ascii="楷体_GB2312" w:eastAsia="楷体_GB2312"/>
        </w:rPr>
        <w:t>第四节　加强宣传引导</w:t>
      </w:r>
      <w:r>
        <w:tab/>
      </w:r>
      <w:r>
        <w:fldChar w:fldCharType="begin"/>
      </w:r>
      <w:r>
        <w:instrText xml:space="preserve"> PAGEREF _Toc87200632 \h </w:instrText>
      </w:r>
      <w:r>
        <w:fldChar w:fldCharType="separate"/>
      </w:r>
      <w:r>
        <w:t>75</w:t>
      </w:r>
      <w:r>
        <w:fldChar w:fldCharType="end"/>
      </w:r>
      <w:r>
        <w:fldChar w:fldCharType="end"/>
      </w:r>
    </w:p>
    <w:p w14:paraId="37624ED4">
      <w:pPr>
        <w:pStyle w:val="15"/>
        <w:tabs>
          <w:tab w:val="right" w:leader="dot" w:pos="8647"/>
          <w:tab w:val="right" w:leader="middleDot" w:pos="8800"/>
        </w:tabs>
        <w:overflowPunct w:val="0"/>
        <w:spacing w:line="568" w:lineRule="exact"/>
        <w:ind w:left="0" w:leftChars="0" w:right="-58" w:rightChars="-18" w:firstLine="0" w:firstLineChars="0"/>
        <w:rPr>
          <w:rStyle w:val="23"/>
          <w:rFonts w:ascii="黑体" w:hAnsi="黑体" w:eastAsia="黑体" w:cs="Times New Roman"/>
          <w:smallCaps/>
          <w:color w:val="auto"/>
          <w:u w:val="none"/>
        </w:rPr>
      </w:pPr>
      <w:r>
        <w:rPr>
          <w:rStyle w:val="23"/>
          <w:rFonts w:hint="eastAsia" w:hAnsi="Times New Roman" w:cs="Times New Roman"/>
          <w:smallCaps/>
          <w:color w:val="auto"/>
          <w:u w:val="none"/>
        </w:rPr>
        <w:fldChar w:fldCharType="end"/>
      </w:r>
      <w:r>
        <w:rPr>
          <w:rStyle w:val="23"/>
          <w:rFonts w:hint="eastAsia" w:ascii="黑体" w:hAnsi="黑体" w:eastAsia="黑体" w:cs="Times New Roman"/>
          <w:smallCaps/>
          <w:color w:val="auto"/>
          <w:u w:val="none"/>
        </w:rPr>
        <w:t>附件</w:t>
      </w:r>
      <w:r>
        <w:t>　</w:t>
      </w:r>
      <w:r>
        <w:rPr>
          <w:rStyle w:val="23"/>
          <w:rFonts w:hint="eastAsia" w:ascii="黑体" w:hAnsi="黑体" w:eastAsia="黑体" w:cs="Times New Roman"/>
          <w:smallCaps/>
          <w:color w:val="auto"/>
          <w:u w:val="none"/>
        </w:rPr>
        <w:t>图册</w:t>
      </w:r>
    </w:p>
    <w:p w14:paraId="1EB33D97">
      <w:pPr>
        <w:ind w:firstLine="640"/>
      </w:pPr>
    </w:p>
    <w:p w14:paraId="2EA3A525">
      <w:pPr>
        <w:widowControl/>
        <w:spacing w:line="240" w:lineRule="auto"/>
        <w:ind w:firstLine="0" w:firstLineChars="0"/>
        <w:jc w:val="left"/>
        <w:sectPr>
          <w:headerReference r:id="rId7" w:type="first"/>
          <w:footerReference r:id="rId10" w:type="first"/>
          <w:headerReference r:id="rId5" w:type="default"/>
          <w:footerReference r:id="rId8" w:type="default"/>
          <w:headerReference r:id="rId6" w:type="even"/>
          <w:footerReference r:id="rId9" w:type="even"/>
          <w:pgSz w:w="11906" w:h="16838"/>
          <w:pgMar w:top="1588" w:right="1588" w:bottom="1588" w:left="1588" w:header="992" w:footer="1134" w:gutter="0"/>
          <w:pgNumType w:fmt="upperRoman" w:start="1"/>
          <w:cols w:space="425" w:num="1"/>
          <w:docGrid w:type="lines" w:linePitch="435" w:charSpace="0"/>
        </w:sectPr>
      </w:pPr>
    </w:p>
    <w:p w14:paraId="0DFC4D2B">
      <w:pPr>
        <w:pStyle w:val="47"/>
        <w:suppressAutoHyphens/>
        <w:spacing w:before="0" w:beforeLines="0"/>
        <w:ind w:firstLine="640"/>
      </w:pPr>
    </w:p>
    <w:p w14:paraId="51401D67">
      <w:pPr>
        <w:pStyle w:val="2"/>
      </w:pPr>
      <w:bookmarkStart w:id="32" w:name="_Toc87200608"/>
      <w:bookmarkStart w:id="33" w:name="_Toc87089223"/>
      <w:bookmarkStart w:id="34" w:name="_Toc83808701"/>
      <w:r>
        <w:rPr>
          <w:rFonts w:hint="eastAsia"/>
        </w:rPr>
        <w:t>前　　言</w:t>
      </w:r>
      <w:bookmarkEnd w:id="32"/>
      <w:bookmarkEnd w:id="33"/>
      <w:bookmarkEnd w:id="34"/>
    </w:p>
    <w:p w14:paraId="152B26F9">
      <w:pPr>
        <w:pStyle w:val="47"/>
        <w:suppressAutoHyphens/>
        <w:spacing w:before="0" w:beforeLines="0"/>
        <w:ind w:firstLine="640"/>
      </w:pPr>
    </w:p>
    <w:p w14:paraId="1F37122C">
      <w:pPr>
        <w:pStyle w:val="47"/>
        <w:suppressAutoHyphens/>
        <w:spacing w:before="0" w:beforeLines="0"/>
        <w:ind w:firstLine="640"/>
      </w:pPr>
      <w:r>
        <w:rPr>
          <w:rFonts w:hint="eastAsia"/>
        </w:rPr>
        <w:t>湖北省地处“长江之腰”，是国家长江经济带重要组成部分，湖北省委省政府不折不扣贯彻落实党中央关于长江经济带发展的决策部署，深入学习习近平总书记在三次推动长江经济带发展座谈会上的重要讲话精神，始终把修复长江生态环境摆在压倒性位置，系统推进长江生态环境保护修复工作，以“钉钉子”精神推动湖北长江经济带高质量发展，努力建设长江中游生态保护屏障和中部绿色崛起先行区。为深入贯彻落实习近平生态文明思想，依法履行统一行使所有国土空间生态保护修复职责，按照自然资源部和湖北省委省政府工作要求，湖北省自然资源厅组织编制并实施《湖北省国土空间生态修复规划（2021-2035年）》（以下简称《规划》）。国土空间生态修复规划是国土空间规划的重要专项规划，是一定时期内国土空间生态修复任务的总纲和空间指引，是实施国土空间生态保护修复的重要依据。</w:t>
      </w:r>
    </w:p>
    <w:p w14:paraId="3BEBED44">
      <w:pPr>
        <w:pStyle w:val="47"/>
        <w:suppressAutoHyphens/>
        <w:spacing w:before="0" w:beforeLines="0"/>
        <w:ind w:firstLine="640"/>
      </w:pPr>
      <w:r>
        <w:rPr>
          <w:rFonts w:hint="eastAsia"/>
        </w:rPr>
        <w:t>《规划》深入贯彻落实习近平生态文明思想，统筹山水林田湖草沙一体化保护和修复，践行“绿水青山就是金山银山”理念，坚持“节约优先、保护优先、自然恢复为主”方针，依据《中华人民共和国长江保护法》《中华人民共和国国民经济和社会发展第十四个五年规划和2035年远景目标纲要》《湖北省国民经济和社会发展第十四个五年规划和二</w:t>
      </w:r>
      <w:r>
        <w:rPr>
          <w:rFonts w:hint="eastAsia" w:ascii="微软雅黑" w:hAnsi="微软雅黑" w:eastAsia="微软雅黑" w:cs="微软雅黑"/>
        </w:rPr>
        <w:t>〇</w:t>
      </w:r>
      <w:r>
        <w:rPr>
          <w:rFonts w:hint="eastAsia"/>
        </w:rPr>
        <w:t>三五年远景目标纲要》《湖北省国土空间规划（2021-2035年）》，落实《全国重要生态系统保护和修复重大工程总体规划（2021-2035年）》《长江经济带生态环境保护规划》等相关规划，结合湖北省“一主引领、两翼驱动、全域协同”的区域发展布局，以“稳固</w:t>
      </w:r>
      <w:r>
        <w:t>‘</w:t>
      </w:r>
      <w:r>
        <w:rPr>
          <w:rFonts w:hint="eastAsia"/>
        </w:rPr>
        <w:t>三江四屏千湖一平原</w:t>
      </w:r>
      <w:r>
        <w:t>’</w:t>
      </w:r>
      <w:r>
        <w:rPr>
          <w:rFonts w:hint="eastAsia"/>
        </w:rPr>
        <w:t>生态安全格局、建设人与自然和谐共生的美丽湖北、打造中部绿色崛起先行区、服务长江经济带绿色高质量发展”为目标，按照“厘清形势要求—研判生态现状—诊断生态问题—明确目标任务—谋划总体布局—部署重点工程—构建保障机制”的思路，聚焦长江大保护，全面提升山水林田湖草沙各类生态系统质量，提高生物多样性水平，强化农田生态功能，改善城市生态品质，构建综合治理新体系，支撑我省经济社会绿色高质量、科学可持续发展。</w:t>
      </w:r>
    </w:p>
    <w:p w14:paraId="5EE2A2B3">
      <w:pPr>
        <w:pStyle w:val="47"/>
        <w:suppressAutoHyphens/>
        <w:spacing w:before="0" w:beforeLines="0"/>
        <w:ind w:firstLine="640"/>
      </w:pPr>
      <w:r>
        <w:rPr>
          <w:rFonts w:hint="eastAsia"/>
        </w:rPr>
        <w:t>规划范围包括湖北省行政辖区内全部国土空间，总面积18.59万平方公里。规划基期为2020年，规划期限为2021-2035年，近期目标年为2025年，中期目标年为2030年，远期目标年为2035年。</w:t>
      </w:r>
    </w:p>
    <w:p w14:paraId="62A918E4">
      <w:pPr>
        <w:widowControl/>
        <w:spacing w:line="240" w:lineRule="auto"/>
        <w:ind w:firstLine="0" w:firstLineChars="0"/>
        <w:jc w:val="left"/>
      </w:pPr>
      <w:r>
        <w:br w:type="page"/>
      </w:r>
    </w:p>
    <w:p w14:paraId="54AA77A8">
      <w:pPr>
        <w:overflowPunct w:val="0"/>
        <w:ind w:firstLine="640"/>
        <w:rPr>
          <w:rFonts w:cs="Times New Roman"/>
        </w:rPr>
      </w:pPr>
    </w:p>
    <w:p w14:paraId="163077EB">
      <w:pPr>
        <w:pStyle w:val="54"/>
      </w:pPr>
      <w:bookmarkStart w:id="35" w:name="_Toc87200609"/>
      <w:bookmarkStart w:id="36" w:name="_Toc87089224"/>
      <w:r>
        <w:t>第一章　</w:t>
      </w:r>
      <w:bookmarkStart w:id="37" w:name="_Toc75433533"/>
      <w:r>
        <w:rPr>
          <w:rFonts w:hint="eastAsia"/>
        </w:rPr>
        <w:t>规划基础与形势</w:t>
      </w:r>
      <w:bookmarkEnd w:id="37"/>
      <w:r>
        <w:rPr>
          <w:rFonts w:hint="eastAsia"/>
        </w:rPr>
        <w:t>要求</w:t>
      </w:r>
      <w:bookmarkEnd w:id="35"/>
      <w:bookmarkEnd w:id="36"/>
    </w:p>
    <w:p w14:paraId="5610701C">
      <w:pPr>
        <w:pStyle w:val="53"/>
      </w:pPr>
      <w:bookmarkStart w:id="38" w:name="_Toc87089225"/>
      <w:bookmarkStart w:id="39" w:name="_Toc87200610"/>
      <w:r>
        <w:rPr>
          <w:rFonts w:hint="eastAsia"/>
        </w:rPr>
        <w:t>第一节　自然地理与生态现状</w:t>
      </w:r>
      <w:bookmarkEnd w:id="38"/>
      <w:bookmarkEnd w:id="39"/>
    </w:p>
    <w:p w14:paraId="08962178">
      <w:pPr>
        <w:suppressAutoHyphens/>
        <w:ind w:firstLine="640"/>
      </w:pPr>
      <w:r>
        <w:rPr>
          <w:rFonts w:hint="eastAsia" w:hAnsi="仿宋"/>
        </w:rPr>
        <w:t>湖北居华中腹地，处长江中游，是三峡工程库坝区和南水北调中线工程核心水源区所在地，</w:t>
      </w:r>
      <w:r>
        <w:rPr>
          <w:rFonts w:hint="eastAsia"/>
        </w:rPr>
        <w:t>是长江流域重要水源涵养地和国家重要生态屏障，</w:t>
      </w:r>
      <w:r>
        <w:rPr>
          <w:rFonts w:hint="eastAsia" w:hAnsi="仿宋"/>
        </w:rPr>
        <w:t>肩负着“一江清水永续东流”“一库净水永续北送”的历史使命，生态地位举足轻重，在国家“长江经济带”“长江中游城市群”“中部崛起”等重大战略中担负着率先实现绿色崛起的重大责任。</w:t>
      </w:r>
    </w:p>
    <w:p w14:paraId="651B3C96">
      <w:pPr>
        <w:pStyle w:val="4"/>
        <w:keepNext w:val="0"/>
        <w:keepLines w:val="0"/>
        <w:suppressAutoHyphens/>
        <w:spacing w:line="568" w:lineRule="exact"/>
        <w:ind w:firstLine="643"/>
      </w:pPr>
      <w:bookmarkStart w:id="40" w:name="_Toc87089226"/>
      <w:r>
        <w:rPr>
          <w:rFonts w:hint="eastAsia"/>
        </w:rPr>
        <w:t>（一）大江大湖富集，</w:t>
      </w:r>
      <w:r>
        <w:t>总体水质持续向好</w:t>
      </w:r>
      <w:bookmarkEnd w:id="40"/>
    </w:p>
    <w:p w14:paraId="000A46F8">
      <w:pPr>
        <w:suppressAutoHyphens/>
        <w:ind w:firstLine="640"/>
        <w:rPr>
          <w:rFonts w:hAnsi="仿宋"/>
        </w:rPr>
      </w:pPr>
      <w:r>
        <w:rPr>
          <w:rFonts w:hint="eastAsia" w:hAnsi="仿宋"/>
        </w:rPr>
        <w:t>湖北境内河流纵横，水系发达，</w:t>
      </w:r>
      <w:r>
        <w:rPr>
          <w:rFonts w:hAnsi="仿宋"/>
        </w:rPr>
        <w:t>长江自西向东横贯全省</w:t>
      </w:r>
      <w:r>
        <w:rPr>
          <w:rFonts w:hint="eastAsia" w:hAnsi="仿宋"/>
        </w:rPr>
        <w:t>，是</w:t>
      </w:r>
      <w:r>
        <w:rPr>
          <w:rFonts w:hAnsi="仿宋"/>
        </w:rPr>
        <w:t>长江径流里程最长的省份</w:t>
      </w:r>
      <w:r>
        <w:rPr>
          <w:rFonts w:hint="eastAsia" w:hAnsi="仿宋"/>
        </w:rPr>
        <w:t>；</w:t>
      </w:r>
      <w:r>
        <w:rPr>
          <w:rFonts w:hAnsi="仿宋"/>
        </w:rPr>
        <w:t>汉江是长江最大支流</w:t>
      </w:r>
      <w:r>
        <w:rPr>
          <w:rFonts w:hint="eastAsia" w:hAnsi="仿宋"/>
        </w:rPr>
        <w:t>，</w:t>
      </w:r>
      <w:r>
        <w:rPr>
          <w:rFonts w:hAnsi="仿宋"/>
        </w:rPr>
        <w:t>是</w:t>
      </w:r>
      <w:r>
        <w:rPr>
          <w:rFonts w:hint="eastAsia" w:hAnsi="仿宋"/>
        </w:rPr>
        <w:t>连接鄂西北与江汉平原的重要纽带；</w:t>
      </w:r>
      <w:r>
        <w:rPr>
          <w:rFonts w:hAnsi="仿宋"/>
        </w:rPr>
        <w:t>清江是长江中游重要的一级支流</w:t>
      </w:r>
      <w:r>
        <w:rPr>
          <w:rFonts w:hint="eastAsia" w:hAnsi="仿宋"/>
        </w:rPr>
        <w:t>。长江、汉江干流之外省内河长5千米以上的各级河流4230条、总长6.1万千米。湖北素有“千湖之省”之称，现有天然湖泊755个，淡水湖泊数量居全国第3；大中型水库356座，2020年末蓄水总量477.12亿立方米。主要河流总体水质为优，无</w:t>
      </w:r>
      <w:r>
        <w:rPr>
          <w:rFonts w:cs="Times New Roman"/>
        </w:rPr>
        <w:t>Ⅴ</w:t>
      </w:r>
      <w:r>
        <w:rPr>
          <w:rFonts w:hint="eastAsia" w:hAnsi="仿宋"/>
        </w:rPr>
        <w:t>类和劣</w:t>
      </w:r>
      <w:r>
        <w:rPr>
          <w:rFonts w:cs="Times New Roman"/>
        </w:rPr>
        <w:t>Ⅴ</w:t>
      </w:r>
      <w:r>
        <w:rPr>
          <w:rFonts w:hint="eastAsia" w:hAnsi="仿宋"/>
        </w:rPr>
        <w:t>类断面；</w:t>
      </w:r>
      <w:r>
        <w:rPr>
          <w:rFonts w:hint="eastAsia"/>
          <w:color w:val="000000"/>
          <w:shd w:val="clear" w:color="auto" w:fill="FFFFFF"/>
        </w:rPr>
        <w:t>三峡库区、丹江口库区干支流总体水质为优；</w:t>
      </w:r>
      <w:r>
        <w:rPr>
          <w:rFonts w:hint="eastAsia" w:hAnsi="仿宋"/>
        </w:rPr>
        <w:t>主要湖库总体水质保持稳定，其中</w:t>
      </w:r>
      <w:r>
        <w:rPr>
          <w:rFonts w:hint="eastAsia"/>
          <w:color w:val="000000"/>
          <w:shd w:val="clear" w:color="auto" w:fill="FFFFFF"/>
        </w:rPr>
        <w:t>丹江口水库、漳河水库、富水水库、白莲河水库等</w:t>
      </w:r>
      <w:r>
        <w:rPr>
          <w:rFonts w:hint="eastAsia" w:hAnsi="仿宋"/>
        </w:rPr>
        <w:t>11个水库总体水质为优。</w:t>
      </w:r>
    </w:p>
    <w:p w14:paraId="26690930">
      <w:pPr>
        <w:pStyle w:val="4"/>
        <w:keepNext w:val="0"/>
        <w:keepLines w:val="0"/>
        <w:suppressAutoHyphens/>
        <w:spacing w:line="568" w:lineRule="exact"/>
        <w:ind w:firstLine="643"/>
      </w:pPr>
      <w:bookmarkStart w:id="41" w:name="_Toc87089227"/>
      <w:r>
        <w:rPr>
          <w:rFonts w:hint="eastAsia"/>
        </w:rPr>
        <w:t>（二）林业资源丰富，</w:t>
      </w:r>
      <w:r>
        <w:t>生态服务功能显著提升</w:t>
      </w:r>
      <w:bookmarkEnd w:id="41"/>
    </w:p>
    <w:p w14:paraId="735099D8">
      <w:pPr>
        <w:suppressAutoHyphens/>
        <w:ind w:firstLine="640"/>
        <w:rPr>
          <w:rFonts w:hAnsi="仿宋"/>
        </w:rPr>
      </w:pPr>
      <w:r>
        <w:rPr>
          <w:rFonts w:hint="eastAsia" w:hAnsi="仿宋"/>
          <w:bCs/>
        </w:rPr>
        <w:t>湖北是林业资源大省，</w:t>
      </w:r>
      <w:r>
        <w:rPr>
          <w:rFonts w:cs="Times New Roman"/>
        </w:rPr>
        <w:t>林地面积占比</w:t>
      </w:r>
      <w:r>
        <w:rPr>
          <w:rFonts w:hint="eastAsia" w:cs="Times New Roman"/>
        </w:rPr>
        <w:t>近</w:t>
      </w:r>
      <w:r>
        <w:rPr>
          <w:rFonts w:cs="Times New Roman"/>
        </w:rPr>
        <w:t>半，</w:t>
      </w:r>
      <w:r>
        <w:rPr>
          <w:rFonts w:hint="eastAsia" w:cs="Times New Roman"/>
        </w:rPr>
        <w:t>2020年</w:t>
      </w:r>
      <w:r>
        <w:rPr>
          <w:rFonts w:cs="Times New Roman"/>
        </w:rPr>
        <w:t>森林覆盖率达到42%，高于全国森林覆盖率约19个百分点，</w:t>
      </w:r>
      <w:r>
        <w:rPr>
          <w:rFonts w:hint="eastAsia" w:hAnsi="仿宋"/>
        </w:rPr>
        <w:t>森林蓄积量4.2亿立方米，森林植被碳储量达1</w:t>
      </w:r>
      <w:r>
        <w:rPr>
          <w:rFonts w:hAnsi="仿宋"/>
        </w:rPr>
        <w:t>.78</w:t>
      </w:r>
      <w:r>
        <w:rPr>
          <w:rFonts w:hint="eastAsia" w:hAnsi="仿宋"/>
        </w:rPr>
        <w:t>亿吨。</w:t>
      </w:r>
      <w:r>
        <w:rPr>
          <w:rFonts w:hint="eastAsia" w:cs="Times New Roman"/>
        </w:rPr>
        <w:t>全省</w:t>
      </w:r>
      <w:r>
        <w:rPr>
          <w:rFonts w:hint="eastAsia" w:hAnsi="仿宋"/>
        </w:rPr>
        <w:t>树木垂直分布层次分明，森林植被呈现出普遍性和多样化的特点，恩施被誉为“鄂西林海”，</w:t>
      </w:r>
      <w:r>
        <w:rPr>
          <w:rFonts w:cs="Times New Roman"/>
        </w:rPr>
        <w:t>神农架是北半球保存最完好的</w:t>
      </w:r>
      <w:r>
        <w:rPr>
          <w:rFonts w:hint="eastAsia" w:ascii="仿宋_GB2312" w:cs="Times New Roman"/>
        </w:rPr>
        <w:t>“天然物种基因库”</w:t>
      </w:r>
      <w:r>
        <w:rPr>
          <w:rFonts w:hint="eastAsia"/>
        </w:rPr>
        <w:t>。</w:t>
      </w:r>
      <w:r>
        <w:t>2019年</w:t>
      </w:r>
      <w:r>
        <w:rPr>
          <w:rFonts w:hint="eastAsia"/>
        </w:rPr>
        <w:t>全省</w:t>
      </w:r>
      <w:r>
        <w:t>森林生态服务功能显著提升，总价值达7890.25亿元</w:t>
      </w:r>
      <w:r>
        <w:rPr>
          <w:rFonts w:hint="eastAsia"/>
        </w:rPr>
        <w:t>，森林生态服务价值总量和人均价值水平较十年前实现翻番，单位面积价值大幅增长。</w:t>
      </w:r>
    </w:p>
    <w:p w14:paraId="27B7B846">
      <w:pPr>
        <w:pStyle w:val="4"/>
        <w:keepNext w:val="0"/>
        <w:keepLines w:val="0"/>
        <w:suppressAutoHyphens/>
        <w:spacing w:line="568" w:lineRule="exact"/>
        <w:ind w:firstLine="643"/>
      </w:pPr>
      <w:bookmarkStart w:id="42" w:name="_Toc87089228"/>
      <w:r>
        <w:t>（</w:t>
      </w:r>
      <w:r>
        <w:rPr>
          <w:rFonts w:hint="eastAsia"/>
        </w:rPr>
        <w:t>三</w:t>
      </w:r>
      <w:r>
        <w:t>）耕地禀赋</w:t>
      </w:r>
      <w:r>
        <w:rPr>
          <w:rFonts w:hint="eastAsia"/>
        </w:rPr>
        <w:t>优越，整体质量不断提升</w:t>
      </w:r>
      <w:bookmarkEnd w:id="42"/>
    </w:p>
    <w:p w14:paraId="265DBEB5">
      <w:pPr>
        <w:suppressAutoHyphens/>
        <w:ind w:firstLine="640"/>
        <w:jc w:val="left"/>
        <w:rPr>
          <w:rFonts w:hAnsi="仿宋"/>
          <w:bCs/>
        </w:rPr>
      </w:pPr>
      <w:r>
        <w:rPr>
          <w:rFonts w:hint="eastAsia" w:hAnsi="仿宋"/>
          <w:bCs/>
        </w:rPr>
        <w:t>湖北是农业大省、产粮大省，</w:t>
      </w:r>
      <w:r>
        <w:rPr>
          <w:rFonts w:hAnsi="仿宋"/>
          <w:bCs/>
        </w:rPr>
        <w:t>耕地资源总量较大</w:t>
      </w:r>
      <w:r>
        <w:rPr>
          <w:rFonts w:hint="eastAsia" w:hAnsi="仿宋"/>
          <w:bCs/>
        </w:rPr>
        <w:t>，2019年耕地面积占全省国土面积的25.7%，</w:t>
      </w:r>
      <w:r>
        <w:rPr>
          <w:rFonts w:hAnsi="仿宋"/>
        </w:rPr>
        <w:t>其中水田占</w:t>
      </w:r>
      <w:r>
        <w:rPr>
          <w:rFonts w:hint="eastAsia" w:hAnsi="仿宋"/>
        </w:rPr>
        <w:t>53.40</w:t>
      </w:r>
      <w:r>
        <w:rPr>
          <w:rFonts w:hAnsi="仿宋"/>
        </w:rPr>
        <w:t>%</w:t>
      </w:r>
      <w:r>
        <w:rPr>
          <w:rFonts w:hint="eastAsia" w:hAnsi="仿宋"/>
        </w:rPr>
        <w:t>，</w:t>
      </w:r>
      <w:r>
        <w:rPr>
          <w:rFonts w:hAnsi="仿宋"/>
          <w:bCs/>
        </w:rPr>
        <w:t>旱地占</w:t>
      </w:r>
      <w:r>
        <w:rPr>
          <w:rFonts w:hint="eastAsia" w:hAnsi="仿宋"/>
          <w:bCs/>
        </w:rPr>
        <w:t>38.73</w:t>
      </w:r>
      <w:r>
        <w:rPr>
          <w:rFonts w:hAnsi="仿宋"/>
          <w:bCs/>
        </w:rPr>
        <w:t>%</w:t>
      </w:r>
      <w:r>
        <w:rPr>
          <w:rFonts w:hint="eastAsia" w:hAnsi="仿宋"/>
          <w:bCs/>
        </w:rPr>
        <w:t>，主要</w:t>
      </w:r>
      <w:r>
        <w:rPr>
          <w:rFonts w:hAnsi="仿宋"/>
          <w:bCs/>
        </w:rPr>
        <w:t>分布于</w:t>
      </w:r>
      <w:r>
        <w:rPr>
          <w:rFonts w:hint="eastAsia" w:hAnsi="仿宋"/>
          <w:bCs/>
        </w:rPr>
        <w:t>江汉</w:t>
      </w:r>
      <w:r>
        <w:rPr>
          <w:rFonts w:hAnsi="仿宋"/>
          <w:bCs/>
        </w:rPr>
        <w:t>平原</w:t>
      </w:r>
      <w:r>
        <w:rPr>
          <w:rFonts w:hint="eastAsia" w:hAnsi="仿宋"/>
          <w:bCs/>
        </w:rPr>
        <w:t>和</w:t>
      </w:r>
      <w:r>
        <w:rPr>
          <w:rFonts w:hAnsi="仿宋"/>
          <w:bCs/>
        </w:rPr>
        <w:t>鄂中北、鄂东低山丘陵区</w:t>
      </w:r>
      <w:r>
        <w:rPr>
          <w:rFonts w:hint="eastAsia" w:hAnsi="仿宋"/>
          <w:bCs/>
        </w:rPr>
        <w:t>。土壤类型多样，其中水稻土是面积最大、贡献最多的耕作土壤，所生产粮食占全省粮食总产量的70%，集中分布在素以“鱼米之乡”著称的江汉平原。耕地质量</w:t>
      </w:r>
      <w:r>
        <w:rPr>
          <w:rFonts w:hint="eastAsia" w:cs="Times New Roman"/>
          <w:szCs w:val="32"/>
          <w:shd w:val="clear" w:color="auto" w:fill="FFFFFF" w:themeFill="background1"/>
          <w:lang w:bidi="zh-CN"/>
        </w:rPr>
        <w:t>整体</w:t>
      </w:r>
      <w:r>
        <w:rPr>
          <w:rFonts w:hint="eastAsia" w:cs="Times New Roman"/>
          <w:szCs w:val="32"/>
          <w:shd w:val="clear" w:color="auto" w:fill="FFFFFF" w:themeFill="background1"/>
          <w:lang w:val="zh-CN" w:bidi="zh-CN"/>
        </w:rPr>
        <w:t>较高</w:t>
      </w:r>
      <w:r>
        <w:rPr>
          <w:rFonts w:hint="eastAsia" w:hAnsi="仿宋"/>
          <w:bCs/>
        </w:rPr>
        <w:t>，</w:t>
      </w:r>
      <w:r>
        <w:rPr>
          <w:rFonts w:hAnsi="仿宋"/>
          <w:bCs/>
        </w:rPr>
        <w:t>平均质量等别</w:t>
      </w:r>
      <w:r>
        <w:rPr>
          <w:rFonts w:hint="eastAsia" w:hAnsi="仿宋"/>
          <w:bCs/>
        </w:rPr>
        <w:t>5.4</w:t>
      </w:r>
      <w:r>
        <w:rPr>
          <w:rFonts w:hAnsi="仿宋"/>
          <w:bCs/>
        </w:rPr>
        <w:t>等</w:t>
      </w:r>
      <w:r>
        <w:rPr>
          <w:rFonts w:hint="eastAsia" w:hAnsi="仿宋"/>
          <w:bCs/>
        </w:rPr>
        <w:t>，优等地面积占全省耕地评定总面积的40.24%，</w:t>
      </w:r>
      <w:r>
        <w:rPr>
          <w:rFonts w:hAnsi="仿宋"/>
          <w:bCs/>
        </w:rPr>
        <w:t>主要分布在江汉平原和</w:t>
      </w:r>
      <w:r>
        <w:rPr>
          <w:rFonts w:hint="eastAsia" w:hAnsi="仿宋"/>
          <w:bCs/>
        </w:rPr>
        <w:t>鄂中北丘陵岗地区</w:t>
      </w:r>
      <w:r>
        <w:rPr>
          <w:rFonts w:hAnsi="仿宋"/>
          <w:bCs/>
        </w:rPr>
        <w:t>。</w:t>
      </w:r>
      <w:r>
        <w:rPr>
          <w:rFonts w:hint="eastAsia" w:cs="Times New Roman"/>
          <w:szCs w:val="32"/>
          <w:shd w:val="clear" w:color="auto" w:fill="FFFFFF" w:themeFill="background1"/>
          <w:lang w:val="zh-CN" w:bidi="zh-CN"/>
        </w:rPr>
        <w:t>耕地产出效益</w:t>
      </w:r>
      <w:r>
        <w:rPr>
          <w:rFonts w:hint="eastAsia" w:cs="Times New Roman"/>
          <w:szCs w:val="32"/>
          <w:shd w:val="clear" w:color="auto" w:fill="FFFFFF" w:themeFill="background1"/>
          <w:lang w:bidi="zh-CN"/>
        </w:rPr>
        <w:t>较</w:t>
      </w:r>
      <w:r>
        <w:rPr>
          <w:rFonts w:hint="eastAsia" w:cs="Times New Roman"/>
          <w:szCs w:val="32"/>
          <w:shd w:val="clear" w:color="auto" w:fill="FFFFFF" w:themeFill="background1"/>
          <w:lang w:val="zh-CN" w:bidi="zh-CN"/>
        </w:rPr>
        <w:t>高，</w:t>
      </w:r>
      <w:r>
        <w:rPr>
          <w:rFonts w:cs="Times New Roman"/>
          <w:bCs/>
          <w:szCs w:val="32"/>
          <w:shd w:val="clear" w:color="auto" w:fill="FFFFFF" w:themeFill="background1"/>
          <w:lang w:val="zh-CN" w:bidi="zh-CN"/>
        </w:rPr>
        <w:t>2020</w:t>
      </w:r>
      <w:r>
        <w:rPr>
          <w:rFonts w:hint="eastAsia" w:cs="Times New Roman"/>
          <w:bCs/>
          <w:szCs w:val="32"/>
          <w:shd w:val="clear" w:color="auto" w:fill="FFFFFF" w:themeFill="background1"/>
          <w:lang w:val="zh-CN" w:bidi="zh-CN"/>
        </w:rPr>
        <w:t>年</w:t>
      </w:r>
      <w:r>
        <w:rPr>
          <w:rFonts w:hint="eastAsia" w:cs="Times New Roman"/>
          <w:szCs w:val="32"/>
          <w:shd w:val="clear" w:color="auto" w:fill="FFFFFF" w:themeFill="background1"/>
          <w:lang w:val="zh-CN" w:bidi="zh-CN"/>
        </w:rPr>
        <w:t>粮食产量占全国总产量的</w:t>
      </w:r>
      <w:r>
        <w:rPr>
          <w:rFonts w:cs="Times New Roman"/>
          <w:szCs w:val="32"/>
          <w:shd w:val="clear" w:color="auto" w:fill="FFFFFF" w:themeFill="background1"/>
          <w:lang w:bidi="zh-CN"/>
        </w:rPr>
        <w:t>4.07</w:t>
      </w:r>
      <w:r>
        <w:rPr>
          <w:rFonts w:cs="Times New Roman"/>
          <w:szCs w:val="32"/>
          <w:shd w:val="clear" w:color="auto" w:fill="FFFFFF" w:themeFill="background1"/>
          <w:lang w:val="zh-CN" w:bidi="zh-CN"/>
        </w:rPr>
        <w:t>%</w:t>
      </w:r>
      <w:r>
        <w:rPr>
          <w:rFonts w:hint="eastAsia" w:cs="Times New Roman"/>
          <w:szCs w:val="32"/>
          <w:shd w:val="clear" w:color="auto" w:fill="FFFFFF" w:themeFill="background1"/>
          <w:lang w:val="zh-CN" w:bidi="zh-CN"/>
        </w:rPr>
        <w:t>，居全国第11位，</w:t>
      </w:r>
      <w:r>
        <w:rPr>
          <w:rFonts w:hint="eastAsia" w:hAnsi="仿宋"/>
          <w:bCs/>
        </w:rPr>
        <w:t>连续</w:t>
      </w:r>
      <w:r>
        <w:rPr>
          <w:rFonts w:hAnsi="仿宋"/>
          <w:bCs/>
        </w:rPr>
        <w:t>8</w:t>
      </w:r>
      <w:r>
        <w:rPr>
          <w:rFonts w:hint="eastAsia" w:hAnsi="仿宋"/>
          <w:bCs/>
        </w:rPr>
        <w:t>年稳定在</w:t>
      </w:r>
      <w:r>
        <w:rPr>
          <w:rFonts w:hAnsi="仿宋"/>
          <w:bCs/>
        </w:rPr>
        <w:t>500</w:t>
      </w:r>
      <w:r>
        <w:rPr>
          <w:rFonts w:hint="eastAsia" w:hAnsi="仿宋"/>
          <w:bCs/>
        </w:rPr>
        <w:t>亿斤以上，</w:t>
      </w:r>
      <w:r>
        <w:rPr>
          <w:rFonts w:hint="eastAsia" w:cs="Times New Roman"/>
          <w:szCs w:val="32"/>
          <w:shd w:val="clear" w:color="auto" w:fill="FFFFFF" w:themeFill="background1"/>
          <w:lang w:bidi="zh-CN"/>
        </w:rPr>
        <w:t>为国家粮食安全作出了“湖北贡献”</w:t>
      </w:r>
      <w:r>
        <w:rPr>
          <w:rFonts w:hint="eastAsia" w:hAnsi="仿宋"/>
          <w:bCs/>
        </w:rPr>
        <w:t>。</w:t>
      </w:r>
    </w:p>
    <w:p w14:paraId="5A6CCF57">
      <w:pPr>
        <w:pStyle w:val="4"/>
        <w:keepNext w:val="0"/>
        <w:keepLines w:val="0"/>
        <w:numPr>
          <w:ilvl w:val="2"/>
          <w:numId w:val="0"/>
        </w:numPr>
        <w:suppressAutoHyphens/>
        <w:spacing w:line="568" w:lineRule="exact"/>
        <w:ind w:left="640" w:leftChars="200"/>
      </w:pPr>
      <w:bookmarkStart w:id="43" w:name="_Toc87089229"/>
      <w:r>
        <w:rPr>
          <w:rFonts w:hint="eastAsia"/>
        </w:rPr>
        <w:t>（四）湿地星罗棋布，保护效果初步呈现</w:t>
      </w:r>
      <w:bookmarkEnd w:id="43"/>
    </w:p>
    <w:p w14:paraId="230B07AE">
      <w:pPr>
        <w:suppressAutoHyphens/>
        <w:ind w:firstLine="640"/>
        <w:rPr>
          <w:rFonts w:hAnsi="仿宋"/>
        </w:rPr>
      </w:pPr>
      <w:r>
        <w:rPr>
          <w:rFonts w:hint="eastAsia" w:hAnsi="仿宋"/>
        </w:rPr>
        <w:t>湖北是湿地大省，</w:t>
      </w:r>
      <w:r>
        <w:rPr>
          <w:rFonts w:hAnsi="仿宋"/>
        </w:rPr>
        <w:t>已形成以长江、汉江为骨架，群</w:t>
      </w:r>
      <w:r>
        <w:rPr>
          <w:rFonts w:hint="eastAsia" w:hAnsi="仿宋"/>
        </w:rPr>
        <w:t>带</w:t>
      </w:r>
      <w:r>
        <w:rPr>
          <w:rFonts w:hAnsi="仿宋"/>
        </w:rPr>
        <w:t>交错</w:t>
      </w:r>
      <w:r>
        <w:rPr>
          <w:rFonts w:hint="eastAsia" w:hAnsi="仿宋"/>
        </w:rPr>
        <w:t>、</w:t>
      </w:r>
      <w:r>
        <w:rPr>
          <w:rFonts w:hAnsi="仿宋"/>
        </w:rPr>
        <w:t>湖库交融</w:t>
      </w:r>
      <w:r>
        <w:rPr>
          <w:rFonts w:hint="eastAsia" w:hAnsi="仿宋"/>
        </w:rPr>
        <w:t>、</w:t>
      </w:r>
      <w:r>
        <w:rPr>
          <w:rFonts w:hAnsi="仿宋"/>
        </w:rPr>
        <w:t>完整多样的湿地生态系统，</w:t>
      </w:r>
      <w:r>
        <w:rPr>
          <w:rFonts w:hint="eastAsia" w:hAnsi="仿宋"/>
        </w:rPr>
        <w:t>在江汉平原一带最为集中。目前，我省已初步建立起以湿地自然保护区和湿地公园为主体、多种保护形式相结合的湿地保护管理体系，已建成洪湖湿地、沉湖湿地、大九湖湿地、网湖湿地4处国际重要湿地，</w:t>
      </w:r>
      <w:r>
        <w:t>石首市麋鹿、谷城县汉江、荆门市漳河等</w:t>
      </w:r>
      <w:r>
        <w:rPr>
          <w:rFonts w:hint="eastAsia" w:hAnsi="仿宋"/>
        </w:rPr>
        <w:t>8处国家重要湿地，省级重要湿地46处，建立湿地保护区（</w:t>
      </w:r>
      <w:r>
        <w:rPr>
          <w:rFonts w:hAnsi="仿宋"/>
        </w:rPr>
        <w:t>小区）72个、国家湿地公园6</w:t>
      </w:r>
      <w:r>
        <w:rPr>
          <w:rFonts w:hint="eastAsia" w:hAnsi="仿宋"/>
        </w:rPr>
        <w:t>6</w:t>
      </w:r>
      <w:r>
        <w:rPr>
          <w:rFonts w:hAnsi="仿宋"/>
        </w:rPr>
        <w:t>个、省级湿地公园38个</w:t>
      </w:r>
      <w:r>
        <w:rPr>
          <w:rFonts w:hint="eastAsia" w:hAnsi="仿宋"/>
        </w:rPr>
        <w:t>，</w:t>
      </w:r>
      <w:r>
        <w:rPr>
          <w:rFonts w:hAnsi="仿宋"/>
        </w:rPr>
        <w:t>维系着长江流域乃至全国湿地生态安全和生物多样性</w:t>
      </w:r>
      <w:r>
        <w:rPr>
          <w:rFonts w:hint="eastAsia" w:hAnsi="仿宋"/>
        </w:rPr>
        <w:t>。2020年全省湿地保护率达52.62%，湿地功能稳步提升。</w:t>
      </w:r>
    </w:p>
    <w:p w14:paraId="5D3EFCD0">
      <w:pPr>
        <w:pStyle w:val="4"/>
        <w:keepNext w:val="0"/>
        <w:keepLines w:val="0"/>
        <w:suppressAutoHyphens/>
        <w:spacing w:line="568" w:lineRule="exact"/>
        <w:ind w:firstLine="643"/>
      </w:pPr>
      <w:bookmarkStart w:id="44" w:name="_Toc87089230"/>
      <w:r>
        <w:rPr>
          <w:rFonts w:hint="eastAsia"/>
        </w:rPr>
        <w:t>（五）物种丰富多样，野生动植物保护率不断提高</w:t>
      </w:r>
      <w:bookmarkEnd w:id="44"/>
    </w:p>
    <w:p w14:paraId="57B26B99">
      <w:pPr>
        <w:suppressAutoHyphens/>
        <w:ind w:firstLine="640"/>
        <w:rPr>
          <w:rFonts w:hAnsi="仿宋"/>
        </w:rPr>
      </w:pPr>
      <w:r>
        <w:rPr>
          <w:rFonts w:hint="eastAsia" w:hAnsi="仿宋"/>
        </w:rPr>
        <w:t>我</w:t>
      </w:r>
      <w:r>
        <w:rPr>
          <w:rFonts w:hAnsi="仿宋"/>
        </w:rPr>
        <w:t>省</w:t>
      </w:r>
      <w:r>
        <w:rPr>
          <w:rFonts w:hint="eastAsia" w:hAnsi="仿宋"/>
        </w:rPr>
        <w:t>生物多样性</w:t>
      </w:r>
      <w:r>
        <w:rPr>
          <w:rFonts w:hAnsi="仿宋"/>
        </w:rPr>
        <w:t>具有物种丰富且分布集中、区系起源古老且特有物种多、珍稀濒危物种及遗传资源丰富等特点</w:t>
      </w:r>
      <w:r>
        <w:rPr>
          <w:rFonts w:hint="eastAsia" w:hAnsi="仿宋"/>
        </w:rPr>
        <w:t>，</w:t>
      </w:r>
      <w:r>
        <w:rPr>
          <w:rFonts w:hAnsi="仿宋"/>
        </w:rPr>
        <w:t>特别是鄂西山地区域存在大量的古老孑遗和特有种。全省天然分布维管植物292科1571属6292种，其中天然分布的国家重点保护野生植物</w:t>
      </w:r>
      <w:r>
        <w:rPr>
          <w:rFonts w:hint="eastAsia" w:hAnsi="仿宋"/>
        </w:rPr>
        <w:t>162</w:t>
      </w:r>
      <w:r>
        <w:rPr>
          <w:rFonts w:hAnsi="仿宋"/>
        </w:rPr>
        <w:t>种</w:t>
      </w:r>
      <w:r>
        <w:rPr>
          <w:rFonts w:hint="eastAsia" w:hAnsi="仿宋"/>
        </w:rPr>
        <w:t>，</w:t>
      </w:r>
      <w:r>
        <w:rPr>
          <w:rFonts w:hAnsi="仿宋"/>
        </w:rPr>
        <w:t>列入《中国珍稀濒危保护植物名录》（第一册）的天然分布珍稀濒危植物63种，占全国总种数的16.24%</w:t>
      </w:r>
      <w:r>
        <w:rPr>
          <w:rFonts w:hint="eastAsia" w:hAnsi="仿宋"/>
        </w:rPr>
        <w:t>。</w:t>
      </w:r>
      <w:r>
        <w:rPr>
          <w:rFonts w:hAnsi="仿宋"/>
        </w:rPr>
        <w:t>农业遗传资源丰富，共有农作物品种6198个，野生药用植物资源有3198种</w:t>
      </w:r>
      <w:r>
        <w:rPr>
          <w:rFonts w:hint="eastAsia" w:hAnsi="仿宋"/>
        </w:rPr>
        <w:t>。</w:t>
      </w:r>
      <w:r>
        <w:rPr>
          <w:rFonts w:hAnsi="仿宋"/>
        </w:rPr>
        <w:t>全省有野生脊椎动物893种</w:t>
      </w:r>
      <w:r>
        <w:rPr>
          <w:rFonts w:hint="eastAsia" w:hAnsi="仿宋"/>
        </w:rPr>
        <w:t>，</w:t>
      </w:r>
      <w:r>
        <w:rPr>
          <w:rFonts w:hAnsi="仿宋"/>
        </w:rPr>
        <w:t>其中属于国家和湖北省重点保护的野生动物有</w:t>
      </w:r>
      <w:r>
        <w:rPr>
          <w:rFonts w:hint="eastAsia" w:hAnsi="仿宋"/>
        </w:rPr>
        <w:t>343</w:t>
      </w:r>
      <w:r>
        <w:rPr>
          <w:rFonts w:hAnsi="仿宋"/>
        </w:rPr>
        <w:t>种</w:t>
      </w:r>
      <w:r>
        <w:rPr>
          <w:rFonts w:hint="eastAsia" w:hAnsi="仿宋"/>
        </w:rPr>
        <w:t>；</w:t>
      </w:r>
      <w:r>
        <w:rPr>
          <w:rFonts w:hint="eastAsia"/>
        </w:rPr>
        <w:t>大多数国家重点保护一、二级水生野生动物主要分布于长江干流，长江干流36处鱼类主要产卵场半数以上在湖北境内</w:t>
      </w:r>
      <w:r>
        <w:rPr>
          <w:rFonts w:hAnsi="仿宋"/>
        </w:rPr>
        <w:t>。</w:t>
      </w:r>
      <w:r>
        <w:rPr>
          <w:rFonts w:hint="eastAsia" w:hAnsi="仿宋"/>
        </w:rPr>
        <w:t>目前，全省国家和省重点保护陆生野生动植物有效保护率达85%。</w:t>
      </w:r>
    </w:p>
    <w:p w14:paraId="410089B9">
      <w:pPr>
        <w:pStyle w:val="4"/>
        <w:keepNext w:val="0"/>
        <w:keepLines w:val="0"/>
        <w:suppressAutoHyphens/>
        <w:spacing w:line="568" w:lineRule="exact"/>
        <w:ind w:firstLine="643"/>
      </w:pPr>
      <w:bookmarkStart w:id="45" w:name="_Toc87089231"/>
      <w:r>
        <w:rPr>
          <w:rFonts w:hint="eastAsia"/>
        </w:rPr>
        <w:t>（六）矿产资源丰富，采矿历史悠久</w:t>
      </w:r>
      <w:bookmarkEnd w:id="45"/>
    </w:p>
    <w:p w14:paraId="11DA19EA">
      <w:pPr>
        <w:suppressAutoHyphens/>
        <w:ind w:firstLine="640"/>
        <w:rPr>
          <w:rFonts w:hAnsi="仿宋"/>
          <w:color w:val="FF0000"/>
        </w:rPr>
      </w:pPr>
      <w:r>
        <w:rPr>
          <w:rFonts w:hint="eastAsia" w:hAnsi="仿宋"/>
        </w:rPr>
        <w:t>湖北拥有3500年的采矿史，是华夏青铜文化重要的发祥地之一。全省已发现矿产资源150种，其中已查明资源储量的矿产91种，磷、锂、盐等5</w:t>
      </w:r>
      <w:r>
        <w:rPr>
          <w:rFonts w:hAnsi="仿宋"/>
        </w:rPr>
        <w:t>6</w:t>
      </w:r>
      <w:r>
        <w:rPr>
          <w:rFonts w:hint="eastAsia" w:hAnsi="仿宋"/>
        </w:rPr>
        <w:t>种矿产保有资源储量居全国前10位。全省主要资源分布相对集中，富铁、富铜、金等矿产集中分布于鄂东南地区，磷、页岩气等矿产主要分布于鄂西、鄂西南地区，石油、岩盐、芒硝等矿产主要分布于鄂中地区，银、铌、钽等矿产主要分布在鄂西北地区。开采矿种以非金属矿产为主，次为金属矿产、能源矿产；非金属矿产主要为磷、岩盐、水泥用灰岩、熔剂用灰岩、建筑石料用灰岩、饰面用花岗岩等化工建材及其它非金属矿产；金属矿产主要为铁、铜、金矿；能源矿产主要为石油、天然气，基本形成鄂东铜铁冶金建材、鄂中盐及石油化工、鄂西磷化工等多个资源产业集群。</w:t>
      </w:r>
    </w:p>
    <w:p w14:paraId="41A3DBC4">
      <w:pPr>
        <w:pStyle w:val="4"/>
        <w:keepNext w:val="0"/>
        <w:keepLines w:val="0"/>
        <w:suppressAutoHyphens/>
        <w:spacing w:line="568" w:lineRule="exact"/>
        <w:ind w:firstLine="643"/>
      </w:pPr>
      <w:bookmarkStart w:id="46" w:name="_Toc87089232"/>
      <w:r>
        <w:rPr>
          <w:rFonts w:hint="eastAsia"/>
        </w:rPr>
        <w:t>（七）三江、四屏和江汉湖群生态保护重要性较高</w:t>
      </w:r>
      <w:bookmarkEnd w:id="46"/>
    </w:p>
    <w:p w14:paraId="55C1745E">
      <w:pPr>
        <w:suppressAutoHyphens/>
        <w:ind w:firstLine="640"/>
        <w:rPr>
          <w:rFonts w:ascii="仿宋_GB2312" w:hAnsi="仿宋"/>
        </w:rPr>
      </w:pPr>
      <w:r>
        <w:rPr>
          <w:rFonts w:hint="eastAsia" w:ascii="仿宋_GB2312" w:hAnsi="仿宋"/>
        </w:rPr>
        <w:t>湖北省处于中国地势第二级阶梯向第三级阶梯过渡地带，生态保护重要性整体呈现“东西高中部低”格局，生态保护“极重要”区和“重要”区占全省国土面积的</w:t>
      </w:r>
      <w:r>
        <w:rPr>
          <w:rFonts w:hint="eastAsia" w:cs="Times New Roman"/>
        </w:rPr>
        <w:t>60</w:t>
      </w:r>
      <w:r>
        <w:rPr>
          <w:rFonts w:cs="Times New Roman"/>
        </w:rPr>
        <w:t>%</w:t>
      </w:r>
      <w:r>
        <w:rPr>
          <w:rFonts w:hint="eastAsia" w:ascii="仿宋_GB2312" w:hAnsi="仿宋"/>
        </w:rPr>
        <w:t>，主要分布在长江、汉江、清江及鄂西北秦巴山区、鄂西南武陵山区、鄂东北大别山区、鄂东南幕阜山区及江汉平原洪湖、长湖、沉湖、梁子湖等湖泊。其中生态系统服务功能（水源涵养、水土保持、生物多样性维护等）“极重要”区和“重要”区主要分布</w:t>
      </w:r>
      <w:bookmarkStart w:id="47" w:name="_Hlk22834535"/>
      <w:r>
        <w:rPr>
          <w:rFonts w:hint="eastAsia" w:ascii="仿宋_GB2312" w:hAnsi="仿宋"/>
        </w:rPr>
        <w:t>在神农架、恩施、宜昌、十堰、咸宁、黄石、黄冈</w:t>
      </w:r>
      <w:bookmarkEnd w:id="47"/>
      <w:r>
        <w:rPr>
          <w:rFonts w:hint="eastAsia" w:ascii="仿宋_GB2312" w:hAnsi="仿宋"/>
        </w:rPr>
        <w:t>、随州等地；生态脆弱性（水土流失、石漠化、土地沙化等）整体以“一般脆弱”为主，仅局部地区凸显“极脆弱”和“脆弱”，主要分布在恩施、宜昌、十堰、咸宁等地。</w:t>
      </w:r>
    </w:p>
    <w:p w14:paraId="77E24029">
      <w:pPr>
        <w:pStyle w:val="53"/>
      </w:pPr>
      <w:bookmarkStart w:id="48" w:name="_Toc87200611"/>
      <w:bookmarkStart w:id="49" w:name="_Toc87089233"/>
      <w:r>
        <w:rPr>
          <w:rFonts w:hint="eastAsia"/>
        </w:rPr>
        <w:t>第二节　生态修复工作成效</w:t>
      </w:r>
      <w:bookmarkEnd w:id="48"/>
      <w:bookmarkEnd w:id="49"/>
    </w:p>
    <w:p w14:paraId="0DC33AD0">
      <w:pPr>
        <w:suppressAutoHyphens/>
        <w:ind w:firstLine="643"/>
      </w:pPr>
      <w:r>
        <w:rPr>
          <w:b/>
        </w:rPr>
        <w:t>长江大保护成</w:t>
      </w:r>
      <w:r>
        <w:rPr>
          <w:rFonts w:hint="eastAsia"/>
          <w:b/>
        </w:rPr>
        <w:t>果</w:t>
      </w:r>
      <w:r>
        <w:rPr>
          <w:b/>
        </w:rPr>
        <w:t>不断提升。</w:t>
      </w:r>
      <w:r>
        <w:rPr>
          <w:rFonts w:hint="eastAsia"/>
        </w:rPr>
        <w:t>2016年以来，湖北省委、省政府坚持全方位保护、全流域修复、全社会参与，长江大保护十大标志性战役、长江保护修复攻坚战“八大专项行动”、长江经济带绿色发展十大战略性举措持续发力。截至2020年底，全省已完成405家沿江化工企业“关改搬转”，</w:t>
      </w:r>
      <w:r>
        <w:t>破解</w:t>
      </w:r>
      <w:r>
        <w:rPr>
          <w:rFonts w:hint="eastAsia" w:ascii="仿宋_GB2312"/>
        </w:rPr>
        <w:t>“化工围江”</w:t>
      </w:r>
      <w:r>
        <w:t>典型经验得到国务院高度评价；</w:t>
      </w:r>
      <w:r>
        <w:rPr>
          <w:rFonts w:hint="eastAsia"/>
        </w:rPr>
        <w:t>大力实施“留白”“增绿”，修复岸线生态，腾退岸线149.8公里，长江两岸造林累计完成561.33平方公里，长江岸滩复绿面积累计超过856万平方米；提前1年完成178座尾矿库闭库任务，全面消除历史遗留无主库；长江干支流83个水生生物保护区实施全面禁捕。</w:t>
      </w:r>
    </w:p>
    <w:p w14:paraId="2F263260">
      <w:pPr>
        <w:suppressAutoHyphens/>
        <w:ind w:firstLine="643"/>
      </w:pPr>
      <w:r>
        <w:rPr>
          <w:rFonts w:hint="eastAsia"/>
          <w:b/>
        </w:rPr>
        <w:t>生态保护成就斐然</w:t>
      </w:r>
      <w:r>
        <w:rPr>
          <w:rFonts w:hint="eastAsia"/>
        </w:rPr>
        <w:t>。全省划定生态保护红线总面积3.74万平方公里，占全省国土面积的20.15%；根据全省自然保护地整合优化预案，整合优化前共建立省级以上自然保护地312个，整合优化后自然保护地总面积约1.89万平方公里，全省90%以上的陆地生态系统类型得到有效保护。“十三五”期间，湖北省累计修复退化湿地面积92.93平方公里，实施退耕还湿127.73平方公里；冬季水鸟种类从73种增加到85种，种群数量增加3.4倍。加强森林防火、重大林业有害生物防治、野生动物疫源疫病监测与防控，森林火灾受害率和林业有害生物成灾率分别控制在1‰和3.4‰以下。建立健全全省长江经济带珍稀濒危动植物保护长效机制，重点物种种类数量稳中有升。</w:t>
      </w:r>
    </w:p>
    <w:p w14:paraId="2B192078">
      <w:pPr>
        <w:widowControl/>
        <w:suppressAutoHyphens/>
        <w:ind w:firstLine="643"/>
      </w:pPr>
      <w:r>
        <w:rPr>
          <w:b/>
        </w:rPr>
        <w:t>国家生态修复试点工程有序开展。</w:t>
      </w:r>
      <w:r>
        <w:t>积极组织申报国家山水林田湖草生态保护修复工程试点，</w:t>
      </w:r>
      <w:r>
        <w:rPr>
          <w:rFonts w:hint="eastAsia"/>
        </w:rPr>
        <w:t>2018年12月《湖北省长江三峡地区山水林田湖草生态保护修复工程》入选国家第三批试点。截至2020年底，已完成治理面积492.60平方公里，完成长江岸线生态修复工程97.95公里，已取缔非法码头岸线复绿率100%，国家和省考核断面水质达标率100%，项目区内消除劣V类水体，三峡特有濒危动植物退化趋势得到基本控制。</w:t>
      </w:r>
    </w:p>
    <w:p w14:paraId="090E3FFA">
      <w:pPr>
        <w:suppressAutoHyphens/>
        <w:ind w:firstLine="643"/>
      </w:pPr>
      <w:r>
        <w:rPr>
          <w:rFonts w:hint="eastAsia"/>
          <w:b/>
        </w:rPr>
        <w:t>江河湖库水生态环境持续改善。</w:t>
      </w:r>
      <w:r>
        <w:rPr>
          <w:rFonts w:hint="eastAsia"/>
        </w:rPr>
        <w:t>“十三五”期间，深入实施碧水保卫战，全省水生态环境质量不断提升，国考断面水质优良比例提高到91.2%，丹江口水库水质常年保持在国家地表水</w:t>
      </w:r>
      <w:r>
        <w:rPr>
          <w:rFonts w:cs="Times New Roman"/>
        </w:rPr>
        <w:t>Ⅱ</w:t>
      </w:r>
      <w:r>
        <w:rPr>
          <w:rFonts w:hint="eastAsia"/>
        </w:rPr>
        <w:t>类以上标准，12个地级以上城市建成区214条黑臭水体整治全部完成。积极推进河湖水生态修复，完成退垸（田、渔）还湖面积244.97平方公里，大力推进鄂州、黄冈等20处重点区域河湖水系连通工程建设，有效增强河湖连通性、水体流动性，增加了水环境容量。积极开展重要河湖生态流量、水量保障工作，建立675个水工程生态流量重点监管名录，河道减脱水现象明显好转，部分生态系统得到恢复。</w:t>
      </w:r>
    </w:p>
    <w:p w14:paraId="12F4379B">
      <w:pPr>
        <w:suppressAutoHyphens/>
        <w:ind w:firstLine="643"/>
      </w:pPr>
      <w:r>
        <w:rPr>
          <w:rFonts w:hint="eastAsia"/>
          <w:b/>
        </w:rPr>
        <w:t>矿山生态修复扎实推进。</w:t>
      </w:r>
      <w:r>
        <w:rPr>
          <w:rFonts w:hint="eastAsia"/>
        </w:rPr>
        <w:t>“十三五”期间，深入开展全省“三区两线”矿山地质环境恢复治理及复绿、长江干支流两岸10公里范围内废弃露天矿山生态修复、武汉和黄石矿山环境治理示范工程等重大工程，矿山地质环境恢复治理1207个、治理面积91.20平方公里。共有69家矿山成功纳入全国绿色矿山名录，2020年底大中型应建矿山达标率达到80%以上，大冶市、铁山区、夷陵区、兴山县、武穴市5个县（市、区）入选国家绿色矿业发展示范区名单。积极探索矿山生态修复市场化运作，武汉市、孝感市、黄石市、黄冈市等地成功吸引社会资本全出资开展工矿废弃地复垦、矿山生态修复等项目。</w:t>
      </w:r>
    </w:p>
    <w:p w14:paraId="681CFC54">
      <w:pPr>
        <w:suppressAutoHyphens/>
        <w:ind w:firstLine="643"/>
        <w:rPr>
          <w:b/>
        </w:rPr>
      </w:pPr>
      <w:r>
        <w:rPr>
          <w:rFonts w:hint="eastAsia"/>
          <w:b/>
        </w:rPr>
        <w:t>全域国土综合整治全面启动。</w:t>
      </w:r>
      <w:r>
        <w:rPr>
          <w:rFonts w:hint="eastAsia"/>
        </w:rPr>
        <w:t>2018年以来，湖北省积极推进全域国土综合整治试点工作，2019年发布《关于推进全域国土综合整治的意见》（鄂政发〔2019〕25号），是继浙江之后全国第二个由省政府发文部署的省份。2020年全面启动全域国土综合整治试点工作，安排试点项目46个（其中国家试点20个、省级17个、市级9个），覆盖村庄310个，总规模310.7万亩，有力服务乡村振兴和生态文明建设。“十三五”期间，共建成1688.49万亩高标准农田，开展农田整治1689万亩，新增耕地69万亩，为全省粮食产量连续8年稳定在500亿斤以上奠定了坚实基础。</w:t>
      </w:r>
    </w:p>
    <w:p w14:paraId="61AD9DAA">
      <w:pPr>
        <w:suppressAutoHyphens/>
        <w:ind w:firstLine="643"/>
      </w:pPr>
      <w:r>
        <w:rPr>
          <w:b/>
        </w:rPr>
        <w:t>国土绿化</w:t>
      </w:r>
      <w:r>
        <w:rPr>
          <w:rFonts w:hint="eastAsia"/>
          <w:b/>
        </w:rPr>
        <w:t>收效明显</w:t>
      </w:r>
      <w:r>
        <w:rPr>
          <w:b/>
        </w:rPr>
        <w:t>。</w:t>
      </w:r>
      <w:r>
        <w:t>近年来</w:t>
      </w:r>
      <w:r>
        <w:rPr>
          <w:rFonts w:hint="eastAsia"/>
        </w:rPr>
        <w:t>湖北省全面打响国土绿化总体攻坚战，实施绿满荆楚行动、长江两岸造林绿化和精准灭荒工程。“十三五”期间，共完成造林（含人工造林、封山育林）11138.67平方公里，完成石漠化综合治理林业建设任务1593.33平方公里。全省森林面积从40年前的0.57亿亩增加到2020年的1.16亿亩；森林蓄积量从0.99亿立方米增加到4.2亿立方米；森林覆盖率从20.3%提高到42%。2016年全面停止天然林商业性采伐，</w:t>
      </w:r>
      <w:r>
        <w:t>64107</w:t>
      </w:r>
      <w:r>
        <w:rPr>
          <w:rFonts w:hint="eastAsia"/>
        </w:rPr>
        <w:t>平方公里天然林和公益林得到有效保护。各地共建成国家森林城市11个、国家森林乡村369个，省级森林城市36个、森林城镇214个、绿色示范乡村5560个。</w:t>
      </w:r>
    </w:p>
    <w:p w14:paraId="2F2326ED">
      <w:pPr>
        <w:suppressAutoHyphens/>
        <w:ind w:firstLine="643"/>
      </w:pPr>
      <w:r>
        <w:rPr>
          <w:rFonts w:hint="eastAsia"/>
          <w:b/>
        </w:rPr>
        <w:t>水土保持成效显著。</w:t>
      </w:r>
      <w:r>
        <w:rPr>
          <w:rFonts w:hint="eastAsia"/>
        </w:rPr>
        <w:t>湖北是全国水土流失较严重的省份之一，经过</w:t>
      </w:r>
      <w:r>
        <w:t>20</w:t>
      </w:r>
      <w:r>
        <w:rPr>
          <w:rFonts w:hint="eastAsia"/>
        </w:rPr>
        <w:t>余年治理，全省水土流失面积由</w:t>
      </w:r>
      <w:r>
        <w:t>6.85</w:t>
      </w:r>
      <w:r>
        <w:rPr>
          <w:rFonts w:hint="eastAsia"/>
        </w:rPr>
        <w:t>万平方公里减至</w:t>
      </w:r>
      <w:r>
        <w:t>3.</w:t>
      </w:r>
      <w:r>
        <w:rPr>
          <w:rFonts w:hint="eastAsia"/>
        </w:rPr>
        <w:t>16万平方公里，水土保持率达8</w:t>
      </w:r>
      <w:r>
        <w:t>2.97</w:t>
      </w:r>
      <w:r>
        <w:rPr>
          <w:rFonts w:hint="eastAsia"/>
        </w:rPr>
        <w:t>%。“十三五”期间，新增水土流失综合治理面积超过1.1万平方公里，水土流失强度明显降低，水土保持率提高了1.88个百分点，水土流失状况明显得到改善。三峡库区、丹江口库区、大别山区、武陵山区、幕阜山区等一大批水土流失较为严重的地区在实施综合治理后，已发展成为湖北省重要的农产品生产基地和生态旅游观光带。</w:t>
      </w:r>
    </w:p>
    <w:p w14:paraId="4C651350">
      <w:pPr>
        <w:pStyle w:val="53"/>
      </w:pPr>
      <w:bookmarkStart w:id="50" w:name="_Toc87200612"/>
      <w:bookmarkStart w:id="51" w:name="_Toc87089234"/>
      <w:r>
        <w:rPr>
          <w:rFonts w:hint="eastAsia"/>
        </w:rPr>
        <w:t>第三节　主要问题</w:t>
      </w:r>
      <w:bookmarkEnd w:id="50"/>
      <w:bookmarkEnd w:id="51"/>
    </w:p>
    <w:p w14:paraId="566AF887">
      <w:pPr>
        <w:pStyle w:val="4"/>
        <w:keepNext w:val="0"/>
        <w:keepLines w:val="0"/>
        <w:suppressAutoHyphens/>
        <w:spacing w:line="568" w:lineRule="exact"/>
        <w:ind w:firstLine="643"/>
      </w:pPr>
      <w:bookmarkStart w:id="52" w:name="_Toc87089235"/>
      <w:r>
        <w:rPr>
          <w:rFonts w:hint="eastAsia"/>
        </w:rPr>
        <w:t>（一）长江、汉江生态受损，</w:t>
      </w:r>
      <w:bookmarkEnd w:id="52"/>
      <w:r>
        <w:rPr>
          <w:rFonts w:hint="eastAsia"/>
        </w:rPr>
        <w:t>水生生物多样性降低</w:t>
      </w:r>
    </w:p>
    <w:p w14:paraId="0306D7F1">
      <w:pPr>
        <w:suppressAutoHyphens/>
        <w:ind w:firstLine="643"/>
        <w:jc w:val="left"/>
        <w:rPr>
          <w:rFonts w:hAnsi="仿宋" w:cs="仿宋_GB2312"/>
          <w:color w:val="000000"/>
          <w:kern w:val="0"/>
          <w:szCs w:val="28"/>
          <w:lang w:bidi="ar"/>
        </w:rPr>
      </w:pPr>
      <w:r>
        <w:rPr>
          <w:rFonts w:hint="eastAsia" w:hAnsi="仿宋"/>
          <w:b/>
          <w:bCs/>
        </w:rPr>
        <w:t>水生生物多样性降低。</w:t>
      </w:r>
      <w:r>
        <w:rPr>
          <w:rFonts w:hint="eastAsia" w:hAnsi="仿宋"/>
        </w:rPr>
        <w:t>受长期酷渔滥捕、江湖阻隔、航运发展、水利工程、围湖造田等多重影响，我省部分水生野生动物种类及数量急剧下降，</w:t>
      </w:r>
      <w:r>
        <w:rPr>
          <w:rFonts w:hint="eastAsia"/>
          <w:bCs/>
        </w:rPr>
        <w:t>长江鲟、胭脂鱼、</w:t>
      </w:r>
      <w:r>
        <w:rPr>
          <w:rFonts w:hint="eastAsia" w:hAnsi="仿宋"/>
        </w:rPr>
        <w:t>“</w:t>
      </w:r>
      <w:r>
        <w:rPr>
          <w:rFonts w:cs="Times New Roman"/>
        </w:rPr>
        <w:t>四大家鱼</w:t>
      </w:r>
      <w:r>
        <w:rPr>
          <w:rFonts w:hint="eastAsia" w:ascii="仿宋_GB2312" w:cs="Times New Roman"/>
        </w:rPr>
        <w:t>”鱼苗和</w:t>
      </w:r>
      <w:r>
        <w:rPr>
          <w:rFonts w:hint="eastAsia" w:cs="Times New Roman"/>
        </w:rPr>
        <w:t>产卵规模大幅减少</w:t>
      </w:r>
      <w:r>
        <w:rPr>
          <w:rFonts w:cs="Times New Roman"/>
        </w:rPr>
        <w:t>，</w:t>
      </w:r>
      <w:r>
        <w:rPr>
          <w:rFonts w:hint="eastAsia" w:hAnsi="仿宋"/>
        </w:rPr>
        <w:t>白</w:t>
      </w:r>
      <w:r>
        <w:rPr>
          <w:rFonts w:hint="eastAsia" w:ascii="仿宋" w:hAnsi="仿宋" w:eastAsia="仿宋" w:cs="宋体"/>
        </w:rPr>
        <w:t>鱀</w:t>
      </w:r>
      <w:r>
        <w:rPr>
          <w:rFonts w:hint="eastAsia" w:ascii="仿宋_GB2312" w:hAnsi="仿宋_GB2312" w:cs="仿宋_GB2312"/>
        </w:rPr>
        <w:t>豚、白鲟已功能性灭绝，</w:t>
      </w:r>
      <w:r>
        <w:rPr>
          <w:rFonts w:hint="eastAsia" w:ascii="仿宋_GB2312" w:hAnsi="仿宋_GB2312" w:cs="仿宋_GB2312"/>
          <w:color w:val="000000"/>
          <w:kern w:val="0"/>
          <w:szCs w:val="28"/>
          <w:lang w:bidi="ar"/>
        </w:rPr>
        <w:t>中华鲟濒临灭绝，长江流域江豚数量从上世纪</w:t>
      </w:r>
      <w:r>
        <w:rPr>
          <w:rFonts w:hint="eastAsia" w:hAnsi="仿宋" w:cs="仿宋_GB2312"/>
          <w:color w:val="000000"/>
          <w:kern w:val="0"/>
          <w:szCs w:val="28"/>
          <w:lang w:bidi="ar"/>
        </w:rPr>
        <w:t>90年代2700头下降到2018年的1000头左右。鄂西北山区大量中小型水库影响部分水生动物的洄游产卵，降低了水生生物遗传多样性。</w:t>
      </w:r>
    </w:p>
    <w:p w14:paraId="4F2631CD">
      <w:pPr>
        <w:ind w:firstLine="643"/>
        <w:rPr>
          <w:rFonts w:ascii="仿宋_GB2312" w:hAnsi="仿宋"/>
          <w:szCs w:val="32"/>
        </w:rPr>
      </w:pPr>
      <w:r>
        <w:rPr>
          <w:rFonts w:hint="eastAsia"/>
          <w:b/>
          <w:szCs w:val="32"/>
        </w:rPr>
        <w:t>汉江中下游水生态环境功能减弱。</w:t>
      </w:r>
      <w:r>
        <w:rPr>
          <w:rFonts w:hint="eastAsia" w:ascii="仿宋_GB2312"/>
          <w:szCs w:val="32"/>
        </w:rPr>
        <w:t>外调水对汉江中下游水安全影响日益突出，受水文情势变化影响，汉江中下游水华日趋严重，春季硅藻水华频发；丹江口水库局部支流及库湾富营养化趋势明显，干流及库区水生生物结构演变明显，水生态健康程度下降；</w:t>
      </w:r>
      <w:r>
        <w:rPr>
          <w:rFonts w:hint="eastAsia" w:ascii="仿宋_GB2312" w:hAnsi="仿宋_GB2312" w:cs="仿宋_GB2312"/>
          <w:szCs w:val="32"/>
        </w:rPr>
        <w:t>干流部分断面不能稳定达标，支流中</w:t>
      </w:r>
      <w:r>
        <w:rPr>
          <w:rFonts w:hint="eastAsia" w:ascii="仿宋" w:hAnsi="仿宋" w:eastAsia="仿宋" w:cs="宋体"/>
          <w:szCs w:val="32"/>
        </w:rPr>
        <w:t>浰</w:t>
      </w:r>
      <w:r>
        <w:rPr>
          <w:rFonts w:hint="eastAsia" w:ascii="仿宋_GB2312"/>
          <w:szCs w:val="32"/>
        </w:rPr>
        <w:t>河</w:t>
      </w:r>
      <w:r>
        <w:rPr>
          <w:rFonts w:hint="eastAsia" w:ascii="仿宋_GB2312" w:hAnsi="仿宋_GB2312" w:cs="仿宋_GB2312"/>
          <w:szCs w:val="32"/>
        </w:rPr>
        <w:t>污染较严重</w:t>
      </w:r>
      <w:r>
        <w:rPr>
          <w:rFonts w:hint="eastAsia" w:ascii="仿宋_GB2312"/>
          <w:szCs w:val="32"/>
        </w:rPr>
        <w:t>，</w:t>
      </w:r>
      <w:r>
        <w:rPr>
          <w:rFonts w:hint="eastAsia" w:ascii="仿宋_GB2312" w:hAnsi="仿宋"/>
          <w:szCs w:val="32"/>
        </w:rPr>
        <w:t>神定河、泗河、竹皮河、通顺河等水质提升空间较大。</w:t>
      </w:r>
    </w:p>
    <w:p w14:paraId="2573E107">
      <w:pPr>
        <w:ind w:firstLine="643"/>
        <w:rPr>
          <w:rFonts w:ascii="仿宋_GB2312" w:hAnsi="仿宋"/>
          <w:szCs w:val="32"/>
        </w:rPr>
      </w:pPr>
      <w:r>
        <w:rPr>
          <w:rFonts w:hint="eastAsia" w:hAnsi="仿宋"/>
          <w:b/>
          <w:bCs/>
        </w:rPr>
        <w:t>沿江岸线空间管控仍需加强</w:t>
      </w:r>
      <w:r>
        <w:rPr>
          <w:rFonts w:hint="eastAsia" w:hAnsi="仿宋"/>
        </w:rPr>
        <w:t>。沿江</w:t>
      </w:r>
      <w:r>
        <w:rPr>
          <w:rFonts w:hAnsi="仿宋"/>
        </w:rPr>
        <w:t>岸线生态保护与开发利用之间缺乏统筹，</w:t>
      </w:r>
      <w:r>
        <w:rPr>
          <w:rFonts w:hint="eastAsia" w:hAnsi="仿宋"/>
        </w:rPr>
        <w:t>存在</w:t>
      </w:r>
      <w:r>
        <w:rPr>
          <w:rFonts w:hint="eastAsia"/>
          <w:bCs/>
        </w:rPr>
        <w:t>局部地区岸线利用布局不尽合理、</w:t>
      </w:r>
      <w:r>
        <w:rPr>
          <w:rFonts w:hAnsi="仿宋"/>
        </w:rPr>
        <w:t>岸线</w:t>
      </w:r>
      <w:r>
        <w:rPr>
          <w:rFonts w:hint="eastAsia" w:hAnsi="仿宋"/>
        </w:rPr>
        <w:t>粗放</w:t>
      </w:r>
      <w:r>
        <w:rPr>
          <w:rFonts w:hAnsi="仿宋"/>
        </w:rPr>
        <w:t>利用</w:t>
      </w:r>
      <w:r>
        <w:rPr>
          <w:rFonts w:hint="eastAsia" w:hAnsi="仿宋"/>
        </w:rPr>
        <w:t>与过度开发并存、部分危化品码头及排污口布局不符合河段水质保护要求、沿江防护林带缺株断档等问题，</w:t>
      </w:r>
      <w:r>
        <w:rPr>
          <w:rFonts w:hint="eastAsia"/>
          <w:bCs/>
        </w:rPr>
        <w:t>对防洪安全、河势稳定、供水安全及生态环境保护带来一定影响</w:t>
      </w:r>
      <w:r>
        <w:rPr>
          <w:rFonts w:hint="eastAsia" w:hAnsi="仿宋"/>
        </w:rPr>
        <w:t>。</w:t>
      </w:r>
    </w:p>
    <w:p w14:paraId="50AF3D94">
      <w:pPr>
        <w:widowControl/>
        <w:ind w:firstLine="643"/>
      </w:pPr>
      <w:r>
        <w:rPr>
          <w:rFonts w:hint="eastAsia"/>
          <w:b/>
          <w:bCs/>
        </w:rPr>
        <w:t>“两库”消落区生态稳定性低。</w:t>
      </w:r>
      <w:r>
        <w:rPr>
          <w:rFonts w:hint="eastAsia"/>
        </w:rPr>
        <w:t>三峡水库和丹江口水库消落区水位反复涨落，大面积植被难以稳定存活；反复的干湿交替破坏消落区土壤结构，波浪冲刷加之自身坡度，进一步加重土壤侵蚀，致使消落区水土流失较为严重，降低了库区生态系统稳定性。</w:t>
      </w:r>
    </w:p>
    <w:p w14:paraId="31BB1CFE">
      <w:pPr>
        <w:pStyle w:val="4"/>
        <w:keepNext w:val="0"/>
        <w:keepLines w:val="0"/>
        <w:suppressAutoHyphens/>
        <w:spacing w:line="568" w:lineRule="exact"/>
        <w:ind w:firstLine="643"/>
      </w:pPr>
      <w:bookmarkStart w:id="53" w:name="_Toc87089236"/>
      <w:r>
        <w:rPr>
          <w:rFonts w:hint="eastAsia"/>
        </w:rPr>
        <w:t>（二）江汉平原湖泊湿地萎缩，</w:t>
      </w:r>
      <w:bookmarkEnd w:id="53"/>
      <w:bookmarkStart w:id="54" w:name="_Hlk83375697"/>
      <w:r>
        <w:rPr>
          <w:rFonts w:hint="eastAsia"/>
        </w:rPr>
        <w:t>水生态受损现象较普遍</w:t>
      </w:r>
    </w:p>
    <w:bookmarkEnd w:id="54"/>
    <w:p w14:paraId="70244B50">
      <w:pPr>
        <w:widowControl/>
        <w:suppressAutoHyphens/>
        <w:ind w:firstLine="643"/>
      </w:pPr>
      <w:r>
        <w:rPr>
          <w:rFonts w:hint="eastAsia"/>
          <w:b/>
          <w:bCs/>
        </w:rPr>
        <w:t>湖泊湿地减少，中小河湖被侵占现象仍然存在。</w:t>
      </w:r>
      <w:r>
        <w:rPr>
          <w:rFonts w:hint="eastAsia"/>
        </w:rPr>
        <w:t>20世纪50年代至80年代，全省湖泊数量减少三分之一，面积减少近三分之二；1980年以后，大规模围湖造田得到有效控制，湖泊萎缩趋势减缓，但城市扩张和房地产开发填湖造地导致城中湖和近郊湖泊面积缩减甚至消失；2012年以后，湖泊数量面积趋于稳定。</w:t>
      </w:r>
      <w:r>
        <w:rPr>
          <w:rFonts w:hint="eastAsia" w:hAnsi="仿宋"/>
        </w:rPr>
        <w:t>目前湖泊数量755个，水面面积约2706平方公里，数量仅为上世纪50年代的57%</w:t>
      </w:r>
      <w:r>
        <w:rPr>
          <w:rFonts w:cs="Times New Roman"/>
        </w:rPr>
        <w:t>，面积萎缩近</w:t>
      </w:r>
      <w:r>
        <w:rPr>
          <w:rFonts w:hint="eastAsia" w:cs="Times New Roman"/>
        </w:rPr>
        <w:t>70%，其中</w:t>
      </w:r>
      <w:r>
        <w:rPr>
          <w:rFonts w:hint="eastAsia" w:hAnsi="仿宋"/>
        </w:rPr>
        <w:t>江汉平原湖泊湿地减少最为明显。虽已开展还湖工程，但白鹭湖、三湖等湖泊水面仍未完全恢复，中小河湖生态空间被侵占现象仍然存在</w:t>
      </w:r>
      <w:r>
        <w:t>。</w:t>
      </w:r>
    </w:p>
    <w:p w14:paraId="20C71734">
      <w:pPr>
        <w:widowControl/>
        <w:suppressAutoHyphens/>
        <w:ind w:firstLine="643"/>
      </w:pPr>
      <w:r>
        <w:rPr>
          <w:rFonts w:hint="eastAsia" w:hAnsi="仿宋"/>
          <w:b/>
        </w:rPr>
        <w:t>河湖水生态受损现象较普遍。</w:t>
      </w:r>
      <w:r>
        <w:rPr>
          <w:rFonts w:hint="eastAsia" w:hAnsi="仿宋"/>
        </w:rPr>
        <w:t>河湖水质达标率逐年向好，但主要湖泊总体水质仍为轻度污染，</w:t>
      </w:r>
      <w:r>
        <w:rPr>
          <w:rFonts w:hint="eastAsia" w:hAnsi="仿宋"/>
          <w:szCs w:val="28"/>
        </w:rPr>
        <w:t>洪湖、长湖、斧头湖等因流域农业面源污染、内源污染等导致湖泊水质长期不达标，水生态退化严重；汤逊湖、后湖、网湖等湖泊仍为V类水质且无明显改善；</w:t>
      </w:r>
      <w:r>
        <w:rPr>
          <w:rFonts w:hint="eastAsia" w:ascii="宋体" w:hAnsi="宋体" w:eastAsia="宋体" w:cs="宋体"/>
          <w:szCs w:val="28"/>
        </w:rPr>
        <w:t>汈</w:t>
      </w:r>
      <w:r>
        <w:rPr>
          <w:rFonts w:hint="eastAsia" w:ascii="仿宋_GB2312" w:hAnsi="仿宋_GB2312" w:cs="仿宋_GB2312"/>
          <w:szCs w:val="28"/>
        </w:rPr>
        <w:t>汊湖、</w:t>
      </w:r>
      <w:r>
        <w:rPr>
          <w:rFonts w:hint="eastAsia" w:ascii="仿宋" w:hAnsi="仿宋" w:eastAsia="仿宋" w:cs="宋体"/>
          <w:szCs w:val="28"/>
        </w:rPr>
        <w:t>澴</w:t>
      </w:r>
      <w:r>
        <w:rPr>
          <w:rFonts w:hint="eastAsia" w:ascii="仿宋_GB2312" w:hAnsi="仿宋_GB2312" w:cs="仿宋_GB2312"/>
          <w:szCs w:val="28"/>
        </w:rPr>
        <w:t>东湖等湖泊萎缩和水体污染导致湖区水生生态系统破坏加剧</w:t>
      </w:r>
      <w:r>
        <w:rPr>
          <w:rFonts w:hint="eastAsia" w:hAnsi="仿宋"/>
          <w:szCs w:val="28"/>
        </w:rPr>
        <w:t>。目前水生态修复和环境治理多集中在重点河湖和城区河湖，仍有相当多的中小河湖水生态功能受损，中小河流水质劣于</w:t>
      </w:r>
      <w:r>
        <w:rPr>
          <w:rFonts w:hAnsi="仿宋"/>
          <w:szCs w:val="28"/>
        </w:rPr>
        <w:fldChar w:fldCharType="begin"/>
      </w:r>
      <w:r>
        <w:rPr>
          <w:rFonts w:hAnsi="仿宋"/>
          <w:szCs w:val="28"/>
        </w:rPr>
        <w:instrText xml:space="preserve"> </w:instrText>
      </w:r>
      <w:r>
        <w:rPr>
          <w:rFonts w:hint="eastAsia" w:hAnsi="仿宋"/>
          <w:szCs w:val="28"/>
        </w:rPr>
        <w:instrText xml:space="preserve">= 3 \* ROMAN</w:instrText>
      </w:r>
      <w:r>
        <w:rPr>
          <w:rFonts w:hAnsi="仿宋"/>
          <w:szCs w:val="28"/>
        </w:rPr>
        <w:instrText xml:space="preserve"> </w:instrText>
      </w:r>
      <w:r>
        <w:rPr>
          <w:rFonts w:hAnsi="仿宋"/>
          <w:szCs w:val="28"/>
        </w:rPr>
        <w:fldChar w:fldCharType="separate"/>
      </w:r>
      <w:r>
        <w:rPr>
          <w:rFonts w:hAnsi="仿宋"/>
          <w:szCs w:val="28"/>
        </w:rPr>
        <w:t>III</w:t>
      </w:r>
      <w:r>
        <w:rPr>
          <w:rFonts w:hAnsi="仿宋"/>
          <w:szCs w:val="28"/>
        </w:rPr>
        <w:fldChar w:fldCharType="end"/>
      </w:r>
      <w:r>
        <w:rPr>
          <w:rFonts w:hint="eastAsia" w:hAnsi="仿宋"/>
          <w:szCs w:val="28"/>
        </w:rPr>
        <w:t>类河段长度占评价河长的29%</w:t>
      </w:r>
      <w:r>
        <w:rPr>
          <w:rFonts w:hint="eastAsia" w:ascii="仿宋_GB2312" w:hAnsi="仿宋_GB2312" w:cs="仿宋_GB2312"/>
          <w:szCs w:val="28"/>
        </w:rPr>
        <w:t>，府</w:t>
      </w:r>
      <w:r>
        <w:rPr>
          <w:rFonts w:hint="eastAsia" w:ascii="仿宋" w:hAnsi="仿宋" w:eastAsia="仿宋" w:cs="宋体"/>
          <w:szCs w:val="28"/>
        </w:rPr>
        <w:t>澴</w:t>
      </w:r>
      <w:r>
        <w:rPr>
          <w:rFonts w:hint="eastAsia" w:ascii="仿宋_GB2312" w:hAnsi="仿宋_GB2312" w:cs="仿宋_GB2312"/>
          <w:szCs w:val="28"/>
        </w:rPr>
        <w:t>河流域、天门河流域部分断面不能稳定达标</w:t>
      </w:r>
      <w:r>
        <w:rPr>
          <w:rFonts w:hint="eastAsia" w:hAnsi="仿宋"/>
          <w:szCs w:val="28"/>
        </w:rPr>
        <w:t>。</w:t>
      </w:r>
    </w:p>
    <w:p w14:paraId="6B475FB3">
      <w:pPr>
        <w:widowControl/>
        <w:suppressAutoHyphens/>
        <w:ind w:firstLine="643"/>
        <w:rPr>
          <w:rFonts w:hAnsi="仿宋"/>
        </w:rPr>
      </w:pPr>
      <w:r>
        <w:rPr>
          <w:rFonts w:hint="eastAsia"/>
          <w:b/>
          <w:bCs/>
        </w:rPr>
        <w:t>外来入侵物种影响湖泊生态。</w:t>
      </w:r>
      <w:r>
        <w:rPr>
          <w:rFonts w:hint="eastAsia"/>
          <w:bCs/>
        </w:rPr>
        <w:t>我省外来入侵植物</w:t>
      </w:r>
      <w:r>
        <w:rPr>
          <w:szCs w:val="21"/>
        </w:rPr>
        <w:t>影响严重的</w:t>
      </w:r>
      <w:r>
        <w:t>主要是空心莲子草</w:t>
      </w:r>
      <w:r>
        <w:rPr>
          <w:rFonts w:hint="eastAsia"/>
        </w:rPr>
        <w:t>（水花生）</w:t>
      </w:r>
      <w:r>
        <w:t>、凤眼莲（水葫芦）、</w:t>
      </w:r>
      <w:r>
        <w:rPr>
          <w:rFonts w:hint="eastAsia"/>
        </w:rPr>
        <w:t>加拿大一枝黄花、豚草、紫茎泽兰</w:t>
      </w:r>
      <w:r>
        <w:t>等</w:t>
      </w:r>
      <w:r>
        <w:rPr>
          <w:rFonts w:hint="eastAsia"/>
        </w:rPr>
        <w:t>，其中水花生</w:t>
      </w:r>
      <w:r>
        <w:t>、水葫芦在全省湖泊湿地中均有分布，严重影响本地土著植物生存空间，阻塞河道、水渠。外来入侵动物</w:t>
      </w:r>
      <w:r>
        <w:rPr>
          <w:rFonts w:hint="eastAsia"/>
        </w:rPr>
        <w:t>主要有对土著鱼类生存造成不利影响的牛蛙、巴西龟、鳄龟、食蚊鱼、大口黑鲈、奥利罗非鱼等</w:t>
      </w:r>
      <w:r>
        <w:t>，其中</w:t>
      </w:r>
      <w:r>
        <w:rPr>
          <w:rFonts w:hint="eastAsia"/>
        </w:rPr>
        <w:t>牛蛙入侵是近年两栖类族群下降的原因之一，在江汉平原，</w:t>
      </w:r>
      <w:r>
        <w:rPr>
          <w:rFonts w:hint="eastAsia"/>
          <w:szCs w:val="21"/>
        </w:rPr>
        <w:t>牛蛙被</w:t>
      </w:r>
      <w:r>
        <w:rPr>
          <w:szCs w:val="21"/>
        </w:rPr>
        <w:t>弃养或逃逸至野外时有发生</w:t>
      </w:r>
      <w:r>
        <w:rPr>
          <w:rFonts w:hint="eastAsia"/>
        </w:rPr>
        <w:t>。</w:t>
      </w:r>
    </w:p>
    <w:p w14:paraId="6D03DE64">
      <w:pPr>
        <w:pStyle w:val="4"/>
        <w:keepNext w:val="0"/>
        <w:keepLines w:val="0"/>
        <w:suppressAutoHyphens/>
        <w:spacing w:line="568" w:lineRule="exact"/>
        <w:ind w:firstLine="643"/>
      </w:pPr>
      <w:bookmarkStart w:id="55" w:name="_Toc87089237"/>
      <w:r>
        <w:rPr>
          <w:rFonts w:hint="eastAsia"/>
        </w:rPr>
        <w:t>（三）</w:t>
      </w:r>
      <w:r>
        <w:rPr>
          <w:rFonts w:hint="eastAsia" w:hAnsi="仿宋"/>
        </w:rPr>
        <w:t>生态廊道建设薄弱</w:t>
      </w:r>
      <w:r>
        <w:rPr>
          <w:rFonts w:hint="eastAsia"/>
        </w:rPr>
        <w:t>，河湖水系连通不足</w:t>
      </w:r>
      <w:bookmarkEnd w:id="55"/>
    </w:p>
    <w:p w14:paraId="4744DF6B">
      <w:pPr>
        <w:suppressAutoHyphens/>
        <w:ind w:firstLine="643"/>
        <w:rPr>
          <w:rFonts w:hAnsi="仿宋"/>
        </w:rPr>
      </w:pPr>
      <w:r>
        <w:rPr>
          <w:rFonts w:hint="eastAsia" w:hAnsi="仿宋"/>
          <w:b/>
          <w:bCs/>
        </w:rPr>
        <w:t>人类活动空间与生态空间缺乏隔离缓冲。</w:t>
      </w:r>
      <w:r>
        <w:rPr>
          <w:rFonts w:hint="eastAsia" w:hAnsi="仿宋"/>
        </w:rPr>
        <w:t>湖北是交通大省，近年来境内各类公路、铁路等线性工程不断增多，部分交通沿线与自然生态空间之间缺少隔离缓冲，生态源地被</w:t>
      </w:r>
      <w:r>
        <w:rPr>
          <w:rFonts w:hAnsi="仿宋" w:cs="仿宋_GB2312"/>
          <w:color w:val="000000"/>
          <w:kern w:val="0"/>
          <w:szCs w:val="28"/>
          <w:lang w:bidi="ar"/>
        </w:rPr>
        <w:t>切割</w:t>
      </w:r>
      <w:r>
        <w:rPr>
          <w:rFonts w:hint="eastAsia" w:hAnsi="仿宋"/>
        </w:rPr>
        <w:t>，</w:t>
      </w:r>
      <w:r>
        <w:rPr>
          <w:rFonts w:hAnsi="仿宋" w:cs="仿宋_GB2312"/>
          <w:color w:val="000000"/>
          <w:kern w:val="0"/>
          <w:szCs w:val="28"/>
          <w:lang w:bidi="ar"/>
        </w:rPr>
        <w:t>局部区域野生动植物生境破碎</w:t>
      </w:r>
      <w:r>
        <w:rPr>
          <w:rFonts w:hint="eastAsia" w:hAnsi="仿宋" w:cs="仿宋_GB2312"/>
          <w:color w:val="000000"/>
          <w:kern w:val="0"/>
          <w:szCs w:val="28"/>
          <w:lang w:bidi="ar"/>
        </w:rPr>
        <w:t>、</w:t>
      </w:r>
      <w:r>
        <w:rPr>
          <w:rFonts w:hAnsi="仿宋" w:cs="仿宋_GB2312"/>
          <w:color w:val="000000"/>
          <w:kern w:val="0"/>
          <w:szCs w:val="28"/>
          <w:lang w:bidi="ar"/>
        </w:rPr>
        <w:t>种群隔离，生存受到威胁</w:t>
      </w:r>
      <w:r>
        <w:rPr>
          <w:rFonts w:hint="eastAsia" w:hAnsi="仿宋" w:cs="仿宋_GB2312"/>
          <w:color w:val="000000"/>
          <w:kern w:val="0"/>
          <w:szCs w:val="28"/>
          <w:lang w:bidi="ar"/>
        </w:rPr>
        <w:t>。生态保护极重要区内存在城镇村建设用地、采矿用地、交通水利设施用地、基本农田、种植园地等冲突地类，</w:t>
      </w:r>
      <w:r>
        <w:rPr>
          <w:rFonts w:hint="eastAsia" w:hAnsi="仿宋"/>
        </w:rPr>
        <w:t>人类活动空间与动植物生存空间之间缺少隔离带。</w:t>
      </w:r>
      <w:r>
        <w:rPr>
          <w:rFonts w:hint="eastAsia" w:hAnsi="仿宋" w:cs="仿宋_GB2312"/>
          <w:color w:val="000000"/>
          <w:kern w:val="0"/>
          <w:szCs w:val="28"/>
          <w:lang w:bidi="ar"/>
        </w:rPr>
        <w:t>近年来</w:t>
      </w:r>
      <w:r>
        <w:rPr>
          <w:rFonts w:hAnsi="仿宋" w:cs="仿宋_GB2312"/>
          <w:color w:val="000000"/>
          <w:kern w:val="0"/>
          <w:szCs w:val="28"/>
          <w:lang w:bidi="ar"/>
        </w:rPr>
        <w:t>我省受威胁的动植物物种多达</w:t>
      </w:r>
      <w:r>
        <w:rPr>
          <w:rFonts w:hAnsi="仿宋" w:cs="Times New Roman"/>
          <w:color w:val="000000"/>
          <w:kern w:val="0"/>
          <w:szCs w:val="28"/>
          <w:lang w:bidi="ar"/>
        </w:rPr>
        <w:t>510</w:t>
      </w:r>
      <w:r>
        <w:rPr>
          <w:rFonts w:hAnsi="仿宋" w:cs="仿宋_GB2312"/>
          <w:color w:val="000000"/>
          <w:kern w:val="0"/>
          <w:szCs w:val="28"/>
          <w:lang w:bidi="ar"/>
        </w:rPr>
        <w:t>种，大别山五针松仅存</w:t>
      </w:r>
      <w:r>
        <w:rPr>
          <w:rFonts w:hint="eastAsia" w:hAnsi="仿宋" w:cs="仿宋_GB2312"/>
          <w:color w:val="000000"/>
          <w:kern w:val="0"/>
          <w:szCs w:val="28"/>
          <w:lang w:bidi="ar"/>
        </w:rPr>
        <w:t>5</w:t>
      </w:r>
      <w:r>
        <w:rPr>
          <w:rFonts w:hAnsi="仿宋" w:cs="仿宋_GB2312"/>
          <w:color w:val="000000"/>
          <w:kern w:val="0"/>
          <w:szCs w:val="28"/>
          <w:lang w:bidi="ar"/>
        </w:rPr>
        <w:t>株</w:t>
      </w:r>
      <w:r>
        <w:rPr>
          <w:rFonts w:hint="eastAsia" w:hAnsi="仿宋" w:cs="仿宋_GB2312"/>
          <w:color w:val="000000"/>
          <w:kern w:val="0"/>
          <w:szCs w:val="28"/>
          <w:lang w:bidi="ar"/>
        </w:rPr>
        <w:t>。</w:t>
      </w:r>
    </w:p>
    <w:p w14:paraId="603A62A5">
      <w:pPr>
        <w:suppressAutoHyphens/>
        <w:ind w:firstLine="643"/>
        <w:rPr>
          <w:rFonts w:hAnsi="仿宋"/>
        </w:rPr>
      </w:pPr>
      <w:r>
        <w:rPr>
          <w:rFonts w:hint="eastAsia"/>
          <w:b/>
        </w:rPr>
        <w:t>部分河湖生态流量（水位）难以保障，水系连通不足。</w:t>
      </w:r>
      <w:r>
        <w:rPr>
          <w:rFonts w:hint="eastAsia"/>
        </w:rPr>
        <w:t>由于生态流量泄放不足，汉江中下游水资源供需压力加剧，唐河、仙桃等断面日均满足率较低；清江流域水资源梯级开发，下游生态流量保障压力大；</w:t>
      </w:r>
      <w:r>
        <w:t>府</w:t>
      </w:r>
      <w:r>
        <w:rPr>
          <w:rFonts w:hint="eastAsia" w:ascii="仿宋" w:hAnsi="仿宋" w:eastAsia="仿宋" w:cs="宋体"/>
        </w:rPr>
        <w:t>澴</w:t>
      </w:r>
      <w:r>
        <w:rPr>
          <w:rFonts w:hint="eastAsia" w:ascii="仿宋_GB2312" w:hAnsi="仿宋_GB2312" w:cs="仿宋_GB2312"/>
        </w:rPr>
        <w:t>河</w:t>
      </w:r>
      <w:r>
        <w:t>流域上游来水水量小，河流生态基流难以保障；</w:t>
      </w:r>
      <w:r>
        <w:rPr>
          <w:rFonts w:hint="eastAsia"/>
        </w:rPr>
        <w:t>龙感湖、黄盖湖等湖泊生态水量保障不足，梁子湖水面萎缩，江湖连通性下降；</w:t>
      </w:r>
      <w:r>
        <w:t>江汉平原</w:t>
      </w:r>
      <w:r>
        <w:rPr>
          <w:rFonts w:hint="eastAsia"/>
        </w:rPr>
        <w:t>骨干河湖生态需水难以保障，</w:t>
      </w:r>
      <w:r>
        <w:t>部分河流沟渠建有大量涵闸泵站，人为造成河湖水系连通不足</w:t>
      </w:r>
      <w:r>
        <w:rPr>
          <w:rFonts w:hint="eastAsia"/>
        </w:rPr>
        <w:t>，</w:t>
      </w:r>
      <w:r>
        <w:t>资源性、工程性及水质性缺水并存</w:t>
      </w:r>
      <w:r>
        <w:rPr>
          <w:rFonts w:hint="eastAsia"/>
        </w:rPr>
        <w:t>；</w:t>
      </w:r>
      <w:r>
        <w:rPr>
          <w:rFonts w:hint="eastAsia" w:hAnsi="仿宋"/>
        </w:rPr>
        <w:t>局部湖泊湿地萎缩，河湖生态连通性遭到破坏。</w:t>
      </w:r>
    </w:p>
    <w:p w14:paraId="6DF223EF">
      <w:pPr>
        <w:suppressAutoHyphens/>
        <w:ind w:firstLine="640"/>
        <w:rPr>
          <w:rFonts w:hAnsi="仿宋"/>
        </w:rPr>
      </w:pPr>
    </w:p>
    <w:p w14:paraId="4B23AB4F">
      <w:pPr>
        <w:pStyle w:val="4"/>
        <w:keepNext w:val="0"/>
        <w:keepLines w:val="0"/>
        <w:suppressAutoHyphens/>
        <w:spacing w:line="568" w:lineRule="exact"/>
        <w:ind w:firstLine="643"/>
      </w:pPr>
      <w:bookmarkStart w:id="56" w:name="_Toc87089238"/>
      <w:r>
        <w:rPr>
          <w:rFonts w:hint="eastAsia"/>
        </w:rPr>
        <w:t>（四）石漠化、水土流失治理难度加大</w:t>
      </w:r>
      <w:bookmarkEnd w:id="56"/>
    </w:p>
    <w:p w14:paraId="1CD08B1F">
      <w:pPr>
        <w:suppressAutoHyphens/>
        <w:ind w:firstLine="643"/>
        <w:rPr>
          <w:rFonts w:hAnsi="仿宋"/>
        </w:rPr>
      </w:pPr>
      <w:r>
        <w:rPr>
          <w:rFonts w:hint="eastAsia" w:hAnsi="仿宋" w:cs="仿宋_GB2312"/>
          <w:b/>
          <w:kern w:val="0"/>
          <w:szCs w:val="28"/>
        </w:rPr>
        <w:t>石漠化、沙化以中轻度为主，重度和极重度仍存</w:t>
      </w:r>
      <w:r>
        <w:rPr>
          <w:rFonts w:hint="eastAsia" w:hAnsi="仿宋" w:cs="仿宋_GB2312"/>
          <w:kern w:val="0"/>
          <w:szCs w:val="28"/>
        </w:rPr>
        <w:t>。全省</w:t>
      </w:r>
      <w:r>
        <w:rPr>
          <w:rFonts w:cs="Times New Roman"/>
        </w:rPr>
        <w:t>石漠化面积9620平方公里，</w:t>
      </w:r>
      <w:r>
        <w:rPr>
          <w:rFonts w:hint="eastAsia" w:hAnsi="仿宋" w:cs="仿宋_GB2312"/>
          <w:kern w:val="0"/>
          <w:szCs w:val="28"/>
        </w:rPr>
        <w:t>占全省国土面积的5.17%，在全国岩溶地区中位列第5，以轻度和中度为主，主要分布在恩施、宜昌、十堰、咸宁、黄石等地；潜在石漠化面积占全省国土面积的13.4%，在全国岩溶地区中位列第3。</w:t>
      </w:r>
      <w:r>
        <w:rPr>
          <w:rFonts w:hint="eastAsia" w:hAnsi="仿宋"/>
        </w:rPr>
        <w:t>全省沙化面积330.80平方公里，以轻度和中度为主，主要分布于汉江中上游区、江汉平原沿江地区和鄂东长江沿岸。近年来石漠化和沙化面积不断减少，但重度和极重度石漠化仍存，问题不容小觑。</w:t>
      </w:r>
    </w:p>
    <w:p w14:paraId="0BF47E93">
      <w:pPr>
        <w:suppressAutoHyphens/>
        <w:ind w:firstLine="643"/>
        <w:rPr>
          <w:rFonts w:hAnsi="仿宋" w:cs="仿宋_GB2312"/>
          <w:color w:val="000000"/>
          <w:kern w:val="0"/>
          <w:szCs w:val="28"/>
          <w:lang w:bidi="ar"/>
        </w:rPr>
      </w:pPr>
      <w:r>
        <w:rPr>
          <w:rFonts w:hint="eastAsia" w:hAnsi="仿宋" w:cs="仿宋_GB2312"/>
          <w:b/>
          <w:kern w:val="0"/>
          <w:szCs w:val="28"/>
        </w:rPr>
        <w:t>水土流失面积仍较大，局部人为水土流失突出。</w:t>
      </w:r>
      <w:r>
        <w:rPr>
          <w:rFonts w:hint="eastAsia" w:hAnsi="仿宋"/>
        </w:rPr>
        <w:t>2020年水土流失面积31639.54平方公里，占全省国土面积的17.02%，主要为水力侵蚀，以轻度侵蚀为主；水土流失面积较大的区域主要分布在鄂西南武陵山地、鄂西大巴山南坡、大洪山丘陵区；中度和强烈侵蚀及以上面积占比较高的区域主要分布在鄂西南武陵山地、鄂东北低山丘陵、鄂西北丹江口水库周边丘陵</w:t>
      </w:r>
      <w:r>
        <w:rPr>
          <w:rFonts w:hint="eastAsia" w:hAnsi="仿宋" w:cs="仿宋_GB2312"/>
          <w:color w:val="000000"/>
          <w:kern w:val="0"/>
          <w:szCs w:val="28"/>
          <w:lang w:bidi="ar"/>
        </w:rPr>
        <w:t>。近年来水土流失总面积逐步减少，但局部生产建设活动导致的人为水土流失较为突出</w:t>
      </w:r>
      <w:r>
        <w:rPr>
          <w:rFonts w:hint="eastAsia" w:hAnsi="仿宋"/>
        </w:rPr>
        <w:t>。目前</w:t>
      </w:r>
      <w:r>
        <w:rPr>
          <w:rFonts w:hAnsi="仿宋" w:cs="仿宋_GB2312"/>
          <w:color w:val="000000"/>
          <w:kern w:val="0"/>
          <w:szCs w:val="28"/>
          <w:lang w:bidi="ar"/>
        </w:rPr>
        <w:t>治理难度小、工程见效快、需求迫切的</w:t>
      </w:r>
      <w:r>
        <w:rPr>
          <w:rFonts w:hint="eastAsia" w:hAnsi="仿宋" w:cs="仿宋_GB2312"/>
          <w:color w:val="000000"/>
          <w:kern w:val="0"/>
          <w:szCs w:val="28"/>
          <w:lang w:bidi="ar"/>
        </w:rPr>
        <w:t>石漠化、</w:t>
      </w:r>
      <w:r>
        <w:rPr>
          <w:rFonts w:hAnsi="仿宋" w:cs="仿宋_GB2312"/>
          <w:color w:val="000000"/>
          <w:kern w:val="0"/>
          <w:szCs w:val="28"/>
          <w:lang w:bidi="ar"/>
        </w:rPr>
        <w:t>水土流失地区基本得到治理，后续治理难度加大</w:t>
      </w:r>
      <w:r>
        <w:rPr>
          <w:rFonts w:hint="eastAsia" w:hAnsi="仿宋" w:cs="仿宋_GB2312"/>
          <w:color w:val="000000"/>
          <w:kern w:val="0"/>
          <w:szCs w:val="28"/>
          <w:lang w:bidi="ar"/>
        </w:rPr>
        <w:t>。</w:t>
      </w:r>
    </w:p>
    <w:p w14:paraId="45F503BE">
      <w:pPr>
        <w:pStyle w:val="4"/>
        <w:keepNext w:val="0"/>
        <w:keepLines w:val="0"/>
        <w:suppressAutoHyphens/>
        <w:spacing w:line="568" w:lineRule="exact"/>
        <w:ind w:firstLine="643"/>
      </w:pPr>
      <w:bookmarkStart w:id="57" w:name="_Toc87089239"/>
      <w:r>
        <w:rPr>
          <w:rFonts w:hint="eastAsia"/>
        </w:rPr>
        <w:t>（五）森林结构有待优化，森林质量有待提高</w:t>
      </w:r>
      <w:bookmarkEnd w:id="57"/>
    </w:p>
    <w:p w14:paraId="241CC273">
      <w:pPr>
        <w:suppressAutoHyphens/>
        <w:ind w:firstLine="643"/>
        <w:rPr>
          <w:rFonts w:hAnsi="仿宋"/>
        </w:rPr>
      </w:pPr>
      <w:r>
        <w:rPr>
          <w:rFonts w:hint="eastAsia"/>
          <w:b/>
        </w:rPr>
        <w:t>森林单位面积蓄积量低，</w:t>
      </w:r>
      <w:r>
        <w:rPr>
          <w:rFonts w:hint="eastAsia" w:hAnsi="仿宋"/>
          <w:b/>
        </w:rPr>
        <w:t>成熟林面积比重小</w:t>
      </w:r>
      <w:r>
        <w:rPr>
          <w:rFonts w:hint="eastAsia"/>
          <w:b/>
        </w:rPr>
        <w:t>。</w:t>
      </w:r>
      <w:r>
        <w:rPr>
          <w:rFonts w:hint="eastAsia"/>
        </w:rPr>
        <w:t>全省森林单位面积蓄积量仅60.18立方米/公顷，远低于全国平均水平94.83立方米/公顷，单位面积森林生态功能不高。全省森林资源结构不优</w:t>
      </w:r>
      <w:r>
        <w:rPr>
          <w:rFonts w:hint="eastAsia" w:hAnsi="仿宋"/>
        </w:rPr>
        <w:t>，成熟林面积比重小，幼林、退化林、残次林和低质低效林多，乔木林的龄组和林分结构不合理，林种单一，林地生产力和林分质量不高，天然林低质化明显，自然提升缓慢，森林生态系统自我恢复能力减弱</w:t>
      </w:r>
      <w:bookmarkStart w:id="58" w:name="_Toc486410391"/>
      <w:r>
        <w:rPr>
          <w:rFonts w:hint="eastAsia" w:hAnsi="仿宋"/>
        </w:rPr>
        <w:t>。</w:t>
      </w:r>
    </w:p>
    <w:p w14:paraId="0530D6B2">
      <w:pPr>
        <w:suppressAutoHyphens/>
        <w:ind w:firstLine="643"/>
        <w:rPr>
          <w:rFonts w:cs="Times New Roman"/>
        </w:rPr>
      </w:pPr>
      <w:r>
        <w:rPr>
          <w:rFonts w:hint="eastAsia"/>
          <w:b/>
          <w:bCs/>
        </w:rPr>
        <w:t>森林资源区域差异大。</w:t>
      </w:r>
      <w:r>
        <w:rPr>
          <w:rFonts w:hint="eastAsia" w:cs="Times New Roman"/>
        </w:rPr>
        <w:t>全省森林资源分布呈现山区多、平原少、丘陵居中的格局</w:t>
      </w:r>
      <w:r>
        <w:rPr>
          <w:rFonts w:hint="eastAsia"/>
        </w:rPr>
        <w:t>，</w:t>
      </w:r>
      <w:r>
        <w:rPr>
          <w:rFonts w:hint="eastAsia" w:hAnsi="仿宋"/>
        </w:rPr>
        <w:t>森林生态系统服务不均衡，</w:t>
      </w:r>
      <w:r>
        <w:rPr>
          <w:rFonts w:hint="eastAsia"/>
        </w:rPr>
        <w:t>活立木单位面积蓄积量区域差异较大，其中十堰、恩施和宜昌三市州林地面积和森林生态服务价值均占全省总量的55%左右</w:t>
      </w:r>
      <w:r>
        <w:rPr>
          <w:rFonts w:hint="eastAsia" w:cs="Times New Roman"/>
        </w:rPr>
        <w:t>。平原地区城镇绿地、乡村绿化、农田林网等建设不足，致使平原地区生境丰富度较低，局部微气候调节能力和生态景观功能不足。</w:t>
      </w:r>
    </w:p>
    <w:p w14:paraId="53D19430">
      <w:pPr>
        <w:suppressAutoHyphens/>
        <w:ind w:firstLine="643"/>
      </w:pPr>
      <w:r>
        <w:rPr>
          <w:rFonts w:hint="eastAsia" w:hAnsi="仿宋" w:cs="仿宋_GB2312"/>
          <w:b/>
          <w:color w:val="000000"/>
          <w:kern w:val="0"/>
          <w:szCs w:val="28"/>
          <w:lang w:bidi="ar"/>
        </w:rPr>
        <w:t>外来林业物种防控形势严峻。</w:t>
      </w:r>
      <w:r>
        <w:t>近年来外来林业入侵生物种数及危害面积的增长趋势不容忽视，</w:t>
      </w:r>
      <w:r>
        <w:rPr>
          <w:rFonts w:hint="eastAsia"/>
        </w:rPr>
        <w:t>外来林业有害生物主要有松材线虫病、美国白蛾、加拿大一枝黄花、湿地松粉蚧、曲纹紫灰蝶、刺槐叶瘿蚊、悬铃木方翅网蝽7种。松材线虫病扩散蔓延势头虽得到有效遏制，但发生面积基数大，点多面广，2020年共统计松材线虫病发生面积942平方公里，涉及13个市（州）82个县（市、区），无根治性除治手段，防控形势依然严峻。</w:t>
      </w:r>
    </w:p>
    <w:bookmarkEnd w:id="58"/>
    <w:p w14:paraId="319E57D7">
      <w:pPr>
        <w:pStyle w:val="4"/>
        <w:keepNext w:val="0"/>
        <w:keepLines w:val="0"/>
        <w:suppressAutoHyphens/>
        <w:spacing w:line="568" w:lineRule="exact"/>
        <w:ind w:firstLine="643"/>
      </w:pPr>
      <w:bookmarkStart w:id="59" w:name="_Toc87089240"/>
      <w:r>
        <w:rPr>
          <w:rFonts w:hint="eastAsia"/>
        </w:rPr>
        <w:t>（六）矿山生态破坏欠账较多，地灾风险不容忽视</w:t>
      </w:r>
      <w:bookmarkEnd w:id="59"/>
    </w:p>
    <w:p w14:paraId="2B83479A">
      <w:pPr>
        <w:suppressAutoHyphens/>
        <w:ind w:firstLine="643"/>
        <w:rPr>
          <w:rFonts w:hAnsi="仿宋"/>
        </w:rPr>
      </w:pPr>
      <w:r>
        <w:rPr>
          <w:rFonts w:hint="eastAsia" w:hAnsi="仿宋"/>
          <w:b/>
          <w:bCs/>
        </w:rPr>
        <w:t>矿山生态问题总量大、范围广、类型多</w:t>
      </w:r>
      <w:r>
        <w:rPr>
          <w:rFonts w:hint="eastAsia" w:hAnsi="仿宋"/>
          <w:bCs/>
        </w:rPr>
        <w:t>。</w:t>
      </w:r>
      <w:r>
        <w:rPr>
          <w:rFonts w:hint="eastAsia"/>
        </w:rPr>
        <w:t>全</w:t>
      </w:r>
      <w:r>
        <w:t>省矿产资源开发历史悠久、开采强度大、采矿点多、分布面广，</w:t>
      </w:r>
      <w:r>
        <w:rPr>
          <w:rFonts w:hint="eastAsia"/>
        </w:rPr>
        <w:t>矿业开发占用破坏土地资源340平方公里。全省矿山生态问题总量大且分散，主要包括矿区水土环境破坏、影响水生态和湿地生态、加剧水生生物多样性降低、固体废弃物积存占损土地植被资源、矿区植被退化、破坏部分野生动植物栖息地和迁徙廊道、加剧水土流失和石漠化等。历史遗留矿山数量多</w:t>
      </w:r>
      <w:r>
        <w:t>，目前尚需治理历史遗留废弃矿山约</w:t>
      </w:r>
      <w:r>
        <w:rPr>
          <w:rFonts w:hint="eastAsia"/>
        </w:rPr>
        <w:t>1765</w:t>
      </w:r>
      <w:r>
        <w:t>个，总面积约</w:t>
      </w:r>
      <w:r>
        <w:rPr>
          <w:rFonts w:hint="eastAsia"/>
        </w:rPr>
        <w:t>106.67</w:t>
      </w:r>
      <w:r>
        <w:t>平方公里。</w:t>
      </w:r>
    </w:p>
    <w:p w14:paraId="279D24D2">
      <w:pPr>
        <w:suppressAutoHyphens/>
        <w:ind w:firstLine="643"/>
        <w:rPr>
          <w:color w:val="000000" w:themeColor="text1"/>
          <w:szCs w:val="32"/>
          <w14:textFill>
            <w14:solidFill>
              <w14:schemeClr w14:val="tx1"/>
            </w14:solidFill>
          </w14:textFill>
        </w:rPr>
      </w:pPr>
      <w:r>
        <w:rPr>
          <w:rFonts w:hint="eastAsia" w:hAnsi="仿宋"/>
          <w:b/>
          <w:bCs/>
        </w:rPr>
        <w:t>地质灾害风险不容忽视</w:t>
      </w:r>
      <w:r>
        <w:rPr>
          <w:rFonts w:hAnsi="仿宋"/>
          <w:b/>
          <w:bCs/>
        </w:rPr>
        <w:t>。</w:t>
      </w:r>
      <w:r>
        <w:rPr>
          <w:rFonts w:hAnsi="仿宋"/>
          <w:bCs/>
        </w:rPr>
        <w:t>我省</w:t>
      </w:r>
      <w:r>
        <w:rPr>
          <w:rFonts w:hint="eastAsia"/>
          <w:color w:val="000000" w:themeColor="text1"/>
          <w:szCs w:val="32"/>
          <w14:textFill>
            <w14:solidFill>
              <w14:schemeClr w14:val="tx1"/>
            </w14:solidFill>
          </w14:textFill>
        </w:rPr>
        <w:t>是全</w:t>
      </w:r>
      <w:r>
        <w:rPr>
          <w:color w:val="000000" w:themeColor="text1"/>
          <w:szCs w:val="32"/>
          <w14:textFill>
            <w14:solidFill>
              <w14:schemeClr w14:val="tx1"/>
            </w14:solidFill>
          </w14:textFill>
        </w:rPr>
        <w:t>国地质灾害多发易发频发</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受地质灾害威胁人口最多、经济损失最大的省份之一，长江三峡库区是全国地质灾害重点防治区</w:t>
      </w:r>
      <w:r>
        <w:rPr>
          <w:spacing w:val="10"/>
          <w:szCs w:val="32"/>
        </w:rPr>
        <w:t>。</w:t>
      </w:r>
      <w:r>
        <w:rPr>
          <w:rFonts w:hint="eastAsia"/>
          <w:spacing w:val="10"/>
          <w:szCs w:val="32"/>
        </w:rPr>
        <w:t>地质灾害易发区面积占全省国土面积的80％，其中中</w:t>
      </w:r>
      <w:r>
        <w:rPr>
          <w:rFonts w:hint="eastAsia"/>
          <w:color w:val="000000" w:themeColor="text1"/>
          <w:szCs w:val="32"/>
          <w14:textFill>
            <w14:solidFill>
              <w14:schemeClr w14:val="tx1"/>
            </w14:solidFill>
          </w14:textFill>
        </w:rPr>
        <w:t>高易发区占全省</w:t>
      </w:r>
      <w:r>
        <w:rPr>
          <w:rFonts w:hint="eastAsia"/>
          <w:spacing w:val="10"/>
          <w:szCs w:val="32"/>
        </w:rPr>
        <w:t>国土面积的</w:t>
      </w:r>
      <w:r>
        <w:rPr>
          <w:rFonts w:hint="eastAsia"/>
          <w:color w:val="000000" w:themeColor="text1"/>
          <w:szCs w:val="32"/>
          <w14:textFill>
            <w14:solidFill>
              <w14:schemeClr w14:val="tx1"/>
            </w14:solidFill>
          </w14:textFill>
        </w:rPr>
        <w:t>52％，主要分布在鄂西至鄂西北中-低山区及丘陵区、鄂西南区、鄂东北中-低山区及丘陵区、鄂东南低山-丘陵区等。</w:t>
      </w:r>
      <w:r>
        <w:rPr>
          <w:rFonts w:hint="eastAsia"/>
          <w:spacing w:val="10"/>
          <w:szCs w:val="32"/>
          <w:lang w:eastAsia="zh-CN"/>
        </w:rPr>
        <w:t>截至</w:t>
      </w:r>
      <w:r>
        <w:rPr>
          <w:rFonts w:hint="eastAsia"/>
          <w:spacing w:val="10"/>
          <w:szCs w:val="32"/>
        </w:rPr>
        <w:t>2020年底，全省在库地质灾害隐患点16324处，主要包括滑坡、崩塌、地面塌陷、泥石流4种类型，其中滑坡占85%。</w:t>
      </w:r>
    </w:p>
    <w:p w14:paraId="38B8456A">
      <w:pPr>
        <w:pStyle w:val="4"/>
        <w:keepNext w:val="0"/>
        <w:keepLines w:val="0"/>
        <w:suppressAutoHyphens/>
        <w:spacing w:line="568" w:lineRule="exact"/>
        <w:ind w:firstLine="643"/>
      </w:pPr>
      <w:bookmarkStart w:id="60" w:name="_Toc87089241"/>
      <w:r>
        <w:rPr>
          <w:rFonts w:hint="eastAsia"/>
        </w:rPr>
        <w:t>（七）局部区域耕地土壤退化，农村人居生态亟需改善</w:t>
      </w:r>
      <w:bookmarkEnd w:id="60"/>
    </w:p>
    <w:p w14:paraId="6571037A">
      <w:pPr>
        <w:suppressAutoHyphens/>
        <w:ind w:firstLine="643"/>
        <w:rPr>
          <w:rFonts w:hAnsi="仿宋" w:cs="Times New Roman"/>
        </w:rPr>
      </w:pPr>
      <w:r>
        <w:rPr>
          <w:rFonts w:hint="eastAsia" w:hAnsi="仿宋"/>
          <w:b/>
          <w:bCs/>
        </w:rPr>
        <w:t>局部区域耕地土壤退化。</w:t>
      </w:r>
      <w:r>
        <w:rPr>
          <w:rFonts w:hAnsi="仿宋" w:cs="Times New Roman"/>
        </w:rPr>
        <w:t>鄂西北、鄂西南、鄂东北、鄂东南等山地及低山丘陵区</w:t>
      </w:r>
      <w:r>
        <w:rPr>
          <w:rFonts w:hint="eastAsia" w:hAnsi="仿宋" w:cs="Times New Roman"/>
        </w:rPr>
        <w:t>坡耕地耕作导致</w:t>
      </w:r>
      <w:r>
        <w:rPr>
          <w:rFonts w:hAnsi="仿宋" w:cs="Times New Roman"/>
        </w:rPr>
        <w:t>水土流失</w:t>
      </w:r>
      <w:r>
        <w:rPr>
          <w:rFonts w:hint="eastAsia" w:hAnsi="仿宋" w:cs="Times New Roman"/>
        </w:rPr>
        <w:t>现象仍存，</w:t>
      </w:r>
      <w:r>
        <w:rPr>
          <w:rFonts w:hAnsi="仿宋" w:cs="Times New Roman"/>
        </w:rPr>
        <w:t>汉江中下游、江汉平原部分沿江地区与鄂南、鄂东北低山丘陵区的长江沿岸</w:t>
      </w:r>
      <w:r>
        <w:rPr>
          <w:rFonts w:hint="eastAsia" w:hAnsi="仿宋" w:cs="Times New Roman"/>
        </w:rPr>
        <w:t>存在耕地沙化问题</w:t>
      </w:r>
      <w:r>
        <w:rPr>
          <w:rFonts w:hAnsi="仿宋" w:cs="Times New Roman"/>
        </w:rPr>
        <w:t>。</w:t>
      </w:r>
      <w:r>
        <w:rPr>
          <w:rFonts w:hint="eastAsia" w:hAnsi="仿宋" w:cs="Times New Roman"/>
        </w:rPr>
        <w:t>由于长期停止施用石灰、不合理施肥、加上酸雨危害，耕地酸化问题日益严重，2018年末耕地酸化土壤面积占全省耕地总面积的13.48%，主要集中在鄂西南和鄂东南，其中恩施州、宜昌市、咸宁市、武汉市、黄石市、鄂州市和黄冈市分布面积较大。</w:t>
      </w:r>
    </w:p>
    <w:p w14:paraId="604D7FDD">
      <w:pPr>
        <w:suppressAutoHyphens/>
        <w:ind w:firstLine="643"/>
        <w:rPr>
          <w:rFonts w:hAnsi="仿宋" w:cs="Times New Roman"/>
        </w:rPr>
      </w:pPr>
      <w:r>
        <w:rPr>
          <w:rFonts w:hint="eastAsia" w:hAnsi="仿宋" w:cs="Times New Roman"/>
          <w:b/>
          <w:bCs/>
        </w:rPr>
        <w:t>农村人居生态亟需改善</w:t>
      </w:r>
      <w:r>
        <w:rPr>
          <w:rFonts w:hAnsi="仿宋" w:cs="Times New Roman"/>
        </w:rPr>
        <w:t>。湖北省农村人居生态环境</w:t>
      </w:r>
      <w:r>
        <w:rPr>
          <w:rFonts w:hint="eastAsia" w:hAnsi="仿宋" w:cs="Times New Roman"/>
        </w:rPr>
        <w:t>整治</w:t>
      </w:r>
      <w:r>
        <w:rPr>
          <w:rFonts w:hAnsi="仿宋" w:cs="Times New Roman"/>
        </w:rPr>
        <w:t>取得了一定成效</w:t>
      </w:r>
      <w:r>
        <w:rPr>
          <w:rFonts w:hint="eastAsia" w:hAnsi="仿宋" w:cs="Times New Roman"/>
        </w:rPr>
        <w:t>，</w:t>
      </w:r>
      <w:r>
        <w:rPr>
          <w:rFonts w:hAnsi="仿宋" w:cs="Times New Roman"/>
        </w:rPr>
        <w:t>但</w:t>
      </w:r>
      <w:r>
        <w:rPr>
          <w:rFonts w:hint="eastAsia" w:hAnsi="仿宋" w:cs="Times New Roman"/>
        </w:rPr>
        <w:t>农村污染治理基础设施建设滞后</w:t>
      </w:r>
      <w:r>
        <w:rPr>
          <w:rFonts w:hAnsi="仿宋" w:cs="Times New Roman"/>
        </w:rPr>
        <w:t>，</w:t>
      </w:r>
      <w:r>
        <w:rPr>
          <w:rFonts w:cs="Times New Roman"/>
        </w:rPr>
        <w:t>农村生活污水处理率仅</w:t>
      </w:r>
      <w:r>
        <w:rPr>
          <w:rFonts w:hint="eastAsia" w:cs="Times New Roman"/>
        </w:rPr>
        <w:t>20.8</w:t>
      </w:r>
      <w:r>
        <w:rPr>
          <w:rFonts w:cs="Times New Roman"/>
        </w:rPr>
        <w:t>%</w:t>
      </w:r>
      <w:r>
        <w:rPr>
          <w:rFonts w:hint="eastAsia" w:cs="Times New Roman"/>
        </w:rPr>
        <w:t>；</w:t>
      </w:r>
      <w:r>
        <w:rPr>
          <w:rFonts w:hint="eastAsia" w:hAnsi="仿宋" w:cs="Times New Roman"/>
        </w:rPr>
        <w:t>农业源污染物排放总量仍处于高位，水产养殖方式比较粗放，农村生活垃圾分类减量和资源化利用还处于示范推广阶段，</w:t>
      </w:r>
      <w:r>
        <w:rPr>
          <w:rFonts w:hint="eastAsia" w:ascii="仿宋_GB2312" w:hAnsi="仿宋_GB2312" w:cs="仿宋_GB2312"/>
          <w:szCs w:val="32"/>
        </w:rPr>
        <w:t>农村水体污染</w:t>
      </w:r>
      <w:r>
        <w:rPr>
          <w:rFonts w:hAnsi="仿宋" w:cs="Times New Roman"/>
        </w:rPr>
        <w:t>问题较为普遍</w:t>
      </w:r>
      <w:r>
        <w:rPr>
          <w:rFonts w:hint="eastAsia" w:hAnsi="仿宋" w:cs="Times New Roman"/>
        </w:rPr>
        <w:t>。</w:t>
      </w:r>
      <w:r>
        <w:rPr>
          <w:rFonts w:hAnsi="仿宋" w:cs="Times New Roman"/>
        </w:rPr>
        <w:t>由于缺乏统一规划，农村生产</w:t>
      </w:r>
      <w:r>
        <w:rPr>
          <w:rFonts w:hint="eastAsia" w:hAnsi="仿宋" w:cs="Times New Roman"/>
        </w:rPr>
        <w:t>、</w:t>
      </w:r>
      <w:r>
        <w:rPr>
          <w:rFonts w:hAnsi="仿宋" w:cs="Times New Roman"/>
        </w:rPr>
        <w:t>生活、生态空间布局混乱</w:t>
      </w:r>
      <w:r>
        <w:rPr>
          <w:rFonts w:hint="eastAsia" w:hAnsi="仿宋" w:cs="Times New Roman"/>
        </w:rPr>
        <w:t>，乡村</w:t>
      </w:r>
      <w:r>
        <w:rPr>
          <w:rFonts w:hAnsi="仿宋" w:cs="Times New Roman"/>
        </w:rPr>
        <w:t>风貌特色不鲜明，局部区域农村人居生态问题突出</w:t>
      </w:r>
      <w:r>
        <w:rPr>
          <w:rFonts w:hint="eastAsia" w:hAnsi="仿宋" w:cs="Times New Roman"/>
        </w:rPr>
        <w:t>。</w:t>
      </w:r>
    </w:p>
    <w:p w14:paraId="63B88F7C">
      <w:pPr>
        <w:pStyle w:val="4"/>
        <w:keepNext w:val="0"/>
        <w:keepLines w:val="0"/>
        <w:suppressAutoHyphens/>
        <w:spacing w:line="568" w:lineRule="exact"/>
        <w:ind w:firstLine="643"/>
      </w:pPr>
      <w:bookmarkStart w:id="61" w:name="_Toc87089242"/>
      <w:r>
        <w:rPr>
          <w:rFonts w:hint="eastAsia"/>
        </w:rPr>
        <w:t>（八）城市通透性不足，蓝绿网络连通不足</w:t>
      </w:r>
      <w:bookmarkEnd w:id="61"/>
    </w:p>
    <w:p w14:paraId="4769D4C1">
      <w:pPr>
        <w:suppressAutoHyphens/>
        <w:ind w:firstLine="643"/>
        <w:rPr>
          <w:bCs/>
          <w:kern w:val="0"/>
        </w:rPr>
      </w:pPr>
      <w:r>
        <w:rPr>
          <w:rFonts w:hint="eastAsia"/>
          <w:b/>
        </w:rPr>
        <w:t>城市通透性不足。</w:t>
      </w:r>
      <w:r>
        <w:rPr>
          <w:rFonts w:hint="eastAsia"/>
          <w:bCs/>
        </w:rPr>
        <w:t>一是城市硬化地表不断增加，</w:t>
      </w:r>
      <w:r>
        <w:rPr>
          <w:rFonts w:hint="eastAsia"/>
        </w:rPr>
        <w:t>地面</w:t>
      </w:r>
      <w:r>
        <w:rPr>
          <w:rFonts w:hint="eastAsia"/>
          <w:bCs/>
        </w:rPr>
        <w:t>透水性弱，加之</w:t>
      </w:r>
      <w:r>
        <w:rPr>
          <w:rFonts w:hint="eastAsia"/>
        </w:rPr>
        <w:t>城市建设不断侵蚀自然蓄水排水系统，排水管网整体规划建设不足，城市</w:t>
      </w:r>
      <w:r>
        <w:rPr>
          <w:rFonts w:hint="eastAsia"/>
          <w:bCs/>
        </w:rPr>
        <w:t>内部雨水蓄滞能力不断减弱，</w:t>
      </w:r>
      <w:r>
        <w:rPr>
          <w:rFonts w:hint="eastAsia"/>
        </w:rPr>
        <w:t>导致城市近年内涝现象加剧</w:t>
      </w:r>
      <w:r>
        <w:rPr>
          <w:rFonts w:hint="eastAsia"/>
          <w:bCs/>
        </w:rPr>
        <w:t>。二是城市建筑密度大，建筑高度不断增加，各类温室气体排放总量大，但区域通风廊道规划设计不足，城市内部通风廊道被阻挡，整体透气性弱，热岛效应日趋严重。</w:t>
      </w:r>
    </w:p>
    <w:p w14:paraId="7A4BE15F">
      <w:pPr>
        <w:suppressAutoHyphens/>
        <w:ind w:firstLine="643"/>
      </w:pPr>
      <w:r>
        <w:rPr>
          <w:rFonts w:hint="eastAsia"/>
          <w:b/>
        </w:rPr>
        <w:t>城市蓝绿网络连通不足。</w:t>
      </w:r>
      <w:r>
        <w:t>城市各类建设用地</w:t>
      </w:r>
      <w:r>
        <w:rPr>
          <w:rFonts w:hint="eastAsia" w:ascii="仿宋_GB2312"/>
        </w:rPr>
        <w:t>“</w:t>
      </w:r>
      <w:r>
        <w:t>吞噬</w:t>
      </w:r>
      <w:r>
        <w:rPr>
          <w:rFonts w:hint="eastAsia" w:ascii="仿宋_GB2312"/>
        </w:rPr>
        <w:t>”性</w:t>
      </w:r>
      <w:r>
        <w:t>快速扩张</w:t>
      </w:r>
      <w:r>
        <w:rPr>
          <w:rFonts w:hint="eastAsia"/>
        </w:rPr>
        <w:t>使得城市内部及周边</w:t>
      </w:r>
      <w:r>
        <w:t>生态空间急剧减少</w:t>
      </w:r>
      <w:r>
        <w:rPr>
          <w:rFonts w:hint="eastAsia"/>
        </w:rPr>
        <w:t>，局部生态系统破碎化、孤岛化，城市内外生态系统连通度降低。城市绿地系统不完善，公共绿地总量不足、分布不均，城市建成区绿化覆盖率中部六省排名第5，人均公园绿地面积低于全国平均水平，可达性不强，群众生态产品获得感不高。滨水空间感知度整体不足，</w:t>
      </w:r>
      <w:r>
        <w:t>滨</w:t>
      </w:r>
      <w:r>
        <w:rPr>
          <w:rFonts w:hint="eastAsia"/>
        </w:rPr>
        <w:t>水</w:t>
      </w:r>
      <w:r>
        <w:t>绿化与园林绿地衔接不足，尚未形成连续性的网络系统</w:t>
      </w:r>
      <w:r>
        <w:rPr>
          <w:rFonts w:hint="eastAsia"/>
        </w:rPr>
        <w:t>；城市内部河湖湿地</w:t>
      </w:r>
      <w:r>
        <w:t>周边开放性不足，</w:t>
      </w:r>
      <w:r>
        <w:rPr>
          <w:rFonts w:hint="eastAsia"/>
        </w:rPr>
        <w:t>亲水空间建设滞后，水景观营造与人民群众亲水乐水的精神体验需求存在一定差距。</w:t>
      </w:r>
      <w:r>
        <w:t>城市景观塑造与周边自然山水元素结合不足，</w:t>
      </w:r>
      <w:r>
        <w:rPr>
          <w:rFonts w:hint="eastAsia"/>
        </w:rPr>
        <w:t>荆风楚韵特色文化尚未得到充分挖掘。</w:t>
      </w:r>
    </w:p>
    <w:p w14:paraId="045B4E0D">
      <w:pPr>
        <w:pStyle w:val="53"/>
      </w:pPr>
      <w:bookmarkStart w:id="62" w:name="_Toc87200613"/>
      <w:bookmarkStart w:id="63" w:name="_Toc87089243"/>
      <w:r>
        <w:rPr>
          <w:rFonts w:hint="eastAsia"/>
        </w:rPr>
        <w:t>第四节　机遇与挑战</w:t>
      </w:r>
      <w:bookmarkEnd w:id="62"/>
      <w:bookmarkEnd w:id="63"/>
    </w:p>
    <w:p w14:paraId="6683AA1F">
      <w:pPr>
        <w:pStyle w:val="4"/>
        <w:keepNext w:val="0"/>
        <w:keepLines w:val="0"/>
        <w:suppressAutoHyphens/>
        <w:spacing w:line="568" w:lineRule="exact"/>
        <w:ind w:firstLine="643"/>
      </w:pPr>
      <w:bookmarkStart w:id="64" w:name="_Toc87089244"/>
      <w:r>
        <w:rPr>
          <w:rFonts w:hint="eastAsia"/>
        </w:rPr>
        <w:t>（一）面临机遇</w:t>
      </w:r>
      <w:bookmarkEnd w:id="64"/>
    </w:p>
    <w:p w14:paraId="4ADDEE2E">
      <w:pPr>
        <w:suppressAutoHyphens/>
        <w:ind w:firstLine="643"/>
      </w:pPr>
      <w:r>
        <w:rPr>
          <w:rFonts w:hint="eastAsia"/>
          <w:b/>
          <w:bCs/>
        </w:rPr>
        <w:t>长江大保护明确战略方向。</w:t>
      </w:r>
      <w:r>
        <w:rPr>
          <w:rFonts w:hint="eastAsia"/>
        </w:rPr>
        <w:t>长江是中华民族的母亲河，也是中华民族发展的重要支撑，推动长江经济带发展是党中央作出的重大决策，是关系国家发展全局的重大战略。“共抓大保护、不搞大开发”是习近平总书记为长江经济带发展定下的总基调、大前提。习近平总书记多次强调长江经济带发展“要把修复长江生态环境摆在压倒性位置”“使长江经济带成为我国生态优先绿色发展主战场”。湖北省作为拥有长江干线最长的省份，是长江经济带的重要组成部分，肩负长江生态环境修复重要使命，长江大保护对省域生态保护修复具有战略引领作用。</w:t>
      </w:r>
    </w:p>
    <w:p w14:paraId="27EE9743">
      <w:pPr>
        <w:suppressAutoHyphens/>
        <w:ind w:firstLine="643"/>
      </w:pPr>
      <w:r>
        <w:rPr>
          <w:rFonts w:hint="eastAsia"/>
          <w:b/>
          <w:bCs/>
        </w:rPr>
        <w:t>国家系列政策提供有力支撑。</w:t>
      </w:r>
      <w:r>
        <w:rPr>
          <w:rFonts w:hint="eastAsia"/>
          <w:bCs/>
        </w:rPr>
        <w:t>为推进生态文明建设，</w:t>
      </w:r>
      <w:r>
        <w:rPr>
          <w:bCs/>
        </w:rPr>
        <w:t>加强生态保护修复，近年来</w:t>
      </w:r>
      <w:r>
        <w:rPr>
          <w:rFonts w:hint="eastAsia"/>
          <w:bCs/>
        </w:rPr>
        <w:t>国家陆续出台了</w:t>
      </w:r>
      <w:r>
        <w:rPr>
          <w:rFonts w:hint="eastAsia"/>
        </w:rPr>
        <w:t>《中共中央 国务院关于新时代推动中部地区高质量发展的意见》</w:t>
      </w:r>
      <w:r>
        <w:rPr>
          <w:rFonts w:hint="eastAsia"/>
          <w:bCs/>
        </w:rPr>
        <w:t>《国务院办公厅关于健全生态保</w:t>
      </w:r>
      <w:r>
        <w:rPr>
          <w:rFonts w:hint="eastAsia"/>
        </w:rPr>
        <w:t>护补偿机制的意见》(国办发〔2016〕31号)、《国务院办公厅关于印发自然资源领域中央与地方财政事权和支出责任划分改革方案的通知》(国办发〔2020〕19号)、《中共中央办公厅 国务院办公厅关于建立健全生态产品价值实现机制的意见》《国务院办公厅关于鼓励和支持社会资本参与生态保护修复的意见》（国办发〔2021〕40号）、《财政部办公厅 自然资源部办公厅 生态环境部办公厅关于进一步做好山水林田湖草生态保护修复工程试点的通知》（财办资环〔2020〕15号）及《全国耕地草原河湖休养生息规划(2016-2030年)》《长江经济带生态环境保护规划》《全国重要生态系统保护和修复重大工程总体规划(2021-2035年)》等一系列有关生态保护修复的政策文件和重大规划，为我省生态保护修复工作提供了有力的政策支撑、</w:t>
      </w:r>
      <w:r>
        <w:rPr>
          <w:rFonts w:hint="eastAsia"/>
          <w:szCs w:val="28"/>
        </w:rPr>
        <w:t>指明了重点方向</w:t>
      </w:r>
      <w:r>
        <w:rPr>
          <w:rFonts w:hint="eastAsia"/>
        </w:rPr>
        <w:t>。</w:t>
      </w:r>
    </w:p>
    <w:p w14:paraId="154832FF">
      <w:pPr>
        <w:widowControl/>
        <w:suppressAutoHyphens/>
        <w:ind w:firstLine="643"/>
      </w:pPr>
      <w:r>
        <w:rPr>
          <w:rFonts w:hint="eastAsia"/>
          <w:b/>
          <w:bCs/>
        </w:rPr>
        <w:t>优质生态产品需求激发公众助力。</w:t>
      </w:r>
      <w:r>
        <w:rPr>
          <w:rFonts w:hint="eastAsia"/>
          <w:bCs/>
        </w:rPr>
        <w:t>建设生态文明，关系人民福祉，关乎民族未来。</w:t>
      </w:r>
      <w:r>
        <w:rPr>
          <w:rFonts w:hint="eastAsia"/>
        </w:rPr>
        <w:t>党的十九大报告提出“我们要建设的现代化是人与自然和谐共生的现代化，既要创造更多物质财富和精神财富以满足人民日益增长的美好生活需要，也要提供更多优质生态产品以满足人民日益增长的优美生态环境需要。”</w:t>
      </w:r>
      <w:r>
        <w:rPr>
          <w:rFonts w:hint="eastAsia"/>
          <w:bCs/>
        </w:rPr>
        <w:t>随着我国社会主要矛盾的变化，人民群众对优质生态产品的需求日益增长，</w:t>
      </w:r>
      <w:r>
        <w:t>对美好</w:t>
      </w:r>
      <w:r>
        <w:rPr>
          <w:rFonts w:hint="eastAsia"/>
        </w:rPr>
        <w:t>生态环境的</w:t>
      </w:r>
      <w:r>
        <w:t>期望更高，</w:t>
      </w:r>
      <w:r>
        <w:rPr>
          <w:rFonts w:hint="eastAsia" w:ascii="仿宋_GB2312" w:hAnsi="仿宋_GB2312" w:cs="仿宋_GB2312"/>
          <w:szCs w:val="32"/>
        </w:rPr>
        <w:t>绿色发展理念深入人心，</w:t>
      </w:r>
      <w:r>
        <w:rPr>
          <w:rFonts w:hint="eastAsia"/>
        </w:rPr>
        <w:t>参与生态保护与修复的意愿不断增强，为全省生态保护和修复工作增添更多公众助力。</w:t>
      </w:r>
    </w:p>
    <w:p w14:paraId="0D313E7F">
      <w:pPr>
        <w:suppressAutoHyphens/>
        <w:ind w:firstLine="643"/>
      </w:pPr>
      <w:r>
        <w:rPr>
          <w:rFonts w:hint="eastAsia"/>
          <w:b/>
          <w:bCs/>
        </w:rPr>
        <w:t>湖北高质量发展增强内生动力。</w:t>
      </w:r>
      <w:r>
        <w:rPr>
          <w:rFonts w:hint="eastAsia"/>
          <w:bCs/>
        </w:rPr>
        <w:t>聚焦“建成支点、走在前列、谱写新篇”的目标定位，以推动高质量发展为主题，湖北省委省政府在</w:t>
      </w:r>
      <w:r>
        <w:rPr>
          <w:rFonts w:hint="eastAsia"/>
        </w:rPr>
        <w:t>《关于新时代推动湖北高质量发展加快建成中部地区崛起重要战略支点的实施意见》中</w:t>
      </w:r>
      <w:r>
        <w:rPr>
          <w:rFonts w:hint="eastAsia" w:ascii="仿宋_GB2312" w:hAnsi="仿宋_GB2312" w:cs="仿宋_GB2312"/>
        </w:rPr>
        <w:t>提出</w:t>
      </w:r>
      <w:r>
        <w:rPr>
          <w:rFonts w:hint="eastAsia"/>
          <w:bCs/>
        </w:rPr>
        <w:t>“率先在中部地区实现绿色崛起，打造全国重要增长极”的发展定位；以美丽湖北、绿色崛起为重要底色，</w:t>
      </w:r>
      <w:r>
        <w:rPr>
          <w:rFonts w:hint="eastAsia"/>
        </w:rPr>
        <w:t>《湖北省国民经济和社会发展第十四个五年规划和二</w:t>
      </w:r>
      <w:r>
        <w:rPr>
          <w:rFonts w:hint="eastAsia" w:ascii="宋体" w:hAnsi="宋体" w:eastAsia="宋体" w:cs="宋体"/>
        </w:rPr>
        <w:t>〇</w:t>
      </w:r>
      <w:r>
        <w:rPr>
          <w:rFonts w:hint="eastAsia" w:ascii="仿宋_GB2312" w:hAnsi="仿宋_GB2312" w:cs="仿宋_GB2312"/>
        </w:rPr>
        <w:t>三五年远景目标纲要》提出“</w:t>
      </w:r>
      <w:r>
        <w:rPr>
          <w:rFonts w:hint="eastAsia"/>
        </w:rPr>
        <w:t>到二</w:t>
      </w:r>
      <w:r>
        <w:rPr>
          <w:rFonts w:hint="eastAsia" w:ascii="宋体" w:hAnsi="宋体" w:eastAsia="宋体" w:cs="宋体"/>
        </w:rPr>
        <w:t>〇</w:t>
      </w:r>
      <w:r>
        <w:rPr>
          <w:rFonts w:hint="eastAsia" w:ascii="仿宋_GB2312" w:hAnsi="仿宋_GB2312" w:cs="仿宋_GB2312"/>
        </w:rPr>
        <w:t>三五年</w:t>
      </w:r>
      <w:r>
        <w:t>广泛形成绿色生产生活方式，生态环境根本好转，美丽湖北基本建成</w:t>
      </w:r>
      <w:r>
        <w:rPr>
          <w:rFonts w:hint="eastAsia" w:ascii="仿宋_GB2312"/>
        </w:rPr>
        <w:t>”的目标要求，为我省生态保护修复工作开展提供了强大的内生动力</w:t>
      </w:r>
      <w:r>
        <w:rPr>
          <w:rFonts w:hint="eastAsia"/>
        </w:rPr>
        <w:t>。</w:t>
      </w:r>
    </w:p>
    <w:p w14:paraId="57F384D4">
      <w:pPr>
        <w:pStyle w:val="4"/>
        <w:keepNext w:val="0"/>
        <w:keepLines w:val="0"/>
        <w:suppressAutoHyphens/>
        <w:spacing w:line="568" w:lineRule="exact"/>
        <w:ind w:firstLine="643"/>
      </w:pPr>
      <w:bookmarkStart w:id="65" w:name="_Toc87089245"/>
      <w:r>
        <w:rPr>
          <w:rFonts w:hint="eastAsia"/>
        </w:rPr>
        <w:t>（二）重大挑战</w:t>
      </w:r>
      <w:bookmarkEnd w:id="65"/>
    </w:p>
    <w:p w14:paraId="58C6131C">
      <w:pPr>
        <w:suppressAutoHyphens/>
        <w:ind w:firstLine="634"/>
        <w:rPr>
          <w:rFonts w:cs="Times New Roman"/>
          <w:spacing w:val="-2"/>
          <w:szCs w:val="28"/>
        </w:rPr>
      </w:pPr>
      <w:r>
        <w:rPr>
          <w:rFonts w:hint="eastAsia"/>
          <w:b/>
          <w:bCs/>
          <w:spacing w:val="-2"/>
        </w:rPr>
        <w:t>气候变化影响严峻。</w:t>
      </w:r>
      <w:r>
        <w:rPr>
          <w:rFonts w:hint="eastAsia"/>
          <w:bCs/>
          <w:spacing w:val="-2"/>
        </w:rPr>
        <w:t>随着</w:t>
      </w:r>
      <w:r>
        <w:rPr>
          <w:rFonts w:cs="Times New Roman"/>
          <w:spacing w:val="-2"/>
          <w:szCs w:val="28"/>
        </w:rPr>
        <w:t>气候变化，未来中国区域气温、降水量将继续上升，湖北省除高山地区外，大部分为亚热带季风性湿润气候，易受气候变化不利影响。</w:t>
      </w:r>
      <w:r>
        <w:rPr>
          <w:rFonts w:hint="eastAsia" w:cs="Times New Roman"/>
          <w:b/>
          <w:bCs/>
          <w:spacing w:val="-2"/>
          <w:szCs w:val="28"/>
        </w:rPr>
        <w:t>一是</w:t>
      </w:r>
      <w:r>
        <w:rPr>
          <w:rFonts w:cs="Times New Roman"/>
          <w:b/>
          <w:bCs/>
          <w:spacing w:val="-2"/>
          <w:szCs w:val="28"/>
        </w:rPr>
        <w:t>引发</w:t>
      </w:r>
      <w:r>
        <w:rPr>
          <w:rFonts w:cs="Times New Roman"/>
          <w:b/>
          <w:bCs/>
          <w:szCs w:val="28"/>
        </w:rPr>
        <w:t>水资源</w:t>
      </w:r>
      <w:r>
        <w:rPr>
          <w:rFonts w:hint="eastAsia" w:cs="Times New Roman"/>
          <w:b/>
          <w:bCs/>
          <w:szCs w:val="28"/>
        </w:rPr>
        <w:t>分布不平衡</w:t>
      </w:r>
      <w:r>
        <w:rPr>
          <w:rFonts w:hint="eastAsia" w:cs="Times New Roman"/>
          <w:szCs w:val="28"/>
        </w:rPr>
        <w:t>，</w:t>
      </w:r>
      <w:r>
        <w:rPr>
          <w:rFonts w:cs="Times New Roman"/>
          <w:szCs w:val="28"/>
        </w:rPr>
        <w:t>气温升高</w:t>
      </w:r>
      <w:r>
        <w:rPr>
          <w:rFonts w:hint="eastAsia" w:cs="Times New Roman"/>
          <w:szCs w:val="28"/>
        </w:rPr>
        <w:t>将导致</w:t>
      </w:r>
      <w:r>
        <w:rPr>
          <w:rFonts w:cs="Times New Roman"/>
          <w:szCs w:val="28"/>
        </w:rPr>
        <w:t>湖北地区高温热浪现象</w:t>
      </w:r>
      <w:r>
        <w:rPr>
          <w:rFonts w:hint="eastAsia" w:cs="Times New Roman"/>
          <w:szCs w:val="28"/>
        </w:rPr>
        <w:t>和</w:t>
      </w:r>
      <w:r>
        <w:rPr>
          <w:rFonts w:cs="Times New Roman"/>
          <w:szCs w:val="28"/>
        </w:rPr>
        <w:t>极端降水事件出现频率增多</w:t>
      </w:r>
      <w:r>
        <w:rPr>
          <w:rFonts w:hint="eastAsia" w:cs="Times New Roman"/>
          <w:szCs w:val="28"/>
        </w:rPr>
        <w:t>，根据气候模型预测，我省未来绝大部分地区降水量呈一定幅度的增加，而鄂西北年平均降水量大幅减少</w:t>
      </w:r>
      <w:r>
        <w:rPr>
          <w:rFonts w:cs="Times New Roman"/>
          <w:szCs w:val="28"/>
        </w:rPr>
        <w:t>，江河径流量不稳定性将增加，季节性或区域性水资源危机可能性加大。</w:t>
      </w:r>
      <w:r>
        <w:rPr>
          <w:rFonts w:hint="eastAsia" w:cs="Times New Roman"/>
          <w:b/>
          <w:bCs/>
          <w:szCs w:val="28"/>
        </w:rPr>
        <w:t>二是影响农业生产和布局</w:t>
      </w:r>
      <w:r>
        <w:rPr>
          <w:rFonts w:hint="eastAsia" w:cs="Times New Roman"/>
          <w:bCs/>
          <w:szCs w:val="28"/>
        </w:rPr>
        <w:t>，</w:t>
      </w:r>
      <w:r>
        <w:rPr>
          <w:rFonts w:hint="eastAsia" w:cs="Times New Roman"/>
          <w:szCs w:val="28"/>
        </w:rPr>
        <w:t>气候变化直</w:t>
      </w:r>
      <w:r>
        <w:rPr>
          <w:rFonts w:cs="Times New Roman"/>
          <w:szCs w:val="28"/>
        </w:rPr>
        <w:t>接影响农作物生长期，极端恶劣、灾害性天气对农业生产不利，不稳定降雨事件导致土壤盐碱化和退化，加剧病虫害流行和杂草滋生</w:t>
      </w:r>
      <w:r>
        <w:rPr>
          <w:rFonts w:hint="eastAsia" w:cs="Times New Roman"/>
          <w:szCs w:val="28"/>
        </w:rPr>
        <w:t>等。</w:t>
      </w:r>
      <w:r>
        <w:rPr>
          <w:rFonts w:hint="eastAsia" w:cs="Times New Roman"/>
          <w:b/>
          <w:bCs/>
          <w:szCs w:val="28"/>
        </w:rPr>
        <w:t>三是</w:t>
      </w:r>
      <w:r>
        <w:rPr>
          <w:rFonts w:cs="Times New Roman"/>
          <w:b/>
          <w:bCs/>
          <w:szCs w:val="28"/>
        </w:rPr>
        <w:t>加重石漠化和水土流失</w:t>
      </w:r>
      <w:r>
        <w:rPr>
          <w:rFonts w:hint="eastAsia" w:cs="Times New Roman"/>
          <w:szCs w:val="28"/>
        </w:rPr>
        <w:t>，我</w:t>
      </w:r>
      <w:r>
        <w:rPr>
          <w:rFonts w:cs="Times New Roman"/>
          <w:szCs w:val="28"/>
        </w:rPr>
        <w:t>省武陵山区和幕阜山区岩溶发育较多，降水</w:t>
      </w:r>
      <w:r>
        <w:rPr>
          <w:rFonts w:hint="eastAsia" w:cs="Times New Roman"/>
          <w:szCs w:val="28"/>
        </w:rPr>
        <w:t>增多加速</w:t>
      </w:r>
      <w:r>
        <w:rPr>
          <w:rFonts w:cs="Times New Roman"/>
          <w:szCs w:val="28"/>
        </w:rPr>
        <w:t>土壤侵蚀，局部地区石漠化、水土流失将进一步恶化。</w:t>
      </w:r>
      <w:r>
        <w:rPr>
          <w:rFonts w:hint="eastAsia" w:cs="Times New Roman"/>
          <w:b/>
          <w:bCs/>
          <w:szCs w:val="28"/>
        </w:rPr>
        <w:t>四是导致</w:t>
      </w:r>
      <w:r>
        <w:rPr>
          <w:rFonts w:cs="Times New Roman"/>
          <w:b/>
          <w:bCs/>
          <w:szCs w:val="28"/>
        </w:rPr>
        <w:t>生态系统退化与生物多样性</w:t>
      </w:r>
      <w:r>
        <w:rPr>
          <w:rFonts w:hint="eastAsia" w:cs="Times New Roman"/>
          <w:b/>
          <w:bCs/>
          <w:szCs w:val="28"/>
        </w:rPr>
        <w:t>丧失</w:t>
      </w:r>
      <w:r>
        <w:rPr>
          <w:rFonts w:hint="eastAsia" w:cs="Times New Roman"/>
          <w:bCs/>
          <w:szCs w:val="28"/>
        </w:rPr>
        <w:t>，</w:t>
      </w:r>
      <w:r>
        <w:rPr>
          <w:rFonts w:hint="eastAsia" w:cs="Times New Roman"/>
          <w:szCs w:val="28"/>
        </w:rPr>
        <w:t>气候变</w:t>
      </w:r>
      <w:r>
        <w:rPr>
          <w:rFonts w:hint="eastAsia" w:cs="Times New Roman"/>
          <w:spacing w:val="-2"/>
          <w:szCs w:val="28"/>
        </w:rPr>
        <w:t>化将使基因多样性、物种分布改变，导致生物组成、结构、数量、栖息地和生态系统结构与功能发生重大变化</w:t>
      </w:r>
      <w:r>
        <w:rPr>
          <w:rFonts w:cs="Times New Roman"/>
          <w:spacing w:val="-2"/>
          <w:szCs w:val="28"/>
        </w:rPr>
        <w:t>，产生生态系统退化与生物多样性丧失的风险。</w:t>
      </w:r>
    </w:p>
    <w:p w14:paraId="1B0D274E">
      <w:pPr>
        <w:suppressAutoHyphens/>
        <w:ind w:firstLine="643"/>
        <w:rPr>
          <w:rFonts w:cs="Times New Roman"/>
          <w:szCs w:val="28"/>
        </w:rPr>
      </w:pPr>
      <w:r>
        <w:rPr>
          <w:rFonts w:hint="eastAsia"/>
          <w:b/>
          <w:bCs/>
        </w:rPr>
        <w:t>碳达峰、碳中和目标挑战较大。</w:t>
      </w:r>
      <w:r>
        <w:rPr>
          <w:rFonts w:cs="Times New Roman"/>
        </w:rPr>
        <w:t>我省仍处于经济现代化、城镇化发展阶段，发展不够仍然是湖北最大的实际，要在经济社会快速发展过程中实现碳达峰、碳中和，任务艰巨。</w:t>
      </w:r>
      <w:r>
        <w:rPr>
          <w:rFonts w:hint="eastAsia" w:cs="Times New Roman"/>
        </w:rPr>
        <w:t>目前</w:t>
      </w:r>
      <w:r>
        <w:rPr>
          <w:rFonts w:cs="Times New Roman"/>
        </w:rPr>
        <w:t>我省二氧化碳排放呈现</w:t>
      </w:r>
      <w:r>
        <w:rPr>
          <w:rFonts w:hint="eastAsia" w:cs="Times New Roman"/>
        </w:rPr>
        <w:t>六大主要</w:t>
      </w:r>
      <w:r>
        <w:rPr>
          <w:rFonts w:cs="Times New Roman"/>
        </w:rPr>
        <w:t>特征：碳排放总量呈升高态势，增速在波动中逐渐趋缓；碳强度持续降低，下降幅度逐步收窄；煤炭碳排放占主导地位，占比呈下降态势；工业为主要碳排放来源，农业占比较低；武汉、襄阳、宜昌碳排放占比高，神农架林区占比低；在区域中碳排放比重稳中有升，人均碳排放和碳排放强度在中部和长江经济带</w:t>
      </w:r>
      <w:r>
        <w:rPr>
          <w:rFonts w:hint="eastAsia" w:ascii="仿宋_GB2312" w:cs="Times New Roman"/>
        </w:rPr>
        <w:t>“</w:t>
      </w:r>
      <w:r>
        <w:rPr>
          <w:rFonts w:cs="Times New Roman"/>
        </w:rPr>
        <w:t>中游徘徊</w:t>
      </w:r>
      <w:r>
        <w:rPr>
          <w:rFonts w:hint="eastAsia" w:ascii="仿宋_GB2312" w:cs="Times New Roman"/>
        </w:rPr>
        <w:t>”</w:t>
      </w:r>
      <w:r>
        <w:rPr>
          <w:rFonts w:cs="Times New Roman"/>
        </w:rPr>
        <w:t>。</w:t>
      </w:r>
      <w:r>
        <w:rPr>
          <w:rFonts w:hint="eastAsia" w:cs="Times New Roman"/>
        </w:rPr>
        <w:t>实现碳达峰、碳中和目标，需将</w:t>
      </w:r>
      <w:r>
        <w:rPr>
          <w:rFonts w:cs="Times New Roman"/>
        </w:rPr>
        <w:t>碳达峰、碳中和纳入我省生态文明建设整体布局，一方面通过碳达峰、碳中和强约束驱动经济新变革，</w:t>
      </w:r>
      <w:r>
        <w:rPr>
          <w:rFonts w:hint="eastAsia" w:cs="Times New Roman"/>
        </w:rPr>
        <w:t>做好</w:t>
      </w:r>
      <w:r>
        <w:rPr>
          <w:rFonts w:cs="Times New Roman"/>
        </w:rPr>
        <w:t>生产模式、产业结构、能源供给</w:t>
      </w:r>
      <w:r>
        <w:rPr>
          <w:rFonts w:hint="eastAsia" w:cs="Times New Roman"/>
        </w:rPr>
        <w:t>、</w:t>
      </w:r>
      <w:r>
        <w:rPr>
          <w:rFonts w:cs="Times New Roman"/>
        </w:rPr>
        <w:t>生活方式等方面的节能减排；一方面充分挖潜森林、土壤、植被、湿地、岩溶等固碳能力，大力实施</w:t>
      </w:r>
      <w:r>
        <w:rPr>
          <w:rFonts w:hint="eastAsia" w:cs="Times New Roman"/>
        </w:rPr>
        <w:t>生态</w:t>
      </w:r>
      <w:r>
        <w:rPr>
          <w:rFonts w:cs="Times New Roman"/>
        </w:rPr>
        <w:t>保护修复工程，</w:t>
      </w:r>
      <w:r>
        <w:rPr>
          <w:rFonts w:hint="eastAsia" w:cs="Times New Roman"/>
        </w:rPr>
        <w:t>提升生态系统碳汇增量，建立健全能够体现碳汇价值的生态保护补偿机制，发展碳汇经济，</w:t>
      </w:r>
      <w:r>
        <w:rPr>
          <w:rFonts w:cs="Times New Roman"/>
        </w:rPr>
        <w:t>多种途径助力</w:t>
      </w:r>
      <w:r>
        <w:rPr>
          <w:rFonts w:hint="eastAsia" w:cs="Times New Roman"/>
        </w:rPr>
        <w:t>碳达峰、</w:t>
      </w:r>
      <w:r>
        <w:rPr>
          <w:rFonts w:cs="Times New Roman"/>
        </w:rPr>
        <w:t>碳中和。</w:t>
      </w:r>
    </w:p>
    <w:p w14:paraId="58544ACD">
      <w:pPr>
        <w:suppressAutoHyphens/>
        <w:ind w:firstLine="643"/>
        <w:rPr>
          <w:rFonts w:ascii="仿宋_GB2312" w:hAnsi="仿宋_GB2312" w:cs="仿宋_GB2312"/>
          <w:bCs/>
        </w:rPr>
      </w:pPr>
      <w:r>
        <w:rPr>
          <w:rFonts w:hint="eastAsia"/>
          <w:b/>
          <w:bCs/>
        </w:rPr>
        <w:t>资源开发利用与保护矛盾凸显。</w:t>
      </w:r>
      <w:r>
        <w:rPr>
          <w:rFonts w:hint="eastAsia"/>
        </w:rPr>
        <w:t>中共湖北省委十一届八次全会描绘了未来五年以及到二</w:t>
      </w:r>
      <w:r>
        <w:rPr>
          <w:rFonts w:hint="eastAsia" w:ascii="宋体" w:hAnsi="宋体" w:eastAsia="宋体" w:cs="宋体"/>
        </w:rPr>
        <w:t>〇</w:t>
      </w:r>
      <w:r>
        <w:rPr>
          <w:rFonts w:hint="eastAsia" w:ascii="仿宋_GB2312" w:hAnsi="仿宋_GB2312" w:cs="仿宋_GB2312"/>
        </w:rPr>
        <w:t>三五年我省经济社会发展的宏伟蓝图，</w:t>
      </w:r>
      <w:r>
        <w:rPr>
          <w:rFonts w:hint="eastAsia"/>
        </w:rPr>
        <w:t>展望2035，湖北省将“基本实现社会主义现代化”“新型工业化、信息化、城镇化、农业现代化基本实现”</w:t>
      </w:r>
      <w:r>
        <w:rPr>
          <w:rFonts w:hint="eastAsia" w:ascii="仿宋_GB2312" w:hAnsi="仿宋_GB2312" w:cs="仿宋_GB2312"/>
          <w:color w:val="000000"/>
          <w:kern w:val="0"/>
          <w:szCs w:val="32"/>
          <w:lang w:bidi="ar"/>
        </w:rPr>
        <w:t>。未来十五年，我省仍处于经济社会高速发展阶段，</w:t>
      </w:r>
      <w:r>
        <w:rPr>
          <w:rFonts w:cs="Times New Roman"/>
          <w:szCs w:val="28"/>
        </w:rPr>
        <w:t>常住人口城镇化率</w:t>
      </w:r>
      <w:r>
        <w:rPr>
          <w:rFonts w:hint="eastAsia" w:cs="Times New Roman"/>
          <w:szCs w:val="28"/>
        </w:rPr>
        <w:t>将进一步提高，</w:t>
      </w:r>
      <w:r>
        <w:rPr>
          <w:rFonts w:cs="Times New Roman"/>
          <w:kern w:val="0"/>
          <w:szCs w:val="28"/>
        </w:rPr>
        <w:t>城镇规模扩张、基础设施建设等一系列经济社会发展活动将进一步增加对土地资源、水资源、能源和生物资源的需求，也将在一定程度上加剧生态系统破碎化、降低城镇周边生态环境质量、削弱区域生态系统支撑功能，在资源约束趋紧和粗放开发利用共存的形势下，资源永续利用和</w:t>
      </w:r>
      <w:r>
        <w:rPr>
          <w:rFonts w:hint="eastAsia" w:cs="Times New Roman"/>
          <w:szCs w:val="28"/>
        </w:rPr>
        <w:t>生态保护修复压力不容小觑。同时，我省城镇主要沿江沿线集聚，</w:t>
      </w:r>
      <w:r>
        <w:rPr>
          <w:rFonts w:hint="eastAsia" w:ascii="仿宋_GB2312" w:hAnsi="仿宋_GB2312" w:cs="仿宋_GB2312"/>
          <w:bCs/>
        </w:rPr>
        <w:t>长江、汉江干流沿线包含全省</w:t>
      </w:r>
      <w:r>
        <w:rPr>
          <w:rFonts w:cs="Times New Roman"/>
          <w:bCs/>
        </w:rPr>
        <w:t>70%</w:t>
      </w:r>
      <w:r>
        <w:rPr>
          <w:rFonts w:hint="eastAsia" w:ascii="仿宋_GB2312" w:hAnsi="仿宋_GB2312" w:cs="仿宋_GB2312"/>
          <w:bCs/>
        </w:rPr>
        <w:t>以上的开发建设区域，又是长江大保护主阵地和蓄滞洪区集中地，沿江开发保护矛盾突出。</w:t>
      </w:r>
    </w:p>
    <w:p w14:paraId="28034E0B">
      <w:pPr>
        <w:suppressAutoHyphens/>
        <w:ind w:firstLine="643"/>
        <w:rPr>
          <w:szCs w:val="28"/>
        </w:rPr>
      </w:pPr>
      <w:r>
        <w:rPr>
          <w:rFonts w:hint="eastAsia" w:ascii="仿宋_GB2312" w:hAnsi="仿宋_GB2312" w:cs="仿宋_GB2312"/>
          <w:b/>
          <w:bCs/>
        </w:rPr>
        <w:t>生态修复工作任重道远。一是生态系统质量尚需提升，</w:t>
      </w:r>
      <w:r>
        <w:rPr>
          <w:rFonts w:hint="eastAsia" w:ascii="仿宋_GB2312" w:hAnsi="仿宋_GB2312" w:cs="仿宋_GB2312"/>
          <w:bCs/>
        </w:rPr>
        <w:t>近年来</w:t>
      </w:r>
      <w:r>
        <w:rPr>
          <w:rFonts w:hint="eastAsia"/>
          <w:szCs w:val="28"/>
        </w:rPr>
        <w:t>湖北省整体生态系统质量虽有所改善，但历史欠账多、问题积累多，生态空间遭受持续威胁，改善程度距离人民群众对美好生活的期盼仍有差距。</w:t>
      </w:r>
      <w:r>
        <w:rPr>
          <w:rFonts w:hint="eastAsia"/>
          <w:b/>
          <w:bCs/>
          <w:szCs w:val="28"/>
        </w:rPr>
        <w:t>二是生态修复科学性、系统性不足</w:t>
      </w:r>
      <w:r>
        <w:rPr>
          <w:rFonts w:hint="eastAsia"/>
          <w:b/>
          <w:szCs w:val="28"/>
        </w:rPr>
        <w:t>，</w:t>
      </w:r>
      <w:r>
        <w:rPr>
          <w:rFonts w:hint="eastAsia"/>
          <w:szCs w:val="28"/>
        </w:rPr>
        <w:t>对于山水林田湖草沙作为生命共同体的内在机理和规律认识不够，落实整体保护、系统修复、综合治理的理念和要求还有很大差距，部分工程治理目标和措施较单一、存在“拼盘”“拼凑”现象，区域生态系统功能整体提升成效不明显；对自然恢复为主方针理解贯彻不够，工程思维较严重，高成本修复问题较普遍。</w:t>
      </w:r>
      <w:r>
        <w:rPr>
          <w:rFonts w:hint="eastAsia"/>
          <w:b/>
          <w:bCs/>
          <w:szCs w:val="28"/>
        </w:rPr>
        <w:t>三是生态修复体制机制建设尚不完善</w:t>
      </w:r>
      <w:r>
        <w:rPr>
          <w:rFonts w:hint="eastAsia"/>
          <w:b/>
          <w:szCs w:val="28"/>
        </w:rPr>
        <w:t>，</w:t>
      </w:r>
      <w:r>
        <w:rPr>
          <w:rFonts w:hint="eastAsia"/>
          <w:szCs w:val="28"/>
        </w:rPr>
        <w:t>统筹山水林田湖草沙一体化保护修复的协调联动机制和权责对等的管理体制尚未建立，对涉及多部门、多领域、跨区域的生态修复项目亟需从立项、实施、监管、后期管护及资金使用等方面加强统筹管理；生态产品价值实现机制与多元化投入机制仍处于探索期，“两山”</w:t>
      </w:r>
      <w:r>
        <w:rPr>
          <w:rFonts w:hint="eastAsia"/>
          <w:szCs w:val="28"/>
          <w:lang w:val="en-US" w:eastAsia="zh-CN"/>
        </w:rPr>
        <w:t>理念</w:t>
      </w:r>
      <w:r>
        <w:rPr>
          <w:rFonts w:hint="eastAsia"/>
          <w:szCs w:val="28"/>
        </w:rPr>
        <w:t>转化路径尚不畅通。</w:t>
      </w:r>
      <w:r>
        <w:rPr>
          <w:rFonts w:hint="eastAsia"/>
          <w:b/>
          <w:bCs/>
          <w:szCs w:val="28"/>
        </w:rPr>
        <w:t>四是业务支撑能力尚需提升，</w:t>
      </w:r>
      <w:r>
        <w:rPr>
          <w:rFonts w:hint="eastAsia"/>
          <w:szCs w:val="28"/>
        </w:rPr>
        <w:t>生态修复标准规范体系尚不完善，生态监测评价预警体系尚未建立，</w:t>
      </w:r>
      <w:r>
        <w:rPr>
          <w:rFonts w:hint="eastAsia"/>
          <w:bCs/>
          <w:szCs w:val="28"/>
        </w:rPr>
        <w:t>专业人才队伍建设仍需加强，</w:t>
      </w:r>
      <w:r>
        <w:rPr>
          <w:rFonts w:hint="eastAsia"/>
          <w:szCs w:val="28"/>
        </w:rPr>
        <w:t>新技术推广、科研成果转化等方面比较薄弱，生态修复技术和措施的系统性和长效性仍需加强。</w:t>
      </w:r>
    </w:p>
    <w:p w14:paraId="037E0314">
      <w:pPr>
        <w:suppressAutoHyphens/>
        <w:ind w:firstLine="640"/>
        <w:rPr>
          <w:rFonts w:ascii="黑体" w:eastAsia="方正小标宋_GBK"/>
          <w:bCs/>
          <w:kern w:val="44"/>
          <w:sz w:val="44"/>
          <w:szCs w:val="44"/>
        </w:rPr>
      </w:pPr>
      <w:r>
        <w:br w:type="page"/>
      </w:r>
    </w:p>
    <w:p w14:paraId="4F2FE657">
      <w:pPr>
        <w:ind w:firstLine="640"/>
      </w:pPr>
    </w:p>
    <w:p w14:paraId="7D369391">
      <w:pPr>
        <w:pStyle w:val="54"/>
      </w:pPr>
      <w:bookmarkStart w:id="66" w:name="_Toc87200614"/>
      <w:bookmarkStart w:id="67" w:name="_Toc87089246"/>
      <w:r>
        <w:t>第二章　</w:t>
      </w:r>
      <w:r>
        <w:rPr>
          <w:rFonts w:hint="eastAsia"/>
        </w:rPr>
        <w:t>总体要求与规划目标</w:t>
      </w:r>
      <w:bookmarkEnd w:id="66"/>
      <w:bookmarkEnd w:id="67"/>
    </w:p>
    <w:p w14:paraId="076BB396">
      <w:pPr>
        <w:pStyle w:val="53"/>
      </w:pPr>
      <w:bookmarkStart w:id="68" w:name="_Toc87089247"/>
      <w:bookmarkStart w:id="69" w:name="_Toc87200615"/>
      <w:r>
        <w:rPr>
          <w:rFonts w:hint="eastAsia"/>
        </w:rPr>
        <w:t>第一节　指导思想</w:t>
      </w:r>
      <w:bookmarkEnd w:id="68"/>
      <w:bookmarkEnd w:id="69"/>
    </w:p>
    <w:p w14:paraId="561FFE1E">
      <w:pPr>
        <w:suppressAutoHyphens/>
        <w:ind w:firstLine="640"/>
      </w:pPr>
      <w:r>
        <w:rPr>
          <w:rFonts w:hint="eastAsia"/>
        </w:rPr>
        <w:t>以习近平新时代中国特色社会主义思想为指导，全面落实党的十九大和十九届二中、三中、四中、五中、六中全会精神，紧紧围绕统筹推进“五位一体”总体布局和协调推进“四个全面”战略布局，立足新发展阶段，完整、准确、全面贯彻新发展理念，构建新发展格局，深入落实习近平总书记在长江经济带发展座谈会上的系列讲话及考察湖北、参加湖北代表团审议时的重要讲话精神，肩负起习近平总书记和党中央赋予湖北的历史使命，全面贯彻落实省委、省政府决策部署，聚焦“建成支点、走在前列、谱写新篇”的目标定位，践行“绿水青山就是金山银山”理念，坚持人与自然和谐共生，坚持节约优先、保护优先、自然恢复为主，深入推进长江大保护，坚决把修复长江生态环境摆在压倒性位置，以统筹山水林田湖草沙一体化保护修复为主线，科学布局和组织实施生态保护修复重点工程，完善以“三江四屏千湖一平原”为骨架的生态安全格局，显著提高生态系统稳定性和复原力，促进生态系统质量总体改善，提升生物多样性水平，扩大优质生态产品供给，构建综合治理新体系，推进形成生态保护和修复新格局，为建设美丽湖北、保障全省高质量发展、维护长江中游生态安全、推动中部地区绿色崛起和长江经济带绿色高质量发展作出更大贡献。</w:t>
      </w:r>
    </w:p>
    <w:p w14:paraId="2F92053B">
      <w:pPr>
        <w:suppressAutoHyphens/>
        <w:ind w:firstLine="640"/>
      </w:pPr>
    </w:p>
    <w:p w14:paraId="43037CB0">
      <w:pPr>
        <w:pStyle w:val="53"/>
      </w:pPr>
      <w:bookmarkStart w:id="70" w:name="_Toc87200616"/>
      <w:bookmarkStart w:id="71" w:name="_Toc87089248"/>
      <w:r>
        <w:rPr>
          <w:rFonts w:hint="eastAsia"/>
        </w:rPr>
        <w:t>第二节　基本原则</w:t>
      </w:r>
      <w:bookmarkEnd w:id="70"/>
      <w:bookmarkEnd w:id="71"/>
    </w:p>
    <w:p w14:paraId="1D06F7A8">
      <w:pPr>
        <w:suppressAutoHyphens/>
        <w:ind w:firstLine="643"/>
      </w:pPr>
      <w:r>
        <w:rPr>
          <w:rFonts w:hint="eastAsia"/>
          <w:b/>
        </w:rPr>
        <w:t>坚持保护优先，自然恢复为主。</w:t>
      </w:r>
      <w:r>
        <w:rPr>
          <w:rFonts w:hint="eastAsia"/>
        </w:rPr>
        <w:t>牢固树立和践行“两山”理念，坚持人与自然和谐共生，尊重自然、顺应自然、保护自然；坚持保护优先，遵循自然生态系统演替规律，充分发挥大自然的自我修复能力，辅以必要的人工修复措施，避免人类对生态系统的过多干预。</w:t>
      </w:r>
    </w:p>
    <w:p w14:paraId="6DC31811">
      <w:pPr>
        <w:suppressAutoHyphens/>
        <w:ind w:firstLine="643"/>
      </w:pPr>
      <w:r>
        <w:rPr>
          <w:rFonts w:hint="eastAsia"/>
          <w:b/>
        </w:rPr>
        <w:t>坚持统筹协调，突出重点。</w:t>
      </w:r>
      <w:r>
        <w:rPr>
          <w:rFonts w:hint="eastAsia"/>
        </w:rPr>
        <w:t>统筹考虑自然生态系统各要素及其与农田、城市人工生态的协调性，聚焦重点生态功能区、重要自然生态系统、自然保护地及重点物种种群栖息地等重点区域，突出问题导向、目标导向，妥善处理保护和发展、整体和重点、当前和长远的关系，加强与各部门工作的沟通协调，推进形成生态保护修复新格局。</w:t>
      </w:r>
    </w:p>
    <w:p w14:paraId="6251F4DE">
      <w:pPr>
        <w:suppressAutoHyphens/>
        <w:ind w:firstLine="643"/>
      </w:pPr>
      <w:r>
        <w:rPr>
          <w:rFonts w:hint="eastAsia"/>
          <w:b/>
        </w:rPr>
        <w:t>坚持因地制宜，科学治理。</w:t>
      </w:r>
      <w:r>
        <w:rPr>
          <w:rFonts w:hint="eastAsia"/>
        </w:rPr>
        <w:t>遵循生态系统内在机理，以生态本底和自然禀赋为基础，关注生态质量提升和生态风险应对，强化科技支撑作用，因地制宜、实事求是，合理采取保育保护、自然恢复、人工辅助修复、生态重塑等措施，</w:t>
      </w:r>
      <w:r>
        <w:t>宜林则林、宜田则田、宜草则草、宜</w:t>
      </w:r>
      <w:r>
        <w:rPr>
          <w:rFonts w:hint="eastAsia"/>
        </w:rPr>
        <w:t>湿</w:t>
      </w:r>
      <w:r>
        <w:t>则</w:t>
      </w:r>
      <w:r>
        <w:rPr>
          <w:rFonts w:hint="eastAsia"/>
        </w:rPr>
        <w:t>湿</w:t>
      </w:r>
      <w:r>
        <w:t>，</w:t>
      </w:r>
      <w:r>
        <w:rPr>
          <w:rFonts w:hint="eastAsia"/>
        </w:rPr>
        <w:t>提高生态保护修复的科学性和针对性。</w:t>
      </w:r>
    </w:p>
    <w:p w14:paraId="6A70545F">
      <w:pPr>
        <w:suppressAutoHyphens/>
        <w:ind w:firstLine="643"/>
      </w:pPr>
      <w:r>
        <w:rPr>
          <w:rFonts w:hint="eastAsia"/>
          <w:b/>
        </w:rPr>
        <w:t>坚持创新机制，协同推进。</w:t>
      </w:r>
      <w:r>
        <w:rPr>
          <w:rFonts w:hint="eastAsia"/>
        </w:rPr>
        <w:t>深化生态保护修复领域改革，释放政策红利，创新多元化投入和建管模式，完善生态保护补偿机制，构建政府主导、多元主体共同参与的生态保护修复体系，建立健全协调联动的推进机制，形成责权明确、协同推进、务实有效的管理格局。</w:t>
      </w:r>
    </w:p>
    <w:p w14:paraId="1C797D2C">
      <w:pPr>
        <w:pStyle w:val="53"/>
      </w:pPr>
      <w:bookmarkStart w:id="72" w:name="_Toc87200617"/>
      <w:bookmarkStart w:id="73" w:name="_Toc87089249"/>
      <w:r>
        <w:rPr>
          <w:rFonts w:hint="eastAsia"/>
        </w:rPr>
        <w:t>第三节　规划目标</w:t>
      </w:r>
      <w:bookmarkEnd w:id="72"/>
      <w:bookmarkEnd w:id="73"/>
    </w:p>
    <w:p w14:paraId="7CB01CF9">
      <w:pPr>
        <w:suppressAutoHyphens/>
        <w:ind w:firstLine="643"/>
      </w:pPr>
      <w:r>
        <w:rPr>
          <w:rFonts w:hint="eastAsia"/>
          <w:b/>
        </w:rPr>
        <w:t>总体目标：</w:t>
      </w:r>
      <w:r>
        <w:rPr>
          <w:rFonts w:hint="eastAsia"/>
        </w:rPr>
        <w:t>深入贯彻落实习近平生态文明思想，围绕湖北省总体发展定位和湖北省国土空间规划总体目标，打造中部绿色崛起先行区，全面提升山水林田湖草沙各类生态系统整体质量和稳定性，提升生物多样性水平，强化农田生态功能，改善城市生态品质，助力国土空间格局优化，建设人与自然和谐共生的美丽湖北，服务长江经济带绿色高质量发展。</w:t>
      </w:r>
    </w:p>
    <w:p w14:paraId="0657C35C">
      <w:pPr>
        <w:suppressAutoHyphens/>
        <w:ind w:firstLine="640"/>
        <w:rPr>
          <w:rFonts w:hAnsi="仿宋"/>
          <w:szCs w:val="28"/>
        </w:rPr>
      </w:pPr>
      <w:r>
        <w:rPr>
          <w:rFonts w:hint="eastAsia" w:hAnsi="仿宋"/>
          <w:szCs w:val="28"/>
        </w:rPr>
        <w:t>——到2025年，“三江四屏千湖一平原”生态安全格局更加稳固，生态系统质量和稳定性进一步增强，</w:t>
      </w:r>
      <w:r>
        <w:rPr>
          <w:rFonts w:hint="eastAsia" w:cs="Times New Roman"/>
          <w:kern w:val="0"/>
          <w:szCs w:val="32"/>
          <w:shd w:val="clear" w:color="auto" w:fill="FFFFFF" w:themeFill="background1"/>
          <w:lang w:bidi="zh-CN"/>
        </w:rPr>
        <w:t>生物多样性水平有效提升，初步形成以国家公园为主体、自然保护区为基础、各类自然公园为补充的自然保护地体系，</w:t>
      </w:r>
      <w:r>
        <w:rPr>
          <w:rFonts w:hint="eastAsia" w:hAnsi="仿宋"/>
          <w:szCs w:val="28"/>
        </w:rPr>
        <w:t>长江、汉江、清江主廊道基本建成，</w:t>
      </w:r>
      <w:r>
        <w:rPr>
          <w:rFonts w:hint="eastAsia" w:cs="Times New Roman"/>
          <w:kern w:val="0"/>
          <w:szCs w:val="32"/>
          <w:shd w:val="clear" w:color="auto" w:fill="FFFFFF" w:themeFill="background1"/>
          <w:lang w:bidi="zh-CN"/>
        </w:rPr>
        <w:t>自然恢复为主、工程修复为辅的山水林田湖草沙系统治理体系基本建立，美丽湖北建设的生态和安全本底更加夯实。</w:t>
      </w:r>
    </w:p>
    <w:p w14:paraId="4AF953DC">
      <w:pPr>
        <w:suppressAutoHyphens/>
        <w:ind w:firstLine="640"/>
        <w:rPr>
          <w:rFonts w:hAnsi="仿宋"/>
          <w:szCs w:val="28"/>
        </w:rPr>
      </w:pPr>
      <w:r>
        <w:rPr>
          <w:rFonts w:hint="eastAsia" w:hAnsi="仿宋"/>
          <w:szCs w:val="28"/>
        </w:rPr>
        <w:t>——到2030年，生态环境持续改善，森林、河湖、湿地等自然生态系统状况实现根本好转，生态系统质量和固碳能力持续提升，生态廊道网络体系基本建立，自然资源和生物多样性得到充分保护，</w:t>
      </w:r>
      <w:r>
        <w:rPr>
          <w:rFonts w:hint="eastAsia" w:cs="Times New Roman"/>
          <w:kern w:val="0"/>
          <w:szCs w:val="32"/>
          <w:shd w:val="clear" w:color="auto" w:fill="FFFFFF" w:themeFill="background1"/>
          <w:lang w:bidi="zh-CN"/>
        </w:rPr>
        <w:t>农田生态系统和</w:t>
      </w:r>
      <w:r>
        <w:rPr>
          <w:rFonts w:hAnsi="仿宋"/>
          <w:szCs w:val="28"/>
        </w:rPr>
        <w:t>城乡人居环境持续改善，山水林田湖草沙一体化保护和修复机制更加健全</w:t>
      </w:r>
      <w:r>
        <w:rPr>
          <w:rFonts w:hint="eastAsia" w:hAnsi="仿宋"/>
          <w:szCs w:val="28"/>
        </w:rPr>
        <w:t>。</w:t>
      </w:r>
    </w:p>
    <w:p w14:paraId="7C8F626D">
      <w:pPr>
        <w:suppressAutoHyphens/>
        <w:spacing w:after="217" w:afterLines="50"/>
        <w:ind w:firstLine="640"/>
        <w:rPr>
          <w:rFonts w:hAnsi="仿宋"/>
          <w:szCs w:val="28"/>
        </w:rPr>
      </w:pPr>
      <w:r>
        <w:rPr>
          <w:rFonts w:hAnsi="仿宋"/>
          <w:szCs w:val="28"/>
        </w:rPr>
        <w:t>——到</w:t>
      </w:r>
      <w:r>
        <w:rPr>
          <w:rFonts w:hint="eastAsia" w:hAnsi="仿宋"/>
          <w:szCs w:val="28"/>
        </w:rPr>
        <w:t>2035年，</w:t>
      </w:r>
      <w:r>
        <w:rPr>
          <w:rFonts w:hAnsi="仿宋"/>
          <w:szCs w:val="28"/>
        </w:rPr>
        <w:t>生态环境根本好转，</w:t>
      </w:r>
      <w:r>
        <w:rPr>
          <w:rFonts w:hint="eastAsia" w:hAnsi="仿宋"/>
          <w:szCs w:val="28"/>
        </w:rPr>
        <w:t>生态系统趋于良性循环，生态系统稳定性和固碳能力显著提升，国省重点保护物种及特有物种得到全面保护，</w:t>
      </w:r>
      <w:r>
        <w:rPr>
          <w:rFonts w:hint="eastAsia" w:cs="Times New Roman"/>
          <w:kern w:val="0"/>
          <w:szCs w:val="32"/>
          <w:shd w:val="clear" w:color="auto" w:fill="FFFFFF" w:themeFill="background1"/>
          <w:lang w:bidi="zh-CN"/>
        </w:rPr>
        <w:t>生物多样性水平显著提升，</w:t>
      </w:r>
      <w:r>
        <w:rPr>
          <w:rFonts w:hint="eastAsia" w:hAnsi="仿宋"/>
          <w:szCs w:val="28"/>
        </w:rPr>
        <w:t>长江经济带生态保护和绿色发展取得显著成效，</w:t>
      </w:r>
      <w:r>
        <w:rPr>
          <w:rFonts w:hAnsi="仿宋"/>
          <w:szCs w:val="28"/>
        </w:rPr>
        <w:t>城乡人居环境</w:t>
      </w:r>
      <w:r>
        <w:rPr>
          <w:rFonts w:hint="eastAsia" w:hAnsi="仿宋"/>
          <w:szCs w:val="28"/>
        </w:rPr>
        <w:t>更加</w:t>
      </w:r>
      <w:r>
        <w:rPr>
          <w:rFonts w:hAnsi="仿宋"/>
          <w:szCs w:val="28"/>
        </w:rPr>
        <w:t>宜居，“两山”理念转化路径更加畅通，</w:t>
      </w:r>
      <w:r>
        <w:rPr>
          <w:rFonts w:hint="eastAsia" w:hAnsi="仿宋"/>
          <w:szCs w:val="28"/>
        </w:rPr>
        <w:t>生态文明制度体系更加健全，人与自然和谐共生的美丽湖北基本建成。</w:t>
      </w:r>
    </w:p>
    <w:tbl>
      <w:tblPr>
        <w:tblStyle w:val="18"/>
        <w:tblW w:w="49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57" w:type="dxa"/>
          <w:bottom w:w="11" w:type="dxa"/>
          <w:right w:w="57" w:type="dxa"/>
        </w:tblCellMar>
      </w:tblPr>
      <w:tblGrid>
        <w:gridCol w:w="525"/>
        <w:gridCol w:w="950"/>
        <w:gridCol w:w="1702"/>
        <w:gridCol w:w="1133"/>
        <w:gridCol w:w="991"/>
        <w:gridCol w:w="993"/>
        <w:gridCol w:w="1012"/>
        <w:gridCol w:w="630"/>
        <w:gridCol w:w="864"/>
      </w:tblGrid>
      <w:tr w14:paraId="582D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atLeast"/>
          <w:tblHeader/>
        </w:trPr>
        <w:tc>
          <w:tcPr>
            <w:tcW w:w="5000" w:type="pct"/>
            <w:gridSpan w:val="9"/>
            <w:shd w:val="clear" w:color="auto" w:fill="D8D8D8" w:themeFill="background1" w:themeFillShade="D9"/>
            <w:vAlign w:val="center"/>
          </w:tcPr>
          <w:p w14:paraId="5AB334C0">
            <w:pPr>
              <w:suppressAutoHyphens/>
              <w:spacing w:line="240" w:lineRule="auto"/>
              <w:ind w:firstLine="0" w:firstLineChars="0"/>
              <w:jc w:val="center"/>
              <w:rPr>
                <w:rFonts w:eastAsia="黑体" w:cs="Times New Roman"/>
                <w:color w:val="000000"/>
                <w:kern w:val="0"/>
                <w:sz w:val="24"/>
                <w:szCs w:val="24"/>
              </w:rPr>
            </w:pPr>
            <w:r>
              <w:rPr>
                <w:rFonts w:eastAsia="黑体" w:cs="Times New Roman"/>
                <w:color w:val="000000"/>
                <w:kern w:val="0"/>
                <w:sz w:val="24"/>
                <w:szCs w:val="24"/>
              </w:rPr>
              <w:t>专栏2-1国土空间生态修复规划指标</w:t>
            </w:r>
          </w:p>
        </w:tc>
      </w:tr>
      <w:tr w14:paraId="0A0E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20" w:hRule="atLeast"/>
          <w:tblHeader/>
        </w:trPr>
        <w:tc>
          <w:tcPr>
            <w:tcW w:w="298" w:type="pct"/>
            <w:shd w:val="clear" w:color="auto" w:fill="D8D8D8" w:themeFill="background1" w:themeFillShade="D9"/>
            <w:vAlign w:val="center"/>
          </w:tcPr>
          <w:p w14:paraId="20EE3721">
            <w:pPr>
              <w:suppressAutoHyphens/>
              <w:spacing w:line="400" w:lineRule="exact"/>
              <w:ind w:firstLine="0" w:firstLineChars="0"/>
              <w:jc w:val="center"/>
              <w:rPr>
                <w:rFonts w:hint="eastAsia" w:eastAsia="仿宋_GB2312" w:cs="Times New Roman"/>
                <w:b/>
                <w:bCs/>
                <w:color w:val="000000"/>
                <w:kern w:val="0"/>
                <w:sz w:val="24"/>
                <w:szCs w:val="24"/>
                <w:lang w:eastAsia="zh-CN"/>
              </w:rPr>
            </w:pPr>
            <w:r>
              <w:rPr>
                <w:rFonts w:cs="Times New Roman"/>
                <w:b/>
                <w:bCs/>
                <w:color w:val="000000"/>
                <w:kern w:val="0"/>
                <w:sz w:val="24"/>
                <w:szCs w:val="24"/>
              </w:rPr>
              <w:t>序</w:t>
            </w:r>
          </w:p>
          <w:p w14:paraId="13A20C8B">
            <w:pPr>
              <w:suppressAutoHyphens/>
              <w:spacing w:line="400" w:lineRule="exact"/>
              <w:ind w:firstLine="0" w:firstLineChars="0"/>
              <w:jc w:val="center"/>
              <w:rPr>
                <w:rFonts w:cs="Times New Roman"/>
                <w:b/>
                <w:bCs/>
                <w:color w:val="000000"/>
                <w:kern w:val="0"/>
                <w:sz w:val="24"/>
                <w:szCs w:val="24"/>
              </w:rPr>
            </w:pPr>
            <w:r>
              <w:rPr>
                <w:rFonts w:cs="Times New Roman"/>
                <w:b/>
                <w:bCs/>
                <w:color w:val="000000"/>
                <w:kern w:val="0"/>
                <w:sz w:val="24"/>
                <w:szCs w:val="24"/>
              </w:rPr>
              <w:t>号</w:t>
            </w:r>
          </w:p>
        </w:tc>
        <w:tc>
          <w:tcPr>
            <w:tcW w:w="540" w:type="pct"/>
            <w:shd w:val="clear" w:color="auto" w:fill="D8D8D8" w:themeFill="background1" w:themeFillShade="D9"/>
            <w:vAlign w:val="center"/>
          </w:tcPr>
          <w:p w14:paraId="365C4A8A">
            <w:pPr>
              <w:suppressAutoHyphens/>
              <w:spacing w:line="400" w:lineRule="exact"/>
              <w:ind w:firstLine="0" w:firstLineChars="0"/>
              <w:jc w:val="center"/>
              <w:rPr>
                <w:rFonts w:cs="Times New Roman"/>
                <w:b/>
                <w:bCs/>
                <w:color w:val="000000"/>
                <w:kern w:val="0"/>
                <w:sz w:val="24"/>
                <w:szCs w:val="24"/>
              </w:rPr>
            </w:pPr>
            <w:r>
              <w:rPr>
                <w:rFonts w:cs="Times New Roman"/>
                <w:b/>
                <w:bCs/>
                <w:color w:val="000000"/>
                <w:kern w:val="0"/>
                <w:sz w:val="24"/>
                <w:szCs w:val="24"/>
              </w:rPr>
              <w:t>类型</w:t>
            </w:r>
          </w:p>
        </w:tc>
        <w:tc>
          <w:tcPr>
            <w:tcW w:w="967" w:type="pct"/>
            <w:shd w:val="clear" w:color="auto" w:fill="D8D8D8" w:themeFill="background1" w:themeFillShade="D9"/>
            <w:vAlign w:val="center"/>
          </w:tcPr>
          <w:p w14:paraId="345DFB74">
            <w:pPr>
              <w:suppressAutoHyphens/>
              <w:spacing w:line="400" w:lineRule="exact"/>
              <w:ind w:firstLine="0" w:firstLineChars="0"/>
              <w:jc w:val="center"/>
              <w:rPr>
                <w:rFonts w:cs="Times New Roman"/>
                <w:b/>
                <w:bCs/>
                <w:color w:val="000000"/>
                <w:kern w:val="0"/>
                <w:sz w:val="24"/>
                <w:szCs w:val="24"/>
              </w:rPr>
            </w:pPr>
            <w:r>
              <w:rPr>
                <w:rFonts w:cs="Times New Roman"/>
                <w:b/>
                <w:bCs/>
                <w:color w:val="000000"/>
                <w:kern w:val="0"/>
                <w:sz w:val="24"/>
                <w:szCs w:val="24"/>
              </w:rPr>
              <w:t>指标名称</w:t>
            </w:r>
          </w:p>
        </w:tc>
        <w:tc>
          <w:tcPr>
            <w:tcW w:w="644" w:type="pct"/>
            <w:shd w:val="clear" w:color="auto" w:fill="D8D8D8" w:themeFill="background1" w:themeFillShade="D9"/>
            <w:vAlign w:val="center"/>
          </w:tcPr>
          <w:p w14:paraId="39A084E1">
            <w:pPr>
              <w:suppressAutoHyphens/>
              <w:spacing w:line="400" w:lineRule="exact"/>
              <w:ind w:firstLine="0" w:firstLineChars="0"/>
              <w:jc w:val="center"/>
              <w:rPr>
                <w:rFonts w:hint="eastAsia" w:eastAsia="仿宋_GB2312" w:cs="Times New Roman"/>
                <w:b/>
                <w:bCs/>
                <w:color w:val="000000"/>
                <w:kern w:val="0"/>
                <w:sz w:val="24"/>
                <w:szCs w:val="24"/>
                <w:lang w:eastAsia="zh-CN"/>
              </w:rPr>
            </w:pPr>
            <w:r>
              <w:rPr>
                <w:rFonts w:cs="Times New Roman"/>
                <w:b/>
                <w:bCs/>
                <w:color w:val="000000"/>
                <w:kern w:val="0"/>
                <w:sz w:val="24"/>
                <w:szCs w:val="24"/>
              </w:rPr>
              <w:t>2020年</w:t>
            </w:r>
          </w:p>
          <w:p w14:paraId="0D5298C0">
            <w:pPr>
              <w:suppressAutoHyphens/>
              <w:spacing w:line="400" w:lineRule="exact"/>
              <w:ind w:firstLine="0" w:firstLineChars="0"/>
              <w:jc w:val="center"/>
              <w:rPr>
                <w:rFonts w:cs="Times New Roman"/>
                <w:b/>
                <w:bCs/>
                <w:color w:val="000000"/>
                <w:kern w:val="0"/>
                <w:sz w:val="24"/>
                <w:szCs w:val="24"/>
              </w:rPr>
            </w:pPr>
            <w:r>
              <w:rPr>
                <w:rFonts w:cs="Times New Roman"/>
                <w:b/>
                <w:bCs/>
                <w:color w:val="000000"/>
                <w:kern w:val="0"/>
                <w:sz w:val="24"/>
                <w:szCs w:val="24"/>
              </w:rPr>
              <w:t>现状</w:t>
            </w:r>
          </w:p>
        </w:tc>
        <w:tc>
          <w:tcPr>
            <w:tcW w:w="563" w:type="pct"/>
            <w:shd w:val="clear" w:color="auto" w:fill="D8D8D8" w:themeFill="background1" w:themeFillShade="D9"/>
            <w:vAlign w:val="center"/>
          </w:tcPr>
          <w:p w14:paraId="607A34B6">
            <w:pPr>
              <w:suppressAutoHyphens/>
              <w:spacing w:line="400" w:lineRule="exact"/>
              <w:ind w:firstLine="0" w:firstLineChars="0"/>
              <w:jc w:val="center"/>
              <w:rPr>
                <w:rFonts w:hint="eastAsia" w:eastAsia="仿宋_GB2312" w:cs="Times New Roman"/>
                <w:b/>
                <w:bCs/>
                <w:color w:val="000000"/>
                <w:kern w:val="0"/>
                <w:sz w:val="24"/>
                <w:szCs w:val="24"/>
                <w:lang w:eastAsia="zh-CN"/>
              </w:rPr>
            </w:pPr>
            <w:r>
              <w:rPr>
                <w:rFonts w:cs="Times New Roman"/>
                <w:b/>
                <w:bCs/>
                <w:color w:val="000000"/>
                <w:kern w:val="0"/>
                <w:sz w:val="24"/>
                <w:szCs w:val="24"/>
              </w:rPr>
              <w:t>2025年</w:t>
            </w:r>
          </w:p>
          <w:p w14:paraId="30C8E3F9">
            <w:pPr>
              <w:suppressAutoHyphens/>
              <w:spacing w:line="400" w:lineRule="exact"/>
              <w:ind w:firstLine="0" w:firstLineChars="0"/>
              <w:jc w:val="center"/>
              <w:rPr>
                <w:rFonts w:cs="Times New Roman"/>
                <w:b/>
                <w:bCs/>
                <w:color w:val="000000"/>
                <w:kern w:val="0"/>
                <w:sz w:val="24"/>
                <w:szCs w:val="24"/>
              </w:rPr>
            </w:pPr>
            <w:r>
              <w:rPr>
                <w:rFonts w:cs="Times New Roman"/>
                <w:b/>
                <w:bCs/>
                <w:color w:val="000000"/>
                <w:kern w:val="0"/>
                <w:sz w:val="24"/>
                <w:szCs w:val="24"/>
              </w:rPr>
              <w:t>目标值</w:t>
            </w:r>
          </w:p>
        </w:tc>
        <w:tc>
          <w:tcPr>
            <w:tcW w:w="564" w:type="pct"/>
            <w:shd w:val="clear" w:color="auto" w:fill="D8D8D8" w:themeFill="background1" w:themeFillShade="D9"/>
            <w:vAlign w:val="center"/>
          </w:tcPr>
          <w:p w14:paraId="70E8B6AF">
            <w:pPr>
              <w:suppressAutoHyphens/>
              <w:spacing w:line="400" w:lineRule="exact"/>
              <w:ind w:firstLine="0" w:firstLineChars="0"/>
              <w:jc w:val="center"/>
              <w:rPr>
                <w:rFonts w:hint="eastAsia" w:eastAsia="仿宋_GB2312" w:cs="Times New Roman"/>
                <w:b/>
                <w:bCs/>
                <w:color w:val="000000"/>
                <w:kern w:val="0"/>
                <w:sz w:val="24"/>
                <w:szCs w:val="24"/>
                <w:lang w:eastAsia="zh-CN"/>
              </w:rPr>
            </w:pPr>
            <w:r>
              <w:rPr>
                <w:rFonts w:cs="Times New Roman"/>
                <w:b/>
                <w:bCs/>
                <w:color w:val="000000"/>
                <w:kern w:val="0"/>
                <w:sz w:val="24"/>
                <w:szCs w:val="24"/>
              </w:rPr>
              <w:t>2030年</w:t>
            </w:r>
          </w:p>
          <w:p w14:paraId="1282D0C4">
            <w:pPr>
              <w:suppressAutoHyphens/>
              <w:spacing w:line="400" w:lineRule="exact"/>
              <w:ind w:firstLine="0" w:firstLineChars="0"/>
              <w:jc w:val="center"/>
              <w:rPr>
                <w:rFonts w:cs="Times New Roman"/>
                <w:b/>
                <w:bCs/>
                <w:color w:val="000000"/>
                <w:kern w:val="0"/>
                <w:sz w:val="24"/>
                <w:szCs w:val="24"/>
              </w:rPr>
            </w:pPr>
            <w:r>
              <w:rPr>
                <w:rFonts w:cs="Times New Roman"/>
                <w:b/>
                <w:bCs/>
                <w:color w:val="000000"/>
                <w:kern w:val="0"/>
                <w:sz w:val="24"/>
                <w:szCs w:val="24"/>
              </w:rPr>
              <w:t>目标值</w:t>
            </w:r>
          </w:p>
        </w:tc>
        <w:tc>
          <w:tcPr>
            <w:tcW w:w="575" w:type="pct"/>
            <w:shd w:val="clear" w:color="auto" w:fill="D8D8D8" w:themeFill="background1" w:themeFillShade="D9"/>
            <w:vAlign w:val="center"/>
          </w:tcPr>
          <w:p w14:paraId="6D2599AB">
            <w:pPr>
              <w:suppressAutoHyphens/>
              <w:spacing w:line="400" w:lineRule="exact"/>
              <w:ind w:firstLine="0" w:firstLineChars="0"/>
              <w:jc w:val="center"/>
              <w:rPr>
                <w:rFonts w:hint="eastAsia" w:eastAsia="仿宋_GB2312" w:cs="Times New Roman"/>
                <w:b/>
                <w:bCs/>
                <w:color w:val="000000"/>
                <w:kern w:val="0"/>
                <w:sz w:val="24"/>
                <w:szCs w:val="24"/>
                <w:lang w:eastAsia="zh-CN"/>
              </w:rPr>
            </w:pPr>
            <w:r>
              <w:rPr>
                <w:rFonts w:cs="Times New Roman"/>
                <w:b/>
                <w:bCs/>
                <w:color w:val="000000"/>
                <w:kern w:val="0"/>
                <w:sz w:val="24"/>
                <w:szCs w:val="24"/>
              </w:rPr>
              <w:t>2035年</w:t>
            </w:r>
          </w:p>
          <w:p w14:paraId="1319BF99">
            <w:pPr>
              <w:suppressAutoHyphens/>
              <w:spacing w:line="400" w:lineRule="exact"/>
              <w:ind w:firstLine="0" w:firstLineChars="0"/>
              <w:jc w:val="center"/>
              <w:rPr>
                <w:rFonts w:cs="Times New Roman"/>
                <w:b/>
                <w:bCs/>
                <w:color w:val="000000"/>
                <w:kern w:val="0"/>
                <w:sz w:val="24"/>
                <w:szCs w:val="24"/>
              </w:rPr>
            </w:pPr>
            <w:r>
              <w:rPr>
                <w:rFonts w:cs="Times New Roman"/>
                <w:b/>
                <w:bCs/>
                <w:color w:val="000000"/>
                <w:kern w:val="0"/>
                <w:sz w:val="24"/>
                <w:szCs w:val="24"/>
              </w:rPr>
              <w:t>目标值</w:t>
            </w:r>
          </w:p>
        </w:tc>
        <w:tc>
          <w:tcPr>
            <w:tcW w:w="358" w:type="pct"/>
            <w:shd w:val="clear" w:color="auto" w:fill="D8D8D8" w:themeFill="background1" w:themeFillShade="D9"/>
            <w:vAlign w:val="center"/>
          </w:tcPr>
          <w:p w14:paraId="43202944">
            <w:pPr>
              <w:suppressAutoHyphens/>
              <w:spacing w:line="400" w:lineRule="exact"/>
              <w:ind w:firstLine="0" w:firstLineChars="0"/>
              <w:jc w:val="center"/>
              <w:rPr>
                <w:rFonts w:cs="Times New Roman"/>
                <w:b/>
                <w:bCs/>
                <w:color w:val="000000"/>
                <w:kern w:val="0"/>
                <w:sz w:val="24"/>
                <w:szCs w:val="24"/>
              </w:rPr>
            </w:pPr>
            <w:r>
              <w:rPr>
                <w:rFonts w:cs="Times New Roman"/>
                <w:b/>
                <w:bCs/>
                <w:color w:val="000000"/>
                <w:kern w:val="0"/>
                <w:sz w:val="24"/>
                <w:szCs w:val="24"/>
              </w:rPr>
              <w:t>单位</w:t>
            </w:r>
          </w:p>
        </w:tc>
        <w:tc>
          <w:tcPr>
            <w:tcW w:w="491" w:type="pct"/>
            <w:shd w:val="clear" w:color="auto" w:fill="D8D8D8" w:themeFill="background1" w:themeFillShade="D9"/>
            <w:vAlign w:val="center"/>
          </w:tcPr>
          <w:p w14:paraId="1701CC80">
            <w:pPr>
              <w:suppressAutoHyphens/>
              <w:spacing w:line="240" w:lineRule="auto"/>
              <w:ind w:firstLine="0" w:firstLineChars="0"/>
              <w:jc w:val="center"/>
              <w:rPr>
                <w:rFonts w:cs="Times New Roman"/>
                <w:b/>
                <w:bCs/>
                <w:color w:val="000000"/>
                <w:kern w:val="0"/>
                <w:sz w:val="24"/>
                <w:szCs w:val="24"/>
              </w:rPr>
            </w:pPr>
            <w:r>
              <w:rPr>
                <w:rFonts w:hint="eastAsia" w:cs="Times New Roman"/>
                <w:b/>
                <w:bCs/>
                <w:color w:val="000000"/>
                <w:kern w:val="0"/>
                <w:sz w:val="24"/>
                <w:szCs w:val="24"/>
              </w:rPr>
              <w:t>属性</w:t>
            </w:r>
          </w:p>
        </w:tc>
      </w:tr>
      <w:tr w14:paraId="0478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20" w:hRule="atLeast"/>
        </w:trPr>
        <w:tc>
          <w:tcPr>
            <w:tcW w:w="298" w:type="pct"/>
            <w:shd w:val="clear" w:color="auto" w:fill="F1F1F1" w:themeFill="background1" w:themeFillShade="F2"/>
            <w:vAlign w:val="center"/>
          </w:tcPr>
          <w:p w14:paraId="2EC7507C">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1</w:t>
            </w:r>
          </w:p>
        </w:tc>
        <w:tc>
          <w:tcPr>
            <w:tcW w:w="540" w:type="pct"/>
            <w:vMerge w:val="restart"/>
            <w:shd w:val="clear" w:color="auto" w:fill="F1F1F1" w:themeFill="background1" w:themeFillShade="F2"/>
            <w:vAlign w:val="center"/>
          </w:tcPr>
          <w:p w14:paraId="2E1981A9">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生态质量类</w:t>
            </w:r>
          </w:p>
        </w:tc>
        <w:tc>
          <w:tcPr>
            <w:tcW w:w="967" w:type="pct"/>
            <w:shd w:val="clear" w:color="auto" w:fill="auto"/>
            <w:vAlign w:val="center"/>
          </w:tcPr>
          <w:p w14:paraId="14A4CB39">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生物多样性（</w:t>
            </w:r>
            <w:r>
              <w:rPr>
                <w:rFonts w:hint="eastAsia" w:cs="Times New Roman"/>
                <w:color w:val="000000"/>
                <w:kern w:val="0"/>
                <w:sz w:val="24"/>
                <w:szCs w:val="24"/>
              </w:rPr>
              <w:t>国家重点保护野生动植物物种保护率）</w:t>
            </w:r>
            <w:r>
              <w:rPr>
                <w:rFonts w:cs="Times New Roman"/>
                <w:color w:val="000000"/>
                <w:kern w:val="0"/>
                <w:sz w:val="24"/>
                <w:szCs w:val="24"/>
              </w:rPr>
              <w:t>）</w:t>
            </w:r>
          </w:p>
        </w:tc>
        <w:tc>
          <w:tcPr>
            <w:tcW w:w="644" w:type="pct"/>
            <w:shd w:val="clear" w:color="auto" w:fill="auto"/>
            <w:vAlign w:val="center"/>
          </w:tcPr>
          <w:p w14:paraId="156EF34E">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85</w:t>
            </w:r>
          </w:p>
        </w:tc>
        <w:tc>
          <w:tcPr>
            <w:tcW w:w="563" w:type="pct"/>
            <w:shd w:val="clear" w:color="auto" w:fill="auto"/>
            <w:vAlign w:val="center"/>
          </w:tcPr>
          <w:p w14:paraId="29EE0DBF">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88</w:t>
            </w:r>
          </w:p>
        </w:tc>
        <w:tc>
          <w:tcPr>
            <w:tcW w:w="564" w:type="pct"/>
            <w:shd w:val="clear" w:color="auto" w:fill="auto"/>
            <w:vAlign w:val="center"/>
          </w:tcPr>
          <w:p w14:paraId="502515B7">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90</w:t>
            </w:r>
          </w:p>
        </w:tc>
        <w:tc>
          <w:tcPr>
            <w:tcW w:w="575" w:type="pct"/>
            <w:shd w:val="clear" w:color="auto" w:fill="auto"/>
            <w:vAlign w:val="center"/>
          </w:tcPr>
          <w:p w14:paraId="57D5FF72">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95</w:t>
            </w:r>
          </w:p>
        </w:tc>
        <w:tc>
          <w:tcPr>
            <w:tcW w:w="358" w:type="pct"/>
            <w:shd w:val="clear" w:color="auto" w:fill="auto"/>
            <w:vAlign w:val="center"/>
          </w:tcPr>
          <w:p w14:paraId="64FA5B27">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w:t>
            </w:r>
          </w:p>
        </w:tc>
        <w:tc>
          <w:tcPr>
            <w:tcW w:w="491" w:type="pct"/>
            <w:shd w:val="clear" w:color="auto" w:fill="auto"/>
            <w:vAlign w:val="center"/>
          </w:tcPr>
          <w:p w14:paraId="2B7FC7F3">
            <w:pPr>
              <w:suppressAutoHyphens/>
              <w:spacing w:line="240" w:lineRule="auto"/>
              <w:ind w:firstLine="0" w:firstLineChars="0"/>
              <w:jc w:val="center"/>
              <w:rPr>
                <w:rFonts w:cs="Times New Roman"/>
                <w:color w:val="000000"/>
                <w:kern w:val="0"/>
                <w:sz w:val="24"/>
                <w:szCs w:val="24"/>
              </w:rPr>
            </w:pPr>
            <w:r>
              <w:rPr>
                <w:rFonts w:cs="Times New Roman"/>
                <w:color w:val="000000"/>
                <w:kern w:val="0"/>
                <w:sz w:val="24"/>
                <w:szCs w:val="24"/>
              </w:rPr>
              <w:t>预期性</w:t>
            </w:r>
          </w:p>
        </w:tc>
      </w:tr>
      <w:tr w14:paraId="75F5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20" w:hRule="atLeast"/>
        </w:trPr>
        <w:tc>
          <w:tcPr>
            <w:tcW w:w="298" w:type="pct"/>
            <w:shd w:val="clear" w:color="auto" w:fill="F1F1F1" w:themeFill="background1" w:themeFillShade="F2"/>
            <w:vAlign w:val="center"/>
          </w:tcPr>
          <w:p w14:paraId="40839C6B">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2</w:t>
            </w:r>
          </w:p>
        </w:tc>
        <w:tc>
          <w:tcPr>
            <w:tcW w:w="540" w:type="pct"/>
            <w:vMerge w:val="continue"/>
            <w:shd w:val="clear" w:color="auto" w:fill="F1F1F1" w:themeFill="background1" w:themeFillShade="F2"/>
            <w:vAlign w:val="center"/>
          </w:tcPr>
          <w:p w14:paraId="7B69C1D1">
            <w:pPr>
              <w:suppressAutoHyphens/>
              <w:spacing w:line="400" w:lineRule="exact"/>
              <w:ind w:firstLine="0" w:firstLineChars="0"/>
              <w:jc w:val="center"/>
              <w:rPr>
                <w:rFonts w:cs="Times New Roman"/>
                <w:color w:val="000000"/>
                <w:kern w:val="0"/>
                <w:sz w:val="24"/>
                <w:szCs w:val="24"/>
              </w:rPr>
            </w:pPr>
          </w:p>
        </w:tc>
        <w:tc>
          <w:tcPr>
            <w:tcW w:w="967" w:type="pct"/>
            <w:shd w:val="clear" w:color="auto" w:fill="auto"/>
            <w:vAlign w:val="center"/>
          </w:tcPr>
          <w:p w14:paraId="7A001B0D">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森林覆盖率</w:t>
            </w:r>
          </w:p>
        </w:tc>
        <w:tc>
          <w:tcPr>
            <w:tcW w:w="644" w:type="pct"/>
            <w:shd w:val="clear" w:color="auto" w:fill="auto"/>
            <w:vAlign w:val="center"/>
          </w:tcPr>
          <w:p w14:paraId="52706B79">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42</w:t>
            </w:r>
          </w:p>
        </w:tc>
        <w:tc>
          <w:tcPr>
            <w:tcW w:w="563" w:type="pct"/>
            <w:shd w:val="clear" w:color="auto" w:fill="auto"/>
            <w:vAlign w:val="center"/>
          </w:tcPr>
          <w:p w14:paraId="59AFA370">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42.5</w:t>
            </w:r>
          </w:p>
        </w:tc>
        <w:tc>
          <w:tcPr>
            <w:tcW w:w="564" w:type="pct"/>
            <w:shd w:val="clear" w:color="auto" w:fill="auto"/>
            <w:vAlign w:val="center"/>
          </w:tcPr>
          <w:p w14:paraId="1EEC61EA">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42.8</w:t>
            </w:r>
          </w:p>
        </w:tc>
        <w:tc>
          <w:tcPr>
            <w:tcW w:w="575" w:type="pct"/>
            <w:shd w:val="clear" w:color="auto" w:fill="auto"/>
            <w:vAlign w:val="center"/>
          </w:tcPr>
          <w:p w14:paraId="16A04362">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43</w:t>
            </w:r>
          </w:p>
        </w:tc>
        <w:tc>
          <w:tcPr>
            <w:tcW w:w="358" w:type="pct"/>
            <w:shd w:val="clear" w:color="auto" w:fill="auto"/>
            <w:vAlign w:val="center"/>
          </w:tcPr>
          <w:p w14:paraId="4634BB46">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w:t>
            </w:r>
          </w:p>
        </w:tc>
        <w:tc>
          <w:tcPr>
            <w:tcW w:w="491" w:type="pct"/>
            <w:shd w:val="clear" w:color="auto" w:fill="auto"/>
            <w:vAlign w:val="center"/>
          </w:tcPr>
          <w:p w14:paraId="5BFCBE4D">
            <w:pPr>
              <w:suppressAutoHyphens/>
              <w:spacing w:line="240" w:lineRule="auto"/>
              <w:ind w:firstLine="0" w:firstLineChars="0"/>
              <w:jc w:val="center"/>
              <w:rPr>
                <w:rFonts w:cs="Times New Roman"/>
                <w:color w:val="000000"/>
                <w:kern w:val="0"/>
                <w:sz w:val="24"/>
                <w:szCs w:val="24"/>
              </w:rPr>
            </w:pPr>
            <w:r>
              <w:rPr>
                <w:rFonts w:cs="Times New Roman"/>
                <w:color w:val="000000"/>
                <w:kern w:val="0"/>
                <w:sz w:val="24"/>
                <w:szCs w:val="24"/>
              </w:rPr>
              <w:t>预期性</w:t>
            </w:r>
          </w:p>
        </w:tc>
      </w:tr>
      <w:tr w14:paraId="647C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20" w:hRule="atLeast"/>
        </w:trPr>
        <w:tc>
          <w:tcPr>
            <w:tcW w:w="298" w:type="pct"/>
            <w:shd w:val="clear" w:color="auto" w:fill="F1F1F1" w:themeFill="background1" w:themeFillShade="F2"/>
            <w:vAlign w:val="center"/>
          </w:tcPr>
          <w:p w14:paraId="20095958">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3</w:t>
            </w:r>
          </w:p>
        </w:tc>
        <w:tc>
          <w:tcPr>
            <w:tcW w:w="540" w:type="pct"/>
            <w:vMerge w:val="continue"/>
            <w:shd w:val="clear" w:color="auto" w:fill="F1F1F1" w:themeFill="background1" w:themeFillShade="F2"/>
            <w:vAlign w:val="center"/>
          </w:tcPr>
          <w:p w14:paraId="7F9AC441">
            <w:pPr>
              <w:suppressAutoHyphens/>
              <w:spacing w:line="400" w:lineRule="exact"/>
              <w:ind w:firstLine="0" w:firstLineChars="0"/>
              <w:jc w:val="center"/>
              <w:rPr>
                <w:rFonts w:cs="Times New Roman"/>
                <w:color w:val="000000"/>
                <w:kern w:val="0"/>
                <w:sz w:val="24"/>
                <w:szCs w:val="24"/>
              </w:rPr>
            </w:pPr>
          </w:p>
        </w:tc>
        <w:tc>
          <w:tcPr>
            <w:tcW w:w="967" w:type="pct"/>
            <w:shd w:val="clear" w:color="auto" w:fill="auto"/>
            <w:vAlign w:val="center"/>
          </w:tcPr>
          <w:p w14:paraId="4E5AE7BD">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森林蓄积量</w:t>
            </w:r>
          </w:p>
        </w:tc>
        <w:tc>
          <w:tcPr>
            <w:tcW w:w="644" w:type="pct"/>
            <w:shd w:val="clear" w:color="auto" w:fill="auto"/>
            <w:vAlign w:val="center"/>
          </w:tcPr>
          <w:p w14:paraId="01E0EED1">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4.2</w:t>
            </w:r>
          </w:p>
        </w:tc>
        <w:tc>
          <w:tcPr>
            <w:tcW w:w="563" w:type="pct"/>
            <w:shd w:val="clear" w:color="auto" w:fill="auto"/>
            <w:vAlign w:val="center"/>
          </w:tcPr>
          <w:p w14:paraId="44318B2E">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4.9</w:t>
            </w:r>
          </w:p>
        </w:tc>
        <w:tc>
          <w:tcPr>
            <w:tcW w:w="564" w:type="pct"/>
            <w:shd w:val="clear" w:color="auto" w:fill="auto"/>
            <w:vAlign w:val="center"/>
          </w:tcPr>
          <w:p w14:paraId="13C7C1E6">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5.5</w:t>
            </w:r>
          </w:p>
        </w:tc>
        <w:tc>
          <w:tcPr>
            <w:tcW w:w="575" w:type="pct"/>
            <w:shd w:val="clear" w:color="auto" w:fill="auto"/>
            <w:vAlign w:val="center"/>
          </w:tcPr>
          <w:p w14:paraId="2EE1DEC0">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6</w:t>
            </w:r>
            <w:r>
              <w:rPr>
                <w:rFonts w:hint="eastAsia" w:cs="Times New Roman"/>
                <w:color w:val="000000"/>
                <w:kern w:val="0"/>
                <w:sz w:val="24"/>
                <w:szCs w:val="24"/>
              </w:rPr>
              <w:t>.0</w:t>
            </w:r>
          </w:p>
        </w:tc>
        <w:tc>
          <w:tcPr>
            <w:tcW w:w="358" w:type="pct"/>
            <w:shd w:val="clear" w:color="auto" w:fill="auto"/>
            <w:vAlign w:val="center"/>
          </w:tcPr>
          <w:p w14:paraId="24BE09DC">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亿立方米</w:t>
            </w:r>
          </w:p>
        </w:tc>
        <w:tc>
          <w:tcPr>
            <w:tcW w:w="491" w:type="pct"/>
            <w:shd w:val="clear" w:color="auto" w:fill="auto"/>
            <w:vAlign w:val="center"/>
          </w:tcPr>
          <w:p w14:paraId="4B196BCA">
            <w:pPr>
              <w:suppressAutoHyphens/>
              <w:spacing w:line="240" w:lineRule="auto"/>
              <w:ind w:firstLine="0" w:firstLineChars="0"/>
              <w:jc w:val="center"/>
              <w:rPr>
                <w:rFonts w:cs="Times New Roman"/>
                <w:color w:val="000000"/>
                <w:kern w:val="0"/>
                <w:sz w:val="24"/>
                <w:szCs w:val="24"/>
              </w:rPr>
            </w:pPr>
            <w:r>
              <w:rPr>
                <w:rFonts w:cs="Times New Roman"/>
                <w:color w:val="000000"/>
                <w:kern w:val="0"/>
                <w:sz w:val="24"/>
                <w:szCs w:val="24"/>
              </w:rPr>
              <w:t>预期性</w:t>
            </w:r>
          </w:p>
        </w:tc>
      </w:tr>
      <w:tr w14:paraId="1EF7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20" w:hRule="atLeast"/>
        </w:trPr>
        <w:tc>
          <w:tcPr>
            <w:tcW w:w="298" w:type="pct"/>
            <w:shd w:val="clear" w:color="auto" w:fill="F1F1F1" w:themeFill="background1" w:themeFillShade="F2"/>
            <w:vAlign w:val="center"/>
          </w:tcPr>
          <w:p w14:paraId="63055F87">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4</w:t>
            </w:r>
          </w:p>
        </w:tc>
        <w:tc>
          <w:tcPr>
            <w:tcW w:w="540" w:type="pct"/>
            <w:vMerge w:val="continue"/>
            <w:shd w:val="clear" w:color="auto" w:fill="F1F1F1" w:themeFill="background1" w:themeFillShade="F2"/>
            <w:vAlign w:val="center"/>
          </w:tcPr>
          <w:p w14:paraId="235CD2AA">
            <w:pPr>
              <w:suppressAutoHyphens/>
              <w:spacing w:line="400" w:lineRule="exact"/>
              <w:ind w:firstLine="0" w:firstLineChars="0"/>
              <w:jc w:val="center"/>
              <w:rPr>
                <w:rFonts w:cs="Times New Roman"/>
                <w:color w:val="000000"/>
                <w:kern w:val="0"/>
                <w:sz w:val="24"/>
                <w:szCs w:val="24"/>
              </w:rPr>
            </w:pPr>
          </w:p>
        </w:tc>
        <w:tc>
          <w:tcPr>
            <w:tcW w:w="967" w:type="pct"/>
            <w:shd w:val="clear" w:color="auto" w:fill="auto"/>
            <w:vAlign w:val="center"/>
          </w:tcPr>
          <w:p w14:paraId="2C94983B">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湿地保护率</w:t>
            </w:r>
          </w:p>
        </w:tc>
        <w:tc>
          <w:tcPr>
            <w:tcW w:w="644" w:type="pct"/>
            <w:shd w:val="clear" w:color="auto" w:fill="auto"/>
            <w:vAlign w:val="center"/>
          </w:tcPr>
          <w:p w14:paraId="2064616F">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52.62</w:t>
            </w:r>
          </w:p>
        </w:tc>
        <w:tc>
          <w:tcPr>
            <w:tcW w:w="563" w:type="pct"/>
            <w:shd w:val="clear" w:color="auto" w:fill="auto"/>
            <w:vAlign w:val="center"/>
          </w:tcPr>
          <w:p w14:paraId="5FAF6F20">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55</w:t>
            </w:r>
          </w:p>
        </w:tc>
        <w:tc>
          <w:tcPr>
            <w:tcW w:w="564" w:type="pct"/>
            <w:shd w:val="clear" w:color="auto" w:fill="auto"/>
            <w:vAlign w:val="center"/>
          </w:tcPr>
          <w:p w14:paraId="34C44865">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57.97</w:t>
            </w:r>
          </w:p>
        </w:tc>
        <w:tc>
          <w:tcPr>
            <w:tcW w:w="575" w:type="pct"/>
            <w:shd w:val="clear" w:color="auto" w:fill="auto"/>
            <w:vAlign w:val="center"/>
          </w:tcPr>
          <w:p w14:paraId="146B7176">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59.95</w:t>
            </w:r>
          </w:p>
        </w:tc>
        <w:tc>
          <w:tcPr>
            <w:tcW w:w="358" w:type="pct"/>
            <w:shd w:val="clear" w:color="auto" w:fill="auto"/>
            <w:vAlign w:val="center"/>
          </w:tcPr>
          <w:p w14:paraId="04FDB2A2">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w:t>
            </w:r>
          </w:p>
        </w:tc>
        <w:tc>
          <w:tcPr>
            <w:tcW w:w="491" w:type="pct"/>
            <w:shd w:val="clear" w:color="auto" w:fill="auto"/>
            <w:vAlign w:val="center"/>
          </w:tcPr>
          <w:p w14:paraId="5DA0DBC1">
            <w:pPr>
              <w:suppressAutoHyphens/>
              <w:spacing w:line="240" w:lineRule="auto"/>
              <w:ind w:firstLine="0" w:firstLineChars="0"/>
              <w:jc w:val="center"/>
              <w:rPr>
                <w:rFonts w:cs="Times New Roman"/>
                <w:color w:val="000000"/>
                <w:kern w:val="0"/>
                <w:sz w:val="24"/>
                <w:szCs w:val="24"/>
              </w:rPr>
            </w:pPr>
            <w:r>
              <w:rPr>
                <w:rFonts w:cs="Times New Roman"/>
                <w:color w:val="000000"/>
                <w:kern w:val="0"/>
                <w:sz w:val="24"/>
                <w:szCs w:val="24"/>
              </w:rPr>
              <w:t>预期性</w:t>
            </w:r>
          </w:p>
        </w:tc>
      </w:tr>
      <w:tr w14:paraId="4A35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20" w:hRule="atLeast"/>
        </w:trPr>
        <w:tc>
          <w:tcPr>
            <w:tcW w:w="298" w:type="pct"/>
            <w:shd w:val="clear" w:color="auto" w:fill="F1F1F1" w:themeFill="background1" w:themeFillShade="F2"/>
            <w:vAlign w:val="center"/>
          </w:tcPr>
          <w:p w14:paraId="641AB6D2">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5</w:t>
            </w:r>
          </w:p>
        </w:tc>
        <w:tc>
          <w:tcPr>
            <w:tcW w:w="540" w:type="pct"/>
            <w:vMerge w:val="continue"/>
            <w:shd w:val="clear" w:color="auto" w:fill="F1F1F1" w:themeFill="background1" w:themeFillShade="F2"/>
            <w:vAlign w:val="center"/>
          </w:tcPr>
          <w:p w14:paraId="28CA712D">
            <w:pPr>
              <w:suppressAutoHyphens/>
              <w:spacing w:line="400" w:lineRule="exact"/>
              <w:ind w:firstLine="0" w:firstLineChars="0"/>
              <w:jc w:val="center"/>
              <w:rPr>
                <w:rFonts w:cs="Times New Roman"/>
                <w:color w:val="000000"/>
                <w:kern w:val="0"/>
                <w:sz w:val="24"/>
                <w:szCs w:val="24"/>
              </w:rPr>
            </w:pPr>
          </w:p>
        </w:tc>
        <w:tc>
          <w:tcPr>
            <w:tcW w:w="967" w:type="pct"/>
            <w:shd w:val="clear" w:color="auto" w:fill="auto"/>
            <w:vAlign w:val="center"/>
          </w:tcPr>
          <w:p w14:paraId="6B266864">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生态保护红线</w:t>
            </w:r>
          </w:p>
        </w:tc>
        <w:tc>
          <w:tcPr>
            <w:tcW w:w="644" w:type="pct"/>
            <w:shd w:val="clear" w:color="auto" w:fill="auto"/>
            <w:vAlign w:val="center"/>
          </w:tcPr>
          <w:p w14:paraId="7DCB1B0D">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37448</w:t>
            </w:r>
          </w:p>
        </w:tc>
        <w:tc>
          <w:tcPr>
            <w:tcW w:w="563" w:type="pct"/>
            <w:shd w:val="clear" w:color="auto" w:fill="auto"/>
            <w:vAlign w:val="center"/>
          </w:tcPr>
          <w:p w14:paraId="7E35779C">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待国家</w:t>
            </w:r>
            <w:r>
              <w:rPr>
                <w:rFonts w:hint="eastAsia" w:cs="Times New Roman"/>
                <w:color w:val="000000"/>
                <w:kern w:val="0"/>
                <w:sz w:val="24"/>
                <w:szCs w:val="24"/>
              </w:rPr>
              <w:t>明确</w:t>
            </w:r>
          </w:p>
        </w:tc>
        <w:tc>
          <w:tcPr>
            <w:tcW w:w="564" w:type="pct"/>
            <w:shd w:val="clear" w:color="auto" w:fill="auto"/>
            <w:vAlign w:val="center"/>
          </w:tcPr>
          <w:p w14:paraId="18736B66">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待国家</w:t>
            </w:r>
            <w:r>
              <w:rPr>
                <w:rFonts w:hint="eastAsia" w:cs="Times New Roman"/>
                <w:color w:val="000000"/>
                <w:kern w:val="0"/>
                <w:sz w:val="24"/>
                <w:szCs w:val="24"/>
              </w:rPr>
              <w:t>明确</w:t>
            </w:r>
          </w:p>
        </w:tc>
        <w:tc>
          <w:tcPr>
            <w:tcW w:w="575" w:type="pct"/>
            <w:shd w:val="clear" w:color="auto" w:fill="auto"/>
            <w:vAlign w:val="center"/>
          </w:tcPr>
          <w:p w14:paraId="61652CDD">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待国家</w:t>
            </w:r>
            <w:r>
              <w:rPr>
                <w:rFonts w:hint="eastAsia" w:cs="Times New Roman"/>
                <w:color w:val="000000"/>
                <w:kern w:val="0"/>
                <w:sz w:val="24"/>
                <w:szCs w:val="24"/>
              </w:rPr>
              <w:t>明确</w:t>
            </w:r>
          </w:p>
        </w:tc>
        <w:tc>
          <w:tcPr>
            <w:tcW w:w="358" w:type="pct"/>
            <w:shd w:val="clear" w:color="auto" w:fill="auto"/>
            <w:vAlign w:val="center"/>
          </w:tcPr>
          <w:p w14:paraId="76A17D35">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平方公里</w:t>
            </w:r>
          </w:p>
        </w:tc>
        <w:tc>
          <w:tcPr>
            <w:tcW w:w="491" w:type="pct"/>
            <w:shd w:val="clear" w:color="auto" w:fill="auto"/>
            <w:vAlign w:val="center"/>
          </w:tcPr>
          <w:p w14:paraId="76CD868C">
            <w:pPr>
              <w:suppressAutoHyphens/>
              <w:spacing w:line="240" w:lineRule="auto"/>
              <w:ind w:firstLine="0" w:firstLineChars="0"/>
              <w:jc w:val="center"/>
              <w:rPr>
                <w:rFonts w:cs="Times New Roman"/>
                <w:color w:val="000000"/>
                <w:kern w:val="0"/>
                <w:sz w:val="24"/>
                <w:szCs w:val="24"/>
              </w:rPr>
            </w:pPr>
            <w:r>
              <w:rPr>
                <w:rFonts w:cs="Times New Roman"/>
                <w:color w:val="000000"/>
                <w:kern w:val="0"/>
                <w:sz w:val="24"/>
                <w:szCs w:val="24"/>
              </w:rPr>
              <w:t>约束性</w:t>
            </w:r>
          </w:p>
        </w:tc>
      </w:tr>
      <w:tr w14:paraId="3EE3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20" w:hRule="atLeast"/>
        </w:trPr>
        <w:tc>
          <w:tcPr>
            <w:tcW w:w="298" w:type="pct"/>
            <w:shd w:val="clear" w:color="auto" w:fill="F1F1F1" w:themeFill="background1" w:themeFillShade="F2"/>
            <w:vAlign w:val="center"/>
          </w:tcPr>
          <w:p w14:paraId="20C36D75">
            <w:pPr>
              <w:suppressAutoHyphens/>
              <w:spacing w:line="400" w:lineRule="exact"/>
              <w:ind w:firstLine="0" w:firstLineChars="0"/>
              <w:jc w:val="center"/>
              <w:rPr>
                <w:rFonts w:cs="Times New Roman"/>
                <w:color w:val="000000"/>
                <w:kern w:val="0"/>
                <w:sz w:val="24"/>
                <w:szCs w:val="24"/>
              </w:rPr>
            </w:pPr>
            <w:r>
              <w:rPr>
                <w:rFonts w:hint="eastAsia" w:cs="Times New Roman"/>
                <w:color w:val="000000"/>
                <w:kern w:val="0"/>
                <w:sz w:val="24"/>
                <w:szCs w:val="24"/>
              </w:rPr>
              <w:t>6</w:t>
            </w:r>
          </w:p>
        </w:tc>
        <w:tc>
          <w:tcPr>
            <w:tcW w:w="540" w:type="pct"/>
            <w:vMerge w:val="continue"/>
            <w:shd w:val="clear" w:color="auto" w:fill="F1F1F1" w:themeFill="background1" w:themeFillShade="F2"/>
            <w:vAlign w:val="center"/>
          </w:tcPr>
          <w:p w14:paraId="45E29A9B">
            <w:pPr>
              <w:suppressAutoHyphens/>
              <w:spacing w:line="400" w:lineRule="exact"/>
              <w:ind w:firstLine="0" w:firstLineChars="0"/>
              <w:jc w:val="center"/>
              <w:rPr>
                <w:rFonts w:cs="Times New Roman"/>
                <w:color w:val="000000"/>
                <w:kern w:val="0"/>
                <w:sz w:val="24"/>
                <w:szCs w:val="24"/>
              </w:rPr>
            </w:pPr>
          </w:p>
        </w:tc>
        <w:tc>
          <w:tcPr>
            <w:tcW w:w="967" w:type="pct"/>
            <w:shd w:val="clear" w:color="auto" w:fill="auto"/>
            <w:vAlign w:val="center"/>
          </w:tcPr>
          <w:p w14:paraId="5E09C3A3">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自然保护地面积占国土面积比例</w:t>
            </w:r>
          </w:p>
        </w:tc>
        <w:tc>
          <w:tcPr>
            <w:tcW w:w="644" w:type="pct"/>
            <w:shd w:val="clear" w:color="auto" w:fill="auto"/>
            <w:vAlign w:val="center"/>
          </w:tcPr>
          <w:p w14:paraId="708A1310">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10.1</w:t>
            </w:r>
            <w:r>
              <w:rPr>
                <w:rFonts w:hint="eastAsia" w:cs="Times New Roman"/>
                <w:color w:val="000000"/>
                <w:kern w:val="0"/>
                <w:sz w:val="24"/>
                <w:szCs w:val="24"/>
              </w:rPr>
              <w:t>6</w:t>
            </w:r>
          </w:p>
        </w:tc>
        <w:tc>
          <w:tcPr>
            <w:tcW w:w="563" w:type="pct"/>
            <w:shd w:val="clear" w:color="auto" w:fill="auto"/>
            <w:vAlign w:val="center"/>
          </w:tcPr>
          <w:p w14:paraId="4DE4C497">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hint="eastAsia" w:cs="Times New Roman"/>
                <w:color w:val="000000"/>
                <w:kern w:val="0"/>
                <w:sz w:val="24"/>
                <w:szCs w:val="24"/>
              </w:rPr>
              <w:t>10.5</w:t>
            </w:r>
          </w:p>
        </w:tc>
        <w:tc>
          <w:tcPr>
            <w:tcW w:w="564" w:type="pct"/>
            <w:shd w:val="clear" w:color="auto" w:fill="auto"/>
            <w:vAlign w:val="center"/>
          </w:tcPr>
          <w:p w14:paraId="0F00665D">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hint="eastAsia" w:cs="Times New Roman"/>
                <w:color w:val="000000"/>
                <w:kern w:val="0"/>
                <w:sz w:val="24"/>
                <w:szCs w:val="24"/>
              </w:rPr>
              <w:t>10.7</w:t>
            </w:r>
          </w:p>
        </w:tc>
        <w:tc>
          <w:tcPr>
            <w:tcW w:w="575" w:type="pct"/>
            <w:shd w:val="clear" w:color="auto" w:fill="auto"/>
            <w:vAlign w:val="center"/>
          </w:tcPr>
          <w:p w14:paraId="24A0493D">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hint="eastAsia" w:cs="Times New Roman"/>
                <w:color w:val="000000"/>
                <w:kern w:val="0"/>
                <w:sz w:val="24"/>
                <w:szCs w:val="24"/>
              </w:rPr>
              <w:t>11</w:t>
            </w:r>
          </w:p>
        </w:tc>
        <w:tc>
          <w:tcPr>
            <w:tcW w:w="358" w:type="pct"/>
            <w:shd w:val="clear" w:color="auto" w:fill="auto"/>
            <w:vAlign w:val="center"/>
          </w:tcPr>
          <w:p w14:paraId="4D8C0DD5">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w:t>
            </w:r>
          </w:p>
        </w:tc>
        <w:tc>
          <w:tcPr>
            <w:tcW w:w="491" w:type="pct"/>
            <w:shd w:val="clear" w:color="auto" w:fill="auto"/>
            <w:vAlign w:val="center"/>
          </w:tcPr>
          <w:p w14:paraId="75FF50C8">
            <w:pPr>
              <w:suppressAutoHyphens/>
              <w:spacing w:line="240" w:lineRule="auto"/>
              <w:ind w:firstLine="0" w:firstLineChars="0"/>
              <w:jc w:val="center"/>
              <w:rPr>
                <w:rFonts w:cs="Times New Roman"/>
                <w:color w:val="000000"/>
                <w:kern w:val="0"/>
                <w:sz w:val="24"/>
                <w:szCs w:val="24"/>
              </w:rPr>
            </w:pPr>
            <w:r>
              <w:rPr>
                <w:rFonts w:cs="Times New Roman"/>
                <w:color w:val="000000"/>
                <w:kern w:val="0"/>
                <w:sz w:val="24"/>
                <w:szCs w:val="24"/>
              </w:rPr>
              <w:t>预期性</w:t>
            </w:r>
          </w:p>
        </w:tc>
      </w:tr>
      <w:tr w14:paraId="55CD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20" w:hRule="atLeast"/>
        </w:trPr>
        <w:tc>
          <w:tcPr>
            <w:tcW w:w="298" w:type="pct"/>
            <w:shd w:val="clear" w:color="auto" w:fill="F1F1F1" w:themeFill="background1" w:themeFillShade="F2"/>
            <w:vAlign w:val="center"/>
          </w:tcPr>
          <w:p w14:paraId="53AE475F">
            <w:pPr>
              <w:suppressAutoHyphens/>
              <w:spacing w:line="400" w:lineRule="exact"/>
              <w:ind w:firstLine="0" w:firstLineChars="0"/>
              <w:jc w:val="center"/>
              <w:rPr>
                <w:rFonts w:cs="Times New Roman"/>
                <w:color w:val="000000"/>
                <w:kern w:val="0"/>
                <w:sz w:val="24"/>
                <w:szCs w:val="24"/>
              </w:rPr>
            </w:pPr>
            <w:r>
              <w:rPr>
                <w:rFonts w:hint="eastAsia" w:cs="Times New Roman"/>
                <w:color w:val="000000"/>
                <w:kern w:val="0"/>
                <w:sz w:val="24"/>
                <w:szCs w:val="24"/>
              </w:rPr>
              <w:t>7</w:t>
            </w:r>
          </w:p>
        </w:tc>
        <w:tc>
          <w:tcPr>
            <w:tcW w:w="540" w:type="pct"/>
            <w:vMerge w:val="continue"/>
            <w:shd w:val="clear" w:color="auto" w:fill="F1F1F1" w:themeFill="background1" w:themeFillShade="F2"/>
            <w:vAlign w:val="center"/>
          </w:tcPr>
          <w:p w14:paraId="00C426FF">
            <w:pPr>
              <w:suppressAutoHyphens/>
              <w:spacing w:line="400" w:lineRule="exact"/>
              <w:ind w:firstLine="0" w:firstLineChars="0"/>
              <w:jc w:val="center"/>
              <w:rPr>
                <w:rFonts w:cs="Times New Roman"/>
                <w:color w:val="000000"/>
                <w:kern w:val="0"/>
                <w:sz w:val="24"/>
                <w:szCs w:val="24"/>
              </w:rPr>
            </w:pPr>
          </w:p>
        </w:tc>
        <w:tc>
          <w:tcPr>
            <w:tcW w:w="967" w:type="pct"/>
            <w:shd w:val="clear" w:color="auto" w:fill="auto"/>
            <w:vAlign w:val="center"/>
          </w:tcPr>
          <w:p w14:paraId="3515C923">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水土保持率</w:t>
            </w:r>
          </w:p>
        </w:tc>
        <w:tc>
          <w:tcPr>
            <w:tcW w:w="644" w:type="pct"/>
            <w:shd w:val="clear" w:color="auto" w:fill="auto"/>
            <w:vAlign w:val="center"/>
          </w:tcPr>
          <w:p w14:paraId="49279881">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82.97</w:t>
            </w:r>
          </w:p>
        </w:tc>
        <w:tc>
          <w:tcPr>
            <w:tcW w:w="563" w:type="pct"/>
            <w:shd w:val="clear" w:color="auto" w:fill="auto"/>
            <w:vAlign w:val="center"/>
          </w:tcPr>
          <w:p w14:paraId="54D2BA29">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84.46</w:t>
            </w:r>
          </w:p>
        </w:tc>
        <w:tc>
          <w:tcPr>
            <w:tcW w:w="564" w:type="pct"/>
            <w:shd w:val="clear" w:color="auto" w:fill="auto"/>
            <w:vAlign w:val="center"/>
          </w:tcPr>
          <w:p w14:paraId="16ABD4D5">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85.86</w:t>
            </w:r>
          </w:p>
        </w:tc>
        <w:tc>
          <w:tcPr>
            <w:tcW w:w="575" w:type="pct"/>
            <w:shd w:val="clear" w:color="auto" w:fill="auto"/>
            <w:vAlign w:val="center"/>
          </w:tcPr>
          <w:p w14:paraId="705FEE9B">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87.27</w:t>
            </w:r>
          </w:p>
        </w:tc>
        <w:tc>
          <w:tcPr>
            <w:tcW w:w="358" w:type="pct"/>
            <w:shd w:val="clear" w:color="auto" w:fill="auto"/>
            <w:vAlign w:val="center"/>
          </w:tcPr>
          <w:p w14:paraId="07453C34">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w:t>
            </w:r>
          </w:p>
        </w:tc>
        <w:tc>
          <w:tcPr>
            <w:tcW w:w="491" w:type="pct"/>
            <w:shd w:val="clear" w:color="auto" w:fill="auto"/>
            <w:vAlign w:val="center"/>
          </w:tcPr>
          <w:p w14:paraId="6C5FBCA3">
            <w:pPr>
              <w:suppressAutoHyphens/>
              <w:spacing w:line="240" w:lineRule="auto"/>
              <w:ind w:firstLine="0" w:firstLineChars="0"/>
              <w:jc w:val="center"/>
              <w:rPr>
                <w:rFonts w:cs="Times New Roman"/>
                <w:color w:val="000000"/>
                <w:kern w:val="0"/>
                <w:sz w:val="24"/>
                <w:szCs w:val="24"/>
              </w:rPr>
            </w:pPr>
            <w:r>
              <w:rPr>
                <w:rFonts w:cs="Times New Roman"/>
                <w:color w:val="000000"/>
                <w:kern w:val="0"/>
                <w:sz w:val="24"/>
                <w:szCs w:val="24"/>
              </w:rPr>
              <w:t>预期性</w:t>
            </w:r>
          </w:p>
        </w:tc>
      </w:tr>
      <w:tr w14:paraId="3C23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757" w:hRule="atLeast"/>
        </w:trPr>
        <w:tc>
          <w:tcPr>
            <w:tcW w:w="298" w:type="pct"/>
            <w:shd w:val="clear" w:color="auto" w:fill="F1F1F1" w:themeFill="background1" w:themeFillShade="F2"/>
            <w:vAlign w:val="center"/>
          </w:tcPr>
          <w:p w14:paraId="1C833968">
            <w:pPr>
              <w:suppressAutoHyphens/>
              <w:spacing w:line="400" w:lineRule="exact"/>
              <w:ind w:firstLine="0" w:firstLineChars="0"/>
              <w:jc w:val="center"/>
              <w:rPr>
                <w:rFonts w:cs="Times New Roman"/>
                <w:kern w:val="0"/>
                <w:sz w:val="24"/>
                <w:szCs w:val="24"/>
              </w:rPr>
            </w:pPr>
            <w:r>
              <w:rPr>
                <w:rFonts w:hint="eastAsia" w:cs="Times New Roman"/>
                <w:kern w:val="0"/>
                <w:sz w:val="24"/>
                <w:szCs w:val="24"/>
              </w:rPr>
              <w:t>8</w:t>
            </w:r>
          </w:p>
        </w:tc>
        <w:tc>
          <w:tcPr>
            <w:tcW w:w="540" w:type="pct"/>
            <w:vMerge w:val="continue"/>
            <w:shd w:val="clear" w:color="auto" w:fill="F1F1F1" w:themeFill="background1" w:themeFillShade="F2"/>
            <w:vAlign w:val="center"/>
          </w:tcPr>
          <w:p w14:paraId="22BFABD8">
            <w:pPr>
              <w:suppressAutoHyphens/>
              <w:spacing w:line="400" w:lineRule="exact"/>
              <w:ind w:firstLine="0" w:firstLineChars="0"/>
              <w:jc w:val="center"/>
              <w:rPr>
                <w:rFonts w:cs="Times New Roman"/>
                <w:kern w:val="0"/>
                <w:sz w:val="24"/>
                <w:szCs w:val="24"/>
              </w:rPr>
            </w:pPr>
          </w:p>
        </w:tc>
        <w:tc>
          <w:tcPr>
            <w:tcW w:w="967" w:type="pct"/>
            <w:shd w:val="clear" w:color="auto" w:fill="auto"/>
            <w:vAlign w:val="center"/>
          </w:tcPr>
          <w:p w14:paraId="16F7DB00">
            <w:pPr>
              <w:suppressAutoHyphens/>
              <w:spacing w:line="400" w:lineRule="exact"/>
              <w:ind w:firstLine="0" w:firstLineChars="0"/>
              <w:jc w:val="center"/>
              <w:rPr>
                <w:rFonts w:cs="Times New Roman"/>
                <w:kern w:val="0"/>
                <w:sz w:val="24"/>
                <w:szCs w:val="24"/>
              </w:rPr>
            </w:pPr>
            <w:r>
              <w:rPr>
                <w:rFonts w:hint="eastAsia" w:cs="Times New Roman"/>
                <w:kern w:val="0"/>
                <w:sz w:val="24"/>
                <w:szCs w:val="24"/>
              </w:rPr>
              <w:t>重要</w:t>
            </w:r>
            <w:r>
              <w:rPr>
                <w:rFonts w:cs="Times New Roman"/>
                <w:kern w:val="0"/>
                <w:sz w:val="24"/>
                <w:szCs w:val="24"/>
              </w:rPr>
              <w:t>河湖基本生态流量</w:t>
            </w:r>
            <w:r>
              <w:rPr>
                <w:rFonts w:hint="eastAsia" w:cs="Times New Roman"/>
                <w:kern w:val="0"/>
                <w:sz w:val="24"/>
                <w:szCs w:val="24"/>
              </w:rPr>
              <w:t>达标率</w:t>
            </w:r>
          </w:p>
        </w:tc>
        <w:tc>
          <w:tcPr>
            <w:tcW w:w="644" w:type="pct"/>
            <w:shd w:val="clear" w:color="auto" w:fill="auto"/>
            <w:vAlign w:val="center"/>
          </w:tcPr>
          <w:p w14:paraId="0D9F5E57">
            <w:pPr>
              <w:suppressAutoHyphens/>
              <w:adjustRightInd w:val="0"/>
              <w:snapToGrid w:val="0"/>
              <w:spacing w:line="400" w:lineRule="exact"/>
              <w:ind w:firstLine="0" w:firstLineChars="0"/>
              <w:jc w:val="center"/>
              <w:textAlignment w:val="top"/>
              <w:rPr>
                <w:rFonts w:cs="Times New Roman"/>
                <w:kern w:val="0"/>
                <w:sz w:val="24"/>
                <w:szCs w:val="24"/>
              </w:rPr>
            </w:pPr>
            <w:r>
              <w:rPr>
                <w:rFonts w:cs="Times New Roman"/>
                <w:kern w:val="0"/>
                <w:sz w:val="24"/>
                <w:szCs w:val="24"/>
              </w:rPr>
              <w:t>/</w:t>
            </w:r>
          </w:p>
        </w:tc>
        <w:tc>
          <w:tcPr>
            <w:tcW w:w="563" w:type="pct"/>
            <w:shd w:val="clear" w:color="auto" w:fill="auto"/>
            <w:vAlign w:val="center"/>
          </w:tcPr>
          <w:p w14:paraId="74E28E0C">
            <w:pPr>
              <w:suppressAutoHyphens/>
              <w:adjustRightInd w:val="0"/>
              <w:snapToGrid w:val="0"/>
              <w:spacing w:line="400" w:lineRule="exact"/>
              <w:ind w:firstLine="0" w:firstLineChars="0"/>
              <w:jc w:val="center"/>
              <w:textAlignment w:val="top"/>
              <w:rPr>
                <w:rFonts w:cs="Times New Roman"/>
                <w:kern w:val="0"/>
                <w:sz w:val="24"/>
                <w:szCs w:val="24"/>
              </w:rPr>
            </w:pPr>
            <w:r>
              <w:rPr>
                <w:rFonts w:hint="eastAsia" w:cs="Times New Roman"/>
                <w:kern w:val="0"/>
                <w:sz w:val="24"/>
                <w:szCs w:val="24"/>
              </w:rPr>
              <w:t>80</w:t>
            </w:r>
          </w:p>
        </w:tc>
        <w:tc>
          <w:tcPr>
            <w:tcW w:w="564" w:type="pct"/>
            <w:shd w:val="clear" w:color="auto" w:fill="auto"/>
            <w:vAlign w:val="center"/>
          </w:tcPr>
          <w:p w14:paraId="6D5588FC">
            <w:pPr>
              <w:suppressAutoHyphens/>
              <w:adjustRightInd w:val="0"/>
              <w:snapToGrid w:val="0"/>
              <w:spacing w:line="400" w:lineRule="exact"/>
              <w:ind w:firstLine="0" w:firstLineChars="0"/>
              <w:jc w:val="center"/>
              <w:textAlignment w:val="top"/>
              <w:rPr>
                <w:rFonts w:cs="Times New Roman"/>
                <w:kern w:val="0"/>
                <w:sz w:val="24"/>
                <w:szCs w:val="24"/>
              </w:rPr>
            </w:pPr>
            <w:r>
              <w:rPr>
                <w:rFonts w:hint="eastAsia" w:cs="Times New Roman"/>
                <w:kern w:val="0"/>
                <w:sz w:val="24"/>
                <w:szCs w:val="24"/>
              </w:rPr>
              <w:t>＞80</w:t>
            </w:r>
          </w:p>
        </w:tc>
        <w:tc>
          <w:tcPr>
            <w:tcW w:w="575" w:type="pct"/>
            <w:shd w:val="clear" w:color="auto" w:fill="auto"/>
            <w:vAlign w:val="center"/>
          </w:tcPr>
          <w:p w14:paraId="055D4756">
            <w:pPr>
              <w:suppressAutoHyphens/>
              <w:adjustRightInd w:val="0"/>
              <w:snapToGrid w:val="0"/>
              <w:spacing w:line="400" w:lineRule="exact"/>
              <w:ind w:firstLine="0" w:firstLineChars="0"/>
              <w:jc w:val="center"/>
              <w:textAlignment w:val="top"/>
              <w:rPr>
                <w:rFonts w:cs="Times New Roman"/>
                <w:kern w:val="0"/>
                <w:sz w:val="24"/>
                <w:szCs w:val="24"/>
              </w:rPr>
            </w:pPr>
            <w:r>
              <w:rPr>
                <w:rFonts w:hint="eastAsia" w:cs="Times New Roman"/>
                <w:kern w:val="0"/>
                <w:sz w:val="24"/>
                <w:szCs w:val="24"/>
              </w:rPr>
              <w:t>＞80</w:t>
            </w:r>
          </w:p>
        </w:tc>
        <w:tc>
          <w:tcPr>
            <w:tcW w:w="358" w:type="pct"/>
            <w:shd w:val="clear" w:color="auto" w:fill="auto"/>
            <w:vAlign w:val="center"/>
          </w:tcPr>
          <w:p w14:paraId="323F0C68">
            <w:pPr>
              <w:suppressAutoHyphens/>
              <w:spacing w:line="400" w:lineRule="exact"/>
              <w:ind w:firstLine="0" w:firstLineChars="0"/>
              <w:jc w:val="center"/>
              <w:rPr>
                <w:rFonts w:cs="Times New Roman"/>
                <w:kern w:val="0"/>
                <w:sz w:val="24"/>
                <w:szCs w:val="24"/>
              </w:rPr>
            </w:pPr>
            <w:r>
              <w:rPr>
                <w:rFonts w:cs="Times New Roman"/>
                <w:kern w:val="0"/>
                <w:sz w:val="24"/>
                <w:szCs w:val="24"/>
              </w:rPr>
              <w:t>%</w:t>
            </w:r>
          </w:p>
        </w:tc>
        <w:tc>
          <w:tcPr>
            <w:tcW w:w="491" w:type="pct"/>
            <w:shd w:val="clear" w:color="auto" w:fill="auto"/>
            <w:vAlign w:val="center"/>
          </w:tcPr>
          <w:p w14:paraId="0DE6A59B">
            <w:pPr>
              <w:suppressAutoHyphens/>
              <w:spacing w:line="240" w:lineRule="auto"/>
              <w:ind w:firstLine="0" w:firstLineChars="0"/>
              <w:jc w:val="center"/>
              <w:rPr>
                <w:rFonts w:cs="Times New Roman"/>
                <w:kern w:val="0"/>
                <w:sz w:val="24"/>
                <w:szCs w:val="24"/>
              </w:rPr>
            </w:pPr>
            <w:r>
              <w:rPr>
                <w:rFonts w:cs="Times New Roman"/>
                <w:kern w:val="0"/>
                <w:sz w:val="24"/>
                <w:szCs w:val="24"/>
              </w:rPr>
              <w:t>预期性</w:t>
            </w:r>
          </w:p>
        </w:tc>
      </w:tr>
      <w:tr w14:paraId="6368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498" w:hRule="atLeast"/>
        </w:trPr>
        <w:tc>
          <w:tcPr>
            <w:tcW w:w="298" w:type="pct"/>
            <w:shd w:val="clear" w:color="auto" w:fill="F1F1F1" w:themeFill="background1" w:themeFillShade="F2"/>
            <w:vAlign w:val="center"/>
          </w:tcPr>
          <w:p w14:paraId="1BDE8B65">
            <w:pPr>
              <w:suppressAutoHyphens/>
              <w:spacing w:line="400" w:lineRule="exact"/>
              <w:ind w:firstLine="0" w:firstLineChars="0"/>
              <w:jc w:val="center"/>
              <w:rPr>
                <w:rFonts w:cs="Times New Roman"/>
                <w:color w:val="000000"/>
                <w:kern w:val="0"/>
                <w:sz w:val="24"/>
                <w:szCs w:val="24"/>
              </w:rPr>
            </w:pPr>
            <w:r>
              <w:rPr>
                <w:rFonts w:hint="eastAsia" w:cs="Times New Roman"/>
                <w:color w:val="000000"/>
                <w:kern w:val="0"/>
                <w:sz w:val="24"/>
                <w:szCs w:val="24"/>
              </w:rPr>
              <w:t>9</w:t>
            </w:r>
          </w:p>
        </w:tc>
        <w:tc>
          <w:tcPr>
            <w:tcW w:w="540" w:type="pct"/>
            <w:vMerge w:val="restart"/>
            <w:shd w:val="clear" w:color="auto" w:fill="F1F1F1" w:themeFill="background1" w:themeFillShade="F2"/>
            <w:vAlign w:val="center"/>
          </w:tcPr>
          <w:p w14:paraId="2488CC4E">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修复治理类</w:t>
            </w:r>
          </w:p>
        </w:tc>
        <w:tc>
          <w:tcPr>
            <w:tcW w:w="967" w:type="pct"/>
            <w:shd w:val="clear" w:color="auto" w:fill="auto"/>
            <w:vAlign w:val="center"/>
          </w:tcPr>
          <w:p w14:paraId="09031CD8">
            <w:pPr>
              <w:suppressAutoHyphens/>
              <w:spacing w:line="400" w:lineRule="exact"/>
              <w:ind w:firstLine="0" w:firstLineChars="0"/>
              <w:jc w:val="center"/>
              <w:rPr>
                <w:rFonts w:cs="Times New Roman"/>
                <w:kern w:val="0"/>
                <w:sz w:val="24"/>
                <w:szCs w:val="24"/>
              </w:rPr>
            </w:pPr>
            <w:r>
              <w:rPr>
                <w:rFonts w:cs="Times New Roman"/>
                <w:kern w:val="0"/>
                <w:sz w:val="24"/>
                <w:szCs w:val="24"/>
              </w:rPr>
              <w:t>营造林面积</w:t>
            </w:r>
          </w:p>
        </w:tc>
        <w:tc>
          <w:tcPr>
            <w:tcW w:w="644" w:type="pct"/>
            <w:shd w:val="clear" w:color="auto" w:fill="auto"/>
            <w:vAlign w:val="center"/>
          </w:tcPr>
          <w:p w14:paraId="551A717C">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2</w:t>
            </w:r>
            <w:r>
              <w:rPr>
                <w:rFonts w:hint="eastAsia" w:cs="Times New Roman"/>
                <w:color w:val="000000"/>
                <w:kern w:val="0"/>
                <w:sz w:val="24"/>
                <w:szCs w:val="24"/>
              </w:rPr>
              <w:t>205</w:t>
            </w:r>
          </w:p>
        </w:tc>
        <w:tc>
          <w:tcPr>
            <w:tcW w:w="563" w:type="pct"/>
            <w:shd w:val="clear" w:color="auto" w:fill="auto"/>
            <w:vAlign w:val="center"/>
          </w:tcPr>
          <w:p w14:paraId="6C485032">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4366</w:t>
            </w:r>
          </w:p>
        </w:tc>
        <w:tc>
          <w:tcPr>
            <w:tcW w:w="564" w:type="pct"/>
            <w:shd w:val="clear" w:color="auto" w:fill="auto"/>
            <w:vAlign w:val="center"/>
          </w:tcPr>
          <w:p w14:paraId="202BE04F">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10033</w:t>
            </w:r>
          </w:p>
        </w:tc>
        <w:tc>
          <w:tcPr>
            <w:tcW w:w="575" w:type="pct"/>
            <w:shd w:val="clear" w:color="auto" w:fill="auto"/>
            <w:vAlign w:val="center"/>
          </w:tcPr>
          <w:p w14:paraId="45D6BB9A">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15533</w:t>
            </w:r>
          </w:p>
        </w:tc>
        <w:tc>
          <w:tcPr>
            <w:tcW w:w="358" w:type="pct"/>
            <w:shd w:val="clear" w:color="auto" w:fill="auto"/>
            <w:vAlign w:val="center"/>
          </w:tcPr>
          <w:p w14:paraId="14B532C6">
            <w:pPr>
              <w:suppressAutoHyphens/>
              <w:spacing w:line="400" w:lineRule="exact"/>
              <w:ind w:firstLine="0" w:firstLineChars="0"/>
              <w:jc w:val="center"/>
              <w:rPr>
                <w:rFonts w:cs="Times New Roman"/>
                <w:kern w:val="0"/>
                <w:sz w:val="24"/>
                <w:szCs w:val="24"/>
              </w:rPr>
            </w:pPr>
            <w:r>
              <w:rPr>
                <w:rFonts w:cs="Times New Roman"/>
                <w:color w:val="000000"/>
                <w:kern w:val="0"/>
                <w:sz w:val="24"/>
                <w:szCs w:val="24"/>
              </w:rPr>
              <w:t>平方公里</w:t>
            </w:r>
          </w:p>
        </w:tc>
        <w:tc>
          <w:tcPr>
            <w:tcW w:w="491" w:type="pct"/>
            <w:shd w:val="clear" w:color="auto" w:fill="auto"/>
            <w:vAlign w:val="center"/>
          </w:tcPr>
          <w:p w14:paraId="18E4CC59">
            <w:pPr>
              <w:suppressAutoHyphens/>
              <w:spacing w:line="240" w:lineRule="auto"/>
              <w:ind w:firstLine="0" w:firstLineChars="0"/>
              <w:jc w:val="center"/>
              <w:rPr>
                <w:rFonts w:cs="Times New Roman"/>
                <w:kern w:val="0"/>
                <w:sz w:val="24"/>
                <w:szCs w:val="24"/>
              </w:rPr>
            </w:pPr>
            <w:r>
              <w:rPr>
                <w:rFonts w:cs="Times New Roman"/>
                <w:kern w:val="0"/>
                <w:sz w:val="24"/>
                <w:szCs w:val="24"/>
              </w:rPr>
              <w:t>预期性</w:t>
            </w:r>
          </w:p>
        </w:tc>
      </w:tr>
      <w:tr w14:paraId="0F27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665" w:hRule="atLeast"/>
        </w:trPr>
        <w:tc>
          <w:tcPr>
            <w:tcW w:w="298" w:type="pct"/>
            <w:shd w:val="clear" w:color="auto" w:fill="F1F1F1" w:themeFill="background1" w:themeFillShade="F2"/>
            <w:vAlign w:val="center"/>
          </w:tcPr>
          <w:p w14:paraId="343E0811">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1</w:t>
            </w:r>
            <w:r>
              <w:rPr>
                <w:rFonts w:hint="eastAsia" w:cs="Times New Roman"/>
                <w:color w:val="000000"/>
                <w:kern w:val="0"/>
                <w:sz w:val="24"/>
                <w:szCs w:val="24"/>
              </w:rPr>
              <w:t>0</w:t>
            </w:r>
          </w:p>
        </w:tc>
        <w:tc>
          <w:tcPr>
            <w:tcW w:w="540" w:type="pct"/>
            <w:vMerge w:val="continue"/>
            <w:shd w:val="clear" w:color="auto" w:fill="F1F1F1" w:themeFill="background1" w:themeFillShade="F2"/>
            <w:vAlign w:val="center"/>
          </w:tcPr>
          <w:p w14:paraId="23037A9B">
            <w:pPr>
              <w:suppressAutoHyphens/>
              <w:spacing w:line="400" w:lineRule="exact"/>
              <w:ind w:firstLine="0" w:firstLineChars="0"/>
              <w:jc w:val="center"/>
              <w:rPr>
                <w:rFonts w:cs="Times New Roman"/>
                <w:color w:val="000000"/>
                <w:kern w:val="0"/>
                <w:sz w:val="24"/>
                <w:szCs w:val="24"/>
              </w:rPr>
            </w:pPr>
          </w:p>
        </w:tc>
        <w:tc>
          <w:tcPr>
            <w:tcW w:w="967" w:type="pct"/>
            <w:shd w:val="clear" w:color="auto" w:fill="auto"/>
            <w:vAlign w:val="center"/>
          </w:tcPr>
          <w:p w14:paraId="60B1DB1D">
            <w:pPr>
              <w:suppressAutoHyphens/>
              <w:spacing w:line="400" w:lineRule="exact"/>
              <w:ind w:firstLine="0" w:firstLineChars="0"/>
              <w:jc w:val="center"/>
              <w:rPr>
                <w:rFonts w:cs="Times New Roman"/>
                <w:kern w:val="0"/>
                <w:sz w:val="24"/>
                <w:szCs w:val="24"/>
              </w:rPr>
            </w:pPr>
            <w:r>
              <w:rPr>
                <w:rFonts w:cs="Times New Roman"/>
                <w:kern w:val="0"/>
                <w:sz w:val="24"/>
                <w:szCs w:val="24"/>
              </w:rPr>
              <w:t>水土流失治理面积</w:t>
            </w:r>
          </w:p>
        </w:tc>
        <w:tc>
          <w:tcPr>
            <w:tcW w:w="644" w:type="pct"/>
            <w:shd w:val="clear" w:color="auto" w:fill="auto"/>
            <w:vAlign w:val="center"/>
          </w:tcPr>
          <w:p w14:paraId="66F86277">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hint="eastAsia" w:cs="Times New Roman"/>
                <w:color w:val="000000"/>
                <w:kern w:val="0"/>
                <w:sz w:val="24"/>
                <w:szCs w:val="24"/>
              </w:rPr>
              <w:t>1433</w:t>
            </w:r>
          </w:p>
        </w:tc>
        <w:tc>
          <w:tcPr>
            <w:tcW w:w="563" w:type="pct"/>
            <w:shd w:val="clear" w:color="auto" w:fill="auto"/>
            <w:vAlign w:val="center"/>
          </w:tcPr>
          <w:p w14:paraId="3A7DB3DF">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8000</w:t>
            </w:r>
          </w:p>
        </w:tc>
        <w:tc>
          <w:tcPr>
            <w:tcW w:w="564" w:type="pct"/>
            <w:shd w:val="clear" w:color="auto" w:fill="auto"/>
            <w:vAlign w:val="center"/>
          </w:tcPr>
          <w:p w14:paraId="3B804D86">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15500</w:t>
            </w:r>
          </w:p>
        </w:tc>
        <w:tc>
          <w:tcPr>
            <w:tcW w:w="575" w:type="pct"/>
            <w:shd w:val="clear" w:color="auto" w:fill="auto"/>
            <w:vAlign w:val="center"/>
          </w:tcPr>
          <w:p w14:paraId="317D9EFC">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22000</w:t>
            </w:r>
          </w:p>
        </w:tc>
        <w:tc>
          <w:tcPr>
            <w:tcW w:w="358" w:type="pct"/>
            <w:shd w:val="clear" w:color="auto" w:fill="auto"/>
            <w:vAlign w:val="center"/>
          </w:tcPr>
          <w:p w14:paraId="6208437C">
            <w:pPr>
              <w:suppressAutoHyphens/>
              <w:spacing w:line="400" w:lineRule="exact"/>
              <w:ind w:firstLine="0" w:firstLineChars="0"/>
              <w:jc w:val="center"/>
              <w:rPr>
                <w:rFonts w:cs="Times New Roman"/>
                <w:kern w:val="0"/>
                <w:sz w:val="24"/>
                <w:szCs w:val="24"/>
              </w:rPr>
            </w:pPr>
            <w:r>
              <w:rPr>
                <w:rFonts w:cs="Times New Roman"/>
                <w:color w:val="000000"/>
                <w:kern w:val="0"/>
                <w:sz w:val="24"/>
                <w:szCs w:val="24"/>
              </w:rPr>
              <w:t>平方公里</w:t>
            </w:r>
          </w:p>
        </w:tc>
        <w:tc>
          <w:tcPr>
            <w:tcW w:w="491" w:type="pct"/>
            <w:shd w:val="clear" w:color="auto" w:fill="auto"/>
            <w:vAlign w:val="center"/>
          </w:tcPr>
          <w:p w14:paraId="0F1AD1E5">
            <w:pPr>
              <w:suppressAutoHyphens/>
              <w:spacing w:line="240" w:lineRule="auto"/>
              <w:ind w:firstLine="0" w:firstLineChars="0"/>
              <w:jc w:val="center"/>
              <w:rPr>
                <w:rFonts w:cs="Times New Roman"/>
                <w:kern w:val="0"/>
                <w:sz w:val="24"/>
                <w:szCs w:val="24"/>
              </w:rPr>
            </w:pPr>
            <w:r>
              <w:rPr>
                <w:rFonts w:cs="Times New Roman"/>
                <w:kern w:val="0"/>
                <w:sz w:val="24"/>
                <w:szCs w:val="24"/>
              </w:rPr>
              <w:t>预期性</w:t>
            </w:r>
          </w:p>
        </w:tc>
      </w:tr>
      <w:tr w14:paraId="3A58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1102" w:hRule="atLeast"/>
        </w:trPr>
        <w:tc>
          <w:tcPr>
            <w:tcW w:w="298" w:type="pct"/>
            <w:shd w:val="clear" w:color="auto" w:fill="F1F1F1" w:themeFill="background1" w:themeFillShade="F2"/>
            <w:vAlign w:val="center"/>
          </w:tcPr>
          <w:p w14:paraId="2E3E8A0A">
            <w:pPr>
              <w:suppressAutoHyphens/>
              <w:spacing w:line="400" w:lineRule="exact"/>
              <w:ind w:firstLine="0" w:firstLineChars="0"/>
              <w:jc w:val="center"/>
              <w:rPr>
                <w:rFonts w:cs="Times New Roman"/>
                <w:color w:val="000000"/>
                <w:kern w:val="0"/>
                <w:sz w:val="24"/>
                <w:szCs w:val="24"/>
              </w:rPr>
            </w:pPr>
            <w:r>
              <w:rPr>
                <w:rFonts w:hint="eastAsia" w:cs="Times New Roman"/>
                <w:color w:val="000000"/>
                <w:kern w:val="0"/>
                <w:sz w:val="24"/>
                <w:szCs w:val="24"/>
              </w:rPr>
              <w:t>11</w:t>
            </w:r>
          </w:p>
        </w:tc>
        <w:tc>
          <w:tcPr>
            <w:tcW w:w="540" w:type="pct"/>
            <w:vMerge w:val="continue"/>
            <w:shd w:val="clear" w:color="auto" w:fill="F1F1F1" w:themeFill="background1" w:themeFillShade="F2"/>
            <w:vAlign w:val="center"/>
          </w:tcPr>
          <w:p w14:paraId="5DB9B9A4">
            <w:pPr>
              <w:suppressAutoHyphens/>
              <w:spacing w:line="400" w:lineRule="exact"/>
              <w:ind w:firstLine="0" w:firstLineChars="0"/>
              <w:jc w:val="center"/>
              <w:rPr>
                <w:rFonts w:cs="Times New Roman"/>
                <w:color w:val="000000"/>
                <w:kern w:val="0"/>
                <w:sz w:val="24"/>
                <w:szCs w:val="24"/>
              </w:rPr>
            </w:pPr>
          </w:p>
        </w:tc>
        <w:tc>
          <w:tcPr>
            <w:tcW w:w="967" w:type="pct"/>
            <w:shd w:val="clear" w:color="auto" w:fill="auto"/>
            <w:vAlign w:val="center"/>
          </w:tcPr>
          <w:p w14:paraId="00DDACB3">
            <w:pPr>
              <w:suppressAutoHyphens/>
              <w:spacing w:line="400" w:lineRule="exact"/>
              <w:ind w:firstLine="0" w:firstLineChars="0"/>
              <w:jc w:val="center"/>
              <w:rPr>
                <w:rFonts w:cs="Times New Roman"/>
                <w:kern w:val="0"/>
                <w:sz w:val="24"/>
                <w:szCs w:val="24"/>
              </w:rPr>
            </w:pPr>
            <w:r>
              <w:rPr>
                <w:rFonts w:cs="Times New Roman"/>
                <w:kern w:val="0"/>
                <w:sz w:val="24"/>
                <w:szCs w:val="24"/>
              </w:rPr>
              <w:t>历史遗留矿山综合治理面积</w:t>
            </w:r>
          </w:p>
        </w:tc>
        <w:tc>
          <w:tcPr>
            <w:tcW w:w="644" w:type="pct"/>
            <w:shd w:val="clear" w:color="auto" w:fill="auto"/>
            <w:vAlign w:val="center"/>
          </w:tcPr>
          <w:p w14:paraId="24ADDAD8">
            <w:pPr>
              <w:suppressAutoHyphens/>
              <w:adjustRightInd w:val="0"/>
              <w:snapToGrid w:val="0"/>
              <w:spacing w:line="400" w:lineRule="exact"/>
              <w:ind w:firstLine="0" w:firstLineChars="0"/>
              <w:jc w:val="center"/>
              <w:textAlignment w:val="top"/>
              <w:rPr>
                <w:rFonts w:cs="Times New Roman"/>
                <w:kern w:val="0"/>
                <w:sz w:val="24"/>
                <w:szCs w:val="24"/>
              </w:rPr>
            </w:pPr>
            <w:r>
              <w:rPr>
                <w:rFonts w:hint="eastAsia" w:cs="Times New Roman"/>
                <w:kern w:val="0"/>
                <w:sz w:val="24"/>
                <w:szCs w:val="24"/>
              </w:rPr>
              <w:t>28.62</w:t>
            </w:r>
          </w:p>
        </w:tc>
        <w:tc>
          <w:tcPr>
            <w:tcW w:w="563" w:type="pct"/>
            <w:shd w:val="clear" w:color="auto" w:fill="auto"/>
            <w:vAlign w:val="center"/>
          </w:tcPr>
          <w:p w14:paraId="56D64D31">
            <w:pPr>
              <w:suppressAutoHyphens/>
              <w:adjustRightInd w:val="0"/>
              <w:snapToGrid w:val="0"/>
              <w:spacing w:line="400" w:lineRule="exact"/>
              <w:ind w:firstLine="0" w:firstLineChars="0"/>
              <w:jc w:val="center"/>
              <w:textAlignment w:val="top"/>
              <w:rPr>
                <w:rFonts w:cs="Times New Roman"/>
                <w:kern w:val="0"/>
                <w:sz w:val="24"/>
                <w:szCs w:val="24"/>
              </w:rPr>
            </w:pPr>
            <w:r>
              <w:rPr>
                <w:rFonts w:hint="eastAsia" w:cs="Times New Roman"/>
                <w:kern w:val="0"/>
                <w:sz w:val="24"/>
                <w:szCs w:val="24"/>
              </w:rPr>
              <w:t>按国家下达任务</w:t>
            </w:r>
          </w:p>
        </w:tc>
        <w:tc>
          <w:tcPr>
            <w:tcW w:w="564" w:type="pct"/>
            <w:shd w:val="clear" w:color="auto" w:fill="auto"/>
            <w:vAlign w:val="center"/>
          </w:tcPr>
          <w:p w14:paraId="746A7A80">
            <w:pPr>
              <w:suppressAutoHyphens/>
              <w:adjustRightInd w:val="0"/>
              <w:snapToGrid w:val="0"/>
              <w:spacing w:line="400" w:lineRule="exact"/>
              <w:ind w:firstLine="0" w:firstLineChars="0"/>
              <w:jc w:val="center"/>
              <w:textAlignment w:val="top"/>
              <w:rPr>
                <w:rFonts w:cs="Times New Roman"/>
                <w:kern w:val="0"/>
                <w:sz w:val="24"/>
                <w:szCs w:val="24"/>
              </w:rPr>
            </w:pPr>
            <w:r>
              <w:rPr>
                <w:rFonts w:hint="eastAsia" w:cs="Times New Roman"/>
                <w:kern w:val="0"/>
                <w:sz w:val="24"/>
                <w:szCs w:val="24"/>
              </w:rPr>
              <w:t>按国家下达任务</w:t>
            </w:r>
          </w:p>
        </w:tc>
        <w:tc>
          <w:tcPr>
            <w:tcW w:w="575" w:type="pct"/>
            <w:shd w:val="clear" w:color="auto" w:fill="auto"/>
            <w:vAlign w:val="center"/>
          </w:tcPr>
          <w:p w14:paraId="59A07F9A">
            <w:pPr>
              <w:suppressAutoHyphens/>
              <w:spacing w:line="400" w:lineRule="exact"/>
              <w:ind w:firstLine="0" w:firstLineChars="0"/>
              <w:jc w:val="center"/>
              <w:rPr>
                <w:rFonts w:cs="Times New Roman"/>
                <w:kern w:val="0"/>
                <w:sz w:val="24"/>
                <w:szCs w:val="24"/>
              </w:rPr>
            </w:pPr>
            <w:r>
              <w:rPr>
                <w:rFonts w:hint="eastAsia" w:cs="Times New Roman"/>
                <w:kern w:val="0"/>
                <w:sz w:val="24"/>
                <w:szCs w:val="24"/>
              </w:rPr>
              <w:t>按国家下达任务</w:t>
            </w:r>
          </w:p>
        </w:tc>
        <w:tc>
          <w:tcPr>
            <w:tcW w:w="358" w:type="pct"/>
            <w:shd w:val="clear" w:color="auto" w:fill="auto"/>
            <w:vAlign w:val="center"/>
          </w:tcPr>
          <w:p w14:paraId="177D8DF3">
            <w:pPr>
              <w:suppressAutoHyphens/>
              <w:spacing w:line="400" w:lineRule="exact"/>
              <w:ind w:firstLine="0" w:firstLineChars="0"/>
              <w:jc w:val="center"/>
              <w:rPr>
                <w:rFonts w:cs="Times New Roman"/>
                <w:kern w:val="0"/>
                <w:sz w:val="24"/>
                <w:szCs w:val="24"/>
              </w:rPr>
            </w:pPr>
            <w:r>
              <w:rPr>
                <w:rFonts w:cs="Times New Roman"/>
                <w:color w:val="000000"/>
                <w:kern w:val="0"/>
                <w:sz w:val="24"/>
                <w:szCs w:val="24"/>
              </w:rPr>
              <w:t>平方公里</w:t>
            </w:r>
          </w:p>
        </w:tc>
        <w:tc>
          <w:tcPr>
            <w:tcW w:w="491" w:type="pct"/>
            <w:shd w:val="clear" w:color="auto" w:fill="auto"/>
            <w:vAlign w:val="center"/>
          </w:tcPr>
          <w:p w14:paraId="490850ED">
            <w:pPr>
              <w:suppressAutoHyphens/>
              <w:spacing w:line="240" w:lineRule="auto"/>
              <w:ind w:firstLine="0" w:firstLineChars="0"/>
              <w:jc w:val="center"/>
              <w:rPr>
                <w:rFonts w:cs="Times New Roman"/>
                <w:kern w:val="0"/>
                <w:sz w:val="24"/>
                <w:szCs w:val="24"/>
              </w:rPr>
            </w:pPr>
            <w:r>
              <w:rPr>
                <w:rFonts w:cs="Times New Roman"/>
                <w:kern w:val="0"/>
                <w:sz w:val="24"/>
                <w:szCs w:val="24"/>
              </w:rPr>
              <w:t>预期性</w:t>
            </w:r>
          </w:p>
        </w:tc>
      </w:tr>
      <w:tr w14:paraId="7780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20" w:hRule="atLeast"/>
        </w:trPr>
        <w:tc>
          <w:tcPr>
            <w:tcW w:w="298" w:type="pct"/>
            <w:shd w:val="clear" w:color="auto" w:fill="F1F1F1" w:themeFill="background1" w:themeFillShade="F2"/>
            <w:vAlign w:val="center"/>
          </w:tcPr>
          <w:p w14:paraId="1417A239">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1</w:t>
            </w:r>
            <w:r>
              <w:rPr>
                <w:rFonts w:hint="eastAsia" w:cs="Times New Roman"/>
                <w:color w:val="000000"/>
                <w:kern w:val="0"/>
                <w:sz w:val="24"/>
                <w:szCs w:val="24"/>
              </w:rPr>
              <w:t>2</w:t>
            </w:r>
          </w:p>
        </w:tc>
        <w:tc>
          <w:tcPr>
            <w:tcW w:w="540" w:type="pct"/>
            <w:vMerge w:val="continue"/>
            <w:shd w:val="clear" w:color="auto" w:fill="F1F1F1" w:themeFill="background1" w:themeFillShade="F2"/>
            <w:vAlign w:val="center"/>
          </w:tcPr>
          <w:p w14:paraId="10DFDC8C">
            <w:pPr>
              <w:suppressAutoHyphens/>
              <w:spacing w:line="400" w:lineRule="exact"/>
              <w:ind w:firstLine="0" w:firstLineChars="0"/>
              <w:jc w:val="center"/>
              <w:rPr>
                <w:rFonts w:cs="Times New Roman"/>
                <w:color w:val="000000"/>
                <w:kern w:val="0"/>
                <w:sz w:val="24"/>
                <w:szCs w:val="24"/>
              </w:rPr>
            </w:pPr>
          </w:p>
        </w:tc>
        <w:tc>
          <w:tcPr>
            <w:tcW w:w="967" w:type="pct"/>
            <w:shd w:val="clear" w:color="auto" w:fill="auto"/>
            <w:vAlign w:val="center"/>
          </w:tcPr>
          <w:p w14:paraId="7B1A43FF">
            <w:pPr>
              <w:suppressAutoHyphens/>
              <w:spacing w:line="400" w:lineRule="exact"/>
              <w:ind w:firstLine="0" w:firstLineChars="0"/>
              <w:jc w:val="center"/>
              <w:rPr>
                <w:rFonts w:cs="Times New Roman"/>
                <w:color w:val="000000"/>
                <w:kern w:val="0"/>
                <w:sz w:val="24"/>
                <w:szCs w:val="24"/>
              </w:rPr>
            </w:pPr>
            <w:r>
              <w:rPr>
                <w:rFonts w:cs="Times New Roman"/>
                <w:color w:val="000000"/>
                <w:kern w:val="0"/>
                <w:sz w:val="24"/>
                <w:szCs w:val="24"/>
              </w:rPr>
              <w:t>湿地修复治理面积</w:t>
            </w:r>
          </w:p>
        </w:tc>
        <w:tc>
          <w:tcPr>
            <w:tcW w:w="644" w:type="pct"/>
            <w:shd w:val="clear" w:color="auto" w:fill="auto"/>
            <w:vAlign w:val="center"/>
          </w:tcPr>
          <w:p w14:paraId="5475ACA6">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cs="Times New Roman"/>
                <w:color w:val="000000"/>
                <w:kern w:val="0"/>
                <w:sz w:val="24"/>
                <w:szCs w:val="24"/>
              </w:rPr>
              <w:t>33.73</w:t>
            </w:r>
          </w:p>
        </w:tc>
        <w:tc>
          <w:tcPr>
            <w:tcW w:w="563" w:type="pct"/>
            <w:shd w:val="clear" w:color="auto" w:fill="auto"/>
            <w:vAlign w:val="center"/>
          </w:tcPr>
          <w:p w14:paraId="29CA3E8C">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hint="eastAsia" w:cs="Times New Roman"/>
                <w:color w:val="000000"/>
                <w:kern w:val="0"/>
                <w:sz w:val="24"/>
                <w:szCs w:val="24"/>
              </w:rPr>
              <w:t>66.67</w:t>
            </w:r>
          </w:p>
        </w:tc>
        <w:tc>
          <w:tcPr>
            <w:tcW w:w="564" w:type="pct"/>
            <w:shd w:val="clear" w:color="auto" w:fill="auto"/>
            <w:vAlign w:val="center"/>
          </w:tcPr>
          <w:p w14:paraId="76021E4D">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hint="eastAsia" w:cs="Times New Roman"/>
                <w:color w:val="000000"/>
                <w:kern w:val="0"/>
                <w:sz w:val="24"/>
                <w:szCs w:val="24"/>
              </w:rPr>
              <w:t>66.67</w:t>
            </w:r>
          </w:p>
        </w:tc>
        <w:tc>
          <w:tcPr>
            <w:tcW w:w="575" w:type="pct"/>
            <w:shd w:val="clear" w:color="auto" w:fill="auto"/>
            <w:vAlign w:val="center"/>
          </w:tcPr>
          <w:p w14:paraId="779B377D">
            <w:pPr>
              <w:suppressAutoHyphens/>
              <w:adjustRightInd w:val="0"/>
              <w:snapToGrid w:val="0"/>
              <w:spacing w:line="400" w:lineRule="exact"/>
              <w:ind w:firstLine="0" w:firstLineChars="0"/>
              <w:jc w:val="center"/>
              <w:textAlignment w:val="top"/>
              <w:rPr>
                <w:rFonts w:cs="Times New Roman"/>
                <w:color w:val="000000"/>
                <w:kern w:val="0"/>
                <w:sz w:val="24"/>
                <w:szCs w:val="24"/>
              </w:rPr>
            </w:pPr>
            <w:r>
              <w:rPr>
                <w:rFonts w:hint="eastAsia" w:cs="Times New Roman"/>
                <w:color w:val="000000"/>
                <w:kern w:val="0"/>
                <w:sz w:val="24"/>
                <w:szCs w:val="24"/>
              </w:rPr>
              <w:t>66.67</w:t>
            </w:r>
          </w:p>
        </w:tc>
        <w:tc>
          <w:tcPr>
            <w:tcW w:w="358" w:type="pct"/>
            <w:shd w:val="clear" w:color="auto" w:fill="auto"/>
            <w:vAlign w:val="center"/>
          </w:tcPr>
          <w:p w14:paraId="4E8CECAA">
            <w:pPr>
              <w:suppressAutoHyphens/>
              <w:spacing w:line="400" w:lineRule="exact"/>
              <w:ind w:firstLine="0" w:firstLineChars="0"/>
              <w:jc w:val="center"/>
              <w:rPr>
                <w:rFonts w:cs="Times New Roman"/>
                <w:kern w:val="0"/>
                <w:sz w:val="24"/>
                <w:szCs w:val="24"/>
              </w:rPr>
            </w:pPr>
            <w:r>
              <w:rPr>
                <w:rFonts w:cs="Times New Roman"/>
                <w:color w:val="000000"/>
                <w:kern w:val="0"/>
                <w:sz w:val="24"/>
                <w:szCs w:val="24"/>
              </w:rPr>
              <w:t>平方公里</w:t>
            </w:r>
          </w:p>
        </w:tc>
        <w:tc>
          <w:tcPr>
            <w:tcW w:w="491" w:type="pct"/>
            <w:shd w:val="clear" w:color="auto" w:fill="auto"/>
            <w:vAlign w:val="center"/>
          </w:tcPr>
          <w:p w14:paraId="3951589B">
            <w:pPr>
              <w:suppressAutoHyphens/>
              <w:spacing w:line="240" w:lineRule="auto"/>
              <w:ind w:firstLine="0" w:firstLineChars="0"/>
              <w:jc w:val="center"/>
              <w:rPr>
                <w:rFonts w:cs="Times New Roman"/>
                <w:kern w:val="0"/>
                <w:sz w:val="24"/>
                <w:szCs w:val="24"/>
              </w:rPr>
            </w:pPr>
            <w:r>
              <w:rPr>
                <w:rFonts w:cs="Times New Roman"/>
                <w:kern w:val="0"/>
                <w:sz w:val="24"/>
                <w:szCs w:val="24"/>
              </w:rPr>
              <w:t>预期性</w:t>
            </w:r>
          </w:p>
        </w:tc>
      </w:tr>
    </w:tbl>
    <w:p w14:paraId="1F24F95B">
      <w:pPr>
        <w:ind w:firstLine="640"/>
      </w:pPr>
    </w:p>
    <w:p w14:paraId="48EB6301">
      <w:pPr>
        <w:pStyle w:val="54"/>
      </w:pPr>
      <w:bookmarkStart w:id="74" w:name="_Toc87089250"/>
      <w:bookmarkStart w:id="75" w:name="_Toc87200618"/>
      <w:r>
        <w:t>第三章　生态</w:t>
      </w:r>
      <w:r>
        <w:rPr>
          <w:rFonts w:hint="eastAsia"/>
        </w:rPr>
        <w:t>修复布局与分区</w:t>
      </w:r>
      <w:bookmarkEnd w:id="74"/>
      <w:bookmarkEnd w:id="75"/>
    </w:p>
    <w:p w14:paraId="7CCA6CBA">
      <w:pPr>
        <w:pStyle w:val="53"/>
      </w:pPr>
      <w:bookmarkStart w:id="76" w:name="_Toc87089251"/>
      <w:bookmarkStart w:id="77" w:name="_Toc87200619"/>
      <w:r>
        <w:rPr>
          <w:rFonts w:hint="eastAsia"/>
        </w:rPr>
        <w:t>第一节　构建生态</w:t>
      </w:r>
      <w:r>
        <w:t>修复总体</w:t>
      </w:r>
      <w:r>
        <w:rPr>
          <w:rFonts w:hint="eastAsia"/>
        </w:rPr>
        <w:t>布局</w:t>
      </w:r>
      <w:bookmarkEnd w:id="76"/>
      <w:bookmarkEnd w:id="77"/>
    </w:p>
    <w:p w14:paraId="69A9EE04">
      <w:pPr>
        <w:suppressAutoHyphens/>
        <w:ind w:firstLine="640"/>
        <w:rPr>
          <w:rFonts w:cs="Times New Roman"/>
          <w:lang w:bidi="ar"/>
        </w:rPr>
      </w:pPr>
      <w:r>
        <w:rPr>
          <w:rFonts w:hint="eastAsia" w:cs="Times New Roman"/>
          <w:lang w:bidi="ar"/>
        </w:rPr>
        <w:t>依托“江河水网纵横交错、山体屏障四周环抱、湖库湿地星罗棋布、中部平原良田沃野”的自然地理格局，</w:t>
      </w:r>
      <w:r>
        <w:rPr>
          <w:rFonts w:hint="eastAsia"/>
        </w:rPr>
        <w:t>贯彻落实“</w:t>
      </w:r>
      <w:r>
        <w:rPr>
          <w:rFonts w:hint="eastAsia" w:cs="Times New Roman"/>
          <w:lang w:bidi="ar"/>
        </w:rPr>
        <w:t>三江四屏千湖一平原”</w:t>
      </w:r>
      <w:r>
        <w:rPr>
          <w:rFonts w:hint="eastAsia"/>
        </w:rPr>
        <w:t>国土空间保护格局，强化长江、汉江和清江等流域生态系统保护，提升“四屏”生态服务能力，</w:t>
      </w:r>
      <w:r>
        <w:rPr>
          <w:rFonts w:hint="eastAsia" w:ascii="仿宋_GB2312" w:cs="仿宋_GB2312" w:hAnsiTheme="minorHAnsi"/>
          <w:kern w:val="0"/>
          <w:szCs w:val="32"/>
        </w:rPr>
        <w:t>加强湖库湿地生态保护修复，维护江汉平原农业生态安全；</w:t>
      </w:r>
      <w:r>
        <w:rPr>
          <w:rFonts w:hint="eastAsia" w:cs="Times New Roman"/>
          <w:lang w:bidi="ar"/>
        </w:rPr>
        <w:t>以水为脉，以绿为韵，</w:t>
      </w:r>
      <w:r>
        <w:rPr>
          <w:rFonts w:hint="eastAsia" w:ascii="仿宋_GB2312" w:cs="仿宋_GB2312" w:hAnsiTheme="minorHAnsi"/>
          <w:kern w:val="0"/>
          <w:szCs w:val="32"/>
        </w:rPr>
        <w:t>统筹山水林田湖草沙系统修复，</w:t>
      </w:r>
      <w:r>
        <w:rPr>
          <w:rFonts w:hint="eastAsia" w:cs="Times New Roman"/>
          <w:lang w:bidi="ar"/>
        </w:rPr>
        <w:t>聚焦“长江大保护”，构建</w:t>
      </w:r>
      <w:r>
        <w:rPr>
          <w:rFonts w:hint="eastAsia"/>
          <w:b/>
        </w:rPr>
        <w:t>“一江双廊两库四屏一平原”</w:t>
      </w:r>
      <w:r>
        <w:rPr>
          <w:rFonts w:hint="eastAsia" w:cs="Times New Roman"/>
          <w:lang w:bidi="ar"/>
        </w:rPr>
        <w:t>生态修复总体布局</w:t>
      </w:r>
      <w:r>
        <w:t>。</w:t>
      </w:r>
    </w:p>
    <w:p w14:paraId="029EB032">
      <w:pPr>
        <w:suppressAutoHyphens/>
        <w:ind w:firstLine="643"/>
        <w:rPr>
          <w:rFonts w:ascii="仿宋_GB2312" w:hAnsi="仿宋_GB2312" w:cs="仿宋_GB2312"/>
          <w:szCs w:val="32"/>
        </w:rPr>
      </w:pPr>
      <w:r>
        <w:rPr>
          <w:rFonts w:hint="eastAsia" w:cs="Times New Roman"/>
          <w:b/>
          <w:lang w:bidi="ar"/>
        </w:rPr>
        <w:t>一江：</w:t>
      </w:r>
      <w:r>
        <w:rPr>
          <w:rFonts w:hint="eastAsia" w:cs="Times New Roman"/>
          <w:lang w:bidi="ar"/>
        </w:rPr>
        <w:t>长江干流</w:t>
      </w:r>
      <w:r>
        <w:rPr>
          <w:rFonts w:hint="eastAsia" w:ascii="仿宋_GB2312" w:hAnsi="仿宋_GB2312" w:cs="仿宋_GB2312"/>
          <w:szCs w:val="32"/>
        </w:rPr>
        <w:t>（湖北段）</w:t>
      </w:r>
      <w:r>
        <w:rPr>
          <w:rFonts w:hint="eastAsia" w:cs="Times New Roman"/>
          <w:lang w:bidi="ar"/>
        </w:rPr>
        <w:t>。</w:t>
      </w:r>
      <w:r>
        <w:t>重点保护和修复长江生态环境，</w:t>
      </w:r>
      <w:r>
        <w:rPr>
          <w:rFonts w:hint="eastAsia" w:ascii="仿宋_GB2312" w:hAnsi="仿宋_GB2312" w:cs="仿宋_GB2312"/>
          <w:szCs w:val="32"/>
        </w:rPr>
        <w:t>统筹开展长江水域岸线生态修复，</w:t>
      </w:r>
      <w:r>
        <w:rPr>
          <w:rFonts w:hint="eastAsia" w:ascii="仿宋_GB2312" w:cs="仿宋_GB2312" w:hAnsiTheme="minorHAnsi"/>
          <w:kern w:val="0"/>
          <w:szCs w:val="32"/>
        </w:rPr>
        <w:t>保障长江干流水质达到</w:t>
      </w:r>
      <w:r>
        <w:rPr>
          <w:rFonts w:cs="Times New Roman"/>
          <w:kern w:val="0"/>
          <w:szCs w:val="32"/>
        </w:rPr>
        <w:t>Ⅱ</w:t>
      </w:r>
      <w:r>
        <w:rPr>
          <w:rFonts w:hint="eastAsia" w:ascii="仿宋_GB2312" w:cs="仿宋_GB2312" w:hAnsiTheme="minorHAnsi"/>
          <w:kern w:val="0"/>
          <w:szCs w:val="32"/>
        </w:rPr>
        <w:t>类，</w:t>
      </w:r>
      <w:r>
        <w:rPr>
          <w:rFonts w:hint="eastAsia" w:ascii="仿宋_GB2312" w:hAnsi="仿宋_GB2312" w:cs="仿宋_GB2312"/>
          <w:szCs w:val="32"/>
        </w:rPr>
        <w:t>加强武汉市、宜昌市、荆州市等重点城市江段的水环境治理；持续开展长江干流岸线保护和利用综合整治，完善长江防护林体系，推进</w:t>
      </w:r>
      <w:r>
        <w:t>沿江绿色生态廊道建设</w:t>
      </w:r>
      <w:r>
        <w:rPr>
          <w:rFonts w:hint="eastAsia"/>
        </w:rPr>
        <w:t>；</w:t>
      </w:r>
      <w:r>
        <w:rPr>
          <w:rFonts w:hint="eastAsia" w:ascii="仿宋_GB2312" w:hAnsi="仿宋_GB2312" w:cs="仿宋_GB2312"/>
          <w:szCs w:val="32"/>
        </w:rPr>
        <w:t>实施长江流域重点水域禁捕退捕，加强长江水生生物资源保护，逐步恢复水生生物生境，恢复长江鱼类种群资源，提高长江水生生物完整性指数，稳步提升长江生态功能。</w:t>
      </w:r>
    </w:p>
    <w:p w14:paraId="4CE501DA">
      <w:pPr>
        <w:suppressAutoHyphens/>
        <w:ind w:firstLine="643"/>
        <w:rPr>
          <w:rFonts w:ascii="仿宋_GB2312" w:hAnsi="仿宋"/>
          <w:color w:val="000000"/>
          <w:szCs w:val="32"/>
        </w:rPr>
      </w:pPr>
      <w:r>
        <w:rPr>
          <w:rFonts w:hint="eastAsia" w:cs="Times New Roman"/>
          <w:b/>
          <w:lang w:bidi="ar"/>
        </w:rPr>
        <w:t>双廊：</w:t>
      </w:r>
      <w:r>
        <w:rPr>
          <w:rFonts w:hint="eastAsia" w:cs="Times New Roman"/>
          <w:lang w:bidi="ar"/>
        </w:rPr>
        <w:t>汉江、清江及其他骨干河流生态缓冲带网（蓝网）和交通干线生态防护林网（绿网）。</w:t>
      </w:r>
      <w:r>
        <w:rPr>
          <w:rFonts w:hint="eastAsia" w:cs="Times New Roman"/>
          <w:b/>
          <w:lang w:bidi="ar"/>
        </w:rPr>
        <w:t>汉江、清江及其他骨干河流生态缓冲带网（蓝网）</w:t>
      </w:r>
      <w:r>
        <w:rPr>
          <w:rFonts w:hint="eastAsia" w:cs="Times New Roman"/>
          <w:lang w:bidi="ar"/>
        </w:rPr>
        <w:t>深入推进流域水生态环境系统治理和保护修复，</w:t>
      </w:r>
      <w:r>
        <w:rPr>
          <w:rFonts w:hint="eastAsia" w:ascii="仿宋_GB2312"/>
          <w:color w:val="000000"/>
          <w:szCs w:val="32"/>
        </w:rPr>
        <w:t>加强水污染防治，改善水环境质量；落实河流重要控制断面生态流量保障，建立健全生态流量监测预警机制，维护上下游连通性；保护恢复河流两岸湿地，建设生态缓冲带，</w:t>
      </w:r>
      <w:r>
        <w:rPr>
          <w:rFonts w:hint="eastAsia" w:ascii="仿宋_GB2312" w:cs="仿宋_GB2312" w:hAnsiTheme="minorHAnsi"/>
          <w:kern w:val="0"/>
          <w:szCs w:val="32"/>
        </w:rPr>
        <w:t>提升河流整体生态服务功能，</w:t>
      </w:r>
      <w:r>
        <w:rPr>
          <w:rFonts w:hint="eastAsia" w:ascii="仿宋_GB2312"/>
          <w:color w:val="000000"/>
          <w:szCs w:val="32"/>
        </w:rPr>
        <w:t>构建水清岸绿的河流生态缓冲带网。</w:t>
      </w:r>
      <w:r>
        <w:rPr>
          <w:rFonts w:hint="eastAsia" w:ascii="仿宋_GB2312"/>
          <w:b/>
          <w:color w:val="000000"/>
          <w:szCs w:val="32"/>
        </w:rPr>
        <w:t>交</w:t>
      </w:r>
      <w:r>
        <w:rPr>
          <w:rFonts w:hint="eastAsia" w:cs="Times New Roman"/>
          <w:b/>
          <w:lang w:bidi="ar"/>
        </w:rPr>
        <w:t>通干线生态防护林网（绿网）</w:t>
      </w:r>
      <w:r>
        <w:rPr>
          <w:rFonts w:hint="eastAsia" w:cs="Times New Roman"/>
          <w:lang w:bidi="ar"/>
        </w:rPr>
        <w:t>重点推进</w:t>
      </w:r>
      <w:r>
        <w:rPr>
          <w:rFonts w:hint="eastAsia" w:ascii="仿宋_GB2312" w:hAnsi="仿宋"/>
          <w:color w:val="000000"/>
          <w:szCs w:val="32"/>
        </w:rPr>
        <w:t>“九纵五横三环”高速公路、“四纵四横四斜”高铁沿线及其他主要国省交通干线及省界门户周围宜林区造林绿化，打造与周边生态系统和谐共生的生态防护林带，推进沿线农田防护林网建设，加强沿线城镇村庄绿化美化，构建生态景观优美的生态防护林网。</w:t>
      </w:r>
    </w:p>
    <w:p w14:paraId="58691BAF">
      <w:pPr>
        <w:suppressAutoHyphens/>
        <w:ind w:firstLine="643"/>
        <w:rPr>
          <w:b/>
        </w:rPr>
      </w:pPr>
      <w:r>
        <w:rPr>
          <w:rFonts w:hint="eastAsia" w:ascii="仿宋_GB2312" w:hAnsi="仿宋_GB2312" w:cs="仿宋_GB2312"/>
          <w:b/>
          <w:szCs w:val="32"/>
        </w:rPr>
        <w:t>两库：</w:t>
      </w:r>
      <w:r>
        <w:rPr>
          <w:rFonts w:cs="Times New Roman"/>
          <w:bCs/>
          <w:spacing w:val="-2"/>
        </w:rPr>
        <w:t>三峡</w:t>
      </w:r>
      <w:r>
        <w:rPr>
          <w:rFonts w:hint="eastAsia" w:cs="Times New Roman"/>
          <w:bCs/>
          <w:spacing w:val="-2"/>
        </w:rPr>
        <w:t>库区</w:t>
      </w:r>
      <w:r>
        <w:rPr>
          <w:rFonts w:cs="Times New Roman"/>
          <w:bCs/>
          <w:spacing w:val="-2"/>
        </w:rPr>
        <w:t>、丹江口</w:t>
      </w:r>
      <w:r>
        <w:rPr>
          <w:rFonts w:hint="eastAsia" w:cs="Times New Roman"/>
          <w:bCs/>
          <w:spacing w:val="-2"/>
        </w:rPr>
        <w:t>库区</w:t>
      </w:r>
      <w:r>
        <w:rPr>
          <w:rFonts w:cs="Times New Roman"/>
          <w:spacing w:val="-2"/>
        </w:rPr>
        <w:t>。以资源环境容量为硬约束，控制库区人口增长和城镇发展规模，推进水生态系统保护与修复，在库区及周边</w:t>
      </w:r>
      <w:r>
        <w:rPr>
          <w:rFonts w:hint="eastAsia" w:cs="Times New Roman"/>
          <w:spacing w:val="-2"/>
        </w:rPr>
        <w:t>实施天然林保护、公益林建设、土地综合整治、水土流失治理等工程，探索开展库区消落带生态修复，加强入库支流水生态环境综合治理，提升库区生态系统整体质量和稳定性，将</w:t>
      </w:r>
      <w:r>
        <w:rPr>
          <w:rFonts w:cs="Times New Roman"/>
          <w:bCs/>
          <w:spacing w:val="-2"/>
        </w:rPr>
        <w:t>三峡</w:t>
      </w:r>
      <w:r>
        <w:rPr>
          <w:rFonts w:hint="eastAsia" w:cs="Times New Roman"/>
          <w:bCs/>
          <w:spacing w:val="-2"/>
        </w:rPr>
        <w:t>库区</w:t>
      </w:r>
      <w:r>
        <w:rPr>
          <w:rFonts w:cs="Times New Roman"/>
          <w:bCs/>
          <w:spacing w:val="-2"/>
        </w:rPr>
        <w:t>、丹江口</w:t>
      </w:r>
      <w:r>
        <w:rPr>
          <w:rFonts w:hint="eastAsia" w:cs="Times New Roman"/>
          <w:bCs/>
          <w:spacing w:val="-2"/>
        </w:rPr>
        <w:t>库区</w:t>
      </w:r>
      <w:r>
        <w:rPr>
          <w:rFonts w:hint="eastAsia" w:cs="Times New Roman"/>
          <w:spacing w:val="-2"/>
        </w:rPr>
        <w:t>建设成为国家水资源战略保障区。</w:t>
      </w:r>
    </w:p>
    <w:p w14:paraId="6E681C40">
      <w:pPr>
        <w:suppressAutoHyphens/>
        <w:ind w:firstLine="643"/>
        <w:rPr>
          <w:rFonts w:ascii="仿宋_GB2312" w:cs="仿宋_GB2312" w:hAnsiTheme="minorHAnsi"/>
          <w:kern w:val="0"/>
          <w:szCs w:val="32"/>
        </w:rPr>
      </w:pPr>
      <w:r>
        <w:rPr>
          <w:rFonts w:hint="eastAsia" w:cs="Times New Roman"/>
          <w:b/>
          <w:lang w:bidi="ar"/>
        </w:rPr>
        <w:t>四屏：</w:t>
      </w:r>
      <w:r>
        <w:rPr>
          <w:rFonts w:hint="eastAsia" w:cs="Times New Roman"/>
          <w:lang w:bidi="ar"/>
        </w:rPr>
        <w:t>鄂西北</w:t>
      </w:r>
      <w:r>
        <w:rPr>
          <w:rFonts w:hint="eastAsia" w:ascii="仿宋_GB2312" w:cs="仿宋_GB2312" w:hAnsiTheme="minorHAnsi"/>
          <w:kern w:val="0"/>
          <w:szCs w:val="32"/>
        </w:rPr>
        <w:t>秦巴山、鄂西南武陵山、鄂东北大别山和鄂东南幕阜山生态屏障。</w:t>
      </w:r>
      <w:r>
        <w:rPr>
          <w:b/>
        </w:rPr>
        <w:t>鄂西北秦巴山</w:t>
      </w:r>
      <w:r>
        <w:t>以维护生物多样性为核心，推进以神农架国家公园为主体的自然保护地建设；拯救与保护川金丝猴、小勾儿茶等野生动植物物种，维护主要物种生境连通性</w:t>
      </w:r>
      <w:r>
        <w:rPr>
          <w:rFonts w:hint="eastAsia"/>
        </w:rPr>
        <w:t>；</w:t>
      </w:r>
      <w:r>
        <w:t>加强外来入侵物种防控</w:t>
      </w:r>
      <w:r>
        <w:rPr>
          <w:rFonts w:hint="eastAsia"/>
        </w:rPr>
        <w:t>，</w:t>
      </w:r>
      <w:r>
        <w:t>全面加强亚热带常绿阔叶林和针阔混交林的培育，持续提升森林质量和蓄积量。</w:t>
      </w:r>
      <w:r>
        <w:rPr>
          <w:b/>
        </w:rPr>
        <w:t>鄂西南武陵山</w:t>
      </w:r>
      <w:r>
        <w:t>以生物多样性维护和森林生态保护为主要任务，积极推进天然林和公益林保护、历史遗留矿山生态修复、水土流失和石漠化综合治理，科学开展天然次生林提质，精准实施森林抚育和退化林修复，稳步提升森林生态系统质量；加强以后河、星斗山、七</w:t>
      </w:r>
      <w:r>
        <w:rPr>
          <w:rFonts w:hint="eastAsia"/>
        </w:rPr>
        <w:t>姊</w:t>
      </w:r>
      <w:r>
        <w:t>妹山等自然保护地建设和管理，恢复和改善野生动植物栖息（原生）生境，实现野生动植物资源的良性循环和永续利用。</w:t>
      </w:r>
      <w:r>
        <w:rPr>
          <w:b/>
        </w:rPr>
        <w:t>鄂东北大别山</w:t>
      </w:r>
      <w:r>
        <w:t>以水土流失防治为主要任务，积极开展小流域综合治理，限制陡坡垦殖，实施封山育林和退化林修复，保护和培育森林植被，防治森林有害生物，提高森林覆盖率；开展安徽麝、大别山五针松等野生动植物栖息地保护与修复，促进生态系统良性循环；加强对能源和矿产资源开发管理，加大矿山环境整治修复力度。</w:t>
      </w:r>
      <w:r>
        <w:rPr>
          <w:b/>
        </w:rPr>
        <w:t>鄂东南幕阜山</w:t>
      </w:r>
      <w:r>
        <w:t>以水源涵养为主要任务，加强天然林和公益林保护，提高九宫山等自然保护地管护水平；巩固退耕还林成果，加大封山育林、森林抚育和退化林修复力度，持续开展岩溶地区石漠化综合治理，提高森林覆盖率；大力开展水土流失治理和其他生态修复工程，不断提高生态系统质量和稳定性。</w:t>
      </w:r>
    </w:p>
    <w:p w14:paraId="0FD5882C">
      <w:pPr>
        <w:widowControl/>
        <w:suppressAutoHyphens/>
        <w:ind w:firstLine="643"/>
        <w:rPr>
          <w:rFonts w:cs="Times New Roman"/>
          <w:b/>
          <w:lang w:bidi="ar"/>
        </w:rPr>
      </w:pPr>
      <w:r>
        <w:rPr>
          <w:rFonts w:hint="eastAsia" w:cs="Times New Roman"/>
          <w:b/>
          <w:lang w:bidi="ar"/>
        </w:rPr>
        <w:t>一平原：</w:t>
      </w:r>
      <w:r>
        <w:rPr>
          <w:rFonts w:hint="eastAsia" w:cs="Times New Roman"/>
          <w:lang w:bidi="ar"/>
        </w:rPr>
        <w:t>江汉平原。重点恢复平原湖区江湖连通廊道，优先推进汉江、汉北河、天门河、“大东湖”及梁子湖等重要水系连通，强化水量调度管理，保障河湖生态水量；重点实施四湖流域、鄂东南湖泊群水生态综合修复和武汉武湖、孝感</w:t>
      </w:r>
      <w:r>
        <w:rPr>
          <w:rFonts w:hint="eastAsia" w:ascii="宋体" w:hAnsi="宋体" w:eastAsia="宋体" w:cs="宋体"/>
          <w:lang w:bidi="ar"/>
        </w:rPr>
        <w:t>汈</w:t>
      </w:r>
      <w:r>
        <w:rPr>
          <w:rFonts w:hint="eastAsia" w:ascii="仿宋_GB2312" w:hAnsi="仿宋_GB2312" w:cs="仿宋_GB2312"/>
          <w:lang w:bidi="ar"/>
        </w:rPr>
        <w:t>汊湖、钟祥南湖等湖泊清淤及综合治理试点工程，重点保护与修复大九湖、</w:t>
      </w:r>
      <w:r>
        <w:rPr>
          <w:rFonts w:hint="eastAsia" w:cs="Times New Roman"/>
          <w:lang w:bidi="ar"/>
        </w:rPr>
        <w:t>洪湖、沉湖、网湖等重要湿地，改善湖泊水环境，增强湖泊自然修复能力，稳步提升湖泊湿地生态功能和生物多样性；有序恢复扩大洪湖等天然湖泊水域空间，提升湿地蓄水调洪能力，加强坑塘、小水体等末梢水系恢复。全面推进全域国土综合整治，统筹开展农业面源污染治理和农村人居环境整治，加强农业生态系统保护及外来入侵物种防控，充分发挥“鱼米之乡”的农业生态优势，打造国家级绿色粮仓。</w:t>
      </w:r>
    </w:p>
    <w:p w14:paraId="654F354D">
      <w:pPr>
        <w:pStyle w:val="53"/>
      </w:pPr>
      <w:bookmarkStart w:id="78" w:name="_Toc87200620"/>
      <w:bookmarkStart w:id="79" w:name="_Toc87089252"/>
      <w:r>
        <w:rPr>
          <w:rFonts w:hint="eastAsia"/>
        </w:rPr>
        <w:t>第二节　划定八大生态修复分区</w:t>
      </w:r>
      <w:bookmarkEnd w:id="78"/>
      <w:bookmarkEnd w:id="79"/>
    </w:p>
    <w:p w14:paraId="7362738A">
      <w:pPr>
        <w:suppressAutoHyphens/>
        <w:spacing w:after="217" w:afterLines="50"/>
        <w:ind w:firstLine="640"/>
      </w:pPr>
      <w:r>
        <w:rPr>
          <w:rFonts w:hint="eastAsia"/>
        </w:rPr>
        <w:t>在湖北省“三江四屏千湖一平原”国土空间保护格局和主体功能分区基础上，</w:t>
      </w:r>
      <w:r>
        <w:rPr>
          <w:rFonts w:hint="eastAsia" w:cs="Times New Roman"/>
          <w:lang w:bidi="ar"/>
        </w:rPr>
        <w:t>统筹考虑生态系统完整性、地理单元连续性、</w:t>
      </w:r>
      <w:r>
        <w:rPr>
          <w:rFonts w:hint="eastAsia"/>
        </w:rPr>
        <w:t>生态功能区划、流域分区等，</w:t>
      </w:r>
      <w:r>
        <w:rPr>
          <w:rFonts w:hint="eastAsia" w:cs="Times New Roman"/>
          <w:lang w:bidi="ar"/>
        </w:rPr>
        <w:t>以国家及省级重点生态功能区、</w:t>
      </w:r>
      <w:r>
        <w:rPr>
          <w:rFonts w:hint="eastAsia"/>
        </w:rPr>
        <w:t>重要生态治理区</w:t>
      </w:r>
      <w:r>
        <w:rPr>
          <w:rFonts w:hint="eastAsia" w:cs="Times New Roman"/>
          <w:lang w:bidi="ar"/>
        </w:rPr>
        <w:t>、生态保护极重要区、生态问题突出区域为重点，根据生态修复总体布局，</w:t>
      </w:r>
      <w:r>
        <w:rPr>
          <w:rFonts w:hint="eastAsia"/>
        </w:rPr>
        <w:t>将全省国土空间划分为8个生态修复分区。</w:t>
      </w:r>
    </w:p>
    <w:tbl>
      <w:tblPr>
        <w:tblStyle w:val="1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 w:type="dxa"/>
          <w:left w:w="57" w:type="dxa"/>
          <w:bottom w:w="11" w:type="dxa"/>
          <w:right w:w="57" w:type="dxa"/>
        </w:tblCellMar>
      </w:tblPr>
      <w:tblGrid>
        <w:gridCol w:w="2566"/>
        <w:gridCol w:w="6190"/>
      </w:tblGrid>
      <w:tr w14:paraId="6929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exact"/>
          <w:tblHeader/>
          <w:jc w:val="center"/>
        </w:trPr>
        <w:tc>
          <w:tcPr>
            <w:tcW w:w="5000" w:type="pct"/>
            <w:gridSpan w:val="2"/>
            <w:shd w:val="clear" w:color="auto" w:fill="D8D8D8" w:themeFill="background1" w:themeFillShade="D9"/>
            <w:vAlign w:val="center"/>
          </w:tcPr>
          <w:p w14:paraId="0AB30C1E">
            <w:pPr>
              <w:suppressAutoHyphens/>
              <w:spacing w:line="240" w:lineRule="auto"/>
              <w:ind w:firstLine="0" w:firstLineChars="0"/>
              <w:jc w:val="center"/>
              <w:rPr>
                <w:rFonts w:cs="Times New Roman"/>
                <w:b/>
                <w:sz w:val="24"/>
                <w:szCs w:val="24"/>
              </w:rPr>
            </w:pPr>
            <w:r>
              <w:rPr>
                <w:rFonts w:eastAsia="黑体" w:cs="Times New Roman"/>
                <w:sz w:val="24"/>
                <w:szCs w:val="24"/>
              </w:rPr>
              <w:t>专栏3-1湖北省生态修复分区</w:t>
            </w:r>
          </w:p>
        </w:tc>
      </w:tr>
      <w:tr w14:paraId="3F7C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atLeast"/>
          <w:tblHeader/>
          <w:jc w:val="center"/>
        </w:trPr>
        <w:tc>
          <w:tcPr>
            <w:tcW w:w="1465" w:type="pct"/>
            <w:shd w:val="clear" w:color="auto" w:fill="D8D8D8" w:themeFill="background1" w:themeFillShade="D9"/>
            <w:vAlign w:val="center"/>
          </w:tcPr>
          <w:p w14:paraId="729CDB32">
            <w:pPr>
              <w:suppressAutoHyphens/>
              <w:spacing w:line="240" w:lineRule="auto"/>
              <w:ind w:firstLine="0" w:firstLineChars="0"/>
              <w:jc w:val="center"/>
              <w:rPr>
                <w:rFonts w:cs="Times New Roman"/>
                <w:b/>
                <w:sz w:val="24"/>
                <w:szCs w:val="24"/>
              </w:rPr>
            </w:pPr>
            <w:bookmarkStart w:id="80" w:name="RANGE!A1:B14"/>
            <w:r>
              <w:rPr>
                <w:rFonts w:cs="Times New Roman"/>
                <w:b/>
                <w:sz w:val="24"/>
                <w:szCs w:val="24"/>
              </w:rPr>
              <w:t>分区名称</w:t>
            </w:r>
            <w:bookmarkEnd w:id="80"/>
          </w:p>
        </w:tc>
        <w:tc>
          <w:tcPr>
            <w:tcW w:w="3535" w:type="pct"/>
            <w:shd w:val="clear" w:color="auto" w:fill="D8D8D8" w:themeFill="background1" w:themeFillShade="D9"/>
            <w:vAlign w:val="center"/>
          </w:tcPr>
          <w:p w14:paraId="654C1407">
            <w:pPr>
              <w:suppressAutoHyphens/>
              <w:spacing w:line="240" w:lineRule="auto"/>
              <w:ind w:firstLine="0" w:firstLineChars="0"/>
              <w:jc w:val="center"/>
              <w:rPr>
                <w:rFonts w:cs="Times New Roman"/>
                <w:b/>
                <w:sz w:val="24"/>
                <w:szCs w:val="24"/>
              </w:rPr>
            </w:pPr>
            <w:r>
              <w:rPr>
                <w:rFonts w:cs="Times New Roman"/>
                <w:b/>
                <w:sz w:val="24"/>
                <w:szCs w:val="24"/>
              </w:rPr>
              <w:t>涉及行政区</w:t>
            </w:r>
          </w:p>
        </w:tc>
      </w:tr>
      <w:tr w14:paraId="4B0A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atLeast"/>
          <w:jc w:val="center"/>
        </w:trPr>
        <w:tc>
          <w:tcPr>
            <w:tcW w:w="1465" w:type="pct"/>
            <w:shd w:val="clear" w:color="auto" w:fill="auto"/>
            <w:vAlign w:val="center"/>
          </w:tcPr>
          <w:p w14:paraId="0C607633">
            <w:pPr>
              <w:suppressAutoHyphens/>
              <w:spacing w:line="240" w:lineRule="auto"/>
              <w:ind w:firstLine="0" w:firstLineChars="0"/>
              <w:rPr>
                <w:rFonts w:cs="Times New Roman"/>
                <w:sz w:val="24"/>
                <w:szCs w:val="24"/>
              </w:rPr>
            </w:pPr>
            <w:r>
              <w:rPr>
                <w:rFonts w:cs="Times New Roman"/>
                <w:sz w:val="24"/>
                <w:szCs w:val="24"/>
              </w:rPr>
              <w:t>I-丹江口库区水土保持综合修复区</w:t>
            </w:r>
          </w:p>
        </w:tc>
        <w:tc>
          <w:tcPr>
            <w:tcW w:w="3535" w:type="pct"/>
            <w:shd w:val="clear" w:color="auto" w:fill="auto"/>
            <w:vAlign w:val="center"/>
          </w:tcPr>
          <w:p w14:paraId="04642286">
            <w:pPr>
              <w:suppressAutoHyphens/>
              <w:spacing w:line="240" w:lineRule="auto"/>
              <w:ind w:firstLine="0" w:firstLineChars="0"/>
              <w:rPr>
                <w:rFonts w:cs="Times New Roman"/>
                <w:sz w:val="24"/>
                <w:szCs w:val="24"/>
              </w:rPr>
            </w:pPr>
            <w:r>
              <w:rPr>
                <w:rFonts w:cs="Times New Roman"/>
                <w:sz w:val="24"/>
                <w:szCs w:val="24"/>
              </w:rPr>
              <w:t>十堰市郧阳区、张湾区、茅箭区、丹江口市、郧西县</w:t>
            </w:r>
          </w:p>
        </w:tc>
      </w:tr>
      <w:tr w14:paraId="513A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atLeast"/>
          <w:jc w:val="center"/>
        </w:trPr>
        <w:tc>
          <w:tcPr>
            <w:tcW w:w="1465" w:type="pct"/>
            <w:shd w:val="clear" w:color="auto" w:fill="auto"/>
            <w:vAlign w:val="center"/>
          </w:tcPr>
          <w:p w14:paraId="4807ADB6">
            <w:pPr>
              <w:suppressAutoHyphens/>
              <w:spacing w:line="240" w:lineRule="auto"/>
              <w:ind w:firstLine="0" w:firstLineChars="0"/>
              <w:rPr>
                <w:rFonts w:cs="Times New Roman"/>
                <w:sz w:val="24"/>
                <w:szCs w:val="24"/>
              </w:rPr>
            </w:pPr>
            <w:r>
              <w:rPr>
                <w:rFonts w:cs="Times New Roman"/>
                <w:sz w:val="24"/>
                <w:szCs w:val="24"/>
              </w:rPr>
              <w:t>II -鄂西北大巴山区生物多样性保护修复区</w:t>
            </w:r>
          </w:p>
        </w:tc>
        <w:tc>
          <w:tcPr>
            <w:tcW w:w="3535" w:type="pct"/>
            <w:shd w:val="clear" w:color="auto" w:fill="auto"/>
            <w:vAlign w:val="center"/>
          </w:tcPr>
          <w:p w14:paraId="49BB25B1">
            <w:pPr>
              <w:suppressAutoHyphens/>
              <w:spacing w:line="240" w:lineRule="auto"/>
              <w:ind w:firstLine="0" w:firstLineChars="0"/>
              <w:rPr>
                <w:rFonts w:cs="Times New Roman"/>
                <w:sz w:val="24"/>
                <w:szCs w:val="24"/>
              </w:rPr>
            </w:pPr>
            <w:r>
              <w:rPr>
                <w:rFonts w:cs="Times New Roman"/>
                <w:sz w:val="24"/>
                <w:szCs w:val="24"/>
              </w:rPr>
              <w:t>十堰市竹溪县、竹山县、房县，神农架林区，襄阳市保康县、南漳县，宜昌市远安县</w:t>
            </w:r>
          </w:p>
        </w:tc>
      </w:tr>
      <w:tr w14:paraId="4733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atLeast"/>
          <w:jc w:val="center"/>
        </w:trPr>
        <w:tc>
          <w:tcPr>
            <w:tcW w:w="1465" w:type="pct"/>
            <w:shd w:val="clear" w:color="auto" w:fill="auto"/>
            <w:vAlign w:val="center"/>
          </w:tcPr>
          <w:p w14:paraId="3C95E440">
            <w:pPr>
              <w:suppressAutoHyphens/>
              <w:spacing w:line="240" w:lineRule="auto"/>
              <w:ind w:firstLine="0" w:firstLineChars="0"/>
              <w:rPr>
                <w:rFonts w:cs="Times New Roman"/>
                <w:sz w:val="24"/>
                <w:szCs w:val="24"/>
              </w:rPr>
            </w:pPr>
            <w:r>
              <w:rPr>
                <w:rFonts w:cs="Times New Roman"/>
                <w:sz w:val="24"/>
                <w:szCs w:val="24"/>
              </w:rPr>
              <w:t>III -三峡库区水土保持综合修复区</w:t>
            </w:r>
          </w:p>
        </w:tc>
        <w:tc>
          <w:tcPr>
            <w:tcW w:w="3535" w:type="pct"/>
            <w:shd w:val="clear" w:color="auto" w:fill="auto"/>
            <w:vAlign w:val="center"/>
          </w:tcPr>
          <w:p w14:paraId="037F1D6B">
            <w:pPr>
              <w:suppressAutoHyphens/>
              <w:spacing w:line="240" w:lineRule="auto"/>
              <w:ind w:firstLine="0" w:firstLineChars="0"/>
              <w:rPr>
                <w:rFonts w:cs="Times New Roman"/>
                <w:sz w:val="24"/>
                <w:szCs w:val="24"/>
              </w:rPr>
            </w:pPr>
            <w:r>
              <w:rPr>
                <w:rFonts w:cs="Times New Roman"/>
                <w:sz w:val="24"/>
                <w:szCs w:val="24"/>
              </w:rPr>
              <w:t>恩施州巴东县，宜昌市夷陵区、点军区、西陵区、伍家岗区、</w:t>
            </w:r>
            <w:r>
              <w:rPr>
                <w:rFonts w:hint="eastAsia" w:ascii="仿宋" w:hAnsi="仿宋" w:eastAsia="仿宋" w:cs="宋体"/>
                <w:sz w:val="24"/>
                <w:szCs w:val="24"/>
              </w:rPr>
              <w:t>猇</w:t>
            </w:r>
            <w:r>
              <w:rPr>
                <w:rFonts w:hint="eastAsia" w:ascii="仿宋_GB2312" w:hAnsi="仿宋_GB2312" w:cs="仿宋_GB2312"/>
                <w:sz w:val="24"/>
                <w:szCs w:val="24"/>
              </w:rPr>
              <w:t>亭区</w:t>
            </w:r>
            <w:r>
              <w:rPr>
                <w:rFonts w:cs="Times New Roman"/>
                <w:sz w:val="24"/>
                <w:szCs w:val="24"/>
              </w:rPr>
              <w:t>、兴山县、秭归县</w:t>
            </w:r>
          </w:p>
        </w:tc>
      </w:tr>
      <w:tr w14:paraId="2CBA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atLeast"/>
          <w:jc w:val="center"/>
        </w:trPr>
        <w:tc>
          <w:tcPr>
            <w:tcW w:w="1465" w:type="pct"/>
            <w:shd w:val="clear" w:color="auto" w:fill="auto"/>
            <w:vAlign w:val="center"/>
          </w:tcPr>
          <w:p w14:paraId="1B608BE9">
            <w:pPr>
              <w:suppressAutoHyphens/>
              <w:spacing w:line="240" w:lineRule="auto"/>
              <w:ind w:firstLine="0" w:firstLineChars="0"/>
              <w:rPr>
                <w:rFonts w:cs="Times New Roman"/>
                <w:sz w:val="24"/>
                <w:szCs w:val="24"/>
              </w:rPr>
            </w:pPr>
            <w:r>
              <w:rPr>
                <w:rFonts w:cs="Times New Roman"/>
                <w:sz w:val="24"/>
                <w:szCs w:val="24"/>
              </w:rPr>
              <w:t>IV -鄂西南武陵山区生物多样性保护修复区</w:t>
            </w:r>
          </w:p>
        </w:tc>
        <w:tc>
          <w:tcPr>
            <w:tcW w:w="3535" w:type="pct"/>
            <w:shd w:val="clear" w:color="auto" w:fill="auto"/>
            <w:vAlign w:val="center"/>
          </w:tcPr>
          <w:p w14:paraId="727E3CF4">
            <w:pPr>
              <w:suppressAutoHyphens/>
              <w:spacing w:line="240" w:lineRule="auto"/>
              <w:ind w:firstLine="0" w:firstLineChars="0"/>
              <w:rPr>
                <w:rFonts w:cs="Times New Roman"/>
                <w:spacing w:val="-10"/>
                <w:sz w:val="24"/>
                <w:szCs w:val="24"/>
              </w:rPr>
            </w:pPr>
            <w:r>
              <w:rPr>
                <w:rFonts w:cs="Times New Roman"/>
                <w:spacing w:val="-10"/>
                <w:sz w:val="24"/>
                <w:szCs w:val="24"/>
              </w:rPr>
              <w:t>恩施州恩施市、建始县、利川市、咸丰县、来凤县、宣恩县、鹤峰县，宜昌市长阳土家族自治县、五峰土家族自治县、宜都市</w:t>
            </w:r>
          </w:p>
        </w:tc>
      </w:tr>
      <w:tr w14:paraId="2F83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atLeast"/>
          <w:jc w:val="center"/>
        </w:trPr>
        <w:tc>
          <w:tcPr>
            <w:tcW w:w="1465" w:type="pct"/>
            <w:shd w:val="clear" w:color="auto" w:fill="auto"/>
            <w:vAlign w:val="center"/>
          </w:tcPr>
          <w:p w14:paraId="336FFF88">
            <w:pPr>
              <w:suppressAutoHyphens/>
              <w:spacing w:line="240" w:lineRule="auto"/>
              <w:ind w:firstLine="0" w:firstLineChars="0"/>
              <w:rPr>
                <w:rFonts w:cs="Times New Roman"/>
                <w:sz w:val="24"/>
                <w:szCs w:val="24"/>
              </w:rPr>
            </w:pPr>
            <w:r>
              <w:rPr>
                <w:rFonts w:cs="Times New Roman"/>
                <w:sz w:val="24"/>
                <w:szCs w:val="24"/>
              </w:rPr>
              <w:t>V -鄂中北农林提升和水生态综合修复区</w:t>
            </w:r>
          </w:p>
        </w:tc>
        <w:tc>
          <w:tcPr>
            <w:tcW w:w="3535" w:type="pct"/>
            <w:shd w:val="clear" w:color="auto" w:fill="auto"/>
            <w:vAlign w:val="center"/>
          </w:tcPr>
          <w:p w14:paraId="606F4D3E">
            <w:pPr>
              <w:suppressAutoHyphens/>
              <w:spacing w:line="240" w:lineRule="auto"/>
              <w:ind w:firstLine="0" w:firstLineChars="0"/>
              <w:rPr>
                <w:rFonts w:cs="Times New Roman"/>
                <w:spacing w:val="-6"/>
                <w:sz w:val="24"/>
                <w:szCs w:val="24"/>
              </w:rPr>
            </w:pPr>
            <w:r>
              <w:rPr>
                <w:rFonts w:cs="Times New Roman"/>
                <w:spacing w:val="-6"/>
                <w:sz w:val="24"/>
                <w:szCs w:val="24"/>
              </w:rPr>
              <w:t>襄阳市樊城区、襄州区、襄城区、老河口市、谷城县、枣阳市、宜城市，荆门市东宝区、钟祥市、京山市，宜昌市当阳市</w:t>
            </w:r>
          </w:p>
        </w:tc>
      </w:tr>
      <w:tr w14:paraId="12C8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atLeast"/>
          <w:jc w:val="center"/>
        </w:trPr>
        <w:tc>
          <w:tcPr>
            <w:tcW w:w="1465" w:type="pct"/>
            <w:shd w:val="clear" w:color="auto" w:fill="auto"/>
            <w:vAlign w:val="center"/>
          </w:tcPr>
          <w:p w14:paraId="1A21CD27">
            <w:pPr>
              <w:suppressAutoHyphens/>
              <w:spacing w:line="240" w:lineRule="auto"/>
              <w:ind w:firstLine="0" w:firstLineChars="0"/>
              <w:rPr>
                <w:rFonts w:cs="Times New Roman"/>
                <w:sz w:val="24"/>
                <w:szCs w:val="24"/>
              </w:rPr>
            </w:pPr>
            <w:r>
              <w:rPr>
                <w:rFonts w:cs="Times New Roman"/>
                <w:sz w:val="24"/>
                <w:szCs w:val="24"/>
              </w:rPr>
              <w:t>VI -江汉平原河湖湿地和农业生态修复区</w:t>
            </w:r>
          </w:p>
        </w:tc>
        <w:tc>
          <w:tcPr>
            <w:tcW w:w="3535" w:type="pct"/>
            <w:shd w:val="clear" w:color="auto" w:fill="auto"/>
            <w:vAlign w:val="center"/>
          </w:tcPr>
          <w:p w14:paraId="610F6FFA">
            <w:pPr>
              <w:suppressAutoHyphens/>
              <w:spacing w:line="240" w:lineRule="auto"/>
              <w:ind w:firstLine="0" w:firstLineChars="0"/>
              <w:rPr>
                <w:rFonts w:cs="Times New Roman"/>
                <w:spacing w:val="-6"/>
                <w:sz w:val="24"/>
                <w:szCs w:val="24"/>
              </w:rPr>
            </w:pPr>
            <w:r>
              <w:rPr>
                <w:rFonts w:cs="Times New Roman"/>
                <w:spacing w:val="-6"/>
                <w:sz w:val="24"/>
                <w:szCs w:val="24"/>
              </w:rPr>
              <w:t>武汉市全境</w:t>
            </w:r>
            <w:r>
              <w:rPr>
                <w:rFonts w:hint="eastAsia" w:cs="Times New Roman"/>
                <w:spacing w:val="-6"/>
                <w:sz w:val="24"/>
                <w:szCs w:val="24"/>
              </w:rPr>
              <w:t>，</w:t>
            </w:r>
            <w:r>
              <w:rPr>
                <w:rFonts w:cs="Times New Roman"/>
                <w:spacing w:val="-6"/>
                <w:sz w:val="24"/>
                <w:szCs w:val="24"/>
              </w:rPr>
              <w:t>荆州市全境</w:t>
            </w:r>
            <w:r>
              <w:rPr>
                <w:rFonts w:hint="eastAsia" w:cs="Times New Roman"/>
                <w:spacing w:val="-6"/>
                <w:sz w:val="24"/>
                <w:szCs w:val="24"/>
              </w:rPr>
              <w:t>，</w:t>
            </w:r>
            <w:r>
              <w:rPr>
                <w:rFonts w:cs="Times New Roman"/>
                <w:spacing w:val="-6"/>
                <w:sz w:val="24"/>
                <w:szCs w:val="24"/>
              </w:rPr>
              <w:t>鄂州市全境</w:t>
            </w:r>
            <w:r>
              <w:rPr>
                <w:rFonts w:hint="eastAsia" w:cs="Times New Roman"/>
                <w:spacing w:val="-6"/>
                <w:sz w:val="24"/>
                <w:szCs w:val="24"/>
              </w:rPr>
              <w:t>，</w:t>
            </w:r>
            <w:r>
              <w:rPr>
                <w:rFonts w:cs="Times New Roman"/>
                <w:spacing w:val="-6"/>
                <w:sz w:val="24"/>
                <w:szCs w:val="24"/>
              </w:rPr>
              <w:t>宜昌市枝江市，荆门市沙洋县，天门市、潜江市、仙桃市，孝感市孝南区、安陆市、应城市、云梦县、汉川市，黄冈市黄州区、团风县、浠水县、蕲春县、武穴市、黄梅县，黄石市下陆区、黄石港区、铁山区、西塞山区、大冶市，咸宁市咸安区、嘉鱼县、赤壁市</w:t>
            </w:r>
          </w:p>
        </w:tc>
      </w:tr>
      <w:tr w14:paraId="4729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atLeast"/>
          <w:jc w:val="center"/>
        </w:trPr>
        <w:tc>
          <w:tcPr>
            <w:tcW w:w="1465" w:type="pct"/>
            <w:vAlign w:val="center"/>
          </w:tcPr>
          <w:p w14:paraId="50E4E3F8">
            <w:pPr>
              <w:suppressAutoHyphens/>
              <w:spacing w:line="240" w:lineRule="auto"/>
              <w:ind w:firstLine="0" w:firstLineChars="0"/>
              <w:rPr>
                <w:rFonts w:cs="Times New Roman"/>
                <w:sz w:val="24"/>
                <w:szCs w:val="24"/>
              </w:rPr>
            </w:pPr>
            <w:r>
              <w:rPr>
                <w:rFonts w:cs="Times New Roman"/>
                <w:sz w:val="24"/>
                <w:szCs w:val="24"/>
              </w:rPr>
              <w:t>VII -鄂东北大别山区水土保持和生物多样性保护修复区</w:t>
            </w:r>
          </w:p>
        </w:tc>
        <w:tc>
          <w:tcPr>
            <w:tcW w:w="3535" w:type="pct"/>
            <w:shd w:val="clear" w:color="auto" w:fill="auto"/>
            <w:vAlign w:val="center"/>
          </w:tcPr>
          <w:p w14:paraId="29F4E71C">
            <w:pPr>
              <w:suppressAutoHyphens/>
              <w:spacing w:line="240" w:lineRule="auto"/>
              <w:ind w:firstLine="0" w:firstLineChars="0"/>
              <w:rPr>
                <w:rFonts w:cs="Times New Roman"/>
                <w:sz w:val="24"/>
                <w:szCs w:val="24"/>
              </w:rPr>
            </w:pPr>
            <w:r>
              <w:rPr>
                <w:rFonts w:cs="Times New Roman"/>
                <w:sz w:val="24"/>
                <w:szCs w:val="24"/>
              </w:rPr>
              <w:t>随州市全境，孝感市大悟县、孝昌县，黄冈市红安县、麻城市、罗田县、英山县</w:t>
            </w:r>
          </w:p>
        </w:tc>
      </w:tr>
      <w:tr w14:paraId="4078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57" w:type="dxa"/>
            <w:bottom w:w="11" w:type="dxa"/>
            <w:right w:w="57" w:type="dxa"/>
          </w:tblCellMar>
        </w:tblPrEx>
        <w:trPr>
          <w:trHeight w:val="510" w:hRule="atLeast"/>
          <w:jc w:val="center"/>
        </w:trPr>
        <w:tc>
          <w:tcPr>
            <w:tcW w:w="1465" w:type="pct"/>
            <w:shd w:val="clear" w:color="auto" w:fill="auto"/>
            <w:vAlign w:val="center"/>
          </w:tcPr>
          <w:p w14:paraId="310565B4">
            <w:pPr>
              <w:suppressAutoHyphens/>
              <w:spacing w:line="240" w:lineRule="auto"/>
              <w:ind w:firstLine="0" w:firstLineChars="0"/>
              <w:rPr>
                <w:rFonts w:cs="Times New Roman"/>
                <w:sz w:val="24"/>
                <w:szCs w:val="24"/>
              </w:rPr>
            </w:pPr>
            <w:r>
              <w:rPr>
                <w:rFonts w:cs="Times New Roman"/>
                <w:sz w:val="24"/>
                <w:szCs w:val="24"/>
              </w:rPr>
              <w:fldChar w:fldCharType="begin"/>
            </w:r>
            <w:r>
              <w:rPr>
                <w:rFonts w:cs="Times New Roman"/>
                <w:sz w:val="24"/>
                <w:szCs w:val="24"/>
              </w:rPr>
              <w:instrText xml:space="preserve"> </w:instrText>
            </w:r>
            <w:r>
              <w:rPr>
                <w:rFonts w:hint="eastAsia" w:cs="Times New Roman"/>
                <w:sz w:val="24"/>
                <w:szCs w:val="24"/>
              </w:rPr>
              <w:instrText xml:space="preserve">= 8 \* ROMAN</w:instrText>
            </w:r>
            <w:r>
              <w:rPr>
                <w:rFonts w:cs="Times New Roman"/>
                <w:sz w:val="24"/>
                <w:szCs w:val="24"/>
              </w:rPr>
              <w:instrText xml:space="preserve"> </w:instrText>
            </w:r>
            <w:r>
              <w:rPr>
                <w:rFonts w:cs="Times New Roman"/>
                <w:sz w:val="24"/>
                <w:szCs w:val="24"/>
              </w:rPr>
              <w:fldChar w:fldCharType="separate"/>
            </w:r>
            <w:r>
              <w:rPr>
                <w:rFonts w:cs="Times New Roman"/>
                <w:sz w:val="24"/>
                <w:szCs w:val="24"/>
              </w:rPr>
              <w:t>VIII</w:t>
            </w:r>
            <w:r>
              <w:rPr>
                <w:rFonts w:cs="Times New Roman"/>
                <w:sz w:val="24"/>
                <w:szCs w:val="24"/>
              </w:rPr>
              <w:fldChar w:fldCharType="end"/>
            </w:r>
            <w:r>
              <w:rPr>
                <w:rFonts w:hint="eastAsia" w:cs="Times New Roman"/>
                <w:sz w:val="24"/>
                <w:szCs w:val="24"/>
              </w:rPr>
              <w:t xml:space="preserve"> </w:t>
            </w:r>
            <w:r>
              <w:rPr>
                <w:rFonts w:cs="Times New Roman"/>
                <w:sz w:val="24"/>
                <w:szCs w:val="24"/>
              </w:rPr>
              <w:t>-鄂东南幕阜山区水源涵养和生物多样性保护修复区</w:t>
            </w:r>
          </w:p>
        </w:tc>
        <w:tc>
          <w:tcPr>
            <w:tcW w:w="3535" w:type="pct"/>
            <w:shd w:val="clear" w:color="auto" w:fill="auto"/>
            <w:vAlign w:val="center"/>
          </w:tcPr>
          <w:p w14:paraId="744D33E2">
            <w:pPr>
              <w:suppressAutoHyphens/>
              <w:spacing w:line="240" w:lineRule="auto"/>
              <w:ind w:firstLine="0" w:firstLineChars="0"/>
              <w:rPr>
                <w:rFonts w:cs="Times New Roman"/>
                <w:sz w:val="24"/>
                <w:szCs w:val="24"/>
              </w:rPr>
            </w:pPr>
            <w:r>
              <w:rPr>
                <w:rFonts w:cs="Times New Roman"/>
                <w:sz w:val="24"/>
                <w:szCs w:val="24"/>
              </w:rPr>
              <w:t>咸宁市崇阳县、通城县、通山县，黄石市阳新县</w:t>
            </w:r>
          </w:p>
        </w:tc>
      </w:tr>
    </w:tbl>
    <w:p w14:paraId="693B585C">
      <w:pPr>
        <w:suppressAutoHyphens/>
        <w:spacing w:before="217" w:beforeLines="50" w:line="240" w:lineRule="auto"/>
        <w:ind w:firstLine="0" w:firstLineChars="0"/>
        <w:jc w:val="center"/>
        <w:rPr>
          <w:rFonts w:ascii="黑体" w:hAnsi="黑体" w:eastAsia="黑体"/>
          <w:sz w:val="24"/>
        </w:rPr>
      </w:pPr>
      <w:r>
        <w:drawing>
          <wp:inline distT="0" distB="0" distL="0" distR="0">
            <wp:extent cx="5486400" cy="34493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rcRect t="11081"/>
                    <a:stretch>
                      <a:fillRect/>
                    </a:stretch>
                  </pic:blipFill>
                  <pic:spPr>
                    <a:xfrm>
                      <a:off x="0" y="0"/>
                      <a:ext cx="5486400" cy="3449945"/>
                    </a:xfrm>
                    <a:prstGeom prst="rect">
                      <a:avLst/>
                    </a:prstGeom>
                    <a:ln>
                      <a:noFill/>
                    </a:ln>
                  </pic:spPr>
                </pic:pic>
              </a:graphicData>
            </a:graphic>
          </wp:inline>
        </w:drawing>
      </w:r>
    </w:p>
    <w:p w14:paraId="1F123336">
      <w:pPr>
        <w:suppressAutoHyphens/>
        <w:ind w:left="420" w:firstLine="0" w:firstLineChars="0"/>
        <w:jc w:val="center"/>
        <w:rPr>
          <w:rFonts w:ascii="黑体" w:hAnsi="黑体" w:eastAsia="黑体"/>
          <w:sz w:val="24"/>
        </w:rPr>
      </w:pPr>
      <w:r>
        <w:rPr>
          <w:rFonts w:ascii="黑体" w:hAnsi="黑体" w:eastAsia="黑体"/>
          <w:sz w:val="24"/>
        </w:rPr>
        <w:t>图</w:t>
      </w:r>
      <w:r>
        <w:rPr>
          <w:rFonts w:eastAsia="黑体" w:cs="Times New Roman"/>
          <w:sz w:val="24"/>
        </w:rPr>
        <w:t>3-1</w:t>
      </w:r>
      <w:r>
        <w:rPr>
          <w:rFonts w:hint="eastAsia" w:ascii="黑体" w:hAnsi="黑体" w:eastAsia="黑体"/>
          <w:sz w:val="24"/>
        </w:rPr>
        <w:t>　</w:t>
      </w:r>
      <w:r>
        <w:rPr>
          <w:rFonts w:ascii="黑体" w:hAnsi="黑体" w:eastAsia="黑体"/>
          <w:sz w:val="24"/>
        </w:rPr>
        <w:t>湖北省生态修复分区</w:t>
      </w:r>
    </w:p>
    <w:p w14:paraId="2B8A4464">
      <w:pPr>
        <w:pStyle w:val="4"/>
        <w:keepNext w:val="0"/>
        <w:keepLines w:val="0"/>
        <w:widowControl/>
        <w:suppressAutoHyphens/>
        <w:spacing w:line="568" w:lineRule="exact"/>
        <w:ind w:firstLine="643"/>
      </w:pPr>
      <w:bookmarkStart w:id="81" w:name="_Toc87089253"/>
      <w:r>
        <w:rPr>
          <w:rFonts w:hint="eastAsia" w:hAnsi="仿宋"/>
          <w:szCs w:val="30"/>
        </w:rPr>
        <w:t>（一）</w:t>
      </w:r>
      <w:r>
        <w:rPr>
          <w:rFonts w:hint="eastAsia"/>
        </w:rPr>
        <w:t>丹江口库区水土保持综合修复区</w:t>
      </w:r>
      <w:bookmarkEnd w:id="81"/>
    </w:p>
    <w:p w14:paraId="5EF03B89">
      <w:pPr>
        <w:widowControl/>
        <w:suppressAutoHyphens/>
        <w:ind w:firstLine="640"/>
      </w:pPr>
      <w:r>
        <w:t>本区域位于湖北省西北部</w:t>
      </w:r>
      <w:r>
        <w:rPr>
          <w:rFonts w:hint="eastAsia"/>
        </w:rPr>
        <w:t>，涉及十堰市北部的5个县市区，属于秦巴山地生物多样性保护与水土保持国家重点生态功能区和丹江口库区及上游国家级水土流失重点预防区，其中丹江口水库是南水北调中线工程水源区、</w:t>
      </w:r>
      <w:r>
        <w:t>国家一级水源保护区、中国重要的湿地保护区</w:t>
      </w:r>
      <w:r>
        <w:rPr>
          <w:rFonts w:hint="eastAsia"/>
        </w:rPr>
        <w:t>。</w:t>
      </w:r>
    </w:p>
    <w:p w14:paraId="20500EB2">
      <w:pPr>
        <w:widowControl/>
        <w:suppressAutoHyphens/>
        <w:ind w:firstLine="643"/>
        <w:rPr>
          <w:color w:val="000000"/>
          <w:szCs w:val="24"/>
        </w:rPr>
      </w:pPr>
      <w:r>
        <w:rPr>
          <w:rFonts w:hint="eastAsia"/>
          <w:b/>
        </w:rPr>
        <w:t>自然生态状况：</w:t>
      </w:r>
      <w:r>
        <w:rPr>
          <w:rFonts w:hint="eastAsia"/>
        </w:rPr>
        <w:t>该区地处湖北省西北角、汉江中上游地区，与陕西省、河南省接壤，秦岭余脉屏障其北，武当山逶迤于南，汉江居中自西向东穿越全区。属亚热带季风气候，年均降水量</w:t>
      </w:r>
      <w:r>
        <w:t>6</w:t>
      </w:r>
      <w:r>
        <w:rPr>
          <w:rFonts w:hint="eastAsia"/>
        </w:rPr>
        <w:t>00-</w:t>
      </w:r>
      <w:r>
        <w:t>13</w:t>
      </w:r>
      <w:r>
        <w:rPr>
          <w:rFonts w:hint="eastAsia"/>
        </w:rPr>
        <w:t>00毫米，日照量高。地形以山地为主，最高点武当山主峰天柱峰海拔1</w:t>
      </w:r>
      <w:r>
        <w:t>612</w:t>
      </w:r>
      <w:r>
        <w:rPr>
          <w:rFonts w:hint="eastAsia"/>
        </w:rPr>
        <w:t>米，区内</w:t>
      </w:r>
      <w:r>
        <w:t>森林覆盖率</w:t>
      </w:r>
      <w:r>
        <w:rPr>
          <w:rFonts w:hint="eastAsia"/>
        </w:rPr>
        <w:t>高</w:t>
      </w:r>
      <w:r>
        <w:t>，</w:t>
      </w:r>
      <w:r>
        <w:rPr>
          <w:rFonts w:hint="eastAsia"/>
        </w:rPr>
        <w:t>矿产、</w:t>
      </w:r>
      <w:r>
        <w:t>动植物资源较为丰富。</w:t>
      </w:r>
      <w:r>
        <w:rPr>
          <w:rFonts w:hint="eastAsia"/>
        </w:rPr>
        <w:t>丹江口水库纳上游诸水，入水量达290.5亿立方米，水质连续25年稳定在国家</w:t>
      </w:r>
      <w:r>
        <w:fldChar w:fldCharType="begin"/>
      </w:r>
      <w:r>
        <w:instrText xml:space="preserve"> </w:instrText>
      </w:r>
      <w:r>
        <w:rPr>
          <w:rFonts w:hint="eastAsia"/>
        </w:rPr>
        <w:instrText xml:space="preserve">= 2 \* ROMAN</w:instrText>
      </w:r>
      <w:r>
        <w:instrText xml:space="preserve"> </w:instrText>
      </w:r>
      <w:r>
        <w:fldChar w:fldCharType="separate"/>
      </w:r>
      <w:r>
        <w:t>II</w:t>
      </w:r>
      <w:r>
        <w:fldChar w:fldCharType="end"/>
      </w:r>
      <w:r>
        <w:rPr>
          <w:rFonts w:hint="eastAsia"/>
        </w:rPr>
        <w:t>类以上标准。</w:t>
      </w:r>
      <w:r>
        <w:rPr>
          <w:rFonts w:hint="eastAsia"/>
          <w:color w:val="000000"/>
          <w:szCs w:val="24"/>
        </w:rPr>
        <w:t>石漠化与水土流失问题突出，采矿对环境破坏较明显。</w:t>
      </w:r>
    </w:p>
    <w:p w14:paraId="4A488D04">
      <w:pPr>
        <w:widowControl/>
        <w:suppressAutoHyphens/>
        <w:ind w:firstLine="643"/>
      </w:pPr>
      <w:r>
        <w:rPr>
          <w:rFonts w:hint="eastAsia"/>
          <w:b/>
        </w:rPr>
        <w:t>主攻方向：</w:t>
      </w:r>
      <w:r>
        <w:rPr>
          <w:rFonts w:hint="eastAsia"/>
        </w:rPr>
        <w:t>以水土流失预防治理和保障水生态安全为导向，立足国家重点生态功能区，探索恢复库周消落带生态系统，加强森林和湿地资源保护，</w:t>
      </w:r>
      <w:r>
        <w:rPr>
          <w:rFonts w:cs="Times New Roman"/>
        </w:rPr>
        <w:t>稳步</w:t>
      </w:r>
      <w:r>
        <w:rPr>
          <w:rFonts w:hint="eastAsia"/>
        </w:rPr>
        <w:t>提升森林质量和湿地功能，开展水土流失综合治理、历史遗留矿山综合整治和地质灾害防治，提高区域水土保持能力；推进丹江口水库及其上游水质保护协同联动，开展入库支流综合治理，推进生产生活面源污染防治，提高城区污水处理水平，加强库区水华风险防控，整体</w:t>
      </w:r>
      <w:r>
        <w:t>提升丹江口水库水质安全保障水平，确保一库清水</w:t>
      </w:r>
      <w:r>
        <w:rPr>
          <w:rFonts w:hint="eastAsia"/>
        </w:rPr>
        <w:t>永</w:t>
      </w:r>
      <w:r>
        <w:t>续北送。</w:t>
      </w:r>
    </w:p>
    <w:p w14:paraId="24488D63">
      <w:pPr>
        <w:pStyle w:val="4"/>
        <w:keepNext w:val="0"/>
        <w:keepLines w:val="0"/>
        <w:widowControl/>
        <w:suppressAutoHyphens/>
        <w:spacing w:line="568" w:lineRule="exact"/>
        <w:ind w:firstLine="643"/>
        <w:rPr>
          <w:rFonts w:hAnsi="仿宋"/>
          <w:szCs w:val="30"/>
        </w:rPr>
      </w:pPr>
      <w:bookmarkStart w:id="82" w:name="_Toc87089254"/>
      <w:r>
        <w:rPr>
          <w:rFonts w:hint="eastAsia" w:hAnsi="仿宋"/>
          <w:szCs w:val="30"/>
        </w:rPr>
        <w:t>（二）</w:t>
      </w:r>
      <w:r>
        <w:rPr>
          <w:rFonts w:hint="eastAsia"/>
        </w:rPr>
        <w:t>鄂西北大巴山区生物多样性保护修复区</w:t>
      </w:r>
      <w:bookmarkEnd w:id="82"/>
    </w:p>
    <w:p w14:paraId="559227E7">
      <w:pPr>
        <w:widowControl/>
        <w:suppressAutoHyphens/>
        <w:ind w:firstLine="640"/>
      </w:pPr>
      <w:r>
        <w:t>本区域位于湖北省西北部，涉及十堰市、神农架林区、襄阳市、宜昌市等的</w:t>
      </w:r>
      <w:r>
        <w:rPr>
          <w:rFonts w:hint="eastAsia"/>
        </w:rPr>
        <w:t>7</w:t>
      </w:r>
      <w:r>
        <w:t>个县市区，</w:t>
      </w:r>
      <w:r>
        <w:rPr>
          <w:rFonts w:hint="eastAsia"/>
        </w:rPr>
        <w:t>属于秦巴山地生物多样性保护与水土保持国家重点生态功能区和丹江口库区及上游国家级水土流失重点预防区，是国家重要的生物多样性保护区、濒危珍稀动植物保护示范区和中部地区重要的生态安全屏障。</w:t>
      </w:r>
    </w:p>
    <w:p w14:paraId="70EE219D">
      <w:pPr>
        <w:widowControl/>
        <w:suppressAutoHyphens/>
        <w:ind w:firstLine="643"/>
      </w:pPr>
      <w:r>
        <w:rPr>
          <w:rFonts w:hint="eastAsia"/>
          <w:b/>
        </w:rPr>
        <w:t>自然生态状况：</w:t>
      </w:r>
      <w:r>
        <w:rPr>
          <w:rFonts w:hint="eastAsia"/>
        </w:rPr>
        <w:t>该区地处大巴山区东部，大巴山东段逶迤于南，武当山脉屏障其北，南部神农架是湖北长江和汉江的分水岭。属亚热带季风气候，年均降水量800-2500毫米，境内多山地、丘陵，少平地，植被覆盖率高，矿产、能源、动植物资源丰富，</w:t>
      </w:r>
      <w:r>
        <w:t>神农架林区</w:t>
      </w:r>
      <w:r>
        <w:rPr>
          <w:rFonts w:hint="eastAsia"/>
        </w:rPr>
        <w:t>是中部地区最大原始森林、中国三大生物多样性中心之一。地势南北高，中间低，自西南向东北倾斜，地形独特，山大谷狭，高差大，坡度大，切割深，最高点神农顶海拔3106.2米，也是湖北省海拔最高点。区内喀斯特地貌发育，石漠化及潜在石漠化区域分布较广，易发生水土流失。</w:t>
      </w:r>
    </w:p>
    <w:p w14:paraId="47DE2C4D">
      <w:pPr>
        <w:widowControl/>
        <w:suppressAutoHyphens/>
        <w:ind w:firstLine="643"/>
      </w:pPr>
      <w:r>
        <w:rPr>
          <w:rFonts w:hint="eastAsia"/>
          <w:b/>
        </w:rPr>
        <w:t>主攻方向：</w:t>
      </w:r>
      <w:r>
        <w:rPr>
          <w:rFonts w:hint="eastAsia"/>
        </w:rPr>
        <w:t>以生物多样性维护和水土流失预防为导向，立足国家重点生态功能区，加强森林、河流、湖泊、亚高山湿地等自然生态系统保护和修复，建设以神农架国家公园为主的物种保护体系，提高野生动植物保护力度，恢复和改善野生动植物栖息原生生境，维护主要物种生境连通性，提升区域生态保护水平；加强现有植被保护，不断提高林草植被覆盖率和整体质量，合理开发利用自然资源，</w:t>
      </w:r>
      <w:r>
        <w:rPr>
          <w:rFonts w:cs="Times New Roman"/>
        </w:rPr>
        <w:t>加强露天及历史遗留矿山综合整治和地质灾害防治，加快矿山植被、地形地貌景观恢复，</w:t>
      </w:r>
      <w:r>
        <w:rPr>
          <w:rFonts w:hint="eastAsia"/>
        </w:rPr>
        <w:t>改善区域水土流失状况</w:t>
      </w:r>
      <w:r>
        <w:rPr>
          <w:rFonts w:hint="eastAsia" w:cs="Times New Roman"/>
        </w:rPr>
        <w:t>。</w:t>
      </w:r>
    </w:p>
    <w:p w14:paraId="0C03891E">
      <w:pPr>
        <w:pStyle w:val="4"/>
        <w:keepNext w:val="0"/>
        <w:keepLines w:val="0"/>
        <w:widowControl/>
        <w:suppressAutoHyphens/>
        <w:spacing w:line="568" w:lineRule="exact"/>
        <w:ind w:firstLine="643"/>
        <w:rPr>
          <w:rFonts w:hAnsi="仿宋"/>
          <w:szCs w:val="30"/>
        </w:rPr>
      </w:pPr>
      <w:bookmarkStart w:id="83" w:name="_Toc87089255"/>
      <w:r>
        <w:rPr>
          <w:rFonts w:hint="eastAsia" w:hAnsi="仿宋"/>
          <w:szCs w:val="30"/>
        </w:rPr>
        <w:t>（三）三峡库区水土保持综合修复区</w:t>
      </w:r>
      <w:bookmarkEnd w:id="83"/>
    </w:p>
    <w:p w14:paraId="166F47C2">
      <w:pPr>
        <w:widowControl/>
        <w:suppressAutoHyphens/>
        <w:ind w:firstLine="640"/>
      </w:pPr>
      <w:r>
        <w:rPr>
          <w:rFonts w:hint="eastAsia"/>
        </w:rPr>
        <w:t>本区域位于湖北省西部山地，</w:t>
      </w:r>
      <w:r>
        <w:t>涉及</w:t>
      </w:r>
      <w:r>
        <w:rPr>
          <w:rFonts w:hint="eastAsia"/>
        </w:rPr>
        <w:t>恩施土家族苗族自治州和宜昌市的8个县市区，属于三峡库区水土保持国家重点生态功能区和三峡库区国家级水土流失重点治理区，是长江中下游重要水源补给区和确保三峡库区生态安全的重要生态屏障。</w:t>
      </w:r>
    </w:p>
    <w:p w14:paraId="626EB1A7">
      <w:pPr>
        <w:widowControl/>
        <w:suppressAutoHyphens/>
        <w:ind w:firstLine="643"/>
      </w:pPr>
      <w:r>
        <w:rPr>
          <w:rFonts w:hint="eastAsia"/>
          <w:b/>
        </w:rPr>
        <w:t>自然生态状况：</w:t>
      </w:r>
      <w:r>
        <w:rPr>
          <w:rFonts w:hint="eastAsia"/>
        </w:rPr>
        <w:t>本区域北靠秦巴山，南依武陵山，地形复杂，高差悬殊、山高坡陡、河谷深切，</w:t>
      </w:r>
      <w:r>
        <w:t>地貌结构复杂，以山地为主。区域</w:t>
      </w:r>
      <w:r>
        <w:rPr>
          <w:rFonts w:hint="eastAsia"/>
        </w:rPr>
        <w:t>水系发育、江河纵横，水库众多，中部长江横穿而过。属</w:t>
      </w:r>
      <w:r>
        <w:t>亚热带季风气候，雨量充沛、湿度大、云雾多，气候垂直地带性明显，多年平均降水量</w:t>
      </w:r>
      <w:r>
        <w:rPr>
          <w:rFonts w:hint="eastAsia"/>
        </w:rPr>
        <w:t>1200毫米。土壤类型主要有黄红壤、山地黄棕壤、黄棕壤、紫色土、石灰土等。</w:t>
      </w:r>
      <w:r>
        <w:t>全区森林覆盖率达60%以上，</w:t>
      </w:r>
      <w:r>
        <w:rPr>
          <w:rFonts w:hint="eastAsia"/>
        </w:rPr>
        <w:t>森林植被类型丰富，林相</w:t>
      </w:r>
      <w:r>
        <w:t>复杂、季相明显。</w:t>
      </w:r>
      <w:r>
        <w:rPr>
          <w:rFonts w:hint="eastAsia"/>
        </w:rPr>
        <w:t>区内磷矿资源丰富，分布有多个大型磷矿床。</w:t>
      </w:r>
      <w:r>
        <w:t>野生动植物资源十分丰富，具有重要的生物多样性保护功能。</w:t>
      </w:r>
      <w:r>
        <w:rPr>
          <w:rFonts w:hint="eastAsia"/>
        </w:rPr>
        <w:t>特殊的地质地貌</w:t>
      </w:r>
      <w:r>
        <w:t>和长期过度垦殖，</w:t>
      </w:r>
      <w:r>
        <w:rPr>
          <w:rFonts w:hint="eastAsia"/>
        </w:rPr>
        <w:t>极易诱发水土流失，石漠化问题突出。</w:t>
      </w:r>
      <w:r>
        <w:t>受大坝等水利设施建设影响，水</w:t>
      </w:r>
      <w:r>
        <w:rPr>
          <w:rFonts w:hint="eastAsia"/>
        </w:rPr>
        <w:t>生生物多样性受损严重，多种珍稀物种濒临灭绝。</w:t>
      </w:r>
    </w:p>
    <w:p w14:paraId="6C01316B">
      <w:pPr>
        <w:widowControl/>
        <w:suppressAutoHyphens/>
        <w:ind w:firstLine="643"/>
      </w:pPr>
      <w:r>
        <w:rPr>
          <w:rFonts w:hint="eastAsia"/>
          <w:b/>
        </w:rPr>
        <w:t>主攻方向：</w:t>
      </w:r>
      <w:r>
        <w:rPr>
          <w:rFonts w:hint="eastAsia"/>
        </w:rPr>
        <w:t>以水土流失预防治理为导向，立足国家重点生态功能区，加强森林资源保护力度，</w:t>
      </w:r>
      <w:r>
        <w:rPr>
          <w:rFonts w:hint="eastAsia" w:cs="Times New Roman"/>
        </w:rPr>
        <w:t>巩固退耕还林成果，继续开展国土绿化行动，</w:t>
      </w:r>
      <w:r>
        <w:rPr>
          <w:rFonts w:cs="Times New Roman"/>
        </w:rPr>
        <w:t>稳步提高</w:t>
      </w:r>
      <w:r>
        <w:rPr>
          <w:rFonts w:hint="eastAsia" w:cs="Times New Roman"/>
        </w:rPr>
        <w:t>林草</w:t>
      </w:r>
      <w:r>
        <w:rPr>
          <w:rFonts w:cs="Times New Roman"/>
        </w:rPr>
        <w:t>植被覆盖率，</w:t>
      </w:r>
      <w:r>
        <w:rPr>
          <w:rFonts w:hint="eastAsia"/>
        </w:rPr>
        <w:t>限制开发建设活动，最大限度地减少人为因素造成新的水土流失，</w:t>
      </w:r>
      <w:r>
        <w:rPr>
          <w:rFonts w:cs="Times New Roman"/>
        </w:rPr>
        <w:t>提升区域水土保持能力；</w:t>
      </w:r>
      <w:r>
        <w:rPr>
          <w:rFonts w:hint="eastAsia"/>
        </w:rPr>
        <w:t>实施长江干流岸线生态修复，</w:t>
      </w:r>
      <w:r>
        <w:rPr>
          <w:rFonts w:hint="eastAsia"/>
          <w:szCs w:val="28"/>
        </w:rPr>
        <w:t>逐步恢复秭归-巴东段消落带生态系统，</w:t>
      </w:r>
      <w:r>
        <w:rPr>
          <w:rFonts w:hint="eastAsia"/>
        </w:rPr>
        <w:t>依托防护林体系</w:t>
      </w:r>
      <w:r>
        <w:rPr>
          <w:rFonts w:hint="eastAsia"/>
          <w:szCs w:val="28"/>
        </w:rPr>
        <w:t>建设沿江网络化生态廊道，</w:t>
      </w:r>
      <w:r>
        <w:rPr>
          <w:rFonts w:hint="eastAsia"/>
        </w:rPr>
        <w:t>保护和改善野生动植物生境连通性及水生生物洄游通道，提高区域生物多样性水平；合理控制自然资源开发利用，持续推进夷陵区和兴山县创建国家级绿色矿业发展示范区，加强</w:t>
      </w:r>
      <w:r>
        <w:rPr>
          <w:rFonts w:cs="Times New Roman"/>
        </w:rPr>
        <w:t>历史遗留矿山综合整治和地质灾害防治，</w:t>
      </w:r>
      <w:r>
        <w:rPr>
          <w:rFonts w:hint="eastAsia"/>
        </w:rPr>
        <w:t>增强区域资源环境承载能力。</w:t>
      </w:r>
    </w:p>
    <w:p w14:paraId="16933747">
      <w:pPr>
        <w:pStyle w:val="4"/>
        <w:keepNext w:val="0"/>
        <w:keepLines w:val="0"/>
        <w:widowControl/>
        <w:suppressAutoHyphens/>
        <w:spacing w:line="568" w:lineRule="exact"/>
        <w:ind w:firstLine="643"/>
        <w:rPr>
          <w:rFonts w:hAnsi="仿宋"/>
          <w:szCs w:val="30"/>
        </w:rPr>
      </w:pPr>
      <w:bookmarkStart w:id="84" w:name="_Toc87089256"/>
      <w:r>
        <w:rPr>
          <w:rFonts w:hint="eastAsia" w:hAnsi="仿宋"/>
          <w:szCs w:val="30"/>
        </w:rPr>
        <w:t>（四）</w:t>
      </w:r>
      <w:r>
        <w:rPr>
          <w:rFonts w:hint="eastAsia"/>
        </w:rPr>
        <w:t>鄂西南武陵山区生物多样性保护修复区</w:t>
      </w:r>
      <w:bookmarkEnd w:id="84"/>
    </w:p>
    <w:p w14:paraId="5AE20480">
      <w:pPr>
        <w:widowControl/>
        <w:suppressAutoHyphens/>
        <w:ind w:firstLine="640"/>
        <w:rPr>
          <w:b/>
        </w:rPr>
      </w:pPr>
      <w:r>
        <w:t>该区域位于湖北省西南部，涉及恩施土家族苗族自治州和宜昌市的</w:t>
      </w:r>
      <w:r>
        <w:rPr>
          <w:rFonts w:hint="eastAsia"/>
        </w:rPr>
        <w:t>10</w:t>
      </w:r>
      <w:r>
        <w:t>个县市</w:t>
      </w:r>
      <w:r>
        <w:rPr>
          <w:rFonts w:hint="eastAsia"/>
        </w:rPr>
        <w:t>，属于武陵山区生物多样性及水土保持国家重点生态功能区和武陵山国家级水土流失重点预防区，是国家重要的生态屏障、湖北省重要的生物多样性维护区和森林生态保护区。</w:t>
      </w:r>
    </w:p>
    <w:p w14:paraId="7233154F">
      <w:pPr>
        <w:widowControl/>
        <w:suppressAutoHyphens/>
        <w:ind w:firstLine="643"/>
      </w:pPr>
      <w:r>
        <w:rPr>
          <w:rFonts w:hint="eastAsia"/>
          <w:b/>
        </w:rPr>
        <w:t>自然生态状况：</w:t>
      </w:r>
      <w:r>
        <w:rPr>
          <w:rFonts w:hint="eastAsia"/>
        </w:rPr>
        <w:t>该区域位于我国地形台阶第二级阶梯的东部边缘，其北部属大巴山脉的南支—巫山山脉；东南部和中部属武陵山脉分支；西部系大娄山山脉的北延部分，总体上呈三山鼎立之势，北部、西北部和中部高耸，并逐渐向西、南倾斜，海拔高差悬殊，是长江支流清江的发源地。地貌以碳酸盐岩组成的高原型山地为主体，沉积矿产比较丰富。地形复杂，丘原、深谷、伏流、溶洞、冲、槽、漏斗、石林等随处可见，喀斯特地貌分布广泛，山间谷地星罗棋布。该区属亚热带季风性山地湿润气候，呈现出多样化、多层次的垂直地域差异，雨热同季、雾多湿重，降水充沛，绝大部分地区年平均降水量在1400毫米以上。区内分布多种植被类型，珍稀动植物资源十分丰富，有水杉、珙桐等多种国家珍稀濒危物种，是华中地区重要的“动植物基因库”。该区山地坡度大，水系发育，河流深切、沟壑纵横、岩溶发育，水土流失、石漠化现象严重。</w:t>
      </w:r>
    </w:p>
    <w:p w14:paraId="71519249">
      <w:pPr>
        <w:widowControl/>
        <w:suppressAutoHyphens/>
        <w:autoSpaceDE w:val="0"/>
        <w:autoSpaceDN w:val="0"/>
        <w:adjustRightInd w:val="0"/>
        <w:ind w:firstLine="643"/>
        <w:jc w:val="left"/>
        <w:rPr>
          <w:rFonts w:ascii="仿宋_GB2312" w:hAnsi="仿宋_GB2312" w:cs="仿宋_GB2312"/>
          <w:bCs/>
          <w:szCs w:val="32"/>
        </w:rPr>
      </w:pPr>
      <w:r>
        <w:rPr>
          <w:rFonts w:hint="eastAsia"/>
          <w:b/>
        </w:rPr>
        <w:t>主攻方向：</w:t>
      </w:r>
      <w:r>
        <w:rPr>
          <w:rFonts w:hint="eastAsia"/>
        </w:rPr>
        <w:t>以生物多样性维护和森林生态保护为导向，立足国家重点生态功能区，加强以天然林和公益林为主的森林资源管护，</w:t>
      </w:r>
      <w:r>
        <w:rPr>
          <w:rFonts w:hint="eastAsia"/>
          <w:spacing w:val="6"/>
        </w:rPr>
        <w:t>提升森林生态系统质量，推进亚高山泥炭癣沼泽湿地的保护和修复；加强自然保护地体系建设，提升自然保护地管理水平，</w:t>
      </w:r>
      <w:r>
        <w:rPr>
          <w:rFonts w:hint="eastAsia"/>
        </w:rPr>
        <w:t>重点加强对野生农业资源遗传多样性以及云豹、大鲵、水杉等珍稀濒危物种的保护；保护和提升清江流域植被质量，加大石漠化治理力度，开展流域综合治理，提升水土保持能力，建设清江绿色生态廊道；严格控制矿产等自然资源开发利用，大力推进历史遗留矿山综合治理和地质灾害防治，</w:t>
      </w:r>
      <w:r>
        <w:rPr>
          <w:rFonts w:hint="eastAsia" w:ascii="仿宋_GB2312" w:hAnsi="仿宋_GB2312" w:cs="仿宋_GB2312"/>
          <w:bCs/>
          <w:szCs w:val="32"/>
        </w:rPr>
        <w:t>积极推进建立清江流域生态补偿机制。</w:t>
      </w:r>
    </w:p>
    <w:p w14:paraId="58C238F0">
      <w:pPr>
        <w:pStyle w:val="4"/>
        <w:keepNext w:val="0"/>
        <w:keepLines w:val="0"/>
        <w:widowControl/>
        <w:numPr>
          <w:ilvl w:val="2"/>
          <w:numId w:val="0"/>
        </w:numPr>
        <w:suppressAutoHyphens/>
        <w:spacing w:line="568" w:lineRule="exact"/>
        <w:ind w:firstLine="643" w:firstLineChars="200"/>
        <w:rPr>
          <w:rFonts w:hAnsi="仿宋"/>
          <w:szCs w:val="30"/>
        </w:rPr>
      </w:pPr>
      <w:bookmarkStart w:id="85" w:name="_Toc87089257"/>
      <w:r>
        <w:rPr>
          <w:rFonts w:hint="eastAsia" w:hAnsi="仿宋"/>
          <w:szCs w:val="30"/>
        </w:rPr>
        <w:t>（五）</w:t>
      </w:r>
      <w:r>
        <w:rPr>
          <w:rFonts w:hint="eastAsia"/>
        </w:rPr>
        <w:t>鄂中北农林提升和水生态综合修复区</w:t>
      </w:r>
      <w:bookmarkEnd w:id="85"/>
    </w:p>
    <w:p w14:paraId="3907B1A2">
      <w:pPr>
        <w:widowControl/>
        <w:suppressAutoHyphens/>
        <w:ind w:firstLine="640"/>
      </w:pPr>
      <w:r>
        <w:rPr>
          <w:rFonts w:hint="eastAsia"/>
        </w:rPr>
        <w:t>本</w:t>
      </w:r>
      <w:r>
        <w:t>区域位于湖北省</w:t>
      </w:r>
      <w:r>
        <w:rPr>
          <w:rFonts w:hint="eastAsia"/>
        </w:rPr>
        <w:t>北部和中部岗地丘陵区，</w:t>
      </w:r>
      <w:r>
        <w:t>涉及</w:t>
      </w:r>
      <w:r>
        <w:rPr>
          <w:rFonts w:hint="eastAsia"/>
        </w:rPr>
        <w:t>襄阳市</w:t>
      </w:r>
      <w:r>
        <w:t>和</w:t>
      </w:r>
      <w:r>
        <w:rPr>
          <w:rFonts w:hint="eastAsia"/>
        </w:rPr>
        <w:t>荆门市</w:t>
      </w:r>
      <w:r>
        <w:t>的</w:t>
      </w:r>
      <w:r>
        <w:rPr>
          <w:rFonts w:hint="eastAsia"/>
        </w:rPr>
        <w:t>12</w:t>
      </w:r>
      <w:r>
        <w:t>个县市区</w:t>
      </w:r>
      <w:r>
        <w:rPr>
          <w:rFonts w:hint="eastAsia"/>
        </w:rPr>
        <w:t>。</w:t>
      </w:r>
    </w:p>
    <w:p w14:paraId="177104E3">
      <w:pPr>
        <w:widowControl/>
        <w:suppressAutoHyphens/>
        <w:ind w:firstLine="643"/>
        <w:jc w:val="left"/>
      </w:pPr>
      <w:r>
        <w:rPr>
          <w:rFonts w:hint="eastAsia"/>
          <w:b/>
          <w:bCs/>
        </w:rPr>
        <w:t>自然生态状况：</w:t>
      </w:r>
      <w:r>
        <w:rPr>
          <w:rFonts w:hint="eastAsia"/>
        </w:rPr>
        <w:t>本区域地貌类型以岗地、丘陵为主，汉江自西北贯穿而过，鄂北属南阳盆地边缘、鄂中</w:t>
      </w:r>
      <w:r>
        <w:t>以</w:t>
      </w:r>
      <w:r>
        <w:rPr>
          <w:rFonts w:hint="eastAsia"/>
        </w:rPr>
        <w:t>大洪山</w:t>
      </w:r>
      <w:r>
        <w:t>低山丘陵为</w:t>
      </w:r>
      <w:r>
        <w:rPr>
          <w:rFonts w:hint="eastAsia"/>
        </w:rPr>
        <w:t>主体，其中大洪山区域是湖北省重要的生物多样性及景观保护生态功能区，已建成大洪山国家级风景区和大洪山市级自然保护区，主要保护对象为银杏古树和对接白蜡等。土壤类型主要为黄僵</w:t>
      </w:r>
      <w:r>
        <w:t>土、黄棕壤和汉江沿岸的潮沙泥土，土壤肥力</w:t>
      </w:r>
      <w:r>
        <w:rPr>
          <w:rFonts w:hint="eastAsia"/>
        </w:rPr>
        <w:t>整体</w:t>
      </w:r>
      <w:r>
        <w:t>较高，发展农业条件较好</w:t>
      </w:r>
      <w:r>
        <w:rPr>
          <w:rFonts w:hint="eastAsia"/>
        </w:rPr>
        <w:t>，是湖北省耕地集中分布区之一，其中老河口市与枣阳市是湖北省乃至全国重要的小麦、</w:t>
      </w:r>
      <w:r>
        <w:t>水稻、棉花生产基地</w:t>
      </w:r>
      <w:r>
        <w:rPr>
          <w:rFonts w:hint="eastAsia"/>
        </w:rPr>
        <w:t>。年平均</w:t>
      </w:r>
      <w:r>
        <w:t>降水量小于900</w:t>
      </w:r>
      <w:r>
        <w:rPr>
          <w:rFonts w:hint="eastAsia"/>
        </w:rPr>
        <w:t>毫米，属于湖北省降水偏少地区，加之汇水条件较差，干旱威胁较大，旱灾频发。区域内汉江流经老河口市、谷城县、樊城区、宜城市、钟祥市，土地开发程度较高，沿江存在轻度和中度土壤沙化现象。区域内荆山-大洪山一带的东宝区、钟祥市、京山市和宜城市，水土流失面积相对较大。</w:t>
      </w:r>
    </w:p>
    <w:p w14:paraId="18FB413D">
      <w:pPr>
        <w:widowControl/>
        <w:suppressAutoHyphens/>
        <w:ind w:firstLine="643"/>
      </w:pPr>
      <w:r>
        <w:rPr>
          <w:rFonts w:hint="eastAsia"/>
          <w:b/>
          <w:bCs/>
        </w:rPr>
        <w:t>主攻方向：</w:t>
      </w:r>
      <w:r>
        <w:rPr>
          <w:rFonts w:hint="eastAsia"/>
        </w:rPr>
        <w:t>以农林生态系统功能提升和汉江流域水生态综合修复为导向，大力推进汉江中下游干支流综合治理，加强河湖湿地资源保护和恢复，完善并强化汉江中下游水资源联合调度、保障机制，提高汉江中下游河湖生态流量保障水平</w:t>
      </w:r>
      <w:r>
        <w:rPr>
          <w:rFonts w:hint="eastAsia" w:cs="Times New Roman"/>
        </w:rPr>
        <w:t>；</w:t>
      </w:r>
      <w:r>
        <w:t>大力发展特色现代农业，切实保护耕地，</w:t>
      </w:r>
      <w:r>
        <w:rPr>
          <w:rFonts w:hint="eastAsia"/>
        </w:rPr>
        <w:t>积极开展耕地提质增效和退化耕地治理，逐步提升农田蓄水保土能力，</w:t>
      </w:r>
      <w:r>
        <w:rPr>
          <w:rFonts w:cs="Times New Roman"/>
        </w:rPr>
        <w:t>改善农田及周边生境，</w:t>
      </w:r>
      <w:r>
        <w:t>提高耕地质量和生态效益，</w:t>
      </w:r>
      <w:r>
        <w:rPr>
          <w:rFonts w:hint="eastAsia" w:cs="Times New Roman"/>
        </w:rPr>
        <w:t>推动农业绿色发展和乡村生态环境整体改善</w:t>
      </w:r>
      <w:r>
        <w:rPr>
          <w:rFonts w:hint="eastAsia"/>
        </w:rPr>
        <w:t>；合理控制区域以磷矿为主的矿山资源开发强度，积极推进绿色矿山建设和历史遗留矿山综合治理。</w:t>
      </w:r>
    </w:p>
    <w:p w14:paraId="60855D1E">
      <w:pPr>
        <w:pStyle w:val="4"/>
        <w:keepNext w:val="0"/>
        <w:keepLines w:val="0"/>
        <w:widowControl/>
        <w:numPr>
          <w:ilvl w:val="2"/>
          <w:numId w:val="0"/>
        </w:numPr>
        <w:suppressAutoHyphens/>
        <w:spacing w:line="568" w:lineRule="exact"/>
        <w:ind w:firstLine="643" w:firstLineChars="200"/>
        <w:rPr>
          <w:rFonts w:hAnsi="仿宋"/>
          <w:szCs w:val="30"/>
        </w:rPr>
      </w:pPr>
      <w:bookmarkStart w:id="86" w:name="_Toc87089258"/>
      <w:r>
        <w:rPr>
          <w:rFonts w:hint="eastAsia" w:hAnsi="仿宋"/>
          <w:szCs w:val="30"/>
        </w:rPr>
        <w:t>（六）</w:t>
      </w:r>
      <w:r>
        <w:rPr>
          <w:rFonts w:hint="eastAsia"/>
        </w:rPr>
        <w:t>江汉平原河湖湿地和农业生态修复区</w:t>
      </w:r>
      <w:bookmarkEnd w:id="86"/>
    </w:p>
    <w:p w14:paraId="65124E92">
      <w:pPr>
        <w:widowControl/>
        <w:suppressAutoHyphens/>
        <w:ind w:firstLine="640"/>
        <w:rPr>
          <w:color w:val="4F81BD" w:themeColor="accent1"/>
          <w14:textFill>
            <w14:solidFill>
              <w14:schemeClr w14:val="accent1"/>
            </w14:solidFill>
          </w14:textFill>
        </w:rPr>
      </w:pPr>
      <w:r>
        <w:rPr>
          <w:rFonts w:hint="eastAsia"/>
        </w:rPr>
        <w:t>本</w:t>
      </w:r>
      <w:r>
        <w:t>区域位于湖北省</w:t>
      </w:r>
      <w:r>
        <w:rPr>
          <w:rFonts w:hint="eastAsia"/>
        </w:rPr>
        <w:t>中南</w:t>
      </w:r>
      <w:r>
        <w:t>部，涉及武汉市、宜昌市、黄石市、荆州市、荆门市、黄冈市、孝感市、咸宁市、鄂州市等</w:t>
      </w:r>
      <w:r>
        <w:rPr>
          <w:rFonts w:hint="eastAsia"/>
        </w:rPr>
        <w:t>9</w:t>
      </w:r>
      <w:r>
        <w:t>个市以及仙桃市、天门市、潜江市</w:t>
      </w:r>
      <w:r>
        <w:rPr>
          <w:rFonts w:hint="eastAsia"/>
        </w:rPr>
        <w:t>3个省管市</w:t>
      </w:r>
      <w:r>
        <w:t>的</w:t>
      </w:r>
      <w:r>
        <w:rPr>
          <w:rFonts w:hint="eastAsia"/>
        </w:rPr>
        <w:t>48个县市区。该区是国家及湖北省重要的农产品主产区和蓄滞洪区，其中武汉城市圈是湖北经济发展的核心区域和中部崛起的重要战略支点。</w:t>
      </w:r>
    </w:p>
    <w:p w14:paraId="40EA4FDD">
      <w:pPr>
        <w:widowControl/>
        <w:suppressAutoHyphens/>
        <w:ind w:firstLine="643"/>
        <w:jc w:val="left"/>
      </w:pPr>
      <w:r>
        <w:rPr>
          <w:rFonts w:hint="eastAsia"/>
          <w:b/>
          <w:bCs/>
        </w:rPr>
        <w:t>自然生态状况：</w:t>
      </w:r>
      <w:r>
        <w:rPr>
          <w:rFonts w:hint="eastAsia"/>
        </w:rPr>
        <w:t>本区域地势平坦，平均海拔35米以下，</w:t>
      </w:r>
      <w:r>
        <w:t>降水量</w:t>
      </w:r>
      <w:r>
        <w:rPr>
          <w:rFonts w:hint="eastAsia"/>
        </w:rPr>
        <w:t>丰富，</w:t>
      </w:r>
      <w:r>
        <w:t>气候条件良好，</w:t>
      </w:r>
      <w:r>
        <w:rPr>
          <w:rFonts w:hint="eastAsia"/>
        </w:rPr>
        <w:t>森林覆盖率较低。区域内河湖密布，含有重要的分蓄洪区，其中荆江分洪区、洪湖分蓄洪区是国家防汛</w:t>
      </w:r>
      <w:r>
        <w:rPr>
          <w:rFonts w:hint="eastAsia"/>
          <w:lang w:val="en-US" w:eastAsia="zh-CN"/>
        </w:rPr>
        <w:t>抗旱</w:t>
      </w:r>
      <w:r>
        <w:rPr>
          <w:rFonts w:hint="eastAsia"/>
        </w:rPr>
        <w:t>总指挥部确定的长江中下游重点蓄滞洪区；湖泊湿地生物多样性丰富，拥有江豚、</w:t>
      </w:r>
      <w:r>
        <w:t>中华鲟、麋鹿等国家重要保护物种</w:t>
      </w:r>
      <w:r>
        <w:rPr>
          <w:rFonts w:hint="eastAsia"/>
        </w:rPr>
        <w:t>，但河流湖泊水质污染严重，存在湖泊湿地萎缩现象。江汉平原农业生产条件十分优越，土地利用程度高，但由于地势低洼、降水量丰富集中，是渍涝灾害多发区，农业面源污染较为严重。鄂东沿江平原经济发展条件较好，城镇建设密集，土地资源紧缺，工农业污染、生活污染、矿产开发等导致区域水污染较为严重，城市内涝、热岛效应问题突出。</w:t>
      </w:r>
    </w:p>
    <w:p w14:paraId="09FE84B6">
      <w:pPr>
        <w:widowControl/>
        <w:suppressAutoHyphens/>
        <w:ind w:firstLine="643"/>
      </w:pPr>
      <w:r>
        <w:rPr>
          <w:rFonts w:hint="eastAsia"/>
          <w:b/>
          <w:bCs/>
        </w:rPr>
        <w:t>主攻方向：</w:t>
      </w:r>
      <w:r>
        <w:rPr>
          <w:rFonts w:hint="eastAsia"/>
        </w:rPr>
        <w:t>以河湖湿地保护修复和农业生态保护修复为导向，</w:t>
      </w:r>
      <w:r>
        <w:rPr>
          <w:rFonts w:hint="eastAsia"/>
          <w:spacing w:val="6"/>
        </w:rPr>
        <w:t>大力推进长江干流、汉江下游及府</w:t>
      </w:r>
      <w:r>
        <w:rPr>
          <w:rFonts w:hint="eastAsia" w:ascii="仿宋" w:hAnsi="仿宋" w:eastAsia="仿宋" w:cs="宋体"/>
          <w:spacing w:val="6"/>
        </w:rPr>
        <w:t>澴</w:t>
      </w:r>
      <w:r>
        <w:rPr>
          <w:rFonts w:hint="eastAsia" w:ascii="仿宋_GB2312" w:hAnsi="仿宋_GB2312" w:cs="仿宋_GB2312"/>
          <w:spacing w:val="6"/>
        </w:rPr>
        <w:t>河、</w:t>
      </w:r>
      <w:r>
        <w:rPr>
          <w:rFonts w:hint="eastAsia"/>
          <w:spacing w:val="6"/>
        </w:rPr>
        <w:t>通顺河、天门河、汉北河等重要支流、四湖流域、斧头湖、梁子湖、沉湖、武湖、</w:t>
      </w:r>
      <w:r>
        <w:rPr>
          <w:rFonts w:hint="eastAsia" w:ascii="仿宋" w:hAnsi="仿宋" w:eastAsia="仿宋" w:cs="宋体"/>
          <w:spacing w:val="6"/>
        </w:rPr>
        <w:t>汈</w:t>
      </w:r>
      <w:r>
        <w:rPr>
          <w:rFonts w:hint="eastAsia" w:ascii="仿宋_GB2312" w:hAnsi="仿宋_GB2312" w:cs="仿宋_GB2312"/>
          <w:spacing w:val="6"/>
        </w:rPr>
        <w:t>汊湖、黄盖湖、龙感湖等重点</w:t>
      </w:r>
      <w:r>
        <w:rPr>
          <w:rFonts w:hint="eastAsia"/>
          <w:spacing w:val="6"/>
        </w:rPr>
        <w:t>湖泊水生态保护和综合治理，提高江河湖水系连通性，保护</w:t>
      </w:r>
      <w:r>
        <w:rPr>
          <w:rFonts w:hint="eastAsia"/>
        </w:rPr>
        <w:t>提升河湖湿地生态系统功能稳定性和生物多样性；全面推进</w:t>
      </w:r>
      <w:r>
        <w:rPr>
          <w:rFonts w:hint="eastAsia" w:cs="Times New Roman"/>
        </w:rPr>
        <w:t>全域国土综合整治，</w:t>
      </w:r>
      <w:r>
        <w:rPr>
          <w:rFonts w:hint="eastAsia"/>
        </w:rPr>
        <w:t>统筹实施农用地整治、建设用地整治和乡村生态保护修复，</w:t>
      </w:r>
      <w:r>
        <w:rPr>
          <w:rFonts w:hint="eastAsia" w:ascii="仿宋_GB2312" w:cs="仿宋_GB2312" w:hAnsiTheme="minorHAnsi"/>
          <w:kern w:val="0"/>
          <w:szCs w:val="32"/>
        </w:rPr>
        <w:t>提升耕地数量与质量，</w:t>
      </w:r>
      <w:r>
        <w:rPr>
          <w:rFonts w:hint="eastAsia"/>
        </w:rPr>
        <w:t>构建规模适度集中连片的耕地、草地、湿地和林地等生态系统复合格局，加强农业外来入侵物种防治；</w:t>
      </w:r>
      <w:r>
        <w:rPr>
          <w:rFonts w:hint="eastAsia"/>
          <w:spacing w:val="6"/>
        </w:rPr>
        <w:t>切实推动鄂东城镇集中地区城市生态品质提升，</w:t>
      </w:r>
      <w:r>
        <w:rPr>
          <w:rFonts w:hint="eastAsia"/>
        </w:rPr>
        <w:t>大力推进黄石、鄂州等区域矿山生态修复和地质灾害防治，</w:t>
      </w:r>
      <w:r>
        <w:rPr>
          <w:rFonts w:hint="eastAsia"/>
          <w:spacing w:val="6"/>
        </w:rPr>
        <w:t>加强</w:t>
      </w:r>
      <w:r>
        <w:t>城市山体、水体、湿地、绿地等自然生态资源的保护和修复</w:t>
      </w:r>
      <w:r>
        <w:rPr>
          <w:rFonts w:hint="eastAsia"/>
          <w:spacing w:val="6"/>
        </w:rPr>
        <w:t>，增强城市内部及周边蓝绿网络的连通性，构建多层次网络化生态廊道和通风廊道，</w:t>
      </w:r>
      <w:r>
        <w:rPr>
          <w:rFonts w:cs="Times New Roman"/>
        </w:rPr>
        <w:t>全面推进海绵城市建设</w:t>
      </w:r>
      <w:r>
        <w:rPr>
          <w:rFonts w:cs="Times New Roman"/>
          <w:szCs w:val="32"/>
        </w:rPr>
        <w:t>，</w:t>
      </w:r>
      <w:r>
        <w:rPr>
          <w:rFonts w:hint="eastAsia"/>
          <w:spacing w:val="6"/>
        </w:rPr>
        <w:t>降低城市内涝和热岛效应。</w:t>
      </w:r>
    </w:p>
    <w:p w14:paraId="47F0ECE4">
      <w:pPr>
        <w:pStyle w:val="4"/>
        <w:keepNext w:val="0"/>
        <w:keepLines w:val="0"/>
        <w:widowControl/>
        <w:suppressAutoHyphens/>
        <w:spacing w:line="568" w:lineRule="exact"/>
        <w:ind w:firstLine="643"/>
        <w:rPr>
          <w:rFonts w:hAnsi="仿宋"/>
          <w:szCs w:val="30"/>
        </w:rPr>
      </w:pPr>
      <w:bookmarkStart w:id="87" w:name="_Toc87089259"/>
      <w:r>
        <w:rPr>
          <w:rFonts w:hint="eastAsia" w:hAnsi="仿宋"/>
          <w:szCs w:val="30"/>
        </w:rPr>
        <w:t>（七）</w:t>
      </w:r>
      <w:r>
        <w:rPr>
          <w:rFonts w:hint="eastAsia"/>
        </w:rPr>
        <w:t>鄂东北大别山区水土保持和生物多样性保护修复区</w:t>
      </w:r>
      <w:bookmarkEnd w:id="87"/>
    </w:p>
    <w:p w14:paraId="7FA403F8">
      <w:pPr>
        <w:widowControl/>
        <w:suppressAutoHyphens/>
        <w:ind w:firstLine="640"/>
      </w:pPr>
      <w:r>
        <w:rPr>
          <w:rFonts w:hint="eastAsia"/>
        </w:rPr>
        <w:t>本区域位于湖北省东北部，涉及随州市、孝感市、黄冈市的9个县市区，属于大别山水土保持国家重点功能区和桐柏山大别山国家级水土流失重点预防区，是长江中下游重要水源补给区。</w:t>
      </w:r>
    </w:p>
    <w:p w14:paraId="073D6FF6">
      <w:pPr>
        <w:widowControl/>
        <w:suppressAutoHyphens/>
        <w:ind w:firstLine="643"/>
      </w:pPr>
      <w:r>
        <w:rPr>
          <w:rFonts w:hint="eastAsia"/>
          <w:b/>
          <w:bCs/>
        </w:rPr>
        <w:t>自然生态状况：</w:t>
      </w:r>
      <w:r>
        <w:rPr>
          <w:rFonts w:hint="eastAsia"/>
        </w:rPr>
        <w:t>本区域横跨桐柏山、大别山南部，西南部为大洪山山脉北麓，大别山主峰天堂寨、桐柏山主峰太白顶、大洪山主峰宝珠峰均在区内，地形以低山丘陵为主，地势起伏较小，丘间沟谷开阔，土层较厚，宜农宜林。该区属北亚热带温暖湿润季风气候区，区域年降水量7</w:t>
      </w:r>
      <w:r>
        <w:t>00-1200</w:t>
      </w:r>
      <w:r>
        <w:rPr>
          <w:rFonts w:hint="eastAsia"/>
        </w:rPr>
        <w:t>毫米，光温良好，林业、农业物产充足，是湖北省重要的苗木生产基地、农业生产基地。森林资源丰富，物种多样，有银杏、南方红豆杉、大别山五针松、原麝、白头鹤等多种国家级保护动植物。受地形地貌、陡坡耕种、矿山开发等多种因素影响，易发生水土流失。</w:t>
      </w:r>
    </w:p>
    <w:p w14:paraId="355CC22B">
      <w:pPr>
        <w:widowControl/>
        <w:suppressAutoHyphens/>
        <w:ind w:firstLine="643"/>
      </w:pPr>
      <w:r>
        <w:rPr>
          <w:rFonts w:hint="eastAsia"/>
          <w:b/>
          <w:bCs/>
        </w:rPr>
        <w:t>主攻方向：</w:t>
      </w:r>
      <w:r>
        <w:rPr>
          <w:rFonts w:hint="eastAsia" w:hAnsi="Calibri" w:cs="Times New Roman"/>
        </w:rPr>
        <w:t>以水土保持和生物多样性维护为导向，保护和改善山地丘陵地区植被，调整林分结构，大力营造水土保持林和水源涵养林，提高整体植被覆盖率，加强水土流失预防和综合治理，提升区域水源涵养和水土保持能力；加强裸露山体和历史遗留矿山综合治理，推进绿色矿山创建，恢复矿区生态环境；稳定和扩大野生动植物栖息地，提升自然保护地管护水平，</w:t>
      </w:r>
      <w:r>
        <w:rPr>
          <w:rFonts w:hint="eastAsia"/>
        </w:rPr>
        <w:t>采取近自然工程措施，建设主要生态系统连接廊道，积极</w:t>
      </w:r>
      <w:r>
        <w:rPr>
          <w:rFonts w:hint="eastAsia" w:hAnsi="Calibri" w:cs="Times New Roman"/>
        </w:rPr>
        <w:t>防治外来入侵物种和有害生物，保护和提升生物多样性。</w:t>
      </w:r>
    </w:p>
    <w:p w14:paraId="258A74CD">
      <w:pPr>
        <w:pStyle w:val="4"/>
        <w:keepNext w:val="0"/>
        <w:keepLines w:val="0"/>
        <w:widowControl/>
        <w:suppressAutoHyphens/>
        <w:spacing w:line="568" w:lineRule="exact"/>
        <w:ind w:firstLine="643"/>
        <w:rPr>
          <w:rFonts w:hAnsi="仿宋"/>
          <w:szCs w:val="30"/>
        </w:rPr>
      </w:pPr>
      <w:bookmarkStart w:id="88" w:name="_Toc87089260"/>
      <w:r>
        <w:rPr>
          <w:rFonts w:hint="eastAsia" w:hAnsi="仿宋"/>
          <w:szCs w:val="30"/>
        </w:rPr>
        <w:t>（八）</w:t>
      </w:r>
      <w:r>
        <w:rPr>
          <w:rFonts w:hint="eastAsia"/>
        </w:rPr>
        <w:t>鄂东南幕阜山区水源涵养和生物多样性保护修复区</w:t>
      </w:r>
      <w:bookmarkEnd w:id="88"/>
    </w:p>
    <w:p w14:paraId="4FAEC53D">
      <w:pPr>
        <w:widowControl/>
        <w:suppressAutoHyphens/>
        <w:ind w:firstLine="640"/>
      </w:pPr>
      <w:r>
        <w:rPr>
          <w:rFonts w:hint="eastAsia"/>
        </w:rPr>
        <w:t>本区域位于湖北省东南部，涉及咸宁市、黄石市的4个县市区，属于幕阜山省级重点生态功能区和幕阜山省级水土流失重点治理区。</w:t>
      </w:r>
    </w:p>
    <w:p w14:paraId="7E34C2CB">
      <w:pPr>
        <w:widowControl/>
        <w:suppressAutoHyphens/>
        <w:ind w:firstLine="643"/>
      </w:pPr>
      <w:r>
        <w:rPr>
          <w:rFonts w:hint="eastAsia"/>
          <w:b/>
          <w:bCs/>
        </w:rPr>
        <w:t>自然生态状况：</w:t>
      </w:r>
      <w:r>
        <w:rPr>
          <w:rFonts w:hint="eastAsia"/>
        </w:rPr>
        <w:t>本区域位于幕阜山北麓，以中低山丘陵为主，地势南高北低，幕阜山主峰老鸦尖海拔1656米，为该区最高峰。本区属亚热带湿润气候，雨量丰沛，光温水资源协调，宜农宜林宜渔。动植物资源丰富，有国家一级保护动物白颈长尾雉、金钱豹、云豹等，一级保护树种南方红豆杉、香果树、银杉等，已建成九宫山国家级自然保护区、网湖国际重要湿地、通城大溪、崇阳青山、通山富水湖、阳新莲花湖4个国家湿地公园等多个自然保护地。区内岩溶地貌发育，石漠化及潜在石漠化面积较大，水土流失分布较广，局部区域矿山生态问题较为突出。</w:t>
      </w:r>
    </w:p>
    <w:p w14:paraId="43E14877">
      <w:pPr>
        <w:widowControl/>
        <w:suppressAutoHyphens/>
        <w:ind w:firstLine="643"/>
      </w:pPr>
      <w:r>
        <w:rPr>
          <w:rFonts w:hint="eastAsia"/>
          <w:b/>
          <w:bCs/>
        </w:rPr>
        <w:t>主攻方向：</w:t>
      </w:r>
      <w:r>
        <w:rPr>
          <w:rFonts w:hint="eastAsia"/>
        </w:rPr>
        <w:t>以水源涵养和生物多样性维护为导向，加大森林、湿地等资源管理力度，推进水源涵养林建设，提高森林植被覆盖率和整体质量，以国家湿地公园为核心加强区域河湖湿地保护和恢复，提升生态系统水源涵养功能；加强石漠化地区综合治理，分类施策，促进石漠化地区生态自然修复；积极开展历史遗留矿山综合治理和地质灾害防治，增强山地生态系统稳定性；加强以九宫山为核心的自然保护区建设，保护和改善重点保护云豹、豹、白颈长尾雉等物种栖息地，提高生物栖息地连通性，积极开展药用植物资源保护。</w:t>
      </w:r>
    </w:p>
    <w:p w14:paraId="1CC92DA0">
      <w:pPr>
        <w:suppressAutoHyphens/>
        <w:ind w:firstLine="480"/>
        <w:rPr>
          <w:rFonts w:ascii="黑体" w:hAnsi="黑体" w:eastAsia="黑体"/>
          <w:sz w:val="24"/>
        </w:rPr>
      </w:pPr>
      <w:r>
        <w:rPr>
          <w:rFonts w:ascii="黑体" w:hAnsi="黑体" w:eastAsia="黑体"/>
          <w:sz w:val="24"/>
        </w:rPr>
        <w:br w:type="page"/>
      </w:r>
    </w:p>
    <w:p w14:paraId="2BA4455E">
      <w:pPr>
        <w:suppressAutoHyphens/>
        <w:ind w:firstLine="640"/>
        <w:rPr>
          <w:rFonts w:ascii="仿宋_GB2312" w:hAnsi="仿宋"/>
          <w:color w:val="000000"/>
          <w:szCs w:val="32"/>
        </w:rPr>
      </w:pPr>
    </w:p>
    <w:p w14:paraId="045251C2">
      <w:pPr>
        <w:pStyle w:val="54"/>
      </w:pPr>
      <w:bookmarkStart w:id="89" w:name="_Toc87089261"/>
      <w:bookmarkStart w:id="90" w:name="_Toc87200621"/>
      <w:r>
        <w:t>第四章　</w:t>
      </w:r>
      <w:r>
        <w:rPr>
          <w:rFonts w:hint="eastAsia"/>
        </w:rPr>
        <w:t>荆楚特色生态廊道</w:t>
      </w:r>
      <w:bookmarkEnd w:id="89"/>
      <w:r>
        <w:rPr>
          <w:rFonts w:hint="eastAsia"/>
        </w:rPr>
        <w:t>建设</w:t>
      </w:r>
      <w:bookmarkEnd w:id="90"/>
    </w:p>
    <w:p w14:paraId="2D008CAE">
      <w:pPr>
        <w:pStyle w:val="53"/>
      </w:pPr>
      <w:bookmarkStart w:id="91" w:name="_Toc87200622"/>
      <w:bookmarkStart w:id="92" w:name="_Toc87089262"/>
      <w:r>
        <w:rPr>
          <w:rFonts w:hint="eastAsia"/>
        </w:rPr>
        <w:t>第一节　全面推进“三江”主廊道建设</w:t>
      </w:r>
      <w:bookmarkEnd w:id="91"/>
      <w:bookmarkEnd w:id="92"/>
    </w:p>
    <w:p w14:paraId="279F3582">
      <w:pPr>
        <w:suppressAutoHyphens/>
        <w:ind w:firstLine="640"/>
        <w:rPr>
          <w:rFonts w:ascii="仿宋_GB2312"/>
          <w:b/>
          <w:color w:val="000000"/>
          <w:szCs w:val="32"/>
        </w:rPr>
      </w:pPr>
      <w:r>
        <w:rPr>
          <w:rFonts w:hint="eastAsia" w:ascii="仿宋_GB2312" w:hAnsi="仿宋"/>
          <w:color w:val="000000"/>
          <w:szCs w:val="32"/>
        </w:rPr>
        <w:t>深入开展长江、汉江、清江流域生态环境系统治理和保护修复，推进沿江两岸覆绿，</w:t>
      </w:r>
      <w:r>
        <w:rPr>
          <w:rFonts w:hint="eastAsia" w:ascii="仿宋_GB2312"/>
          <w:color w:val="000000"/>
          <w:szCs w:val="32"/>
        </w:rPr>
        <w:t>着力打造长江经济带生态廊道、汉江生态经济带生态廊道、清江画廊三大主廊道。</w:t>
      </w:r>
    </w:p>
    <w:p w14:paraId="68B89EE9">
      <w:pPr>
        <w:suppressAutoHyphens/>
        <w:ind w:firstLine="643"/>
        <w:rPr>
          <w:rFonts w:ascii="仿宋_GB2312"/>
          <w:color w:val="000000"/>
          <w:szCs w:val="32"/>
        </w:rPr>
      </w:pPr>
      <w:r>
        <w:rPr>
          <w:rFonts w:hint="eastAsia" w:ascii="仿宋_GB2312"/>
          <w:b/>
          <w:color w:val="000000"/>
          <w:szCs w:val="32"/>
        </w:rPr>
        <w:t>持续开展三江六岸造林绿化行动。</w:t>
      </w:r>
      <w:r>
        <w:rPr>
          <w:rFonts w:hint="eastAsia" w:ascii="仿宋_GB2312"/>
          <w:color w:val="000000"/>
          <w:szCs w:val="32"/>
        </w:rPr>
        <w:t>围绕“三江”干流，大力推进三江六岸宜林荒山荒地、无立木林地、裸露地、困难造林地等造林绿化，加大天然林保护、生态公益林、水源涵养林和水土保持林建设力度，积极推广特色乡土树种，调整优化树种结构，加强森林抚育，提高森林质量，</w:t>
      </w:r>
      <w:bookmarkStart w:id="93" w:name="_Hlk75286609"/>
      <w:r>
        <w:rPr>
          <w:rFonts w:hint="eastAsia" w:ascii="仿宋_GB2312"/>
          <w:color w:val="000000"/>
          <w:szCs w:val="32"/>
        </w:rPr>
        <w:t>切实提高沿江林草覆盖率</w:t>
      </w:r>
      <w:bookmarkEnd w:id="93"/>
      <w:r>
        <w:rPr>
          <w:rFonts w:hint="eastAsia" w:ascii="仿宋_GB2312"/>
          <w:color w:val="000000"/>
          <w:szCs w:val="32"/>
        </w:rPr>
        <w:t>，完善沿江防护林体系，构筑护堤护岸生态屏障。同时可将造林绿化同森林城市建设相结合，加强原有植被的保护与利用、四季景观的营造，高标准打造城市滨江生态廊道，提升沿江生态景观和城市人居环境。统筹推进沿线城镇村庄绿化，大力开展沿江水网路网、农田林网、村庄道路绿化和庭院绿化，构建三江沿线乡村绿色生态网络。</w:t>
      </w:r>
    </w:p>
    <w:p w14:paraId="1B1C135E">
      <w:pPr>
        <w:suppressAutoHyphens/>
        <w:ind w:firstLine="643"/>
        <w:rPr>
          <w:rFonts w:ascii="仿宋_GB2312"/>
          <w:color w:val="000000"/>
          <w:szCs w:val="32"/>
        </w:rPr>
      </w:pPr>
      <w:r>
        <w:rPr>
          <w:rFonts w:hint="eastAsia" w:ascii="仿宋_GB2312"/>
          <w:b/>
          <w:color w:val="000000"/>
          <w:szCs w:val="32"/>
        </w:rPr>
        <w:t>大力提升水生生物多样性。</w:t>
      </w:r>
      <w:r>
        <w:rPr>
          <w:rFonts w:hint="eastAsia" w:ascii="仿宋_GB2312"/>
          <w:color w:val="000000"/>
          <w:szCs w:val="32"/>
        </w:rPr>
        <w:t>强化沿江生态空间保护，</w:t>
      </w:r>
      <w:r>
        <w:rPr>
          <w:rFonts w:hint="eastAsia"/>
          <w:szCs w:val="32"/>
        </w:rPr>
        <w:t>严格长江、汉江、清江干流分区管控和</w:t>
      </w:r>
      <w:r>
        <w:rPr>
          <w:rFonts w:hint="eastAsia" w:ascii="仿宋_GB2312"/>
          <w:color w:val="000000"/>
          <w:szCs w:val="32"/>
        </w:rPr>
        <w:t>水域岸线用途管制</w:t>
      </w:r>
      <w:r>
        <w:rPr>
          <w:rFonts w:hint="eastAsia"/>
          <w:szCs w:val="32"/>
        </w:rPr>
        <w:t>，</w:t>
      </w:r>
      <w:r>
        <w:rPr>
          <w:rFonts w:hint="eastAsia" w:ascii="仿宋_GB2312"/>
          <w:color w:val="000000"/>
          <w:szCs w:val="32"/>
        </w:rPr>
        <w:t>将廊道建设与水生态环境治理相结合，推进水污染防治，改善水环境质量，调节水库蓄水、排水量，维护上下游连通性，保障“三江”生态流量，统筹保护恢复以鱼类资源为重点的水生生物多样性，保护中华鲟、江豚以及其他珍稀特有水生生物洄游通道、产卵场、索饵场等重要栖息地，建立水生动物自然保护区和水产种质资源保护区，完善保护地的结构和布局，</w:t>
      </w:r>
      <w:bookmarkStart w:id="94" w:name="_Hlk75286716"/>
      <w:r>
        <w:rPr>
          <w:rFonts w:hint="eastAsia" w:ascii="仿宋_GB2312"/>
          <w:color w:val="000000"/>
          <w:szCs w:val="32"/>
        </w:rPr>
        <w:t>提升生态系统连接度</w:t>
      </w:r>
      <w:bookmarkEnd w:id="94"/>
      <w:r>
        <w:rPr>
          <w:rFonts w:hint="eastAsia" w:ascii="仿宋_GB2312"/>
          <w:color w:val="000000"/>
          <w:szCs w:val="32"/>
        </w:rPr>
        <w:t>，加强长江干流四大家鱼、中华绒螯蟹、鲤、鲫、团等国家重点保护经济水生动物的保护。</w:t>
      </w:r>
    </w:p>
    <w:p w14:paraId="2A5D9E8A">
      <w:pPr>
        <w:suppressAutoHyphens/>
        <w:ind w:firstLine="643"/>
      </w:pPr>
      <w:r>
        <w:rPr>
          <w:rFonts w:hint="eastAsia" w:ascii="仿宋_GB2312"/>
          <w:b/>
          <w:color w:val="000000"/>
          <w:szCs w:val="32"/>
        </w:rPr>
        <w:t>打造沿江特色文化廊道。</w:t>
      </w:r>
      <w:r>
        <w:rPr>
          <w:rFonts w:hint="eastAsia" w:ascii="仿宋_GB2312"/>
          <w:color w:val="000000"/>
          <w:szCs w:val="32"/>
        </w:rPr>
        <w:t>充分利用长江的历史文化根脉，将长江文化、楚文化、三国文化、民族文化、红色文化、道教文化和生态景观融合，以沿线自然保护地、风景名胜区、历史文化遗产为节点，通过串联和挖掘沿江散落的地域文化和特色资源，打造沿江特色文化廊道，</w:t>
      </w:r>
      <w:r>
        <w:rPr>
          <w:rFonts w:cs="Times New Roman"/>
        </w:rPr>
        <w:t>彰显荆楚地域特色</w:t>
      </w:r>
      <w:r>
        <w:rPr>
          <w:rFonts w:hint="eastAsia" w:ascii="仿宋_GB2312"/>
          <w:color w:val="000000"/>
          <w:szCs w:val="32"/>
        </w:rPr>
        <w:t>。以武汉-荆州-宜昌为抓手，打造“长江生态文化廊道”，涵养文化长江，</w:t>
      </w:r>
      <w:r>
        <w:t>传承楚文化底蕴，</w:t>
      </w:r>
      <w:r>
        <w:rPr>
          <w:rFonts w:hint="eastAsia" w:ascii="仿宋_GB2312"/>
          <w:color w:val="000000"/>
          <w:szCs w:val="32"/>
        </w:rPr>
        <w:t>形成世界级历史人文集聚展示区。以武汉-襄阳-天仙潜为抓手，打造“毓秀汉江生态画廊”，突显汉江荆楚文化、农耕文明、城市休闲，展现“水、岸、城”生态绿色走廊。以宜昌-恩施风景旅游为抓手，打造长江三峡区域旅游合作区，以瞿塘峡、巫峡、西陵峡、神农溪峡谷观光为龙头，以三峡大坝、三峡人家、清江画廊等</w:t>
      </w:r>
      <w:r>
        <w:rPr>
          <w:rFonts w:cs="Times New Roman"/>
          <w:color w:val="000000"/>
          <w:szCs w:val="32"/>
        </w:rPr>
        <w:t>5A</w:t>
      </w:r>
      <w:r>
        <w:rPr>
          <w:rFonts w:hint="eastAsia" w:ascii="仿宋_GB2312"/>
          <w:color w:val="000000"/>
          <w:szCs w:val="32"/>
        </w:rPr>
        <w:t>级景区为核心吸引，形成“峡江魅力长廊”。</w:t>
      </w:r>
    </w:p>
    <w:p w14:paraId="3F9C3471">
      <w:pPr>
        <w:pStyle w:val="53"/>
      </w:pPr>
      <w:bookmarkStart w:id="95" w:name="_Toc87089263"/>
      <w:bookmarkStart w:id="96" w:name="_Toc87200623"/>
      <w:r>
        <w:rPr>
          <w:rFonts w:hint="eastAsia"/>
        </w:rPr>
        <w:t>第二节　加强骨干廊道与荆楚古道建设</w:t>
      </w:r>
      <w:bookmarkEnd w:id="95"/>
      <w:bookmarkEnd w:id="96"/>
    </w:p>
    <w:p w14:paraId="668239F2">
      <w:pPr>
        <w:suppressAutoHyphens/>
        <w:ind w:firstLine="640"/>
        <w:rPr>
          <w:rFonts w:ascii="仿宋_GB2312" w:hAnsi="仿宋"/>
          <w:color w:val="000000"/>
          <w:szCs w:val="32"/>
        </w:rPr>
      </w:pPr>
      <w:r>
        <w:rPr>
          <w:rFonts w:hint="eastAsia" w:ascii="仿宋_GB2312" w:hAnsi="仿宋"/>
          <w:color w:val="000000"/>
          <w:szCs w:val="32"/>
        </w:rPr>
        <w:t>以骨干河流、交通干线为重点，重点布局长江、汉江主要一级支流生态廊道、“九纵五横三环”高速公路骨架网生态廊道、“四纵四横四斜”高铁沿线生态廊道以及具有人文历史特色的自然生态古道。</w:t>
      </w:r>
    </w:p>
    <w:p w14:paraId="697B5062">
      <w:pPr>
        <w:widowControl/>
        <w:suppressAutoHyphens/>
        <w:ind w:firstLine="643"/>
      </w:pPr>
      <w:r>
        <w:rPr>
          <w:rFonts w:hint="eastAsia" w:ascii="仿宋_GB2312"/>
          <w:b/>
          <w:color w:val="000000"/>
          <w:szCs w:val="32"/>
        </w:rPr>
        <w:t>推进骨干河流生态廊道建设。</w:t>
      </w:r>
      <w:r>
        <w:rPr>
          <w:rFonts w:hint="eastAsia"/>
        </w:rPr>
        <w:t>积极推进长江、汉江主要一级支流沿岸水土保持林、水源涵养林、堤防防护林和景观林带等生态缓冲带建设，根据河道两侧滩涂、荒坡荒地等不同河段的立地条件，适地适树，有效增加河流流域内的林木覆盖率，改善沿岸生态环境，打造绿色景观通道。加强水域岸线等水生态空间管控，清理整治侵占河道、岸线滥用等突出问题，恢复水域岸线生态功能。</w:t>
      </w:r>
    </w:p>
    <w:p w14:paraId="0E3A7E53">
      <w:pPr>
        <w:suppressAutoHyphens/>
        <w:ind w:firstLine="643"/>
        <w:rPr>
          <w:rFonts w:ascii="Arial" w:hAnsi="Arial" w:cs="Arial"/>
          <w:color w:val="191919"/>
          <w:shd w:val="clear" w:color="auto" w:fill="FFFFFF"/>
        </w:rPr>
      </w:pPr>
      <w:r>
        <w:rPr>
          <w:rFonts w:hint="eastAsia" w:ascii="Arial" w:hAnsi="Arial" w:cs="Arial"/>
          <w:b/>
          <w:color w:val="191919"/>
          <w:shd w:val="clear" w:color="auto" w:fill="FFFFFF"/>
        </w:rPr>
        <w:t>营造省界门户和交通干线生态景观林带。</w:t>
      </w:r>
      <w:r>
        <w:rPr>
          <w:rFonts w:hint="eastAsia" w:ascii="Arial" w:hAnsi="Arial" w:cs="Arial"/>
          <w:color w:val="191919"/>
          <w:shd w:val="clear" w:color="auto" w:fill="FFFFFF"/>
        </w:rPr>
        <w:t>以武汉天河机场国际门户枢纽、湖北国际物流核心枢纽、旅游景区、度假区、特色小镇、历史文化名镇名村为重要节点，依托重要通道串联沿线城镇，推进高速公路、铁路、国省道等主要交通干道的沿线</w:t>
      </w:r>
      <w:r>
        <w:rPr>
          <w:rFonts w:hint="eastAsia" w:ascii="Arial" w:hAnsi="Arial" w:cs="Arial"/>
          <w:color w:val="191919"/>
        </w:rPr>
        <w:t>宜林区</w:t>
      </w:r>
      <w:r>
        <w:rPr>
          <w:rFonts w:hint="eastAsia" w:ascii="Arial" w:hAnsi="Arial" w:cs="Arial"/>
          <w:color w:val="191919"/>
          <w:shd w:val="clear" w:color="auto" w:fill="FFFFFF"/>
        </w:rPr>
        <w:t>造林绿化，</w:t>
      </w:r>
      <w:r>
        <w:rPr>
          <w:rFonts w:hint="eastAsia" w:ascii="Arial" w:hAnsi="Arial" w:cs="Arial"/>
          <w:color w:val="191919"/>
        </w:rPr>
        <w:t>优先在沪渝蓉、京九、京广、京港澳、沪渝等跨省交通干线省界门户沿线营造多树种、多层次、多色彩的生态景观林带，推进形成汉宜、汉十、襄宜和十神恩等生态廊道，打</w:t>
      </w:r>
      <w:r>
        <w:rPr>
          <w:rFonts w:hint="eastAsia" w:ascii="Arial" w:hAnsi="Arial" w:cs="Arial"/>
          <w:color w:val="191919"/>
          <w:shd w:val="clear" w:color="auto" w:fill="FFFFFF"/>
        </w:rPr>
        <w:t>造路域整体和谐舒适、自然景观优美的美丽干线。</w:t>
      </w:r>
    </w:p>
    <w:p w14:paraId="4AB4FE73">
      <w:pPr>
        <w:suppressAutoHyphens/>
        <w:ind w:firstLine="643"/>
        <w:rPr>
          <w:rFonts w:ascii="Arial" w:hAnsi="Arial" w:cs="Arial"/>
          <w:color w:val="191919"/>
          <w:shd w:val="clear" w:color="auto" w:fill="FFFFFF"/>
        </w:rPr>
      </w:pPr>
      <w:r>
        <w:rPr>
          <w:rFonts w:hint="eastAsia" w:ascii="仿宋_GB2312"/>
          <w:b/>
          <w:color w:val="000000"/>
        </w:rPr>
        <w:t>连通沿线重要生态源地。</w:t>
      </w:r>
      <w:r>
        <w:rPr>
          <w:rFonts w:hint="eastAsia" w:ascii="仿宋_GB2312"/>
          <w:color w:val="000000"/>
        </w:rPr>
        <w:t>在高速公路、铁路或其他道路横穿而过的生态源地及野生动物经常穿越的地段，充分利用当地地形地貌，综合考虑不同类型野生动物行为适应能力，因地制宜，充分采样当地植物种类模拟自然环境，构建上跨式或下行式野生动物通道，连接被道路分割的重要生态源地，供野生动物迁徙、繁衍、觅食使用，保护恢复野生动物种群活力。</w:t>
      </w:r>
    </w:p>
    <w:p w14:paraId="71C59C10">
      <w:pPr>
        <w:suppressAutoHyphens/>
        <w:ind w:firstLine="643"/>
        <w:rPr>
          <w:rFonts w:ascii="仿宋_GB2312"/>
          <w:color w:val="000000"/>
        </w:rPr>
      </w:pPr>
      <w:r>
        <w:rPr>
          <w:rFonts w:hint="eastAsia" w:ascii="仿宋_GB2312"/>
          <w:b/>
          <w:color w:val="000000"/>
        </w:rPr>
        <w:t>建设荆楚古道生态文化廊道。</w:t>
      </w:r>
      <w:r>
        <w:rPr>
          <w:rFonts w:hint="eastAsia" w:ascii="仿宋_GB2312"/>
        </w:rPr>
        <w:t>深入挖掘</w:t>
      </w:r>
      <w:r>
        <w:rPr>
          <w:rFonts w:hint="eastAsia" w:ascii="仿宋_GB2312"/>
          <w:color w:val="000000"/>
        </w:rPr>
        <w:t>具备自然生态、风土民俗和人文历史的古代驿道、茶马古道、古盐道等珍贵线路性文化遗产</w:t>
      </w:r>
      <w:r>
        <w:rPr>
          <w:rFonts w:hint="eastAsia" w:ascii="仿宋_GB2312"/>
        </w:rPr>
        <w:t>，结合全域旅游示范区建设，积极</w:t>
      </w:r>
      <w:r>
        <w:rPr>
          <w:rFonts w:hint="eastAsia" w:ascii="仿宋_GB2312"/>
          <w:color w:val="000000"/>
        </w:rPr>
        <w:t>推进古道生态修缮与区域生态修复、全域综合整治等相关项目的融合，重现万里茶道、襄荆古道、施宜古道、川鄂古盐道、巴盐古道、光黄古道、华容古道等贯穿各区域的自然生态走廊、民族情感走廊和旅游文化走廊。</w:t>
      </w:r>
    </w:p>
    <w:p w14:paraId="1A8D5A29">
      <w:pPr>
        <w:suppressAutoHyphens/>
        <w:ind w:firstLine="643"/>
        <w:rPr>
          <w:rFonts w:ascii="仿宋_GB2312"/>
          <w:color w:val="000000"/>
        </w:rPr>
      </w:pPr>
      <w:r>
        <w:rPr>
          <w:rFonts w:hint="eastAsia" w:ascii="仿宋_GB2312"/>
          <w:b/>
          <w:color w:val="000000"/>
        </w:rPr>
        <w:t>加强沿线城镇村庄绿化美化。</w:t>
      </w:r>
      <w:r>
        <w:rPr>
          <w:rFonts w:hint="eastAsia" w:ascii="仿宋_GB2312"/>
          <w:color w:val="000000"/>
        </w:rPr>
        <w:t>结合沿线全域国土综合整治、村庄规划、美丽乡村建设等工作，充分挖掘生态廊道沿线城镇村庄的绿化潜力，在城镇周边见空增绿、见缝插绿、拆违还绿，加强村旁、宅旁、水旁、路旁、庭院以及公共活动空间的绿化造林，加强农田防护林网建设，改善农田微气候，丰富村庄生境，构建绿色开放空间，科学发展观光休闲、生态农业、森林旅游等乡村旅游产品，实现与乡村振兴战略的深度融合。</w:t>
      </w:r>
    </w:p>
    <w:p w14:paraId="2CD52F79">
      <w:pPr>
        <w:pStyle w:val="53"/>
      </w:pPr>
      <w:bookmarkStart w:id="97" w:name="_Toc87089264"/>
      <w:bookmarkStart w:id="98" w:name="_Toc87200624"/>
      <w:r>
        <w:rPr>
          <w:rFonts w:hint="eastAsia"/>
        </w:rPr>
        <w:t>第三节　逐步推进湖库等重点区域廊道建设</w:t>
      </w:r>
      <w:bookmarkEnd w:id="97"/>
      <w:bookmarkEnd w:id="98"/>
    </w:p>
    <w:p w14:paraId="46B7AE10">
      <w:pPr>
        <w:suppressAutoHyphens/>
        <w:ind w:firstLine="640"/>
      </w:pPr>
      <w:r>
        <w:rPr>
          <w:rFonts w:hint="eastAsia" w:ascii="仿宋_GB2312" w:hAnsi="仿宋"/>
          <w:color w:val="000000"/>
          <w:szCs w:val="32"/>
        </w:rPr>
        <w:t>构建以三峡库区、丹江口库区、洪湖、梁子湖为核心的水生态保护链，建设连接重点湖泊、自然保护地、森林公园、重要湿地等生态斑块的跨区域生态廊道，打造重点湖库生态圈。</w:t>
      </w:r>
    </w:p>
    <w:p w14:paraId="6E5AF001">
      <w:pPr>
        <w:suppressAutoHyphens/>
        <w:ind w:firstLine="643"/>
      </w:pPr>
      <w:r>
        <w:rPr>
          <w:rFonts w:hint="eastAsia" w:ascii="仿宋_GB2312"/>
          <w:b/>
          <w:color w:val="000000"/>
        </w:rPr>
        <w:t>加快推动森林城市建设。</w:t>
      </w:r>
      <w:r>
        <w:rPr>
          <w:rFonts w:hint="eastAsia"/>
        </w:rPr>
        <w:t>加快推动我省森林城市和森林城市群建设，促进武汉城市圈、宜荆荆恩城市群、襄十随神城市群城市生态空间的优化和主要城市间生态空间的有效连接，加强城市群内和城市间生态廊道、林网及生态斑块的连接，稳固城市森林生态网络，完善绿色生态骨架，构建绿量适宜、结构合理、功能完善、稳定高效的城市群森林生态系统，恢复提升区域生态系统的整体性、系统性和功能性。</w:t>
      </w:r>
    </w:p>
    <w:p w14:paraId="14E0946B">
      <w:pPr>
        <w:widowControl/>
        <w:suppressAutoHyphens/>
        <w:ind w:firstLine="643"/>
      </w:pPr>
      <w:r>
        <w:rPr>
          <w:rFonts w:hint="eastAsia" w:ascii="仿宋_GB2312"/>
          <w:b/>
          <w:color w:val="000000"/>
        </w:rPr>
        <w:t>实施重点湖库生态圈建设</w:t>
      </w:r>
      <w:r>
        <w:rPr>
          <w:rFonts w:hint="eastAsia" w:ascii="楷体_GB2312" w:eastAsia="楷体_GB2312"/>
        </w:rPr>
        <w:t>。</w:t>
      </w:r>
      <w:r>
        <w:rPr>
          <w:rFonts w:hint="eastAsia"/>
        </w:rPr>
        <w:t>加强三峡</w:t>
      </w:r>
      <w:r>
        <w:rPr>
          <w:rFonts w:hint="eastAsia" w:ascii="仿宋_GB2312" w:hAnsi="仿宋"/>
          <w:color w:val="000000"/>
          <w:szCs w:val="32"/>
        </w:rPr>
        <w:t>库区</w:t>
      </w:r>
      <w:r>
        <w:rPr>
          <w:rFonts w:hint="eastAsia"/>
        </w:rPr>
        <w:t>、丹江口</w:t>
      </w:r>
      <w:r>
        <w:rPr>
          <w:rFonts w:hint="eastAsia" w:ascii="仿宋_GB2312" w:hAnsi="仿宋"/>
          <w:color w:val="000000"/>
          <w:szCs w:val="32"/>
        </w:rPr>
        <w:t>库区</w:t>
      </w:r>
      <w:r>
        <w:rPr>
          <w:rFonts w:hint="eastAsia"/>
        </w:rPr>
        <w:t>、洪湖、梁子湖等重点湖库生态安全体系建设，围绕河湖系统共生，</w:t>
      </w:r>
      <w:r>
        <w:rPr>
          <w:rFonts w:ascii="Arial" w:hAnsi="Arial" w:cs="Arial"/>
          <w:color w:val="191919"/>
          <w:shd w:val="clear" w:color="auto" w:fill="FFFFFF"/>
        </w:rPr>
        <w:t>采取水量调度、湖滨带生态修复、生态补水、河湖水系连通、重要生境修复等措施，修复重点湖库、湿地生态系统</w:t>
      </w:r>
      <w:r>
        <w:rPr>
          <w:rFonts w:hint="eastAsia"/>
        </w:rPr>
        <w:t>，建设环湖库生态圈。强化控源减排，整治水产养殖污染，</w:t>
      </w:r>
      <w:r>
        <w:rPr>
          <w:rFonts w:ascii="Arial" w:hAnsi="Arial" w:cs="Arial"/>
          <w:color w:val="191919"/>
          <w:shd w:val="clear" w:color="auto" w:fill="FFFFFF"/>
        </w:rPr>
        <w:t>严禁围垦湖泊，</w:t>
      </w:r>
      <w:r>
        <w:rPr>
          <w:rFonts w:hint="eastAsia"/>
        </w:rPr>
        <w:t>增强湖库自然修复能力。继续实施退耕（垸）还湖还湿，推进湖泊泵站更新改造，提高区域防洪、排涝、灌溉能力。</w:t>
      </w:r>
    </w:p>
    <w:p w14:paraId="6673082C">
      <w:pPr>
        <w:widowControl/>
        <w:suppressAutoHyphens/>
        <w:ind w:firstLine="643"/>
      </w:pPr>
      <w:r>
        <w:rPr>
          <w:rFonts w:hint="eastAsia" w:ascii="仿宋_GB2312"/>
          <w:b/>
          <w:color w:val="000000"/>
        </w:rPr>
        <w:t>积极促进重要栖息地连通。</w:t>
      </w:r>
      <w:r>
        <w:rPr>
          <w:rFonts w:hint="eastAsia"/>
        </w:rPr>
        <w:t>在重要野生动植物栖息地、植物遗传资源分布地、野生动物迁徙停歇地等敏感区域，建立生物多样性保护小区，保护植被群落及生境的完整性，建设生态廊道、过鱼设施，逐步恢复各类水体的连通，</w:t>
      </w:r>
      <w:bookmarkStart w:id="99" w:name="_Hlk75287391"/>
      <w:r>
        <w:rPr>
          <w:rFonts w:hint="eastAsia"/>
        </w:rPr>
        <w:t>构建立体绿色水网</w:t>
      </w:r>
      <w:bookmarkEnd w:id="99"/>
      <w:r>
        <w:rPr>
          <w:rFonts w:hint="eastAsia"/>
        </w:rPr>
        <w:t>，完善多源互补，实现跨流域、跨区域互联互通，增加重要栖息地之间的连通性。系统保护江汉湖群国际候鸟东部迁徙廊道，加强洪湖老湾故道江豚迁地保护区、三峡库区与长江故道中华鲟半自然驯养基地、武汉江豚全人工繁殖中心保护和建设。</w:t>
      </w:r>
    </w:p>
    <w:p w14:paraId="0BAAE4B9">
      <w:pPr>
        <w:suppressAutoHyphens/>
        <w:spacing w:line="240" w:lineRule="auto"/>
        <w:ind w:firstLine="0" w:firstLineChars="0"/>
        <w:jc w:val="left"/>
        <w:rPr>
          <w:rFonts w:ascii="黑体" w:eastAsia="方正小标宋_GBK"/>
          <w:bCs/>
          <w:kern w:val="44"/>
          <w:sz w:val="44"/>
          <w:szCs w:val="44"/>
        </w:rPr>
      </w:pPr>
      <w:r>
        <w:br w:type="page"/>
      </w:r>
    </w:p>
    <w:p w14:paraId="38525393">
      <w:pPr>
        <w:suppressAutoHyphens/>
        <w:ind w:firstLine="640"/>
      </w:pPr>
    </w:p>
    <w:p w14:paraId="35938BB5">
      <w:pPr>
        <w:pStyle w:val="54"/>
      </w:pPr>
      <w:bookmarkStart w:id="100" w:name="_Toc87089265"/>
      <w:bookmarkStart w:id="101" w:name="_Toc87200625"/>
      <w:r>
        <w:t>第五章　</w:t>
      </w:r>
      <w:r>
        <w:rPr>
          <w:rFonts w:hint="eastAsia"/>
        </w:rPr>
        <w:t>重点</w:t>
      </w:r>
      <w:r>
        <w:t>任务与重</w:t>
      </w:r>
      <w:r>
        <w:rPr>
          <w:rFonts w:hint="eastAsia"/>
        </w:rPr>
        <w:t>点</w:t>
      </w:r>
      <w:r>
        <w:t>工程</w:t>
      </w:r>
      <w:bookmarkEnd w:id="100"/>
      <w:bookmarkEnd w:id="101"/>
    </w:p>
    <w:p w14:paraId="694F289E">
      <w:pPr>
        <w:pStyle w:val="3"/>
        <w:spacing w:before="435" w:after="348"/>
      </w:pPr>
      <w:bookmarkStart w:id="102" w:name="_Toc87089266"/>
      <w:bookmarkStart w:id="103" w:name="_Toc87200626"/>
      <w:r>
        <w:rPr>
          <w:rFonts w:hint="eastAsia"/>
        </w:rPr>
        <w:t>第一节　部署生态修复重点任务</w:t>
      </w:r>
      <w:bookmarkEnd w:id="102"/>
      <w:bookmarkEnd w:id="103"/>
    </w:p>
    <w:p w14:paraId="48D64F0F">
      <w:pPr>
        <w:ind w:firstLine="640"/>
      </w:pPr>
      <w:r>
        <w:rPr>
          <w:rFonts w:hint="eastAsia"/>
        </w:rPr>
        <w:t>坚持保护优先，以自然恢复为主、人工修复为辅，统筹山水林田湖草沙系统治理，围绕解决</w:t>
      </w:r>
      <w:r>
        <w:rPr>
          <w:rFonts w:hint="eastAsia" w:cs="Times New Roman"/>
          <w:lang w:bidi="ar"/>
        </w:rPr>
        <w:t>全省主要生态问题，</w:t>
      </w:r>
      <w:r>
        <w:rPr>
          <w:rFonts w:hint="eastAsia"/>
        </w:rPr>
        <w:t>以</w:t>
      </w:r>
      <w:r>
        <w:rPr>
          <w:rFonts w:hint="eastAsia" w:cs="Times New Roman"/>
          <w:lang w:bidi="ar"/>
        </w:rPr>
        <w:t>生态修复总体布局为指引，</w:t>
      </w:r>
      <w:r>
        <w:rPr>
          <w:rFonts w:hint="eastAsia"/>
        </w:rPr>
        <w:t>部署全省生态修复重点任务，实现生态修复规划总体目标。</w:t>
      </w:r>
    </w:p>
    <w:p w14:paraId="5EF911F8">
      <w:pPr>
        <w:pStyle w:val="4"/>
        <w:ind w:firstLine="643"/>
      </w:pPr>
      <w:bookmarkStart w:id="104" w:name="_Toc87089267"/>
      <w:r>
        <w:rPr>
          <w:rFonts w:hint="eastAsia"/>
        </w:rPr>
        <w:t>（一）提高生态空间整体质量</w:t>
      </w:r>
      <w:bookmarkEnd w:id="104"/>
    </w:p>
    <w:p w14:paraId="2BF9BC08">
      <w:pPr>
        <w:ind w:firstLine="643"/>
      </w:pPr>
      <w:r>
        <w:rPr>
          <w:rFonts w:hint="eastAsia"/>
          <w:b/>
        </w:rPr>
        <w:t>加强自然生态空间保护。</w:t>
      </w:r>
      <w:r>
        <w:rPr>
          <w:rFonts w:hint="eastAsia"/>
        </w:rPr>
        <w:t>划定并严守生态保护红线，全面完成生态保护红线勘界定标工作，确保划定成果逐级落实。</w:t>
      </w:r>
      <w:r>
        <w:t>以保育保护和自然恢复为主，</w:t>
      </w:r>
      <w:r>
        <w:rPr>
          <w:rFonts w:hint="eastAsia"/>
        </w:rPr>
        <w:t>以国家重点生态功能区、生态保护红线、自然保护地为重点，加强对自然生态空间的整体保护和修复</w:t>
      </w:r>
      <w:r>
        <w:t>，注重创新生态保护修复模式，</w:t>
      </w:r>
      <w:r>
        <w:rPr>
          <w:rFonts w:hint="eastAsia"/>
        </w:rPr>
        <w:t>充分发挥生态系统自我修复能力。实施生态保护红线分区管控策略，强化自然保护地体系监管，自然保护地核心保护区与一般控制区实行差异化管控，制定准入正面清单。</w:t>
      </w:r>
      <w:r>
        <w:rPr>
          <w:rFonts w:hint="eastAsia" w:cs="Times New Roman"/>
          <w:szCs w:val="32"/>
          <w:shd w:val="clear" w:color="auto" w:fill="FFFFFF" w:themeFill="background1"/>
        </w:rPr>
        <w:t>定期开展生态状况监测评估，确保依法保护的生态空间功能不降低、面积不减少、性质不改变。</w:t>
      </w:r>
    </w:p>
    <w:p w14:paraId="30BA4BA6">
      <w:pPr>
        <w:ind w:firstLine="643"/>
        <w:rPr>
          <w:rFonts w:cs="黑体"/>
          <w:szCs w:val="32"/>
        </w:rPr>
      </w:pPr>
      <w:r>
        <w:rPr>
          <w:rFonts w:hint="eastAsia"/>
          <w:b/>
        </w:rPr>
        <w:t>提升生物多样性水平。</w:t>
      </w:r>
      <w:r>
        <w:rPr>
          <w:rFonts w:hint="eastAsia"/>
        </w:rPr>
        <w:t>优先在全省</w:t>
      </w:r>
      <w:r>
        <w:rPr>
          <w:rFonts w:hint="eastAsia" w:ascii="仿宋_GB2312" w:hAnsi="仿宋_GB2312" w:cs="仿宋_GB2312"/>
          <w:szCs w:val="32"/>
        </w:rPr>
        <w:t>7个生物多样性保护优先区域开展生物多样性调查、观测和评估，逐步建立生物多样性长期观测体系，系统摸清全省生物多样性本底。</w:t>
      </w:r>
      <w:r>
        <w:rPr>
          <w:rFonts w:hint="eastAsia"/>
        </w:rPr>
        <w:t>开展外来入侵物种普查，完善外来物种入侵防范和野生动物疫源疫病监测防控体系</w:t>
      </w:r>
      <w:r>
        <w:rPr>
          <w:rFonts w:hint="eastAsia" w:ascii="仿宋_GB2312" w:hAnsi="仿宋_GB2312" w:cs="仿宋_GB2312"/>
          <w:szCs w:val="32"/>
        </w:rPr>
        <w:t>，</w:t>
      </w:r>
      <w:r>
        <w:rPr>
          <w:rFonts w:hint="eastAsia"/>
        </w:rPr>
        <w:t>提升生物安全管理水平</w:t>
      </w:r>
      <w:r>
        <w:rPr>
          <w:rFonts w:hint="eastAsia" w:ascii="仿宋_GB2312" w:hAnsi="仿宋_GB2312" w:cs="仿宋_GB2312"/>
          <w:szCs w:val="32"/>
        </w:rPr>
        <w:t>。重</w:t>
      </w:r>
      <w:r>
        <w:rPr>
          <w:rFonts w:hint="eastAsia" w:cs="黑体"/>
          <w:szCs w:val="32"/>
        </w:rPr>
        <w:t>点加强川金丝猴、麝类、麋鹿、江豚、中华鲟、中华秋沙鸭、青头潜鸭、东方白鹳、水杉、小勾儿茶、大别山五针松、对节白蜡、罗田玉兰等珍稀濒危动植物、旗舰物种和指示物种保护管理，保护与修复野生动植物群落栖息地，科学开展就地保护、迁地保护、种质资源保存、人工扩繁、野外回归等工作，维护生态链完整性和平衡性。因地制宜构建促进物种迁徙和基因交流的生态廊道，保护中华鲟、长江鲟、胭脂鱼、江豚与刀鲚等水生生物洄游通道。</w:t>
      </w:r>
    </w:p>
    <w:p w14:paraId="2ABC8170">
      <w:pPr>
        <w:widowControl/>
        <w:ind w:firstLine="643"/>
        <w:rPr>
          <w:rFonts w:ascii="仿宋_GB2312" w:cs="仿宋_GB2312" w:hAnsiTheme="minorHAnsi"/>
          <w:kern w:val="0"/>
          <w:szCs w:val="32"/>
        </w:rPr>
      </w:pPr>
      <w:r>
        <w:rPr>
          <w:rFonts w:hint="eastAsia" w:cs="黑体"/>
          <w:b/>
          <w:szCs w:val="32"/>
        </w:rPr>
        <w:t>保障河湖生态水量。</w:t>
      </w:r>
      <w:r>
        <w:rPr>
          <w:rFonts w:hint="eastAsia" w:cs="黑体"/>
          <w:szCs w:val="32"/>
        </w:rPr>
        <w:t>严格执行水资源消耗总量和强度双控，统筹协调好生活、生产、生态用水，优化水资源配置，推进水资源合理开发、高效利用和有效保护。</w:t>
      </w:r>
      <w:r>
        <w:rPr>
          <w:rFonts w:hint="eastAsia" w:ascii="仿宋_GB2312" w:cs="仿宋_GB2312" w:hAnsiTheme="minorHAnsi"/>
          <w:kern w:val="0"/>
          <w:szCs w:val="32"/>
        </w:rPr>
        <w:t>加快实施一批重点骨干调水和水系连通工程，在鄂北、鄂中丘陵区重点推进鄂北地区水资源配置二期、鄂中丘陵区水资源配置等工程，在鄂西山区重点实施引江补汉工程，在江汉平原地区加快推进一江三河等水系连通工程，在鄂东地区加快推进大别山南麓水资源配置、鄂东南水资源配置等工程，形成“东西互补、南北互济、调配自如”的水资源配置体系，增强江河湖连通性，保障河湖生态水量。</w:t>
      </w:r>
      <w:r>
        <w:rPr>
          <w:rFonts w:hint="eastAsia" w:ascii="仿宋_GB2312" w:hAnsi="仿宋_GB2312" w:cs="仿宋_GB2312"/>
          <w:szCs w:val="32"/>
        </w:rPr>
        <w:t>协同推动建立水量水质联动生态调度机制，</w:t>
      </w:r>
      <w:r>
        <w:rPr>
          <w:rFonts w:hint="eastAsia"/>
        </w:rPr>
        <w:t>落实</w:t>
      </w:r>
      <w:r>
        <w:rPr>
          <w:rFonts w:hint="eastAsia" w:ascii="仿宋_GB2312" w:hAnsi="仿宋_GB2312" w:cs="仿宋_GB2312"/>
          <w:szCs w:val="32"/>
        </w:rPr>
        <w:t>河湖</w:t>
      </w:r>
      <w:r>
        <w:rPr>
          <w:rFonts w:hint="eastAsia"/>
        </w:rPr>
        <w:t>重要控制断面生态流量（水位）管控目标要求，健全生态流量监测预警和保障机制，积极</w:t>
      </w:r>
      <w:r>
        <w:rPr>
          <w:rFonts w:hint="eastAsia" w:ascii="仿宋_GB2312" w:hAnsi="仿宋_GB2312" w:cs="仿宋_GB2312"/>
          <w:szCs w:val="32"/>
        </w:rPr>
        <w:t>推进生态流量管理全覆盖。</w:t>
      </w:r>
    </w:p>
    <w:p w14:paraId="082814F9">
      <w:pPr>
        <w:widowControl/>
        <w:ind w:firstLine="643"/>
        <w:rPr>
          <w:rFonts w:ascii="仿宋_GB2312" w:hAnsi="仿宋_GB2312" w:cs="仿宋_GB2312"/>
          <w:szCs w:val="32"/>
        </w:rPr>
      </w:pPr>
      <w:r>
        <w:rPr>
          <w:rFonts w:hint="eastAsia"/>
          <w:b/>
        </w:rPr>
        <w:t>加强重要河湖水生态修复。</w:t>
      </w:r>
      <w:r>
        <w:rPr>
          <w:rFonts w:hint="eastAsia"/>
        </w:rPr>
        <w:t>全面推行落实好河湖长制，严格河湖形态保护，加强河湖水域岸线分区管控与用途管制，严格管控可能影响防洪安全、供水安全和生态安全的项目建设和活动，防范化解沿岸水环境风险。以长江为核心，聚焦汉江、清江、府</w:t>
      </w:r>
      <w:r>
        <w:rPr>
          <w:rFonts w:hint="eastAsia" w:ascii="仿宋" w:hAnsi="仿宋" w:eastAsia="仿宋" w:cs="宋体"/>
        </w:rPr>
        <w:t>澴</w:t>
      </w:r>
      <w:r>
        <w:rPr>
          <w:rFonts w:hint="eastAsia" w:ascii="仿宋_GB2312" w:hAnsi="仿宋_GB2312" w:cs="仿宋_GB2312"/>
        </w:rPr>
        <w:t>河、通顺河、汉北河、天门河、荆南四河等生态安全地位</w:t>
      </w:r>
      <w:r>
        <w:rPr>
          <w:rFonts w:hint="eastAsia"/>
        </w:rPr>
        <w:t>重要、水环境水生态问题突出的河段和洪湖、长湖、斧头湖、梁子湖、龙感湖、黄盖湖等</w:t>
      </w:r>
      <w:r>
        <w:rPr>
          <w:rFonts w:hint="eastAsia" w:ascii="仿宋_GB2312" w:cs="仿宋_GB2312" w:hAnsiTheme="minorHAnsi"/>
          <w:kern w:val="0"/>
          <w:szCs w:val="32"/>
        </w:rPr>
        <w:t>江汉平原重点湖区及</w:t>
      </w:r>
      <w:r>
        <w:rPr>
          <w:rFonts w:hint="eastAsia" w:ascii="仿宋_GB2312" w:hAnsi="仿宋_GB2312" w:cs="仿宋_GB2312"/>
          <w:szCs w:val="32"/>
        </w:rPr>
        <w:t>汉江中下游区、鄂东南水网区等水污染较严重、水生态系统脆弱、功能退化的重要湖泊</w:t>
      </w:r>
      <w:r>
        <w:rPr>
          <w:rFonts w:hint="eastAsia"/>
        </w:rPr>
        <w:t>，深入推进全流域、全要素水生态环境系统治理和保护修复，加强截污控源、清淤疏浚、调水引流，规范河湖生态放养和生态捕捞，</w:t>
      </w:r>
      <w:r>
        <w:rPr>
          <w:rFonts w:hint="eastAsia" w:ascii="仿宋_GB2312" w:hAnsi="仿宋_GB2312" w:cs="仿宋_GB2312"/>
          <w:szCs w:val="32"/>
        </w:rPr>
        <w:t>持续改善河湖水环境，稳步修复河湖水生态，积极开展美丽河湖建设。</w:t>
      </w:r>
    </w:p>
    <w:p w14:paraId="1C7DB120">
      <w:pPr>
        <w:ind w:firstLine="643"/>
      </w:pPr>
      <w:r>
        <w:rPr>
          <w:rFonts w:hint="eastAsia"/>
          <w:b/>
        </w:rPr>
        <w:t>推进重要湿地保护与修复。</w:t>
      </w:r>
      <w:r>
        <w:rPr>
          <w:rFonts w:hint="eastAsia" w:ascii="仿宋_GB2312" w:hAnsi="仿宋_GB2312" w:cs="仿宋_GB2312"/>
          <w:szCs w:val="32"/>
        </w:rPr>
        <w:t>严格湿地保护红线管控，强化湿地用途管制和利用监管，明确管控要求。全面保护国际和国家重要湿地、国家湿地公园等重要湿地，持续推进国家湿地公园评估试点、湿地自然保护区和湿地公园建设，优先在洪湖、沉湖、龙感湖、网湖、大九湖等重要湿地开展保护和修复工程，推进实施江河湿地带、湖泊湿地群、以丹江口库区和三峡库区为主的人工湿地区保护和修复。加强湿地保护管理基础设施建设，积极推进湿地自然生境及重要野生动植物栖息地恢复，修复退化湿地，满足湿地生态用水量，促进重要湿地生态系统功能稳步提升。健全湿地监测评价制度，实行重要湿地动态监测，对生态风险和破坏活动进行预警，</w:t>
      </w:r>
      <w:r>
        <w:rPr>
          <w:rFonts w:hint="eastAsia"/>
        </w:rPr>
        <w:t>减少人为因素造成的湿地面积萎缩和功能破坏，</w:t>
      </w:r>
      <w:r>
        <w:rPr>
          <w:rFonts w:hint="eastAsia" w:ascii="仿宋_GB2312" w:hAnsi="仿宋_GB2312" w:cs="仿宋_GB2312"/>
          <w:szCs w:val="32"/>
        </w:rPr>
        <w:t>有效保护和合理利用湿地资源。</w:t>
      </w:r>
    </w:p>
    <w:p w14:paraId="1E8079DB">
      <w:pPr>
        <w:ind w:firstLine="643"/>
      </w:pPr>
      <w:r>
        <w:rPr>
          <w:rFonts w:hint="eastAsia"/>
          <w:b/>
        </w:rPr>
        <w:t>加强水土流失和石漠化综合防治。</w:t>
      </w:r>
      <w:r>
        <w:rPr>
          <w:rFonts w:hint="eastAsia"/>
        </w:rPr>
        <w:t>在长江、汉江、清江、丹江口库区、三峡库区、秦巴山、武陵山、大别山、幕阜山、大洪山、桐柏山等重要水源涵养区，加强现有植被保护，合理开发自然资源，限制开发建设活动，最大限度地减少人为因素造成新的水土流失；重点实施丹江口水库、三峡水库库滨带生态治理及库区水土流失治理，推进汉江崩岸段水土流失治理，加强河流上中游坡耕地治理，因地制宜开展生态清洁小流域建设。在秦巴山、武陵山、大别山、幕阜山等重点生态脆弱区，采取封山育林育草、植被管护、人工造林（种草）等多种措施加强石漠化综合治理，重点在幕阜山石漠化地区实施封禁保护，促进石漠化地区生态自然修复。</w:t>
      </w:r>
    </w:p>
    <w:p w14:paraId="4C12D972">
      <w:pPr>
        <w:widowControl/>
        <w:ind w:firstLine="643"/>
      </w:pPr>
      <w:r>
        <w:rPr>
          <w:rFonts w:hint="eastAsia"/>
          <w:b/>
        </w:rPr>
        <w:t>推进森林总量和质量双提升。</w:t>
      </w:r>
      <w:r>
        <w:rPr>
          <w:rFonts w:hint="eastAsia"/>
        </w:rPr>
        <w:t>全面推行林长制，</w:t>
      </w:r>
      <w:r>
        <w:rPr>
          <w:rFonts w:hint="eastAsia" w:cs="Times New Roman"/>
        </w:rPr>
        <w:t>加大天然林和公益林保护力度，全面落实天然林保护和公益林补偿政策，基本实现应保尽保。</w:t>
      </w:r>
      <w:r>
        <w:rPr>
          <w:rFonts w:hint="eastAsia"/>
        </w:rPr>
        <w:t>深入推进长江、汉江和清江流域宜林地造林绿化，加强秦巴山区、武陵山区、大别山区、幕阜山区绿色屏障建设，加大省界门户造林绿化力度，大力开展平原湖区农田林网建设和乡村绿化。大力推进森林质量精准提升，</w:t>
      </w:r>
      <w:r>
        <w:rPr>
          <w:rFonts w:hint="eastAsia" w:cs="Times New Roman"/>
        </w:rPr>
        <w:t>着力实施幕阜山区、大别山区、汉江干流森林质量精准提升示范项目，</w:t>
      </w:r>
      <w:r>
        <w:rPr>
          <w:rFonts w:hint="eastAsia"/>
          <w:szCs w:val="32"/>
        </w:rPr>
        <w:t>持续加强新造林管护、退化林、残次林和低质低效林改造以及森林抚育等工作</w:t>
      </w:r>
      <w:r>
        <w:rPr>
          <w:rFonts w:hint="eastAsia" w:cs="Times New Roman"/>
        </w:rPr>
        <w:t>。重点做好长江两岸、自然保护地核心区、三峡库区、丹江口库区等重点生态功能区退耕还林还草工作。以松材线虫病为重点，加强林业有害生物灾害防治。坚持“科学分区、分类施策”，进</w:t>
      </w:r>
      <w:r>
        <w:rPr>
          <w:rFonts w:hint="eastAsia"/>
          <w:szCs w:val="32"/>
        </w:rPr>
        <w:t>一步健全火灾预防、早期扑救、综合保障三大体系，提升森林火灾综合防控能力，保障林草资源安全。</w:t>
      </w:r>
    </w:p>
    <w:p w14:paraId="760E07B2">
      <w:pPr>
        <w:ind w:firstLine="643"/>
      </w:pPr>
      <w:r>
        <w:rPr>
          <w:rFonts w:hint="eastAsia"/>
          <w:b/>
        </w:rPr>
        <w:t>加强矿山生态保护修复。</w:t>
      </w:r>
      <w:r>
        <w:rPr>
          <w:rFonts w:hint="eastAsia"/>
        </w:rPr>
        <w:t>大力推进矿山生态修复，分区分类分级推进历史遗留矿山生态修复，研究制定全省历史遗留矿山生态修复行动计划，明确目标、科学布局、落实任务；坚持因地制宜原则</w:t>
      </w:r>
      <w:r>
        <w:rPr>
          <w:rFonts w:cs="Times New Roman"/>
        </w:rPr>
        <w:t>，自然恢复与人工修复相结合，注重生物多样性保护和恢复，构建与周边生态环境相协调的植物群落，形成可自我修复的稳定生态系统。加快绿色矿业发展，</w:t>
      </w:r>
      <w:r>
        <w:rPr>
          <w:rFonts w:hint="eastAsia"/>
        </w:rPr>
        <w:t>推进黄石、鄂州、潜江、宜都等独立工矿区改造提升，以建始、丹江口、阳新、郧阳等地为重点区域开展历史遗留露天矿山开采边坡综合整治，支持宜昌、随州、荆门、黄石、十堰等地开展废弃矿山生态修复和绿色矿山建设。按照“谁审批、谁监管，谁破坏、谁修复”的原则，加强生产矿山生态修复监管，落实相关部门监管责任，防止生产矿山问题转为历史遗留问题。优先在鄂东南黄石、鄂州、赤壁等地，鄂中应城-云梦、大悟、荆门等地，鄂西、鄂西南、鄂西北宜昌、恩施、十堰、襄阳等地矿山生态环境影响重点区开展</w:t>
      </w:r>
      <w:r>
        <w:rPr>
          <w:rFonts w:cs="Times New Roman"/>
        </w:rPr>
        <w:t>综合</w:t>
      </w:r>
      <w:r>
        <w:rPr>
          <w:rFonts w:hint="eastAsia" w:cs="Times New Roman"/>
        </w:rPr>
        <w:t>治理</w:t>
      </w:r>
      <w:r>
        <w:rPr>
          <w:rFonts w:cs="Times New Roman"/>
        </w:rPr>
        <w:t>，落实生产矿山生态保护修复主体责任，加强</w:t>
      </w:r>
      <w:r>
        <w:rPr>
          <w:rFonts w:hint="eastAsia" w:cs="Times New Roman"/>
        </w:rPr>
        <w:t>矿山地质环境监测和监督管理，有效控制新增矿山地质环境问题。</w:t>
      </w:r>
    </w:p>
    <w:p w14:paraId="0A2D33CF">
      <w:pPr>
        <w:pStyle w:val="4"/>
        <w:ind w:firstLine="643"/>
      </w:pPr>
      <w:bookmarkStart w:id="105" w:name="_Toc87089268"/>
      <w:r>
        <w:rPr>
          <w:rFonts w:hint="eastAsia"/>
        </w:rPr>
        <w:t>（二）提升农业空间生态功能</w:t>
      </w:r>
      <w:bookmarkEnd w:id="105"/>
    </w:p>
    <w:p w14:paraId="284C914F">
      <w:pPr>
        <w:ind w:firstLine="643"/>
        <w:rPr>
          <w:rFonts w:cs="Times New Roman"/>
        </w:rPr>
      </w:pPr>
      <w:r>
        <w:rPr>
          <w:rFonts w:hint="eastAsia"/>
          <w:b/>
        </w:rPr>
        <w:t>积极</w:t>
      </w:r>
      <w:r>
        <w:rPr>
          <w:b/>
        </w:rPr>
        <w:t>推进全域国土综合整治。</w:t>
      </w:r>
      <w:r>
        <w:rPr>
          <w:rFonts w:hint="eastAsia"/>
        </w:rPr>
        <w:t>以全域国土综合整治作为促进生态文明建设和乡村振兴的重要抓手</w:t>
      </w:r>
      <w:r>
        <w:rPr>
          <w:rFonts w:hint="eastAsia"/>
          <w:b/>
        </w:rPr>
        <w:t>，</w:t>
      </w:r>
      <w:r>
        <w:rPr>
          <w:rFonts w:hint="eastAsia"/>
        </w:rPr>
        <w:t>统筹开展农用地整治、建设用地整治和生态保护修复</w:t>
      </w:r>
      <w:r>
        <w:t>，</w:t>
      </w:r>
      <w:r>
        <w:rPr>
          <w:rFonts w:hint="eastAsia" w:cs="Times New Roman"/>
        </w:rPr>
        <w:t>通过实施乡村国土空间治理、农用地综合整治、闲置低效建设用地整治、矿山地质环境整治、乡村国土绿化美化、农村环境整治和生态保护修复等工程，推动国土空间格局优化，</w:t>
      </w:r>
      <w:r>
        <w:rPr>
          <w:rFonts w:cs="Times New Roman"/>
        </w:rPr>
        <w:t>提高耕地集中连片度和质量等级，改善农田及周边生境，提高</w:t>
      </w:r>
      <w:r>
        <w:rPr>
          <w:rFonts w:hint="eastAsia" w:cs="Times New Roman"/>
        </w:rPr>
        <w:t>农田生态系统生物多样性，加强农田林网建设，强化农地景观和绿化隔离功能，打造秀美宜居的农村人居生态环境，塑造独具荆楚魅力的乡村风貌。同时，可将全域国土综合整治与现代农业发展、特色农业培育、粮食功能区提质改造有机结合，打造大宗农产品产业集群，推动农业绿色发展</w:t>
      </w:r>
      <w:r>
        <w:rPr>
          <w:rFonts w:cs="Times New Roman"/>
        </w:rPr>
        <w:t>，</w:t>
      </w:r>
      <w:r>
        <w:t>破解</w:t>
      </w:r>
      <w:r>
        <w:rPr>
          <w:rFonts w:hint="eastAsia" w:ascii="仿宋_GB2312"/>
        </w:rPr>
        <w:t>“</w:t>
      </w:r>
      <w:r>
        <w:t>保护耕地、保障发展、保护环境</w:t>
      </w:r>
      <w:r>
        <w:rPr>
          <w:rFonts w:hint="eastAsia" w:ascii="仿宋_GB2312"/>
        </w:rPr>
        <w:t>”</w:t>
      </w:r>
      <w:r>
        <w:t>的难题</w:t>
      </w:r>
      <w:r>
        <w:rPr>
          <w:rFonts w:hint="eastAsia" w:cs="Times New Roman"/>
        </w:rPr>
        <w:t>。</w:t>
      </w:r>
    </w:p>
    <w:p w14:paraId="6A36E0CA">
      <w:pPr>
        <w:widowControl/>
        <w:ind w:firstLine="643"/>
        <w:rPr>
          <w:rFonts w:cs="Times New Roman"/>
        </w:rPr>
      </w:pPr>
      <w:r>
        <w:rPr>
          <w:rFonts w:hint="eastAsia" w:cs="Times New Roman"/>
          <w:b/>
        </w:rPr>
        <w:t>开展耕地提质增效和退化耕地治理。</w:t>
      </w:r>
      <w:r>
        <w:rPr>
          <w:rFonts w:hint="eastAsia" w:cs="Times New Roman"/>
        </w:rPr>
        <w:t>严格耕地数量质量生态“三位一体”保护，巩固提升全国粮食生产基地地位，在鄂西北、鄂西南、鄂东北、鄂东南等耕地基础地力较差的山地丘陵区域，采取保水蓄水、土壤改良、坡改梯等综合措施提高耕地生产条件和产能；以咸宁市和宜昌市等地区为重点积极开展中低等田质量提升改造；在襄阳市、随州市和孝感市等鄂北水资源配套设施水平较高地区积极推进旱改水工程，提高大型灌区农田灌溉水有效利用系数；持续推进恩施州、黄石市、宜昌市、十堰市等地受污染耕地</w:t>
      </w:r>
      <w:r>
        <w:rPr>
          <w:rFonts w:hint="eastAsia" w:ascii="仿宋_GB2312" w:hAnsi="仿宋_GB2312" w:cs="仿宋_GB2312"/>
          <w:szCs w:val="32"/>
        </w:rPr>
        <w:t>安全利用和管控修复</w:t>
      </w:r>
      <w:r>
        <w:rPr>
          <w:rFonts w:hint="eastAsia" w:cs="Times New Roman"/>
        </w:rPr>
        <w:t>；加强江汉平原农业面源防治和农田基础设施建设，改善灌溉排水条件，减少渍涝灾害；在恩施州、宜昌市、咸宁市、武汉市、黄石市、鄂州市和黄冈市等地着重改良强酸性土壤，提升耕地质量，提高粮食生产能力。</w:t>
      </w:r>
    </w:p>
    <w:p w14:paraId="7B997BC1">
      <w:pPr>
        <w:ind w:firstLine="643"/>
        <w:rPr>
          <w:rFonts w:cs="Times New Roman"/>
        </w:rPr>
      </w:pPr>
      <w:r>
        <w:rPr>
          <w:rFonts w:hint="eastAsia" w:cs="Times New Roman"/>
          <w:b/>
        </w:rPr>
        <w:t>加强农业生态系统保护。</w:t>
      </w:r>
      <w:r>
        <w:rPr>
          <w:rFonts w:hint="eastAsia" w:cs="Times New Roman"/>
        </w:rPr>
        <w:t>持续推进农业野生植物资源保护，探索农业土著种基因保护与可持续利用示范，加强重点流域农业面源污染治理，构建区域农业绿色生态系统。开展外来入侵物种普查，加强农田、渔业水域等区域外来入侵物种预警监测与综合防控，重点做好江汉平原一带草地贪夜蛾等重大危害种植业生产外来物种阻截防控，加强武汉、恩施一带危害农业生态环境的豚草、加拿大一枝黄花等外来入侵恶性杂草的综合治理，重点推进荆州、宜昌一带水花生、水葫芦、福寿螺、大</w:t>
      </w:r>
      <w:r>
        <w:rPr>
          <w:rFonts w:hint="eastAsia" w:ascii="仿宋" w:hAnsi="仿宋" w:eastAsia="仿宋" w:cs="Times New Roman"/>
        </w:rPr>
        <w:t>薸</w:t>
      </w:r>
      <w:r>
        <w:rPr>
          <w:rFonts w:hint="eastAsia" w:cs="Times New Roman"/>
        </w:rPr>
        <w:t>等水生外来入侵物种综合治理。</w:t>
      </w:r>
    </w:p>
    <w:p w14:paraId="1D959E41">
      <w:pPr>
        <w:ind w:firstLine="640"/>
        <w:rPr>
          <w:rFonts w:cs="Times New Roman"/>
        </w:rPr>
      </w:pPr>
    </w:p>
    <w:p w14:paraId="770AE788">
      <w:pPr>
        <w:pStyle w:val="4"/>
        <w:ind w:firstLine="643"/>
      </w:pPr>
      <w:bookmarkStart w:id="106" w:name="_Toc87089269"/>
      <w:r>
        <w:rPr>
          <w:rFonts w:hint="eastAsia"/>
        </w:rPr>
        <w:t>（三）改善城镇空间生态品质</w:t>
      </w:r>
      <w:bookmarkEnd w:id="106"/>
    </w:p>
    <w:p w14:paraId="4B7F1614">
      <w:pPr>
        <w:ind w:firstLine="643"/>
        <w:rPr>
          <w:b/>
        </w:rPr>
      </w:pPr>
      <w:r>
        <w:rPr>
          <w:rFonts w:hint="eastAsia"/>
          <w:b/>
        </w:rPr>
        <w:t>积极推进公园城市建设。</w:t>
      </w:r>
      <w:r>
        <w:rPr>
          <w:rFonts w:hint="eastAsia"/>
        </w:rPr>
        <w:t>以生态文明理念指导城乡规划、建设、治理，尊重自然与人文禀赋，因地制宜建设生态空间山清水秀、生活空间宜居适度、生产空间集约高效、地域和文化特色鲜明、安全开放、全民共享的公园化城市。加强城市设计，严格管控城市观山观水景观视廊及重要文化遗产背景区域，顺应城市山水自然脉络，控制和引导滨水临山区域建筑物高度、形态、风格和色彩，促进城市与山水环境交融渗透；加强城市中心城区建筑高度、建设密度、容积率等指标控制，完善风道、绿道、蓝道等绿色基础设施，建设均衡共享的城市公园体系。以武汉、咸宁为样点，共同探索公园城市发展路径，建设一批山水人城融合、各具特色的公园城市，提升城市生态安全水平。</w:t>
      </w:r>
    </w:p>
    <w:p w14:paraId="3579538D">
      <w:pPr>
        <w:widowControl/>
        <w:ind w:firstLine="643"/>
      </w:pPr>
      <w:r>
        <w:rPr>
          <w:rFonts w:hint="eastAsia"/>
          <w:b/>
        </w:rPr>
        <w:t>加强城镇及周边自然生态资源保护。</w:t>
      </w:r>
      <w:r>
        <w:rPr>
          <w:rFonts w:hint="eastAsia"/>
        </w:rPr>
        <w:t>以城镇内部及周边山体、水体、林地、湿地、动植物等自然生态资源的保护为重点，明确山体保护名录，保护水体自然岸线形态和岸线功能，加强湿地、森林和土壤环境保护，开展生物多样性保护廊道建设，保持并提升生态空间联结度，减缓生态破碎化对生物多样性的影响。加强城镇自然山水格局保护，科学合理划定城镇开发边界，禁止在生态敏感区域开山采石、破山修路、劈山造城；鼓励符合条件项目充分依托山林自然风景资源，依山就势，按照建筑物占地面积、建筑半间距范围及必要的环境用地进行点状布局与供地；在各项建设活动中优先考虑生物多样性保护，推广应用乡土植物和本地适生植物，保护区域生态安全。</w:t>
      </w:r>
    </w:p>
    <w:p w14:paraId="75D372ED">
      <w:pPr>
        <w:widowControl/>
        <w:ind w:firstLine="643"/>
      </w:pPr>
      <w:r>
        <w:rPr>
          <w:rFonts w:hint="eastAsia"/>
          <w:b/>
        </w:rPr>
        <w:t>大力实施城镇生态修复。</w:t>
      </w:r>
      <w:r>
        <w:rPr>
          <w:rFonts w:hint="eastAsia"/>
        </w:rPr>
        <w:t>坚持自然恢复为主，生物措施与工程措施相结合，系统修复城市水系、山体、棕地等。巩固黑臭水体整治既有成果，开展河流湖泊滨水地带修复，严格限制过度硬化，禁止填湖造地、截弯取直、河道硬化等破坏水生态环境建设行为，恢复水体自然形态、修复自然岸线、重建退化湿地生态系统结构与功能，增强水体连通性和自净能力。全面落实</w:t>
      </w:r>
      <w:r>
        <w:rPr>
          <w:rFonts w:hint="eastAsia" w:cs="Times New Roman"/>
        </w:rPr>
        <w:t>海绵城市建设理念</w:t>
      </w:r>
      <w:r>
        <w:rPr>
          <w:rFonts w:cs="Times New Roman"/>
        </w:rPr>
        <w:t>，</w:t>
      </w:r>
      <w:r>
        <w:rPr>
          <w:rFonts w:cs="Times New Roman"/>
          <w:szCs w:val="32"/>
        </w:rPr>
        <w:t>加强武汉、荆州、黄石等重点城市防洪排涝基础设施建设，</w:t>
      </w:r>
      <w:r>
        <w:rPr>
          <w:rFonts w:hint="eastAsia" w:cs="Times New Roman"/>
        </w:rPr>
        <w:t>建设雨水花园、湿地公园、下沉式绿地等，</w:t>
      </w:r>
      <w:r>
        <w:rPr>
          <w:rFonts w:cs="Times New Roman"/>
        </w:rPr>
        <w:t>减少城市内涝。</w:t>
      </w:r>
      <w:r>
        <w:rPr>
          <w:rFonts w:hint="eastAsia"/>
        </w:rPr>
        <w:t>积极稳妥实施城市更新行动，推进城市小规模、渐进式“留白增绿”，加强社区公园、口袋公园、街头游园等小微绿地建设，实现居民出行“300米见绿，500米见园”。在保障安全和生态功能的基础上，积极探索多种生态修复利用模式，鼓励山体及矿山公园化、景观化修复，因地制宜营造环境优美、具有一定休闲游憩功能的景观艺术化场所、城市休闲生态公园、攀岩健身体育公园等。</w:t>
      </w:r>
    </w:p>
    <w:p w14:paraId="6A5056B0">
      <w:pPr>
        <w:widowControl/>
        <w:ind w:firstLine="643"/>
        <w:rPr>
          <w:szCs w:val="28"/>
        </w:rPr>
      </w:pPr>
      <w:r>
        <w:rPr>
          <w:rFonts w:hint="eastAsia"/>
          <w:b/>
          <w:szCs w:val="28"/>
        </w:rPr>
        <w:t>构建蓝绿交织的多层次生态网络</w:t>
      </w:r>
      <w:r>
        <w:rPr>
          <w:b/>
          <w:szCs w:val="28"/>
        </w:rPr>
        <w:t>。</w:t>
      </w:r>
      <w:r>
        <w:rPr>
          <w:szCs w:val="28"/>
        </w:rPr>
        <w:t>全面统筹城镇内外</w:t>
      </w:r>
      <w:r>
        <w:rPr>
          <w:rFonts w:hint="eastAsia"/>
          <w:szCs w:val="28"/>
        </w:rPr>
        <w:t>河流、</w:t>
      </w:r>
      <w:r>
        <w:rPr>
          <w:szCs w:val="28"/>
        </w:rPr>
        <w:t>湖泊、山体、</w:t>
      </w:r>
      <w:r>
        <w:rPr>
          <w:rFonts w:hint="eastAsia"/>
          <w:szCs w:val="28"/>
        </w:rPr>
        <w:t>湿地</w:t>
      </w:r>
      <w:r>
        <w:rPr>
          <w:szCs w:val="28"/>
        </w:rPr>
        <w:t>、公园绿地等各类</w:t>
      </w:r>
      <w:r>
        <w:rPr>
          <w:rFonts w:hint="eastAsia"/>
          <w:szCs w:val="28"/>
        </w:rPr>
        <w:t>蓝绿空间</w:t>
      </w:r>
      <w:r>
        <w:rPr>
          <w:szCs w:val="28"/>
        </w:rPr>
        <w:t>，</w:t>
      </w:r>
      <w:r>
        <w:rPr>
          <w:rFonts w:hint="eastAsia"/>
          <w:szCs w:val="28"/>
        </w:rPr>
        <w:t>划定蓝线和绿线，</w:t>
      </w:r>
      <w:r>
        <w:t>合理布局</w:t>
      </w:r>
      <w:r>
        <w:rPr>
          <w:rFonts w:hint="eastAsia" w:ascii="仿宋_GB2312"/>
          <w:szCs w:val="32"/>
        </w:rPr>
        <w:t>绿廊、绿环、绿楔、绿心</w:t>
      </w:r>
      <w:r>
        <w:t>等</w:t>
      </w:r>
      <w:r>
        <w:rPr>
          <w:rFonts w:hint="eastAsia"/>
        </w:rPr>
        <w:t>城乡</w:t>
      </w:r>
      <w:r>
        <w:t>融合的生态网络</w:t>
      </w:r>
      <w:r>
        <w:rPr>
          <w:rFonts w:hint="eastAsia"/>
        </w:rPr>
        <w:t>；</w:t>
      </w:r>
      <w:r>
        <w:t>加强城市</w:t>
      </w:r>
      <w:r>
        <w:rPr>
          <w:rFonts w:hint="eastAsia"/>
        </w:rPr>
        <w:t>河湖湿地沿线</w:t>
      </w:r>
      <w:r>
        <w:t>绿化和亲水空间建设，构建蓝绿</w:t>
      </w:r>
      <w:r>
        <w:rPr>
          <w:rFonts w:hint="eastAsia"/>
        </w:rPr>
        <w:t>交织</w:t>
      </w:r>
      <w:r>
        <w:t>的生态网络体系</w:t>
      </w:r>
      <w:r>
        <w:rPr>
          <w:rFonts w:hint="eastAsia"/>
        </w:rPr>
        <w:t>。推动城市内部绿地、水系同城市外围山、水、林、田、湖等自然生态要素有机连接，构建功能复合、包容联通的城市生态廊道系统和城市间生态绿廊、滨水绿带及城乡休闲游憩绿道体系。</w:t>
      </w:r>
      <w:r>
        <w:rPr>
          <w:rFonts w:hint="eastAsia"/>
          <w:szCs w:val="28"/>
        </w:rPr>
        <w:t>结合城市外部自然空间和内部开敞空间建设多尺度通风廊道，将清洁空气引入城市中心；促进局部地区风循环，建设街区尺度通风廊道，推进气候友好型城市生态系统构建。</w:t>
      </w:r>
    </w:p>
    <w:p w14:paraId="5FEC42F9">
      <w:pPr>
        <w:pStyle w:val="4"/>
        <w:ind w:firstLine="643"/>
      </w:pPr>
      <w:bookmarkStart w:id="107" w:name="_Toc87089270"/>
      <w:r>
        <w:rPr>
          <w:rFonts w:hint="eastAsia"/>
        </w:rPr>
        <w:t>（四）巩固提升整体碳汇能力</w:t>
      </w:r>
      <w:bookmarkEnd w:id="107"/>
    </w:p>
    <w:p w14:paraId="60186929">
      <w:pPr>
        <w:ind w:firstLine="643"/>
        <w:rPr>
          <w:rFonts w:ascii="仿宋_GB2312" w:cs="仿宋_GB2312" w:hAnsiTheme="minorHAnsi"/>
          <w:kern w:val="0"/>
          <w:szCs w:val="32"/>
        </w:rPr>
      </w:pPr>
      <w:r>
        <w:rPr>
          <w:rFonts w:hint="eastAsia"/>
          <w:b/>
        </w:rPr>
        <w:t>巩固生态系统固碳能力。</w:t>
      </w:r>
      <w:r>
        <w:rPr>
          <w:rFonts w:hint="eastAsia"/>
        </w:rPr>
        <w:t>结合国土空间规划和生态修复规划编制和实施，构建有利于碳达峰、碳中和的国土空间开发保护格局。通过强化国土空间规划和用途管制，严守生态保护红线，严控生态空间占用，建立以国家公园为主体的自然保护地体系，巩固生态系统碳库功能，防止由碳汇转为碳源。加强以秦巴山、武陵山、大别山、幕阜山等重点生态功能区森林植被资源保护，稳定现有森林植被固碳能力；加大</w:t>
      </w:r>
      <w:r>
        <w:rPr>
          <w:rFonts w:hint="eastAsia" w:ascii="仿宋_GB2312" w:cs="仿宋_GB2312" w:hAnsiTheme="minorHAnsi"/>
          <w:kern w:val="0"/>
          <w:szCs w:val="32"/>
        </w:rPr>
        <w:t>以长江、汉江为骨架，三峡库区、丹江口库区和江汉湖群为依托的湿地生态系统保护力度，充分发挥湿地固碳功能。</w:t>
      </w:r>
    </w:p>
    <w:p w14:paraId="613BBBCB">
      <w:pPr>
        <w:ind w:firstLine="643"/>
      </w:pPr>
      <w:r>
        <w:rPr>
          <w:rFonts w:hint="eastAsia"/>
          <w:b/>
        </w:rPr>
        <w:t>提升生态系统碳汇能力。</w:t>
      </w:r>
      <w:r>
        <w:rPr>
          <w:rFonts w:hint="eastAsia"/>
        </w:rPr>
        <w:t>积极实施生态保护修复重点工程，加强长江、汉江、清江防护林建设，推进</w:t>
      </w:r>
      <w:r>
        <w:rPr>
          <w:rFonts w:hint="eastAsia" w:ascii="仿宋_GB2312" w:cs="仿宋_GB2312" w:hAnsiTheme="minorHAnsi"/>
          <w:kern w:val="0"/>
          <w:szCs w:val="32"/>
        </w:rPr>
        <w:t>秦巴山区、武陵山区、大别山区、幕阜山区等重点区域</w:t>
      </w:r>
      <w:r>
        <w:rPr>
          <w:rFonts w:hint="eastAsia"/>
        </w:rPr>
        <w:t>生态公益林、水源涵养林、水土保持林建设，合理调整林地结构，提升林分质量，</w:t>
      </w:r>
      <w:r>
        <w:rPr>
          <w:rFonts w:hint="eastAsia" w:ascii="仿宋_GB2312" w:cs="仿宋_GB2312" w:hAnsiTheme="minorHAnsi"/>
          <w:kern w:val="0"/>
          <w:szCs w:val="32"/>
        </w:rPr>
        <w:t>以三江沿线及四山屏障为重点提升林地碳汇。</w:t>
      </w:r>
      <w:r>
        <w:rPr>
          <w:rFonts w:hint="eastAsia"/>
        </w:rPr>
        <w:t>加强河湖湿地保护修复，</w:t>
      </w:r>
      <w:r>
        <w:rPr>
          <w:rFonts w:hint="eastAsia" w:ascii="仿宋_GB2312" w:cs="仿宋_GB2312" w:hAnsiTheme="minorHAnsi"/>
          <w:kern w:val="0"/>
          <w:szCs w:val="32"/>
        </w:rPr>
        <w:t>开展退田（垸）还湖还湿，构建完整多样的湿地生态系统，提升湿地碳汇能力。以江汉平原和鄂北岗地为重点推进保护性耕作，提升土壤有机碳储量，增加土壤碳汇。以鄂西、鄂东南、鄂中大洪山等出露岩溶区，武汉、黄石、鄂州等隐伏岩溶区，江汉平原埋藏岩溶区为重点，开展土壤、岩溶、矿物碳汇研究和矿山采空区固碳空间调查，充分挖掘土壤、岩溶、地下水、矿物固碳潜力，探索就近实施二氧化碳捕集利用与封存。</w:t>
      </w:r>
    </w:p>
    <w:p w14:paraId="0B27BFCE">
      <w:pPr>
        <w:ind w:firstLine="643"/>
        <w:rPr>
          <w:rFonts w:ascii="仿宋_GB2312" w:hAnsi="仿宋_GB2312" w:cs="仿宋_GB2312"/>
          <w:szCs w:val="32"/>
        </w:rPr>
      </w:pPr>
      <w:r>
        <w:rPr>
          <w:rFonts w:hint="eastAsia"/>
          <w:b/>
        </w:rPr>
        <w:t>加强生态系统碳汇基础支撑。</w:t>
      </w:r>
      <w:r>
        <w:rPr>
          <w:rFonts w:hint="eastAsia"/>
        </w:rPr>
        <w:t>依托和拓展自然资源调查监测体系，利用好国家林草生态综合监测评价成果，建立生态系统碳汇监测核算体系，开展森林、草原、湿地、土壤、岩溶等碳汇本底调查、碳储量评估、潜力分析，实施生态保护修复碳汇成效监测评估。建立健全能够体现碳汇价值的生态保护补偿机制，</w:t>
      </w:r>
      <w:r>
        <w:rPr>
          <w:rFonts w:hint="eastAsia" w:ascii="仿宋_GB2312" w:hAnsi="仿宋_GB2312" w:cs="仿宋_GB2312"/>
          <w:szCs w:val="32"/>
        </w:rPr>
        <w:t>大力开展“碳汇+”交易助推乡村振兴长效机制试点，逐步引入农田碳汇、测土配方减碳、矿产资源绿色开发收益共享等其他“碳汇+”交易；开发“碳汇+”项目核算方法，完善“碳汇+”交易收益分配和抵消机制。</w:t>
      </w:r>
    </w:p>
    <w:p w14:paraId="5382DE2A">
      <w:pPr>
        <w:pStyle w:val="4"/>
        <w:ind w:firstLine="643"/>
      </w:pPr>
      <w:r>
        <w:rPr>
          <w:rFonts w:hint="eastAsia"/>
        </w:rPr>
        <w:t>（五）打造生态修复特色区域</w:t>
      </w:r>
    </w:p>
    <w:p w14:paraId="6722AC13">
      <w:pPr>
        <w:ind w:firstLine="643"/>
      </w:pPr>
      <w:r>
        <w:rPr>
          <w:rFonts w:hint="eastAsia"/>
          <w:b/>
        </w:rPr>
        <w:t>争取创建长江国家文化公园。</w:t>
      </w:r>
      <w:r>
        <w:rPr>
          <w:rFonts w:hint="eastAsia"/>
        </w:rPr>
        <w:t>长江造就了从巴山蜀水到江南水乡的千年文脉，是中华文明的重要发祥地之一，是人类可持续发展的精神宝库。建设长江国家文化公园，不仅是促进人与自然和谐相处的生态工程、实现文化繁荣发展的文化工程，更是落实习近平总书记关于保护传承弘扬长江文化的讲话精神，为推动中部崛起、“一带一路”、长江经济带发展等重大国家战略做好文化支撑。湖北省不仅是多个国家重大战略交汇点，而且拥有丰富的红色文化、历史文化、建筑文化、码头文化等与长江相关的文化资源，文化运营成果丰硕，可以武汉作为先行区，争取创建长江国家文化公园，发挥对周边地区乃至上下游各省份的辐射及纽带效应，促进长江文化的保护传承弘扬。</w:t>
      </w:r>
    </w:p>
    <w:p w14:paraId="4198E56E">
      <w:pPr>
        <w:ind w:firstLine="643"/>
      </w:pPr>
      <w:r>
        <w:rPr>
          <w:rFonts w:hint="eastAsia"/>
          <w:b/>
        </w:rPr>
        <w:t>积极创建国际湿地城市。</w:t>
      </w:r>
      <w:r>
        <w:rPr>
          <w:rFonts w:hint="eastAsia"/>
        </w:rPr>
        <w:t>武汉位于两江交汇处，165条河流纵横交错，166个湖泊星罗棋布，被称作“百湖之市”“湿地之城”，是我国内陆湿地资源最丰富的特大城市之一，也是全球同纬度和长江中下游湖泊湿地的典型代表地区。武汉正积极创建国际湿地城市，进一步加强湿地保护与修复，维护湿地生物多样性，打造一批示范“小微湿地”，推进实施“智慧湿地”建设，探索湿地保护与教育的“新模式”，全面提升湿地保护水平。</w:t>
      </w:r>
    </w:p>
    <w:p w14:paraId="2B7DB163">
      <w:pPr>
        <w:ind w:firstLine="643"/>
      </w:pPr>
      <w:r>
        <w:rPr>
          <w:rFonts w:hint="eastAsia"/>
          <w:b/>
        </w:rPr>
        <w:t>建设江汉平原国家农业绿色发展示范区。</w:t>
      </w:r>
      <w:r>
        <w:rPr>
          <w:rFonts w:hint="eastAsia"/>
        </w:rPr>
        <w:t>江汉平原是湖北及中部地区优势农业资源的核心区域，被誉为“鱼米之乡”。加快农业绿色化发展，推进农业产业化，推广农业清洁生产及农作物病虫害绿色防控产品和技术，加强农业生物多样性保护和渔业资源养护修复；发展现代生态农业，鼓励发展生态种植、生态养殖、种养一体、农牧结合的生态循环农业，打造稻渔综合种养生态循环农业样板，促进农业生态产品价值增值；开展农业面源污染综合治理示范区建设，全面提升农产品质量和食品安全水平，将江汉平原建设为国家农业绿色发展示范区和农业现代化示范区。</w:t>
      </w:r>
    </w:p>
    <w:p w14:paraId="5DD3D21E">
      <w:pPr>
        <w:ind w:firstLine="643"/>
        <w:rPr>
          <w:b/>
        </w:rPr>
      </w:pPr>
      <w:r>
        <w:rPr>
          <w:rFonts w:hint="eastAsia"/>
          <w:b/>
        </w:rPr>
        <w:t>建设大别山</w:t>
      </w:r>
      <w:bookmarkStart w:id="108" w:name="OLE_LINK1"/>
      <w:bookmarkStart w:id="109" w:name="OLE_LINK2"/>
      <w:r>
        <w:rPr>
          <w:rFonts w:hint="eastAsia"/>
          <w:b/>
        </w:rPr>
        <w:t>革命老区</w:t>
      </w:r>
      <w:bookmarkEnd w:id="108"/>
      <w:bookmarkEnd w:id="109"/>
      <w:r>
        <w:rPr>
          <w:rFonts w:hint="eastAsia"/>
          <w:b/>
        </w:rPr>
        <w:t>红色生态文化旅游带。</w:t>
      </w:r>
      <w:r>
        <w:rPr>
          <w:rFonts w:hint="eastAsia"/>
        </w:rPr>
        <w:t>大别山革命老区不仅有着浓厚的红色文化积淀和底蕴，同时也是长江和淮河中下游地区重要的生态安全屏障。深入挖掘大别山区生态资源和革命老区红色文化资源，强化生态保护修复与资源利用，巩固拓展脱贫攻坚成果，保护和传承红色文化，培育壮大特色产业，支持申报国家促进生态保护修复的产权激励机制试点，鼓励开展生态保护补偿试点，打造红色旅游、生态旅游、康养旅游、乡村旅游等特色精品旅游线路产品，将大别山革命老区建设成为红色生态文化旅游经济带和乡村生态振兴示范带，支持大别山革命老区振兴发展。</w:t>
      </w:r>
    </w:p>
    <w:p w14:paraId="6B803431">
      <w:pPr>
        <w:pStyle w:val="3"/>
        <w:spacing w:before="435" w:after="348"/>
      </w:pPr>
      <w:bookmarkStart w:id="110" w:name="_Toc87200627"/>
      <w:bookmarkStart w:id="111" w:name="_Toc87089271"/>
      <w:r>
        <w:rPr>
          <w:rFonts w:hint="eastAsia"/>
        </w:rPr>
        <w:t>第二节　谋划生态修复重点工程</w:t>
      </w:r>
      <w:bookmarkEnd w:id="110"/>
      <w:bookmarkEnd w:id="111"/>
    </w:p>
    <w:p w14:paraId="15F1627E">
      <w:pPr>
        <w:spacing w:before="304" w:beforeLines="70"/>
        <w:ind w:firstLine="640"/>
      </w:pPr>
      <w:r>
        <w:rPr>
          <w:rFonts w:hint="eastAsia"/>
        </w:rPr>
        <w:t>坚持山水林田湖草沙系统治理理念，全面落实长江大保护战略和《全国重要生态系统保护和修复重大工程总体规划（2021-2035年）》中涉及湖北的重大工程，根据全省</w:t>
      </w:r>
      <w:r>
        <w:rPr>
          <w:rFonts w:hint="eastAsia" w:cs="Times New Roman"/>
          <w:lang w:bidi="ar"/>
        </w:rPr>
        <w:t>生态修复总体布局，聚焦全省主要生态问题和八大生态修复分区主攻方向，围绕生态修复总体目标和重点任务，在全省谋划开展十大生态修复重点工程。</w:t>
      </w:r>
    </w:p>
    <w:p w14:paraId="64372A11">
      <w:pPr>
        <w:pStyle w:val="4"/>
        <w:ind w:firstLine="643"/>
      </w:pPr>
      <w:bookmarkStart w:id="112" w:name="_Toc87089272"/>
      <w:r>
        <w:rPr>
          <w:rFonts w:hint="eastAsia" w:hAnsi="仿宋"/>
          <w:szCs w:val="30"/>
        </w:rPr>
        <w:t>（一）</w:t>
      </w:r>
      <w:r>
        <w:rPr>
          <w:rFonts w:hint="eastAsia"/>
        </w:rPr>
        <w:t>长江干流（湖北段）生态保护修复重点工程</w:t>
      </w:r>
      <w:bookmarkEnd w:id="112"/>
    </w:p>
    <w:p w14:paraId="17A9319D">
      <w:pPr>
        <w:widowControl/>
        <w:suppressAutoHyphens/>
        <w:spacing w:after="217" w:afterLines="50"/>
        <w:ind w:firstLine="640"/>
        <w:rPr>
          <w:rFonts w:ascii="仿宋_GB2312" w:hAnsi="仿宋_GB2312" w:cs="仿宋_GB2312"/>
          <w:szCs w:val="32"/>
        </w:rPr>
      </w:pPr>
      <w:r>
        <w:rPr>
          <w:rFonts w:hint="eastAsia" w:ascii="仿宋_GB2312" w:cs="仿宋_GB2312" w:hAnsiTheme="minorHAnsi"/>
          <w:kern w:val="0"/>
          <w:szCs w:val="32"/>
        </w:rPr>
        <w:t>严格长江干流（湖北段）岸线资源管理，</w:t>
      </w:r>
      <w:r>
        <w:rPr>
          <w:rFonts w:hint="eastAsia" w:ascii="仿宋_GB2312" w:hAnsi="仿宋_GB2312" w:cs="仿宋_GB2312"/>
          <w:szCs w:val="32"/>
        </w:rPr>
        <w:t>持续开展长江干流岸线保护和利用专项整治，建立港口岸线资源开发利用长效机制；</w:t>
      </w:r>
      <w:r>
        <w:rPr>
          <w:rFonts w:hint="eastAsia"/>
        </w:rPr>
        <w:t>推进湖北千里长江绿色廊道工程和武汉、黄冈百里长江生态廊道建设，</w:t>
      </w:r>
      <w:r>
        <w:rPr>
          <w:rFonts w:hint="eastAsia" w:ascii="仿宋_GB2312" w:hAnsi="仿宋_GB2312" w:cs="仿宋_GB2312"/>
          <w:szCs w:val="32"/>
        </w:rPr>
        <w:t>逐步恢复长江岸线生态功能</w:t>
      </w:r>
      <w:r>
        <w:rPr>
          <w:rFonts w:hint="eastAsia"/>
        </w:rPr>
        <w:t>；强化长江干流水污染防治，</w:t>
      </w:r>
      <w:r>
        <w:rPr>
          <w:rFonts w:hint="eastAsia" w:ascii="仿宋_GB2312" w:hAnsi="仿宋_GB2312" w:cs="仿宋_GB2312"/>
          <w:szCs w:val="32"/>
        </w:rPr>
        <w:t>优化沿江产业布局，深入推进沿江化工企业“关改搬转治绿”，加强长江“总磷”污染治理，严控航运水污染物直排，建立完善长江干流沿线入河排污口及水污染源清单，构建入河排污口长效监管机制；</w:t>
      </w:r>
      <w:r>
        <w:rPr>
          <w:rFonts w:hint="eastAsia" w:ascii="仿宋_GB2312" w:cs="仿宋_GB2312" w:hAnsiTheme="minorHAnsi"/>
          <w:kern w:val="0"/>
          <w:szCs w:val="32"/>
        </w:rPr>
        <w:t>结合“十年禁渔”，</w:t>
      </w:r>
      <w:r>
        <w:rPr>
          <w:rFonts w:hint="eastAsia" w:ascii="仿宋_GB2312" w:hAnsi="仿宋_GB2312" w:cs="仿宋_GB2312"/>
          <w:szCs w:val="32"/>
        </w:rPr>
        <w:t>加强长江水生生物多样性保护，加大长江中华鲟、大鲵、江豚、“四大家鱼”等水生生物重要栖息地保护力度，制定长江珍贵、濒危水生野生动植物保护计划，建设人工繁育和科普教育基地。</w:t>
      </w:r>
    </w:p>
    <w:tbl>
      <w:tblPr>
        <w:tblStyle w:val="19"/>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7"/>
      </w:tblGrid>
      <w:tr w14:paraId="5B1AB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5000" w:type="pct"/>
            <w:tcBorders>
              <w:bottom w:val="nil"/>
            </w:tcBorders>
            <w:shd w:val="clear" w:color="auto" w:fill="D8D8D8" w:themeFill="background1" w:themeFillShade="D9"/>
            <w:vAlign w:val="center"/>
          </w:tcPr>
          <w:p w14:paraId="64223604">
            <w:pPr>
              <w:keepNext/>
              <w:suppressAutoHyphens/>
              <w:spacing w:line="400" w:lineRule="exact"/>
              <w:ind w:firstLine="0" w:firstLineChars="0"/>
              <w:jc w:val="center"/>
              <w:rPr>
                <w:rFonts w:eastAsia="黑体" w:cs="Times New Roman"/>
                <w:kern w:val="0"/>
                <w:szCs w:val="20"/>
              </w:rPr>
            </w:pPr>
            <w:r>
              <w:rPr>
                <w:rFonts w:eastAsia="黑体" w:cs="Times New Roman"/>
                <w:kern w:val="0"/>
                <w:sz w:val="24"/>
                <w:szCs w:val="24"/>
              </w:rPr>
              <w:t>专栏5-</w:t>
            </w:r>
            <w:r>
              <w:rPr>
                <w:rFonts w:hint="eastAsia" w:eastAsia="黑体" w:cs="Times New Roman"/>
                <w:kern w:val="0"/>
                <w:sz w:val="24"/>
                <w:szCs w:val="24"/>
              </w:rPr>
              <w:t>1长江干流（湖北段）生态保护修复重点工程</w:t>
            </w:r>
          </w:p>
        </w:tc>
      </w:tr>
      <w:tr w14:paraId="3836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5000" w:type="pct"/>
            <w:vAlign w:val="center"/>
          </w:tcPr>
          <w:p w14:paraId="3710B528">
            <w:pPr>
              <w:suppressAutoHyphens/>
              <w:autoSpaceDE w:val="0"/>
              <w:autoSpaceDN w:val="0"/>
              <w:adjustRightInd w:val="0"/>
              <w:spacing w:line="420" w:lineRule="exact"/>
              <w:ind w:firstLine="0" w:firstLineChars="0"/>
              <w:rPr>
                <w:rFonts w:hAnsi="仿宋" w:cs="仿宋_GB2312"/>
                <w:b/>
                <w:kern w:val="0"/>
                <w:sz w:val="24"/>
                <w:szCs w:val="24"/>
              </w:rPr>
            </w:pPr>
            <w:r>
              <w:rPr>
                <w:rFonts w:hint="eastAsia" w:hAnsi="仿宋" w:cs="仿宋_GB2312"/>
                <w:b/>
                <w:kern w:val="0"/>
                <w:sz w:val="24"/>
                <w:szCs w:val="24"/>
              </w:rPr>
              <w:t>1. 湖北千里长江绿色廊道建设工程：</w:t>
            </w:r>
            <w:r>
              <w:rPr>
                <w:rFonts w:hint="eastAsia" w:hAnsi="仿宋" w:cs="仿宋_GB2312"/>
                <w:kern w:val="0"/>
                <w:sz w:val="24"/>
                <w:szCs w:val="24"/>
              </w:rPr>
              <w:t>积极推进《湖北千里长江绿色廊道工程实施方案》编制实施，在长江干流沿线县市严格长江岸线分区管理与用途管制，推进生态岸线恢复，持续开展长江两岸造林绿化，加强武汉市、宜昌市、荆州市等重点城市江段的水环境治理，推进武汉、黄冈百里长江生态廊道建设，于2025年底前完成全省沿江1公里-15公里范围内的化工企业关改搬转，建立比较完善的长江入河排污口监管长效机制。</w:t>
            </w:r>
          </w:p>
          <w:p w14:paraId="28E91E08">
            <w:pPr>
              <w:autoSpaceDE w:val="0"/>
              <w:autoSpaceDN w:val="0"/>
              <w:adjustRightInd w:val="0"/>
              <w:spacing w:line="420" w:lineRule="exact"/>
              <w:ind w:firstLine="0" w:firstLineChars="0"/>
              <w:jc w:val="left"/>
              <w:rPr>
                <w:rFonts w:hAnsi="仿宋" w:cs="仿宋_GB2312"/>
                <w:kern w:val="0"/>
                <w:sz w:val="24"/>
                <w:szCs w:val="24"/>
              </w:rPr>
            </w:pPr>
            <w:r>
              <w:rPr>
                <w:rFonts w:hint="eastAsia" w:hAnsi="仿宋" w:cs="仿宋_GB2312"/>
                <w:b/>
                <w:kern w:val="0"/>
                <w:sz w:val="24"/>
                <w:szCs w:val="24"/>
              </w:rPr>
              <w:t>2. 长江水生生物多样性保护工程：</w:t>
            </w:r>
            <w:r>
              <w:rPr>
                <w:rFonts w:hint="eastAsia" w:hAnsi="仿宋" w:cs="仿宋_GB2312"/>
                <w:kern w:val="0"/>
                <w:sz w:val="24"/>
                <w:szCs w:val="24"/>
              </w:rPr>
              <w:t>在长江干流及其重要支流、水生生物保护区等重点水域沿线县市全面实施十年禁渔，开展长江水生生物多样性调查，实施以中华鲟、江江豚为代表的珍稀濒危特有水生生物抢救性保护行动，开展江豚迁地保护，推进荆州中华鲟永久性保护基地建设。根据水域生态需求确定放流种类、数量、规格和时间，加强效果跟踪评估研究，加快恢复水生生物种群适宜规模。</w:t>
            </w:r>
          </w:p>
          <w:p w14:paraId="79689013">
            <w:pPr>
              <w:suppressAutoHyphens/>
              <w:autoSpaceDE w:val="0"/>
              <w:autoSpaceDN w:val="0"/>
              <w:adjustRightInd w:val="0"/>
              <w:spacing w:line="420" w:lineRule="exact"/>
              <w:ind w:firstLine="0" w:firstLineChars="0"/>
              <w:rPr>
                <w:rFonts w:hAnsi="仿宋" w:cs="仿宋_GB2312"/>
                <w:b/>
                <w:kern w:val="0"/>
                <w:sz w:val="24"/>
                <w:szCs w:val="24"/>
              </w:rPr>
            </w:pPr>
            <w:r>
              <w:rPr>
                <w:rFonts w:hint="eastAsia" w:hAnsi="仿宋" w:cs="仿宋_GB2312"/>
                <w:b/>
                <w:kern w:val="0"/>
                <w:sz w:val="24"/>
                <w:szCs w:val="24"/>
              </w:rPr>
              <w:t>3. 长江沿线山水林田湖草沙</w:t>
            </w:r>
            <w:r>
              <w:rPr>
                <w:rFonts w:hint="eastAsia" w:cs="Times New Roman"/>
                <w:b/>
                <w:kern w:val="0"/>
                <w:sz w:val="24"/>
                <w:szCs w:val="24"/>
              </w:rPr>
              <w:t>生态保护修复</w:t>
            </w:r>
            <w:r>
              <w:rPr>
                <w:rFonts w:hint="eastAsia" w:hAnsi="仿宋" w:cs="仿宋_GB2312"/>
                <w:b/>
                <w:kern w:val="0"/>
                <w:sz w:val="24"/>
                <w:szCs w:val="24"/>
              </w:rPr>
              <w:t>工程：</w:t>
            </w:r>
            <w:r>
              <w:rPr>
                <w:rFonts w:hint="eastAsia" w:hAnsi="仿宋" w:cs="仿宋_GB2312"/>
                <w:kern w:val="0"/>
                <w:sz w:val="24"/>
                <w:szCs w:val="24"/>
              </w:rPr>
              <w:t>在长江沿线县市积极谋划山水林田湖草沙一体化保护修复项目，优先在长江荆州段、黄石段、黄冈段、鄂州段等区域谋划实施山水林田湖草沙生态保护修复项目。</w:t>
            </w:r>
          </w:p>
        </w:tc>
      </w:tr>
    </w:tbl>
    <w:p w14:paraId="6756729F">
      <w:pPr>
        <w:pStyle w:val="4"/>
        <w:spacing w:before="217" w:beforeLines="50"/>
        <w:ind w:firstLine="643"/>
        <w:rPr>
          <w:rFonts w:hAnsi="仿宋"/>
          <w:szCs w:val="30"/>
        </w:rPr>
      </w:pPr>
      <w:bookmarkStart w:id="113" w:name="_Toc87089273"/>
      <w:r>
        <w:rPr>
          <w:rFonts w:hint="eastAsia" w:hAnsi="仿宋"/>
          <w:szCs w:val="30"/>
        </w:rPr>
        <w:t>（二）三峡库区生态综合治理重点工程</w:t>
      </w:r>
      <w:bookmarkEnd w:id="113"/>
    </w:p>
    <w:p w14:paraId="4AE81855">
      <w:pPr>
        <w:suppressAutoHyphens/>
        <w:spacing w:after="217" w:afterLines="50"/>
        <w:ind w:firstLine="640"/>
        <w:rPr>
          <w:szCs w:val="28"/>
        </w:rPr>
      </w:pPr>
      <w:r>
        <w:rPr>
          <w:rFonts w:hint="eastAsia"/>
        </w:rPr>
        <w:t>实施库区天然林保护、退耕还林还草、人工造林、退化林修复、低效林改造、土地综合整治等工程，开展生态隔离带建设，提升林草生态系统功能；建设巴东-秭归-建始沿江网络化生态廊道和山脉生态廊道，保护与修复库区水域及陆域生态环境，</w:t>
      </w:r>
      <w:r>
        <w:rPr>
          <w:rFonts w:hint="eastAsia"/>
          <w:szCs w:val="28"/>
        </w:rPr>
        <w:t>逐步恢复秭归-巴东段消落带生态系统；</w:t>
      </w:r>
      <w:r>
        <w:rPr>
          <w:rFonts w:hint="eastAsia"/>
        </w:rPr>
        <w:t>加强中高山珍稀动植物保护，保护和恢复野生动植物栖息地，保障中华鲟等珍贵鱼类产卵地、索饵场和洄游通道畅通，改善区域生物多样性；加强小流域综合治理，提升水土涵养能力；</w:t>
      </w:r>
      <w:r>
        <w:rPr>
          <w:szCs w:val="28"/>
        </w:rPr>
        <w:t>加强库区及周边生产生活污染防治，建设生态缓冲带，减少对库区生态环境的威胁</w:t>
      </w:r>
      <w:r>
        <w:rPr>
          <w:rFonts w:hint="eastAsia"/>
          <w:szCs w:val="28"/>
        </w:rPr>
        <w:t>；</w:t>
      </w:r>
      <w:r>
        <w:rPr>
          <w:szCs w:val="28"/>
        </w:rPr>
        <w:t>在秭归县、兴山县、巴东县、</w:t>
      </w:r>
      <w:r>
        <w:rPr>
          <w:rFonts w:hint="eastAsia"/>
          <w:szCs w:val="28"/>
        </w:rPr>
        <w:t>夷陵区</w:t>
      </w:r>
      <w:r>
        <w:rPr>
          <w:szCs w:val="28"/>
        </w:rPr>
        <w:t>大力开展矿山生态修复，解决</w:t>
      </w:r>
      <w:r>
        <w:rPr>
          <w:rFonts w:hint="eastAsia"/>
          <w:szCs w:val="28"/>
        </w:rPr>
        <w:t>重点区域历史遗留矿山生态破坏问题，加强库区地质灾害预防及恢复治理。</w:t>
      </w:r>
    </w:p>
    <w:tbl>
      <w:tblPr>
        <w:tblStyle w:val="19"/>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7"/>
      </w:tblGrid>
      <w:tr w14:paraId="6A0A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jc w:val="center"/>
        </w:trPr>
        <w:tc>
          <w:tcPr>
            <w:tcW w:w="5000" w:type="pct"/>
            <w:tcBorders>
              <w:bottom w:val="nil"/>
            </w:tcBorders>
            <w:shd w:val="clear" w:color="auto" w:fill="D8D8D8" w:themeFill="background1" w:themeFillShade="D9"/>
            <w:vAlign w:val="center"/>
          </w:tcPr>
          <w:p w14:paraId="71B80A62">
            <w:pPr>
              <w:keepNext/>
              <w:suppressAutoHyphens/>
              <w:spacing w:line="400" w:lineRule="exact"/>
              <w:ind w:firstLine="0" w:firstLineChars="0"/>
              <w:jc w:val="center"/>
              <w:rPr>
                <w:rFonts w:eastAsia="黑体" w:cs="Times New Roman"/>
                <w:kern w:val="0"/>
                <w:szCs w:val="20"/>
              </w:rPr>
            </w:pPr>
            <w:r>
              <w:rPr>
                <w:rFonts w:eastAsia="黑体" w:cs="Times New Roman"/>
                <w:kern w:val="0"/>
                <w:sz w:val="24"/>
                <w:szCs w:val="24"/>
              </w:rPr>
              <w:t>专栏5-</w:t>
            </w:r>
            <w:r>
              <w:rPr>
                <w:rFonts w:hint="eastAsia" w:eastAsia="黑体" w:cs="Times New Roman"/>
                <w:kern w:val="0"/>
                <w:sz w:val="24"/>
                <w:szCs w:val="24"/>
              </w:rPr>
              <w:t>2三峡库区生态综合治理重点工程</w:t>
            </w:r>
          </w:p>
        </w:tc>
      </w:tr>
      <w:tr w14:paraId="2C72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5000" w:type="pct"/>
            <w:vAlign w:val="center"/>
          </w:tcPr>
          <w:p w14:paraId="5DFD8442">
            <w:pPr>
              <w:suppressAutoHyphens/>
              <w:autoSpaceDE w:val="0"/>
              <w:autoSpaceDN w:val="0"/>
              <w:adjustRightInd w:val="0"/>
              <w:spacing w:line="420" w:lineRule="exact"/>
              <w:ind w:firstLine="0" w:firstLineChars="0"/>
              <w:rPr>
                <w:rFonts w:hAnsi="仿宋" w:cs="仿宋_GB2312"/>
                <w:kern w:val="0"/>
                <w:sz w:val="24"/>
                <w:szCs w:val="24"/>
              </w:rPr>
            </w:pPr>
            <w:r>
              <w:rPr>
                <w:rFonts w:hint="eastAsia" w:cs="Times New Roman"/>
                <w:b/>
                <w:kern w:val="0"/>
                <w:sz w:val="24"/>
                <w:szCs w:val="24"/>
              </w:rPr>
              <w:t>1. 三峡库区水土流失综合治理工程：</w:t>
            </w:r>
            <w:r>
              <w:rPr>
                <w:rFonts w:hint="eastAsia" w:cs="Times New Roman"/>
                <w:kern w:val="0"/>
                <w:sz w:val="24"/>
                <w:szCs w:val="24"/>
              </w:rPr>
              <w:t>主要在巴东县、秭归县、夷陵区等库区沿线县市</w:t>
            </w:r>
            <w:r>
              <w:rPr>
                <w:rFonts w:hAnsi="仿宋" w:cs="仿宋_GB2312"/>
                <w:kern w:val="0"/>
                <w:sz w:val="24"/>
                <w:szCs w:val="24"/>
              </w:rPr>
              <w:t>开展三峡库区库滨带及库周消落带</w:t>
            </w:r>
            <w:r>
              <w:rPr>
                <w:rFonts w:hint="eastAsia" w:hAnsi="仿宋" w:cs="仿宋_GB2312"/>
                <w:kern w:val="0"/>
                <w:sz w:val="24"/>
                <w:szCs w:val="24"/>
              </w:rPr>
              <w:t>生态治理、长江干支流防护林建设、长江两岸生态覆绿、小流域综合治理、地质灾害预治等项目。</w:t>
            </w:r>
          </w:p>
          <w:p w14:paraId="10185A59">
            <w:pPr>
              <w:tabs>
                <w:tab w:val="left" w:pos="312"/>
              </w:tabs>
              <w:suppressAutoHyphens/>
              <w:autoSpaceDE w:val="0"/>
              <w:autoSpaceDN w:val="0"/>
              <w:adjustRightInd w:val="0"/>
              <w:spacing w:line="420" w:lineRule="exact"/>
              <w:ind w:firstLine="0" w:firstLineChars="0"/>
              <w:rPr>
                <w:rFonts w:hAnsi="仿宋" w:cs="仿宋_GB2312"/>
                <w:kern w:val="0"/>
                <w:sz w:val="24"/>
                <w:szCs w:val="24"/>
              </w:rPr>
            </w:pPr>
            <w:r>
              <w:rPr>
                <w:rFonts w:hint="eastAsia" w:hAnsi="仿宋" w:cs="仿宋_GB2312"/>
                <w:b/>
                <w:kern w:val="0"/>
                <w:sz w:val="24"/>
                <w:szCs w:val="24"/>
              </w:rPr>
              <w:t xml:space="preserve">2. </w:t>
            </w:r>
            <w:r>
              <w:rPr>
                <w:rFonts w:hint="eastAsia" w:cs="Times New Roman"/>
                <w:b/>
                <w:kern w:val="0"/>
                <w:sz w:val="24"/>
                <w:szCs w:val="24"/>
              </w:rPr>
              <w:t>三峡库区</w:t>
            </w:r>
            <w:r>
              <w:rPr>
                <w:rFonts w:hint="eastAsia" w:hAnsi="仿宋" w:cs="仿宋_GB2312"/>
                <w:b/>
                <w:kern w:val="0"/>
                <w:sz w:val="24"/>
                <w:szCs w:val="24"/>
              </w:rPr>
              <w:t>生物多样性保护工程：</w:t>
            </w:r>
            <w:r>
              <w:rPr>
                <w:rFonts w:hAnsi="仿宋" w:cs="仿宋_GB2312"/>
                <w:kern w:val="0"/>
                <w:sz w:val="24"/>
                <w:szCs w:val="24"/>
              </w:rPr>
              <w:t>主要在</w:t>
            </w:r>
            <w:r>
              <w:rPr>
                <w:rFonts w:hint="eastAsia" w:cs="Times New Roman"/>
                <w:kern w:val="0"/>
                <w:sz w:val="24"/>
                <w:szCs w:val="24"/>
              </w:rPr>
              <w:t>巴东县、兴山县、秭归县、夷陵区等县市的自然保护地及其他</w:t>
            </w:r>
            <w:r>
              <w:rPr>
                <w:rFonts w:hAnsi="仿宋" w:cs="仿宋_GB2312"/>
                <w:kern w:val="0"/>
                <w:sz w:val="24"/>
                <w:szCs w:val="24"/>
              </w:rPr>
              <w:t>重要生态功能区开展天然林和公益林保护、生态湿地建设、</w:t>
            </w:r>
            <w:r>
              <w:rPr>
                <w:rFonts w:hint="eastAsia" w:hAnsi="仿宋" w:cs="仿宋_GB2312"/>
                <w:kern w:val="0"/>
                <w:sz w:val="24"/>
                <w:szCs w:val="24"/>
              </w:rPr>
              <w:t>野生动物救护及栖息地保护修复、新建</w:t>
            </w:r>
            <w:r>
              <w:rPr>
                <w:rFonts w:hint="eastAsia" w:hAnsi="仿宋" w:cs="仿宋_GB2312"/>
                <w:bCs/>
                <w:kern w:val="0"/>
                <w:sz w:val="24"/>
                <w:szCs w:val="24"/>
              </w:rPr>
              <w:t>中华秋沙鸭及黑鹳越冬基地</w:t>
            </w:r>
            <w:r>
              <w:rPr>
                <w:rFonts w:hAnsi="仿宋" w:cs="仿宋_GB2312"/>
                <w:kern w:val="0"/>
                <w:sz w:val="24"/>
                <w:szCs w:val="24"/>
              </w:rPr>
              <w:t>、生态缓冲带及生态廊道建设、</w:t>
            </w:r>
            <w:r>
              <w:rPr>
                <w:rFonts w:hint="eastAsia" w:hAnsi="仿宋" w:cs="仿宋_GB2312"/>
                <w:bCs/>
                <w:kern w:val="0"/>
                <w:sz w:val="24"/>
                <w:szCs w:val="24"/>
              </w:rPr>
              <w:t>森林病虫害防治及森林质量提升、古树名木保护等项目</w:t>
            </w:r>
            <w:r>
              <w:rPr>
                <w:rFonts w:hint="eastAsia" w:hAnsi="仿宋" w:cs="仿宋_GB2312"/>
                <w:kern w:val="0"/>
                <w:sz w:val="24"/>
                <w:szCs w:val="24"/>
              </w:rPr>
              <w:t>。</w:t>
            </w:r>
          </w:p>
          <w:p w14:paraId="6C8850AF">
            <w:pPr>
              <w:tabs>
                <w:tab w:val="left" w:pos="312"/>
              </w:tabs>
              <w:suppressAutoHyphens/>
              <w:autoSpaceDE w:val="0"/>
              <w:autoSpaceDN w:val="0"/>
              <w:adjustRightInd w:val="0"/>
              <w:spacing w:line="420" w:lineRule="exact"/>
              <w:ind w:firstLine="0" w:firstLineChars="0"/>
              <w:rPr>
                <w:rFonts w:cs="Times New Roman"/>
                <w:kern w:val="0"/>
                <w:szCs w:val="20"/>
              </w:rPr>
            </w:pPr>
            <w:r>
              <w:rPr>
                <w:rFonts w:hint="eastAsia" w:hAnsi="仿宋" w:cs="仿宋_GB2312"/>
                <w:b/>
                <w:kern w:val="0"/>
                <w:sz w:val="24"/>
                <w:szCs w:val="24"/>
              </w:rPr>
              <w:t xml:space="preserve">3. </w:t>
            </w:r>
            <w:r>
              <w:rPr>
                <w:rFonts w:hint="eastAsia" w:cs="Times New Roman"/>
                <w:b/>
                <w:kern w:val="0"/>
                <w:sz w:val="24"/>
                <w:szCs w:val="24"/>
              </w:rPr>
              <w:t>三峡库区历史遗留</w:t>
            </w:r>
            <w:r>
              <w:rPr>
                <w:rFonts w:hint="eastAsia" w:hAnsi="仿宋" w:cs="仿宋_GB2312"/>
                <w:b/>
                <w:kern w:val="0"/>
                <w:sz w:val="24"/>
                <w:szCs w:val="24"/>
              </w:rPr>
              <w:t>矿山综合治理工程：</w:t>
            </w:r>
            <w:r>
              <w:rPr>
                <w:rFonts w:hint="eastAsia" w:hAnsi="仿宋" w:cs="仿宋_GB2312"/>
                <w:kern w:val="0"/>
                <w:sz w:val="24"/>
                <w:szCs w:val="24"/>
              </w:rPr>
              <w:t>在秭归县、兴山县、巴东县、夷陵区等县市的重点矿区优先实施历史遗留矿山综合治理，主要开展矿区植被恢复、废石渣清理、采坑回填、</w:t>
            </w:r>
            <w:r>
              <w:rPr>
                <w:rFonts w:hAnsi="仿宋" w:cs="仿宋_GB2312"/>
                <w:bCs/>
                <w:kern w:val="0"/>
                <w:sz w:val="24"/>
                <w:szCs w:val="24"/>
              </w:rPr>
              <w:t>地质灾害防治等</w:t>
            </w:r>
            <w:r>
              <w:rPr>
                <w:rFonts w:hint="eastAsia" w:hAnsi="仿宋" w:cs="仿宋_GB2312"/>
                <w:bCs/>
                <w:kern w:val="0"/>
                <w:sz w:val="24"/>
                <w:szCs w:val="24"/>
              </w:rPr>
              <w:t>项目</w:t>
            </w:r>
            <w:r>
              <w:rPr>
                <w:rFonts w:hint="eastAsia" w:hAnsi="仿宋" w:cs="仿宋_GB2312"/>
                <w:kern w:val="0"/>
                <w:sz w:val="24"/>
                <w:szCs w:val="24"/>
              </w:rPr>
              <w:t>。</w:t>
            </w:r>
          </w:p>
        </w:tc>
      </w:tr>
    </w:tbl>
    <w:p w14:paraId="48982924">
      <w:pPr>
        <w:pStyle w:val="4"/>
        <w:spacing w:before="217" w:beforeLines="50"/>
        <w:ind w:firstLine="643"/>
        <w:rPr>
          <w:spacing w:val="-20"/>
        </w:rPr>
      </w:pPr>
      <w:bookmarkStart w:id="114" w:name="_Toc87089274"/>
      <w:bookmarkStart w:id="115" w:name="_Toc83808722"/>
      <w:r>
        <w:rPr>
          <w:rFonts w:hint="eastAsia" w:hAnsi="仿宋"/>
          <w:szCs w:val="30"/>
        </w:rPr>
        <w:t>（三）</w:t>
      </w:r>
      <w:r>
        <w:rPr>
          <w:rFonts w:hint="eastAsia"/>
        </w:rPr>
        <w:t>丹江口库区水土保持与水生态综合治理重点工程</w:t>
      </w:r>
      <w:bookmarkEnd w:id="114"/>
      <w:bookmarkEnd w:id="115"/>
    </w:p>
    <w:p w14:paraId="24B94A6B">
      <w:pPr>
        <w:widowControl/>
        <w:suppressAutoHyphens/>
        <w:spacing w:after="217" w:afterLines="50"/>
        <w:ind w:firstLine="640"/>
      </w:pPr>
      <w:r>
        <w:rPr>
          <w:rFonts w:hint="eastAsia"/>
        </w:rPr>
        <w:t>在丹江口库区核心区加强库滨带综合治理，探索库周消落区生态修复，实施库区河湖岸线生态修复、生态护岸治理和水生植物修复，恢复库区湿地生态功能；在环丹江口库区农村和城郊区域，结合水土资源保护、生态隔离带建设等推进小流域综合治理；统筹库区水生态综合治理，推进实施南水北调中线水源区分区管理，综合治理神定河、泗河等不达标入库支流，削减入库河流总氮负荷；实施支流回水区水华治理，在部分富营养化程度较高支流，尤其是库湾处开展水生植被修复、人工湿地建设等，通过人工手段辅助构建健康的生态系统，推进水华风险防控；加强库区周边历史遗留矿山综合治理和地质灾害防治，在郧阳区、丹江口市、郧西县等有条件的乡镇开展全域国土综合整治，提升农田生态功能，改善农村人居生态环境。</w:t>
      </w:r>
    </w:p>
    <w:tbl>
      <w:tblPr>
        <w:tblStyle w:val="19"/>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7"/>
      </w:tblGrid>
      <w:tr w14:paraId="3466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5000" w:type="pct"/>
            <w:tcBorders>
              <w:bottom w:val="nil"/>
            </w:tcBorders>
            <w:shd w:val="clear" w:color="auto" w:fill="D8D8D8" w:themeFill="background1" w:themeFillShade="D9"/>
            <w:vAlign w:val="center"/>
          </w:tcPr>
          <w:p w14:paraId="70C9BF29">
            <w:pPr>
              <w:keepNext/>
              <w:suppressAutoHyphens/>
              <w:spacing w:line="400" w:lineRule="exact"/>
              <w:ind w:firstLine="0" w:firstLineChars="0"/>
              <w:jc w:val="center"/>
              <w:rPr>
                <w:rFonts w:eastAsia="黑体" w:cs="Times New Roman"/>
                <w:kern w:val="0"/>
                <w:szCs w:val="20"/>
              </w:rPr>
            </w:pPr>
            <w:r>
              <w:rPr>
                <w:rFonts w:eastAsia="黑体" w:cs="Times New Roman"/>
                <w:kern w:val="0"/>
                <w:sz w:val="24"/>
                <w:szCs w:val="24"/>
              </w:rPr>
              <w:t>专栏5-</w:t>
            </w:r>
            <w:r>
              <w:rPr>
                <w:rFonts w:hint="eastAsia" w:eastAsia="黑体" w:cs="Times New Roman"/>
                <w:kern w:val="0"/>
                <w:sz w:val="24"/>
                <w:szCs w:val="24"/>
              </w:rPr>
              <w:t>3丹江口库区水土保持与水生态综合治理重点工程</w:t>
            </w:r>
          </w:p>
        </w:tc>
      </w:tr>
      <w:tr w14:paraId="7732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1" w:hRule="atLeast"/>
          <w:jc w:val="center"/>
        </w:trPr>
        <w:tc>
          <w:tcPr>
            <w:tcW w:w="5000" w:type="pct"/>
            <w:vAlign w:val="center"/>
          </w:tcPr>
          <w:p w14:paraId="2E00127C">
            <w:pPr>
              <w:suppressAutoHyphens/>
              <w:autoSpaceDE w:val="0"/>
              <w:autoSpaceDN w:val="0"/>
              <w:adjustRightInd w:val="0"/>
              <w:spacing w:line="420" w:lineRule="exact"/>
              <w:ind w:firstLine="0" w:firstLineChars="0"/>
              <w:rPr>
                <w:rFonts w:hAnsi="仿宋" w:cs="仿宋_GB2312"/>
                <w:kern w:val="0"/>
                <w:sz w:val="24"/>
                <w:szCs w:val="24"/>
              </w:rPr>
            </w:pPr>
            <w:r>
              <w:rPr>
                <w:rFonts w:hint="eastAsia" w:hAnsi="仿宋" w:cs="仿宋_GB2312"/>
                <w:b/>
                <w:kern w:val="0"/>
                <w:sz w:val="24"/>
                <w:szCs w:val="24"/>
              </w:rPr>
              <w:t>1. 丹江口水库库滨带综合治理工程：</w:t>
            </w:r>
            <w:r>
              <w:rPr>
                <w:rFonts w:hint="eastAsia" w:hAnsi="仿宋" w:cs="仿宋_GB2312"/>
                <w:kern w:val="0"/>
                <w:sz w:val="24"/>
                <w:szCs w:val="24"/>
              </w:rPr>
              <w:t>在丹江口市境内库区165米至172米的库周消落带进行人工造林、植草等，通过消落带基底、水质等生境条件的改善和物种的恢复、保护，逐步恢复消落区的结构和功能；逐步关停与搬迁库区172米-1公里缓冲带内现有的畜禽养殖污染源、工业企业，退耕还林还草，现有村落实现零排放，禁止新建畜禽养殖及新建住宅、禁止污染性农田耕种。</w:t>
            </w:r>
          </w:p>
          <w:p w14:paraId="210FCFDF">
            <w:pPr>
              <w:suppressAutoHyphens/>
              <w:autoSpaceDE w:val="0"/>
              <w:autoSpaceDN w:val="0"/>
              <w:adjustRightInd w:val="0"/>
              <w:spacing w:line="420" w:lineRule="exact"/>
              <w:ind w:firstLine="0" w:firstLineChars="0"/>
              <w:rPr>
                <w:rFonts w:hAnsi="仿宋" w:cs="仿宋_GB2312"/>
                <w:b/>
                <w:kern w:val="0"/>
                <w:sz w:val="24"/>
                <w:szCs w:val="24"/>
              </w:rPr>
            </w:pPr>
            <w:r>
              <w:rPr>
                <w:rFonts w:hint="eastAsia" w:hAnsi="仿宋" w:cs="仿宋_GB2312"/>
                <w:b/>
                <w:kern w:val="0"/>
                <w:sz w:val="24"/>
                <w:szCs w:val="24"/>
              </w:rPr>
              <w:t>2. 丹江口环库区湿地生态保护修复工程：</w:t>
            </w:r>
            <w:r>
              <w:rPr>
                <w:rFonts w:hint="eastAsia" w:hAnsi="仿宋" w:cs="仿宋_GB2312"/>
                <w:kern w:val="0"/>
                <w:sz w:val="24"/>
                <w:szCs w:val="24"/>
              </w:rPr>
              <w:t>主要对丹江口市境内库岸线500米范围内进行保护与修复，按照“保总量、降破碎、促连通”的思路，统筹开展湿地系统治理，主要采取植被修复、退耕还湿、生态护岸治理等措施，保护和修复区域内受损的湿地系统空间，增大湿地系统的生态空间面积，聚合散落湿地生态系统服务功能。</w:t>
            </w:r>
          </w:p>
          <w:p w14:paraId="6CD85855">
            <w:pPr>
              <w:suppressAutoHyphens/>
              <w:autoSpaceDE w:val="0"/>
              <w:autoSpaceDN w:val="0"/>
              <w:adjustRightInd w:val="0"/>
              <w:spacing w:line="420" w:lineRule="exact"/>
              <w:ind w:firstLine="0" w:firstLineChars="0"/>
              <w:rPr>
                <w:rFonts w:hAnsi="仿宋" w:cs="仿宋_GB2312"/>
                <w:b/>
                <w:kern w:val="0"/>
                <w:sz w:val="24"/>
                <w:szCs w:val="24"/>
              </w:rPr>
            </w:pPr>
            <w:r>
              <w:rPr>
                <w:rFonts w:hint="eastAsia" w:hAnsi="仿宋" w:cs="仿宋_GB2312"/>
                <w:b/>
                <w:kern w:val="0"/>
                <w:sz w:val="24"/>
                <w:szCs w:val="24"/>
              </w:rPr>
              <w:t>3. 丹江口库区水生态环境综合修复工程：</w:t>
            </w:r>
            <w:r>
              <w:rPr>
                <w:rFonts w:hint="eastAsia" w:hAnsi="仿宋" w:cs="仿宋_GB2312"/>
                <w:kern w:val="0"/>
                <w:sz w:val="24"/>
                <w:szCs w:val="24"/>
              </w:rPr>
              <w:t>在丹江口市对丹江口水库坝上中/何家湾、江北大桥和五龙泉等区域进行水污染生态综合治理；在神定河、泗河、犟河、官山河、剑河等入库支流沿线县市开展防洪排涝、截污控污、河底清淤、生态护岸及生态驳岸、水土流失防治、生态补水、生态浮岛湿地等的综合治理。</w:t>
            </w:r>
          </w:p>
          <w:p w14:paraId="4AE1618C">
            <w:pPr>
              <w:suppressAutoHyphens/>
              <w:autoSpaceDE w:val="0"/>
              <w:autoSpaceDN w:val="0"/>
              <w:adjustRightInd w:val="0"/>
              <w:spacing w:line="420" w:lineRule="exact"/>
              <w:ind w:firstLine="0" w:firstLineChars="0"/>
              <w:rPr>
                <w:rFonts w:hAnsi="仿宋" w:cs="仿宋_GB2312"/>
                <w:b/>
                <w:kern w:val="0"/>
                <w:sz w:val="24"/>
                <w:szCs w:val="24"/>
              </w:rPr>
            </w:pPr>
            <w:r>
              <w:rPr>
                <w:rFonts w:hint="eastAsia" w:hAnsi="仿宋" w:cs="仿宋_GB2312"/>
                <w:b/>
                <w:kern w:val="0"/>
                <w:sz w:val="24"/>
                <w:szCs w:val="24"/>
              </w:rPr>
              <w:t>4. 丹江口库区水土流失和石漠化综合治理工程：</w:t>
            </w:r>
            <w:r>
              <w:rPr>
                <w:rFonts w:hint="eastAsia" w:hAnsi="仿宋" w:cs="仿宋_GB2312"/>
                <w:kern w:val="0"/>
                <w:sz w:val="24"/>
                <w:szCs w:val="24"/>
              </w:rPr>
              <w:t>主要在郧阳区、张湾区、丹江口市、郧西县等县市采取以植被恢复与保护为主、辅以其他工程措施综合治理水土流失和石漠化，把生态建设与经济发展结合起来，改善区域生态状况，促进经济和社会可持续发展。</w:t>
            </w:r>
          </w:p>
          <w:p w14:paraId="6BD74261">
            <w:pPr>
              <w:suppressAutoHyphens/>
              <w:autoSpaceDE w:val="0"/>
              <w:autoSpaceDN w:val="0"/>
              <w:adjustRightInd w:val="0"/>
              <w:spacing w:line="420" w:lineRule="exact"/>
              <w:ind w:firstLine="0" w:firstLineChars="0"/>
              <w:rPr>
                <w:rFonts w:hAnsi="仿宋" w:cs="仿宋_GB2312"/>
                <w:b/>
                <w:kern w:val="0"/>
                <w:sz w:val="24"/>
                <w:szCs w:val="24"/>
              </w:rPr>
            </w:pPr>
            <w:r>
              <w:rPr>
                <w:rFonts w:hint="eastAsia" w:hAnsi="仿宋" w:cs="仿宋_GB2312"/>
                <w:b/>
                <w:kern w:val="0"/>
                <w:sz w:val="24"/>
                <w:szCs w:val="24"/>
              </w:rPr>
              <w:t>5. 丹江口库区历史遗留矿山综合治理工程：</w:t>
            </w:r>
            <w:r>
              <w:rPr>
                <w:rFonts w:hint="eastAsia" w:hAnsi="仿宋" w:cs="仿宋_GB2312"/>
                <w:kern w:val="0"/>
                <w:sz w:val="24"/>
                <w:szCs w:val="24"/>
              </w:rPr>
              <w:t>主要对郧阳区、丹江口市、郧西县等县市</w:t>
            </w:r>
            <w:r>
              <w:rPr>
                <w:rFonts w:hint="eastAsia" w:ascii="仿宋_GB2312" w:hAnsi="仿宋_GB2312" w:cs="仿宋_GB2312"/>
                <w:sz w:val="24"/>
              </w:rPr>
              <w:t>矿山集中区进行历史遗留矿山综合治理，恢复矿区植被，重塑矿区地形地貌，消除地质灾害隐患，恢复和提升矿区生态系统功能。</w:t>
            </w:r>
          </w:p>
        </w:tc>
      </w:tr>
    </w:tbl>
    <w:p w14:paraId="04EC5255">
      <w:pPr>
        <w:pStyle w:val="4"/>
        <w:spacing w:before="217" w:beforeLines="50"/>
        <w:ind w:firstLine="627"/>
        <w:rPr>
          <w:spacing w:val="-4"/>
          <w:w w:val="95"/>
        </w:rPr>
      </w:pPr>
      <w:bookmarkStart w:id="116" w:name="_Toc83808723"/>
      <w:bookmarkStart w:id="117" w:name="_Toc87089275"/>
      <w:r>
        <w:rPr>
          <w:rFonts w:hint="eastAsia" w:hAnsi="仿宋"/>
          <w:spacing w:val="-4"/>
          <w:szCs w:val="30"/>
        </w:rPr>
        <w:t>（四）</w:t>
      </w:r>
      <w:r>
        <w:rPr>
          <w:rFonts w:hint="eastAsia"/>
          <w:spacing w:val="-4"/>
        </w:rPr>
        <w:t>鄂西北大巴山区生物多样性保护与生态修复重点工程</w:t>
      </w:r>
      <w:bookmarkEnd w:id="116"/>
      <w:bookmarkEnd w:id="117"/>
    </w:p>
    <w:p w14:paraId="2E60FD8F">
      <w:pPr>
        <w:suppressAutoHyphens/>
        <w:spacing w:after="217" w:afterLines="50"/>
        <w:ind w:firstLine="640"/>
      </w:pPr>
      <w:r>
        <w:rPr>
          <w:rFonts w:hint="eastAsia"/>
        </w:rPr>
        <w:t>严格保护天然林和公益林，全面加强针叶林和针阔混交林的培育，科学开展天然次生林提质，采用更替修复、择伐修复、抚育修复、林带渐进修复等多种方式，持续提升森林资源质量；拯救与保护川金丝猴、小勾儿茶、庙台槭、洪平杏、兰科植物等珍稀濒危野生动植物种，恢复和改善珍稀濒危野生动植物栖息原生生境，建立川金丝猴等特有物种生态廊道，加强神农架及周边自然保护地生态缓冲带和生态廊道建设，提高生境连通性；以预防保护为主增强区域水土保持能力，加强对现有植被的保护，促进生态自我修复，</w:t>
      </w:r>
      <w:r>
        <w:rPr>
          <w:rFonts w:hint="eastAsia" w:ascii="仿宋_GB2312" w:hAnsi="仿宋_GB2312" w:cs="仿宋_GB2312"/>
          <w:szCs w:val="32"/>
        </w:rPr>
        <w:t>在水土流失严重地区，开展以小流域为单元的综合治理；</w:t>
      </w:r>
      <w:r>
        <w:rPr>
          <w:rFonts w:hint="eastAsia"/>
        </w:rPr>
        <w:t>以神农架林区、保康县、远安县等矿山集中区为重点，推进绿色矿山建设，大力实施历史遗留矿山综合治理；在房县、竹溪县、竹山县、远安县等有条件的乡镇开展全域综合整治，提高耕地质量，改善农村人居生态环境。</w:t>
      </w:r>
    </w:p>
    <w:tbl>
      <w:tblPr>
        <w:tblStyle w:val="19"/>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7"/>
      </w:tblGrid>
      <w:tr w14:paraId="1CF8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000" w:type="pct"/>
            <w:shd w:val="clear" w:color="auto" w:fill="D8D8D8" w:themeFill="background1" w:themeFillShade="D9"/>
            <w:vAlign w:val="center"/>
          </w:tcPr>
          <w:p w14:paraId="4E90D31D">
            <w:pPr>
              <w:suppressAutoHyphens/>
              <w:spacing w:line="400" w:lineRule="exact"/>
              <w:ind w:firstLine="0" w:firstLineChars="0"/>
              <w:jc w:val="center"/>
              <w:rPr>
                <w:rFonts w:eastAsia="黑体" w:cs="Times New Roman"/>
                <w:kern w:val="0"/>
                <w:szCs w:val="20"/>
              </w:rPr>
            </w:pPr>
            <w:r>
              <w:rPr>
                <w:rFonts w:eastAsia="黑体" w:cs="Times New Roman"/>
                <w:kern w:val="0"/>
                <w:sz w:val="24"/>
                <w:szCs w:val="24"/>
              </w:rPr>
              <w:t>专栏5-</w:t>
            </w:r>
            <w:r>
              <w:rPr>
                <w:rFonts w:hint="eastAsia" w:eastAsia="黑体" w:cs="Times New Roman"/>
                <w:kern w:val="0"/>
                <w:sz w:val="24"/>
                <w:szCs w:val="24"/>
              </w:rPr>
              <w:t>4鄂西北大巴山区生物多样性保护与生态修复重点工程</w:t>
            </w:r>
          </w:p>
        </w:tc>
      </w:tr>
      <w:tr w14:paraId="670F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vAlign w:val="center"/>
          </w:tcPr>
          <w:p w14:paraId="65C84D75">
            <w:pPr>
              <w:tabs>
                <w:tab w:val="left" w:pos="312"/>
              </w:tabs>
              <w:suppressAutoHyphens/>
              <w:autoSpaceDE w:val="0"/>
              <w:autoSpaceDN w:val="0"/>
              <w:adjustRightInd w:val="0"/>
              <w:spacing w:line="420" w:lineRule="exact"/>
              <w:ind w:firstLine="0" w:firstLineChars="0"/>
              <w:rPr>
                <w:rFonts w:hAnsi="仿宋" w:cs="仿宋_GB2312"/>
                <w:kern w:val="0"/>
                <w:sz w:val="24"/>
                <w:szCs w:val="24"/>
              </w:rPr>
            </w:pPr>
            <w:r>
              <w:rPr>
                <w:rFonts w:hint="eastAsia" w:hAnsi="仿宋" w:cs="仿宋_GB2312"/>
                <w:b/>
                <w:kern w:val="0"/>
                <w:sz w:val="24"/>
                <w:szCs w:val="24"/>
              </w:rPr>
              <w:t>1. 鄂西北大巴山区生物多样性保护工程：</w:t>
            </w:r>
            <w:r>
              <w:rPr>
                <w:rFonts w:hint="eastAsia" w:hAnsi="仿宋" w:cs="仿宋_GB2312"/>
                <w:kern w:val="0"/>
                <w:sz w:val="24"/>
                <w:szCs w:val="24"/>
              </w:rPr>
              <w:t>主要在神农架林区、竹溪县、竹山县、房县、保康县、南漳县等县市自然保护地及其他重要生态功能区</w:t>
            </w:r>
            <w:r>
              <w:rPr>
                <w:rFonts w:hAnsi="仿宋" w:cs="仿宋_GB2312"/>
                <w:kern w:val="0"/>
                <w:sz w:val="24"/>
                <w:szCs w:val="24"/>
              </w:rPr>
              <w:t>实施生物多样性保护，开展自然保护地管护、生态缓冲带及生态廊道建设、森林资源保护及质量提升、</w:t>
            </w:r>
            <w:r>
              <w:rPr>
                <w:rFonts w:hint="eastAsia" w:hAnsi="仿宋" w:cs="仿宋_GB2312"/>
                <w:kern w:val="0"/>
                <w:sz w:val="24"/>
                <w:szCs w:val="24"/>
              </w:rPr>
              <w:t>森林病虫害防治</w:t>
            </w:r>
            <w:r>
              <w:rPr>
                <w:rFonts w:hAnsi="仿宋" w:cs="仿宋_GB2312"/>
                <w:kern w:val="0"/>
                <w:sz w:val="24"/>
                <w:szCs w:val="24"/>
              </w:rPr>
              <w:t>、古树名木保护、</w:t>
            </w:r>
            <w:r>
              <w:rPr>
                <w:rFonts w:hint="eastAsia" w:hAnsi="仿宋" w:cs="仿宋_GB2312"/>
                <w:kern w:val="0"/>
                <w:sz w:val="24"/>
                <w:szCs w:val="24"/>
              </w:rPr>
              <w:t>湿地生境修复和野生动植物保育基地建设</w:t>
            </w:r>
            <w:r>
              <w:rPr>
                <w:rFonts w:hAnsi="仿宋" w:cs="仿宋_GB2312"/>
                <w:kern w:val="0"/>
                <w:sz w:val="24"/>
                <w:szCs w:val="24"/>
              </w:rPr>
              <w:t>等</w:t>
            </w:r>
            <w:r>
              <w:rPr>
                <w:rFonts w:hint="eastAsia" w:hAnsi="仿宋" w:cs="仿宋_GB2312"/>
                <w:kern w:val="0"/>
                <w:sz w:val="24"/>
                <w:szCs w:val="24"/>
              </w:rPr>
              <w:t>项目。</w:t>
            </w:r>
          </w:p>
          <w:p w14:paraId="04EB07CD">
            <w:pPr>
              <w:tabs>
                <w:tab w:val="left" w:pos="312"/>
              </w:tabs>
              <w:suppressAutoHyphens/>
              <w:autoSpaceDE w:val="0"/>
              <w:autoSpaceDN w:val="0"/>
              <w:adjustRightInd w:val="0"/>
              <w:spacing w:line="420" w:lineRule="exact"/>
              <w:ind w:firstLine="0" w:firstLineChars="0"/>
              <w:rPr>
                <w:rFonts w:hAnsi="仿宋" w:cs="仿宋_GB2312"/>
                <w:color w:val="FF0000"/>
                <w:kern w:val="0"/>
                <w:sz w:val="24"/>
                <w:szCs w:val="24"/>
              </w:rPr>
            </w:pPr>
            <w:r>
              <w:rPr>
                <w:rFonts w:hint="eastAsia" w:hAnsi="仿宋" w:cs="仿宋_GB2312"/>
                <w:b/>
                <w:kern w:val="0"/>
                <w:sz w:val="24"/>
                <w:szCs w:val="24"/>
              </w:rPr>
              <w:t>2. 鄂西北大巴山区历史遗留矿山综合治理工程：</w:t>
            </w:r>
            <w:r>
              <w:rPr>
                <w:rFonts w:hint="eastAsia" w:hAnsi="仿宋" w:cs="仿宋_GB2312"/>
                <w:kern w:val="0"/>
                <w:sz w:val="24"/>
                <w:szCs w:val="24"/>
              </w:rPr>
              <w:t>主要在神农架林区、竹溪县、竹山县、房县、保康县、南漳县等县市实施历史遗留矿山综合治理，主要开展矿山</w:t>
            </w:r>
            <w:r>
              <w:rPr>
                <w:rFonts w:hAnsi="仿宋" w:cs="仿宋_GB2312"/>
                <w:bCs/>
                <w:kern w:val="0"/>
                <w:sz w:val="24"/>
                <w:szCs w:val="24"/>
              </w:rPr>
              <w:t>地质灾害防治、</w:t>
            </w:r>
            <w:r>
              <w:rPr>
                <w:rFonts w:hint="eastAsia" w:hAnsi="仿宋" w:cs="仿宋_GB2312"/>
                <w:kern w:val="0"/>
                <w:sz w:val="24"/>
                <w:szCs w:val="24"/>
              </w:rPr>
              <w:t>恢复废弃矿渣堆和排土场等占用的土地资源生态环境、完善矿区道路建设，构建完善的旅游交通网络，修建配套设施，提升当地旅游资源。</w:t>
            </w:r>
          </w:p>
          <w:p w14:paraId="02F2C8A7">
            <w:pPr>
              <w:tabs>
                <w:tab w:val="left" w:pos="312"/>
              </w:tabs>
              <w:suppressAutoHyphens/>
              <w:autoSpaceDE w:val="0"/>
              <w:autoSpaceDN w:val="0"/>
              <w:adjustRightInd w:val="0"/>
              <w:spacing w:line="420" w:lineRule="exact"/>
              <w:ind w:firstLine="0" w:firstLineChars="0"/>
              <w:rPr>
                <w:rFonts w:hAnsi="仿宋" w:cs="仿宋_GB2312"/>
                <w:b/>
                <w:kern w:val="0"/>
                <w:sz w:val="24"/>
                <w:szCs w:val="24"/>
              </w:rPr>
            </w:pPr>
            <w:r>
              <w:rPr>
                <w:rFonts w:hint="eastAsia" w:hAnsi="仿宋" w:cs="仿宋_GB2312"/>
                <w:b/>
                <w:kern w:val="0"/>
                <w:sz w:val="22"/>
                <w:szCs w:val="24"/>
              </w:rPr>
              <w:t xml:space="preserve">3. </w:t>
            </w:r>
            <w:r>
              <w:rPr>
                <w:rFonts w:hint="eastAsia" w:hAnsi="仿宋" w:cs="仿宋_GB2312"/>
                <w:b/>
                <w:kern w:val="0"/>
                <w:sz w:val="24"/>
                <w:szCs w:val="24"/>
              </w:rPr>
              <w:t>鄂西北大巴山区水土流失和石漠化综合防治工程：</w:t>
            </w:r>
            <w:r>
              <w:rPr>
                <w:rFonts w:hAnsi="仿宋" w:cs="仿宋_GB2312"/>
                <w:kern w:val="0"/>
                <w:sz w:val="24"/>
                <w:szCs w:val="24"/>
              </w:rPr>
              <w:t>在</w:t>
            </w:r>
            <w:r>
              <w:rPr>
                <w:rFonts w:hint="eastAsia" w:hAnsi="仿宋" w:cs="仿宋_GB2312"/>
                <w:kern w:val="0"/>
                <w:sz w:val="24"/>
                <w:szCs w:val="24"/>
              </w:rPr>
              <w:t>竹溪县、竹山县、房县、神农架林区、保康县、南漳县、远安县等县市</w:t>
            </w:r>
            <w:r>
              <w:rPr>
                <w:rFonts w:hAnsi="仿宋" w:cs="仿宋_GB2312"/>
                <w:kern w:val="0"/>
                <w:sz w:val="24"/>
                <w:szCs w:val="24"/>
              </w:rPr>
              <w:t>开展水土保持林营造、小流域综合治理、坡耕地改造、小型拦蓄工程修建等</w:t>
            </w:r>
            <w:r>
              <w:rPr>
                <w:rFonts w:hint="eastAsia" w:hAnsi="仿宋" w:cs="仿宋_GB2312"/>
                <w:kern w:val="0"/>
                <w:sz w:val="24"/>
                <w:szCs w:val="24"/>
              </w:rPr>
              <w:t>项目</w:t>
            </w:r>
            <w:r>
              <w:rPr>
                <w:rFonts w:hAnsi="仿宋" w:cs="仿宋_GB2312"/>
                <w:kern w:val="0"/>
                <w:sz w:val="24"/>
                <w:szCs w:val="24"/>
              </w:rPr>
              <w:t>。</w:t>
            </w:r>
          </w:p>
        </w:tc>
      </w:tr>
    </w:tbl>
    <w:p w14:paraId="45FF49DE">
      <w:pPr>
        <w:pStyle w:val="4"/>
        <w:spacing w:before="217" w:beforeLines="50"/>
        <w:ind w:firstLine="643"/>
      </w:pPr>
      <w:bookmarkStart w:id="118" w:name="_Toc83808724"/>
      <w:bookmarkStart w:id="119" w:name="_Toc87089276"/>
      <w:r>
        <w:rPr>
          <w:rFonts w:hint="eastAsia" w:hAnsi="仿宋"/>
          <w:szCs w:val="30"/>
        </w:rPr>
        <w:t>（五）</w:t>
      </w:r>
      <w:r>
        <w:rPr>
          <w:rFonts w:hint="eastAsia"/>
        </w:rPr>
        <w:t>鄂西南武陵山区生物多样性保护与石漠化综合治理重点工程</w:t>
      </w:r>
      <w:bookmarkEnd w:id="118"/>
      <w:bookmarkEnd w:id="119"/>
    </w:p>
    <w:p w14:paraId="206FEC9B">
      <w:pPr>
        <w:suppressAutoHyphens/>
        <w:spacing w:after="217" w:afterLines="50"/>
        <w:ind w:firstLine="664"/>
        <w:rPr>
          <w:spacing w:val="6"/>
        </w:rPr>
      </w:pPr>
      <w:r>
        <w:rPr>
          <w:rFonts w:hint="eastAsia"/>
          <w:spacing w:val="6"/>
        </w:rPr>
        <w:t>积极推进天然林保护、公益林管理、水土流失和石漠化综合治理，保护和发展马尾松、栎类、阔叶混交林、针阔混交林等水源涵养林和水土保持林，精准实施森林抚育和退化林修复，稳步提升森林生态系统质量；加强后河、星斗山、七姊妹山、崩尖子等自然保护地建设与管理，拯救与保护猫科动物、林麝、中国小鲵、水杉、峨眉含笑等珍稀濒危野生动植物种，建立野生动植物监测体系，加强外来入侵物种防治；通过开展湿地植被恢复、岸线生态化改造、疏浚清淤等，加强咸丰二仙岩、宣恩七姊妹山等亚高山泥炭癣沼泽湿地保护和退化湿地修复；加强清江流域水生态环境综合整治，主要在清江库区、酉水河流域等开展岸线治理和生态综合修复，加强清江下游隔河岩、高坝洲等水工程调度，保障河流生态流量。在建始县、利川市、鹤峰县、宣恩县、长阳县等矿山集中区优先开展历史遗留矿山生态修复，改善矿区及周边生态环境。</w:t>
      </w:r>
    </w:p>
    <w:tbl>
      <w:tblPr>
        <w:tblStyle w:val="19"/>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7"/>
      </w:tblGrid>
      <w:tr w14:paraId="7EEBD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5000" w:type="pct"/>
            <w:tcBorders>
              <w:bottom w:val="nil"/>
            </w:tcBorders>
            <w:shd w:val="clear" w:color="auto" w:fill="D8D8D8" w:themeFill="background1" w:themeFillShade="D9"/>
            <w:vAlign w:val="center"/>
          </w:tcPr>
          <w:p w14:paraId="13B6D935">
            <w:pPr>
              <w:suppressAutoHyphens/>
              <w:spacing w:line="400" w:lineRule="exact"/>
              <w:ind w:firstLine="0" w:firstLineChars="0"/>
              <w:jc w:val="center"/>
              <w:rPr>
                <w:rFonts w:eastAsia="黑体" w:cs="Times New Roman"/>
                <w:kern w:val="0"/>
                <w:szCs w:val="20"/>
              </w:rPr>
            </w:pPr>
            <w:r>
              <w:rPr>
                <w:rFonts w:eastAsia="黑体" w:cs="Times New Roman"/>
                <w:kern w:val="0"/>
                <w:sz w:val="24"/>
                <w:szCs w:val="24"/>
              </w:rPr>
              <w:t>专栏5-</w:t>
            </w:r>
            <w:r>
              <w:rPr>
                <w:rFonts w:hint="eastAsia" w:eastAsia="黑体" w:cs="Times New Roman"/>
                <w:kern w:val="0"/>
                <w:sz w:val="24"/>
                <w:szCs w:val="24"/>
              </w:rPr>
              <w:t>5鄂西南武陵山区生物多样性保护与石漠化综合治理重点工程</w:t>
            </w:r>
          </w:p>
        </w:tc>
      </w:tr>
      <w:tr w14:paraId="3B4A6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vAlign w:val="center"/>
          </w:tcPr>
          <w:p w14:paraId="29DA087E">
            <w:pPr>
              <w:suppressAutoHyphens/>
              <w:autoSpaceDE w:val="0"/>
              <w:autoSpaceDN w:val="0"/>
              <w:adjustRightInd w:val="0"/>
              <w:spacing w:line="420" w:lineRule="exact"/>
              <w:ind w:firstLine="0" w:firstLineChars="0"/>
              <w:rPr>
                <w:rFonts w:hAnsi="仿宋" w:cs="仿宋_GB2312"/>
                <w:kern w:val="0"/>
                <w:sz w:val="24"/>
                <w:szCs w:val="24"/>
              </w:rPr>
            </w:pPr>
            <w:r>
              <w:rPr>
                <w:rFonts w:hint="eastAsia" w:cs="Times New Roman"/>
                <w:b/>
                <w:kern w:val="0"/>
                <w:sz w:val="24"/>
                <w:szCs w:val="24"/>
              </w:rPr>
              <w:t>1. 清江流域山水林田湖草沙生态保护修复工程：</w:t>
            </w:r>
            <w:r>
              <w:rPr>
                <w:rFonts w:hint="eastAsia" w:hAnsi="仿宋" w:cs="仿宋_GB2312"/>
                <w:kern w:val="0"/>
                <w:sz w:val="24"/>
                <w:szCs w:val="24"/>
              </w:rPr>
              <w:t>以清江流域生态修复和保护为主线，按照整体保护、系统修复、综合治理的要求，</w:t>
            </w:r>
            <w:r>
              <w:rPr>
                <w:rFonts w:hAnsi="仿宋" w:cs="仿宋_GB2312"/>
                <w:kern w:val="0"/>
                <w:sz w:val="24"/>
                <w:szCs w:val="24"/>
              </w:rPr>
              <w:t>在恩施市、利川市、建始县、巴东县、长阳县、五峰县、宜都市等清江沿线县市</w:t>
            </w:r>
            <w:r>
              <w:rPr>
                <w:rFonts w:hint="eastAsia" w:hAnsi="仿宋" w:cs="仿宋_GB2312"/>
                <w:kern w:val="0"/>
                <w:sz w:val="24"/>
                <w:szCs w:val="24"/>
              </w:rPr>
              <w:t>开展</w:t>
            </w:r>
            <w:r>
              <w:rPr>
                <w:rFonts w:hAnsi="仿宋" w:cs="仿宋_GB2312"/>
                <w:kern w:val="0"/>
                <w:sz w:val="24"/>
                <w:szCs w:val="24"/>
              </w:rPr>
              <w:t>清江</w:t>
            </w:r>
            <w:r>
              <w:rPr>
                <w:rFonts w:hint="eastAsia" w:hAnsi="仿宋" w:cs="仿宋_GB2312"/>
                <w:kern w:val="0"/>
                <w:sz w:val="24"/>
                <w:szCs w:val="24"/>
              </w:rPr>
              <w:t>防护林建设、生态小流域建设及次级河流综合治理、清江库区生态湿地建设、历史遗留矿山生态修复、水土流失与石漠化综合治理、森林资源保护与质量提升、地质灾害预防及恢复治理、农田生态整治、农业面源污染防治、城镇污水全过程系统治理等项目。</w:t>
            </w:r>
          </w:p>
          <w:p w14:paraId="19BA2D0A">
            <w:pPr>
              <w:tabs>
                <w:tab w:val="left" w:pos="312"/>
              </w:tabs>
              <w:suppressAutoHyphens/>
              <w:autoSpaceDE w:val="0"/>
              <w:autoSpaceDN w:val="0"/>
              <w:adjustRightInd w:val="0"/>
              <w:spacing w:line="420" w:lineRule="exact"/>
              <w:ind w:firstLine="0" w:firstLineChars="0"/>
              <w:rPr>
                <w:rFonts w:hAnsi="仿宋" w:cs="仿宋_GB2312"/>
                <w:kern w:val="0"/>
                <w:sz w:val="24"/>
                <w:szCs w:val="24"/>
              </w:rPr>
            </w:pPr>
            <w:r>
              <w:rPr>
                <w:rFonts w:hint="eastAsia" w:hAnsi="仿宋" w:cs="仿宋_GB2312"/>
                <w:b/>
                <w:kern w:val="0"/>
                <w:sz w:val="24"/>
                <w:szCs w:val="24"/>
              </w:rPr>
              <w:t>2. 鄂西南</w:t>
            </w:r>
            <w:r>
              <w:rPr>
                <w:rFonts w:hint="eastAsia" w:cs="Times New Roman"/>
                <w:b/>
                <w:kern w:val="0"/>
                <w:sz w:val="24"/>
                <w:szCs w:val="24"/>
              </w:rPr>
              <w:t>武陵山区</w:t>
            </w:r>
            <w:r>
              <w:rPr>
                <w:rFonts w:hint="eastAsia" w:hAnsi="仿宋" w:cs="仿宋_GB2312"/>
                <w:b/>
                <w:kern w:val="0"/>
                <w:sz w:val="24"/>
                <w:szCs w:val="24"/>
              </w:rPr>
              <w:t>生物多样性保护工程：</w:t>
            </w:r>
            <w:r>
              <w:rPr>
                <w:rFonts w:hAnsi="仿宋" w:cs="仿宋_GB2312"/>
                <w:kern w:val="0"/>
                <w:sz w:val="24"/>
                <w:szCs w:val="24"/>
              </w:rPr>
              <w:t>在利川市、建始县、巴东县、长阳县、五峰县、宜都市、宣恩县、咸丰县、来凤县、鹤峰县等县市自然保护地及其他重点生态功能区实施生物多样性保护，主要开展自然保护地保护与修复、</w:t>
            </w:r>
            <w:r>
              <w:rPr>
                <w:rFonts w:hint="eastAsia" w:hAnsi="仿宋" w:cs="仿宋_GB2312"/>
                <w:kern w:val="0"/>
                <w:sz w:val="24"/>
                <w:szCs w:val="24"/>
              </w:rPr>
              <w:t>濒危动植物栖息地保护修复、动物迁徙廊道保护与建设、珍稀植物抢救与保护、森林病虫害及外来物种防治等项目。</w:t>
            </w:r>
          </w:p>
          <w:p w14:paraId="2B053CD7">
            <w:pPr>
              <w:tabs>
                <w:tab w:val="left" w:pos="312"/>
              </w:tabs>
              <w:suppressAutoHyphens/>
              <w:autoSpaceDE w:val="0"/>
              <w:autoSpaceDN w:val="0"/>
              <w:adjustRightInd w:val="0"/>
              <w:spacing w:line="420" w:lineRule="exact"/>
              <w:ind w:firstLine="0" w:firstLineChars="0"/>
              <w:rPr>
                <w:rFonts w:hAnsi="仿宋" w:cs="仿宋_GB2312"/>
                <w:kern w:val="0"/>
                <w:sz w:val="24"/>
                <w:szCs w:val="24"/>
              </w:rPr>
            </w:pPr>
            <w:r>
              <w:rPr>
                <w:rFonts w:hint="eastAsia" w:hAnsi="仿宋" w:cs="仿宋_GB2312"/>
                <w:b/>
                <w:kern w:val="0"/>
                <w:sz w:val="24"/>
                <w:szCs w:val="24"/>
              </w:rPr>
              <w:t>3. 鄂西南</w:t>
            </w:r>
            <w:r>
              <w:rPr>
                <w:rFonts w:hint="eastAsia" w:cs="Times New Roman"/>
                <w:b/>
                <w:kern w:val="0"/>
                <w:sz w:val="24"/>
                <w:szCs w:val="24"/>
              </w:rPr>
              <w:t>武陵山区</w:t>
            </w:r>
            <w:r>
              <w:rPr>
                <w:rFonts w:hint="eastAsia" w:hAnsi="仿宋" w:cs="仿宋_GB2312"/>
                <w:b/>
                <w:kern w:val="0"/>
                <w:sz w:val="24"/>
                <w:szCs w:val="24"/>
              </w:rPr>
              <w:t>石漠化综合治理工程：</w:t>
            </w:r>
            <w:r>
              <w:rPr>
                <w:rFonts w:hint="eastAsia" w:hAnsi="仿宋" w:cs="仿宋_GB2312"/>
                <w:kern w:val="0"/>
                <w:sz w:val="24"/>
                <w:szCs w:val="24"/>
              </w:rPr>
              <w:t>在</w:t>
            </w:r>
            <w:r>
              <w:rPr>
                <w:rFonts w:hAnsi="仿宋" w:cs="仿宋_GB2312"/>
                <w:kern w:val="0"/>
                <w:sz w:val="24"/>
                <w:szCs w:val="24"/>
              </w:rPr>
              <w:t>恩施市、利川市、建始县、巴东县、长阳县、五峰县、宜都市、宣恩县、咸丰县、来凤县、鹤峰县等县市岩溶地区开展</w:t>
            </w:r>
            <w:r>
              <w:rPr>
                <w:rFonts w:hint="eastAsia" w:hAnsi="仿宋" w:cs="仿宋_GB2312"/>
                <w:kern w:val="0"/>
                <w:sz w:val="24"/>
                <w:szCs w:val="24"/>
              </w:rPr>
              <w:t>石漠化综合治理</w:t>
            </w:r>
            <w:r>
              <w:rPr>
                <w:rFonts w:hAnsi="仿宋" w:cs="仿宋_GB2312"/>
                <w:kern w:val="0"/>
                <w:sz w:val="24"/>
                <w:szCs w:val="24"/>
              </w:rPr>
              <w:t>，在</w:t>
            </w:r>
            <w:r>
              <w:rPr>
                <w:rFonts w:hint="eastAsia" w:hAnsi="仿宋" w:cs="仿宋_GB2312"/>
                <w:kern w:val="0"/>
                <w:sz w:val="24"/>
                <w:szCs w:val="24"/>
              </w:rPr>
              <w:t>石漠化分布集中的中度、重度和极重度区域以封山育林为主；在轻度、中度石漠化区，选择立地条件较好的宜林地块实施人工造林，选择地势较为平坦，立地条件相对较好的荒草地开展人工种草和草场改良，促进林草植被恢复。</w:t>
            </w:r>
          </w:p>
          <w:p w14:paraId="5832B9B7">
            <w:pPr>
              <w:tabs>
                <w:tab w:val="left" w:pos="312"/>
              </w:tabs>
              <w:suppressAutoHyphens/>
              <w:autoSpaceDE w:val="0"/>
              <w:autoSpaceDN w:val="0"/>
              <w:adjustRightInd w:val="0"/>
              <w:spacing w:line="420" w:lineRule="exact"/>
              <w:ind w:firstLine="0" w:firstLineChars="0"/>
              <w:rPr>
                <w:rFonts w:cs="Times New Roman"/>
                <w:kern w:val="0"/>
                <w:szCs w:val="20"/>
              </w:rPr>
            </w:pPr>
            <w:r>
              <w:rPr>
                <w:rFonts w:hint="eastAsia" w:hAnsi="仿宋" w:cs="仿宋_GB2312"/>
                <w:b/>
                <w:kern w:val="0"/>
                <w:sz w:val="24"/>
                <w:szCs w:val="24"/>
              </w:rPr>
              <w:t>4. 鄂西南</w:t>
            </w:r>
            <w:r>
              <w:rPr>
                <w:rFonts w:hint="eastAsia" w:cs="Times New Roman"/>
                <w:b/>
                <w:kern w:val="0"/>
                <w:sz w:val="24"/>
                <w:szCs w:val="24"/>
              </w:rPr>
              <w:t>武陵山区历史遗留矿山</w:t>
            </w:r>
            <w:r>
              <w:rPr>
                <w:rFonts w:hint="eastAsia" w:hAnsi="仿宋" w:cs="仿宋_GB2312"/>
                <w:b/>
                <w:kern w:val="0"/>
                <w:sz w:val="24"/>
                <w:szCs w:val="24"/>
              </w:rPr>
              <w:t>综合治理工程：</w:t>
            </w:r>
            <w:r>
              <w:rPr>
                <w:rFonts w:hint="eastAsia" w:hAnsi="仿宋" w:cs="仿宋_GB2312"/>
                <w:kern w:val="0"/>
                <w:sz w:val="24"/>
                <w:szCs w:val="24"/>
              </w:rPr>
              <w:t>优先在建始县、利川市、鹤峰县、宣恩县、长阳县等县市的矿山集中区开展历史遗留矿山综合治理，推进废弃矿山的山、水、田、林、湖综合治理，减轻或消除各种污染物对生态环境的影响，恢复矿区土地使用功能，有效增加建设用地、耕地、林地面积，强化跟踪评估。</w:t>
            </w:r>
          </w:p>
        </w:tc>
      </w:tr>
    </w:tbl>
    <w:p w14:paraId="2063898F">
      <w:pPr>
        <w:pStyle w:val="4"/>
        <w:spacing w:before="217" w:beforeLines="50"/>
        <w:ind w:firstLine="627"/>
        <w:rPr>
          <w:spacing w:val="-4"/>
        </w:rPr>
      </w:pPr>
      <w:bookmarkStart w:id="120" w:name="_Toc87089277"/>
      <w:bookmarkStart w:id="121" w:name="_Toc83808725"/>
      <w:r>
        <w:rPr>
          <w:rFonts w:hint="eastAsia"/>
          <w:spacing w:val="-4"/>
        </w:rPr>
        <w:t>（六）鄂东北大别山区水土保持和生物多样性保护重点工程</w:t>
      </w:r>
      <w:bookmarkEnd w:id="120"/>
      <w:bookmarkEnd w:id="121"/>
    </w:p>
    <w:p w14:paraId="06737623">
      <w:pPr>
        <w:suppressAutoHyphens/>
        <w:spacing w:after="217" w:afterLines="50"/>
        <w:ind w:firstLine="640"/>
      </w:pPr>
      <w:r>
        <w:rPr>
          <w:rFonts w:hint="eastAsia"/>
        </w:rPr>
        <w:t>实施人工造林、封山育林、退化林修复，保护和培育森林植被，大力发展高效水源涵养林和水土保持防护林体系，开展以小流域为单元的水土流失综合防治工程，开展坡耕地综合治理，增强桐柏山-大别山区整体水土保持能力；在白莲河水库等主要湖泊、水库周边，开展破碎裸露山体生态治理；加强巴水、浠水等流域水土保持设施建设和岸线保护修复；加大矿区整治修复力度，重点在随县、孝昌县、大悟县等区域加强历史遗留矿山生态修复，恢复矿山生态环境；加强大别山自然保护区、大洪山国家森林公园、中华山鸟类自然保护区等自然保护地建设，开展自然生态系统、野生动物重要栖息地保护与修复，拯救与保护安徽麝、大别山五针松、罗田玉兰、霍山石斛等珍稀濒危野生动植物种，维护区域生物多样性水平。</w:t>
      </w:r>
    </w:p>
    <w:tbl>
      <w:tblPr>
        <w:tblStyle w:val="19"/>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7"/>
      </w:tblGrid>
      <w:tr w14:paraId="0244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5000" w:type="pct"/>
            <w:shd w:val="clear" w:color="auto" w:fill="D8D8D8" w:themeFill="background1" w:themeFillShade="D9"/>
            <w:vAlign w:val="center"/>
          </w:tcPr>
          <w:p w14:paraId="0C692DD3">
            <w:pPr>
              <w:suppressAutoHyphens/>
              <w:spacing w:line="400" w:lineRule="exact"/>
              <w:ind w:firstLine="0" w:firstLineChars="0"/>
              <w:jc w:val="center"/>
              <w:rPr>
                <w:rFonts w:eastAsia="黑体" w:cs="Times New Roman"/>
              </w:rPr>
            </w:pPr>
            <w:r>
              <w:rPr>
                <w:rFonts w:eastAsia="黑体" w:cs="Times New Roman"/>
                <w:sz w:val="24"/>
                <w:szCs w:val="24"/>
              </w:rPr>
              <w:t>专栏5-</w:t>
            </w:r>
            <w:r>
              <w:rPr>
                <w:rFonts w:hint="eastAsia" w:eastAsia="黑体" w:cs="Times New Roman"/>
                <w:sz w:val="24"/>
                <w:szCs w:val="24"/>
              </w:rPr>
              <w:t>6鄂东北大别山区水土保持和生物多样性保护重点工程</w:t>
            </w:r>
          </w:p>
        </w:tc>
      </w:tr>
      <w:tr w14:paraId="2AC1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vAlign w:val="center"/>
          </w:tcPr>
          <w:p w14:paraId="1850745A">
            <w:pPr>
              <w:tabs>
                <w:tab w:val="left" w:pos="312"/>
              </w:tabs>
              <w:suppressAutoHyphens/>
              <w:autoSpaceDE w:val="0"/>
              <w:autoSpaceDN w:val="0"/>
              <w:adjustRightInd w:val="0"/>
              <w:spacing w:line="420" w:lineRule="exact"/>
              <w:ind w:firstLine="0" w:firstLineChars="0"/>
              <w:rPr>
                <w:rFonts w:hAnsi="仿宋" w:cs="仿宋_GB2312"/>
                <w:bCs/>
                <w:kern w:val="0"/>
                <w:sz w:val="24"/>
                <w:szCs w:val="24"/>
              </w:rPr>
            </w:pPr>
            <w:r>
              <w:rPr>
                <w:rFonts w:hint="eastAsia"/>
                <w:b/>
                <w:sz w:val="24"/>
                <w:szCs w:val="24"/>
              </w:rPr>
              <w:t>1. 鄂东北大别山区水土流失综合治理工程：</w:t>
            </w:r>
            <w:r>
              <w:rPr>
                <w:rFonts w:hint="eastAsia"/>
                <w:sz w:val="24"/>
                <w:szCs w:val="24"/>
              </w:rPr>
              <w:t>在随县、广水市、</w:t>
            </w:r>
            <w:r>
              <w:rPr>
                <w:rFonts w:hint="eastAsia" w:hAnsi="仿宋" w:cs="仿宋_GB2312"/>
                <w:bCs/>
                <w:kern w:val="0"/>
                <w:sz w:val="24"/>
                <w:szCs w:val="24"/>
              </w:rPr>
              <w:t>红安县、罗田县、麻城市、英山县、大悟县等县市主要开展封山育林、森林抚育、退化林修复、水土保持林建设、坡耕地改造、小流域综合治理等项目。</w:t>
            </w:r>
          </w:p>
          <w:p w14:paraId="56E6C3AC">
            <w:pPr>
              <w:suppressAutoHyphens/>
              <w:autoSpaceDE w:val="0"/>
              <w:autoSpaceDN w:val="0"/>
              <w:adjustRightInd w:val="0"/>
              <w:spacing w:line="420" w:lineRule="exact"/>
              <w:ind w:firstLine="0" w:firstLineChars="0"/>
              <w:rPr>
                <w:rFonts w:hAnsi="仿宋" w:cs="仿宋_GB2312"/>
                <w:kern w:val="0"/>
                <w:sz w:val="24"/>
                <w:szCs w:val="24"/>
              </w:rPr>
            </w:pPr>
            <w:r>
              <w:rPr>
                <w:rFonts w:hint="eastAsia"/>
                <w:b/>
                <w:sz w:val="24"/>
                <w:szCs w:val="24"/>
              </w:rPr>
              <w:t>2. 鄂东北大别山区历史遗留矿山综合治理工程：</w:t>
            </w:r>
            <w:r>
              <w:rPr>
                <w:rFonts w:hint="eastAsia" w:hAnsi="仿宋" w:cs="仿宋_GB2312"/>
                <w:kern w:val="0"/>
                <w:sz w:val="24"/>
                <w:szCs w:val="24"/>
              </w:rPr>
              <w:t>优先在随县、大悟县、孝昌县、红安县、麻城市、罗田县、英山县等县市的重点矿区实施历史遗留矿山综合治理，主要开展边坡治理、</w:t>
            </w:r>
            <w:r>
              <w:rPr>
                <w:rFonts w:hint="eastAsia" w:hAnsi="仿宋" w:cs="仿宋_GB2312"/>
                <w:bCs/>
                <w:kern w:val="0"/>
                <w:sz w:val="24"/>
                <w:szCs w:val="24"/>
              </w:rPr>
              <w:t>土地复垦</w:t>
            </w:r>
            <w:r>
              <w:rPr>
                <w:rFonts w:hint="eastAsia" w:hAnsi="仿宋" w:cs="仿宋_GB2312"/>
                <w:kern w:val="0"/>
                <w:sz w:val="24"/>
                <w:szCs w:val="24"/>
              </w:rPr>
              <w:t>、生态绿化、水土污染治理、地质灾害防治</w:t>
            </w:r>
            <w:r>
              <w:rPr>
                <w:rFonts w:hAnsi="仿宋" w:cs="仿宋_GB2312"/>
                <w:bCs/>
                <w:kern w:val="0"/>
                <w:sz w:val="24"/>
                <w:szCs w:val="24"/>
              </w:rPr>
              <w:t>等</w:t>
            </w:r>
            <w:r>
              <w:rPr>
                <w:rFonts w:hint="eastAsia" w:hAnsi="仿宋" w:cs="仿宋_GB2312"/>
                <w:bCs/>
                <w:kern w:val="0"/>
                <w:sz w:val="24"/>
                <w:szCs w:val="24"/>
              </w:rPr>
              <w:t>项目</w:t>
            </w:r>
            <w:r>
              <w:rPr>
                <w:rFonts w:hint="eastAsia" w:hAnsi="仿宋" w:cs="仿宋_GB2312"/>
                <w:kern w:val="0"/>
                <w:sz w:val="24"/>
                <w:szCs w:val="24"/>
              </w:rPr>
              <w:t>。</w:t>
            </w:r>
          </w:p>
          <w:p w14:paraId="23B4B4B9">
            <w:pPr>
              <w:suppressAutoHyphens/>
              <w:autoSpaceDE w:val="0"/>
              <w:autoSpaceDN w:val="0"/>
              <w:adjustRightInd w:val="0"/>
              <w:spacing w:line="420" w:lineRule="exact"/>
              <w:ind w:firstLine="0" w:firstLineChars="0"/>
              <w:rPr>
                <w:rFonts w:hAnsi="仿宋" w:cs="仿宋_GB2312"/>
                <w:kern w:val="0"/>
                <w:sz w:val="24"/>
                <w:szCs w:val="24"/>
              </w:rPr>
            </w:pPr>
            <w:r>
              <w:rPr>
                <w:rFonts w:hint="eastAsia" w:hAnsi="仿宋" w:cs="仿宋_GB2312"/>
                <w:b/>
                <w:kern w:val="0"/>
                <w:sz w:val="24"/>
                <w:szCs w:val="24"/>
              </w:rPr>
              <w:t>3. 鄂东北大别山区生物多样性保护工程：</w:t>
            </w:r>
            <w:r>
              <w:rPr>
                <w:rFonts w:hint="eastAsia" w:hAnsi="仿宋" w:cs="仿宋_GB2312"/>
                <w:kern w:val="0"/>
                <w:sz w:val="24"/>
                <w:szCs w:val="24"/>
              </w:rPr>
              <w:t>在随州市曾都区、随县、广水市、大悟县、孝昌县、红安县、麻城市、罗田县、英山县等县市自然保护地及其他重点生态功能区实施生物多样性保护，主要开展自然保护地建设、野生动植物群落及栖息地保护恢复、天然林保护、森林抚育及质量提升、森林病虫害及外来物种防治、生态管控区农用地和建设用地整治等项目。</w:t>
            </w:r>
          </w:p>
          <w:p w14:paraId="43C15327">
            <w:pPr>
              <w:suppressAutoHyphens/>
              <w:autoSpaceDE w:val="0"/>
              <w:autoSpaceDN w:val="0"/>
              <w:adjustRightInd w:val="0"/>
              <w:spacing w:line="420" w:lineRule="exact"/>
              <w:ind w:firstLine="0" w:firstLineChars="0"/>
              <w:rPr>
                <w:rFonts w:hAnsi="仿宋" w:cs="仿宋_GB2312"/>
                <w:bCs/>
                <w:kern w:val="0"/>
                <w:sz w:val="24"/>
                <w:szCs w:val="24"/>
              </w:rPr>
            </w:pPr>
            <w:r>
              <w:rPr>
                <w:rFonts w:hint="eastAsia" w:hAnsi="仿宋" w:cs="仿宋_GB2312"/>
                <w:b/>
                <w:kern w:val="0"/>
                <w:sz w:val="24"/>
                <w:szCs w:val="24"/>
              </w:rPr>
              <w:t>4. 鄂东北大别山区河湖湿地生态修复工程：</w:t>
            </w:r>
            <w:r>
              <w:rPr>
                <w:rFonts w:hint="eastAsia" w:hAnsi="仿宋" w:cs="仿宋_GB2312"/>
                <w:kern w:val="0"/>
                <w:sz w:val="24"/>
                <w:szCs w:val="24"/>
              </w:rPr>
              <w:t>主要在淮河上游、府</w:t>
            </w:r>
            <w:r>
              <w:rPr>
                <w:rFonts w:hint="eastAsia" w:ascii="仿宋" w:hAnsi="仿宋" w:eastAsia="仿宋" w:cs="宋体"/>
                <w:kern w:val="0"/>
                <w:sz w:val="24"/>
                <w:szCs w:val="24"/>
              </w:rPr>
              <w:t>澴</w:t>
            </w:r>
            <w:r>
              <w:rPr>
                <w:rFonts w:hint="eastAsia" w:ascii="仿宋_GB2312" w:hAnsi="仿宋_GB2312" w:cs="仿宋_GB2312"/>
                <w:kern w:val="0"/>
                <w:sz w:val="24"/>
                <w:szCs w:val="24"/>
              </w:rPr>
              <w:t>河上游、巴水、浠水</w:t>
            </w:r>
            <w:r>
              <w:rPr>
                <w:rFonts w:hint="eastAsia" w:hAnsi="仿宋" w:cs="仿宋_GB2312"/>
                <w:kern w:val="0"/>
                <w:sz w:val="24"/>
                <w:szCs w:val="24"/>
              </w:rPr>
              <w:t>等重要河流沿线县市及白莲河水库等主要湖库所在县市实施生态修复及综合治理，主要开展水生态环境综合治理、</w:t>
            </w:r>
            <w:r>
              <w:rPr>
                <w:rFonts w:hint="eastAsia" w:hAnsi="仿宋" w:cs="仿宋_GB2312"/>
                <w:bCs/>
                <w:kern w:val="0"/>
                <w:sz w:val="24"/>
                <w:szCs w:val="24"/>
              </w:rPr>
              <w:t>河道疏浚、生态护岸</w:t>
            </w:r>
            <w:r>
              <w:rPr>
                <w:rFonts w:hint="eastAsia" w:hAnsi="仿宋" w:cs="仿宋_GB2312"/>
                <w:kern w:val="0"/>
                <w:sz w:val="24"/>
                <w:szCs w:val="24"/>
              </w:rPr>
              <w:t>、河滨生态隔离缓冲带建设、湿地保护和修复、水生生物多样性保护、周边裸露山体修复等项目。</w:t>
            </w:r>
          </w:p>
        </w:tc>
      </w:tr>
    </w:tbl>
    <w:p w14:paraId="2EC18786">
      <w:pPr>
        <w:pStyle w:val="4"/>
        <w:spacing w:before="217" w:beforeLines="50"/>
        <w:ind w:firstLine="627"/>
        <w:rPr>
          <w:spacing w:val="-4"/>
        </w:rPr>
      </w:pPr>
      <w:bookmarkStart w:id="122" w:name="_Toc87089278"/>
      <w:bookmarkStart w:id="123" w:name="_Toc83808726"/>
      <w:r>
        <w:rPr>
          <w:rFonts w:hint="eastAsia"/>
          <w:spacing w:val="-4"/>
        </w:rPr>
        <w:t>（七）鄂东南幕阜山区水源涵养和石漠化综合治理重点工程</w:t>
      </w:r>
      <w:bookmarkEnd w:id="122"/>
      <w:bookmarkEnd w:id="123"/>
    </w:p>
    <w:p w14:paraId="5068FFA8">
      <w:pPr>
        <w:widowControl/>
        <w:suppressAutoHyphens/>
        <w:spacing w:after="217" w:afterLines="50"/>
        <w:ind w:firstLine="640"/>
      </w:pPr>
      <w:r>
        <w:rPr>
          <w:rFonts w:hint="eastAsia"/>
        </w:rPr>
        <w:t>加大人工造林、封山育林、森林抚育和退化林修复力度，大力开展石漠化综合治理，以石漠化发育程度分类实施封山育林育草、坡改梯、水土保持、土地综合整治等工程，重点围绕长江岸线及陆水河、富河开展小流域综合治理，加强网湖等重要湿地保护修复，提升区域水源涵养能力；积极推进通山县、阳新县等区域历史遗留矿山修复治理，恢复矿区地形和植被；加强公益林和天然林保护，推进九宫山国家级自然保护区等自然保护地建设，拯救与保护中华穿山甲、白颈长尾雉、永瓣藤等珍稀濒危野生动植物种，改造和恢复其栖息生境；在通城县、崇阳县、通山县等有条件乡镇开展全域国土综合整治，改善山区耕作条件，促进耕地增质增量，优化农村人居环境。</w:t>
      </w:r>
    </w:p>
    <w:tbl>
      <w:tblPr>
        <w:tblStyle w:val="19"/>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7"/>
      </w:tblGrid>
      <w:tr w14:paraId="35E41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jc w:val="center"/>
        </w:trPr>
        <w:tc>
          <w:tcPr>
            <w:tcW w:w="5000" w:type="pct"/>
            <w:shd w:val="clear" w:color="auto" w:fill="D8D8D8" w:themeFill="background1" w:themeFillShade="D9"/>
            <w:vAlign w:val="center"/>
          </w:tcPr>
          <w:p w14:paraId="54327885">
            <w:pPr>
              <w:suppressAutoHyphens/>
              <w:spacing w:line="400" w:lineRule="exact"/>
              <w:ind w:firstLine="0" w:firstLineChars="0"/>
              <w:jc w:val="center"/>
              <w:rPr>
                <w:rFonts w:eastAsia="黑体" w:cs="Times New Roman"/>
              </w:rPr>
            </w:pPr>
            <w:r>
              <w:rPr>
                <w:rFonts w:eastAsia="黑体" w:cs="Times New Roman"/>
                <w:sz w:val="24"/>
                <w:szCs w:val="24"/>
              </w:rPr>
              <w:t>专栏5-</w:t>
            </w:r>
            <w:r>
              <w:rPr>
                <w:rFonts w:hint="eastAsia" w:eastAsia="黑体" w:cs="Times New Roman"/>
                <w:sz w:val="24"/>
                <w:szCs w:val="24"/>
              </w:rPr>
              <w:t>7鄂东南幕阜山区水源涵养和石漠化综合治理重点工程</w:t>
            </w:r>
          </w:p>
        </w:tc>
      </w:tr>
      <w:tr w14:paraId="518DC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vAlign w:val="center"/>
          </w:tcPr>
          <w:p w14:paraId="6BCD2F1B">
            <w:pPr>
              <w:suppressAutoHyphens/>
              <w:autoSpaceDE w:val="0"/>
              <w:autoSpaceDN w:val="0"/>
              <w:adjustRightInd w:val="0"/>
              <w:spacing w:line="420" w:lineRule="exact"/>
              <w:ind w:firstLine="0" w:firstLineChars="0"/>
              <w:rPr>
                <w:rFonts w:hAnsi="仿宋" w:cs="仿宋_GB2312"/>
                <w:kern w:val="0"/>
                <w:sz w:val="24"/>
                <w:szCs w:val="24"/>
              </w:rPr>
            </w:pPr>
            <w:r>
              <w:rPr>
                <w:rFonts w:hint="eastAsia" w:hAnsi="仿宋" w:cs="仿宋_GB2312"/>
                <w:b/>
                <w:bCs/>
                <w:kern w:val="0"/>
                <w:sz w:val="24"/>
                <w:szCs w:val="24"/>
              </w:rPr>
              <w:t>1. 鄂东南幕阜山区石漠化综合治理工程：</w:t>
            </w:r>
            <w:r>
              <w:rPr>
                <w:rFonts w:hint="eastAsia" w:hAnsi="仿宋" w:cs="仿宋_GB2312"/>
                <w:bCs/>
                <w:kern w:val="0"/>
                <w:sz w:val="24"/>
                <w:szCs w:val="24"/>
              </w:rPr>
              <w:t>主要在通山县、崇阳县、</w:t>
            </w:r>
            <w:r>
              <w:rPr>
                <w:rFonts w:hint="eastAsia" w:hAnsi="仿宋" w:cs="仿宋_GB2312"/>
                <w:kern w:val="0"/>
                <w:sz w:val="24"/>
                <w:szCs w:val="24"/>
              </w:rPr>
              <w:t>通城县、</w:t>
            </w:r>
            <w:r>
              <w:rPr>
                <w:rFonts w:hint="eastAsia" w:hAnsi="仿宋" w:cs="仿宋_GB2312"/>
                <w:bCs/>
                <w:kern w:val="0"/>
                <w:sz w:val="24"/>
                <w:szCs w:val="24"/>
              </w:rPr>
              <w:t>阳新县的岩溶地区开展石漠化综合治理，</w:t>
            </w:r>
            <w:r>
              <w:rPr>
                <w:rFonts w:hint="eastAsia" w:hAnsi="仿宋" w:cs="仿宋_GB2312"/>
                <w:kern w:val="0"/>
                <w:sz w:val="24"/>
                <w:szCs w:val="24"/>
              </w:rPr>
              <w:t>对深山、远山的中、重度石漠化区域中具有一定自然恢复能力的区域实施封山育林；将岩溶地区25度以上坡耕地和重要水源地15-25度坡耕地纳入退耕还林还草工程；对轻度、中度石漠化区域因地制宜地选择岩溶地区乡土先锋树种，科学营造生态林和经济林；对坡度平缓、石漠化程度较轻、人多地少矛盾突出的村庄周边，实施以坡改梯工程为重点的土地综合整治。</w:t>
            </w:r>
          </w:p>
          <w:p w14:paraId="6E775001">
            <w:pPr>
              <w:suppressAutoHyphens/>
              <w:autoSpaceDE w:val="0"/>
              <w:autoSpaceDN w:val="0"/>
              <w:adjustRightInd w:val="0"/>
              <w:spacing w:line="420" w:lineRule="exact"/>
              <w:ind w:firstLine="0" w:firstLineChars="0"/>
              <w:rPr>
                <w:rFonts w:hAnsi="仿宋" w:cs="仿宋_GB2312"/>
                <w:kern w:val="0"/>
                <w:sz w:val="24"/>
                <w:szCs w:val="24"/>
              </w:rPr>
            </w:pPr>
            <w:r>
              <w:rPr>
                <w:rFonts w:hint="eastAsia"/>
                <w:b/>
                <w:sz w:val="24"/>
                <w:szCs w:val="24"/>
              </w:rPr>
              <w:t>2. 鄂东南幕阜山区河湖湿地生态修复工程：</w:t>
            </w:r>
            <w:r>
              <w:rPr>
                <w:rFonts w:hint="eastAsia" w:hAnsi="仿宋" w:cs="仿宋_GB2312"/>
                <w:bCs/>
                <w:kern w:val="0"/>
                <w:sz w:val="24"/>
                <w:szCs w:val="24"/>
              </w:rPr>
              <w:t>主要在陆水河、富水水库、网湖等重点河流湖库所在县市以小流域为单元实施河湖湿地生态保护修复，主要开展退耕（渔、垸）还湖还湿、水生态环境综合治理、</w:t>
            </w:r>
            <w:r>
              <w:rPr>
                <w:rFonts w:hint="eastAsia" w:hAnsi="仿宋" w:cs="仿宋_GB2312"/>
                <w:kern w:val="0"/>
                <w:sz w:val="24"/>
                <w:szCs w:val="24"/>
              </w:rPr>
              <w:t>生态岸线治理、湖滨带植被恢复、水生植被保护区建立、水系连通及生态流量调度、面源污染治理等项目。</w:t>
            </w:r>
          </w:p>
          <w:p w14:paraId="5EB81C6E">
            <w:pPr>
              <w:suppressAutoHyphens/>
              <w:autoSpaceDE w:val="0"/>
              <w:autoSpaceDN w:val="0"/>
              <w:adjustRightInd w:val="0"/>
              <w:spacing w:line="420" w:lineRule="exact"/>
              <w:ind w:firstLine="0" w:firstLineChars="0"/>
              <w:rPr>
                <w:rFonts w:hAnsi="仿宋" w:cs="仿宋_GB2312"/>
                <w:bCs/>
                <w:kern w:val="0"/>
                <w:sz w:val="24"/>
                <w:szCs w:val="24"/>
              </w:rPr>
            </w:pPr>
            <w:r>
              <w:rPr>
                <w:rFonts w:hint="eastAsia"/>
                <w:b/>
                <w:sz w:val="24"/>
                <w:szCs w:val="24"/>
              </w:rPr>
              <w:t>3. 鄂东南</w:t>
            </w:r>
            <w:r>
              <w:rPr>
                <w:rFonts w:hint="eastAsia" w:hAnsi="仿宋" w:cs="仿宋_GB2312"/>
                <w:b/>
                <w:kern w:val="0"/>
                <w:sz w:val="24"/>
                <w:szCs w:val="24"/>
              </w:rPr>
              <w:t>幕阜山区历史遗留</w:t>
            </w:r>
            <w:r>
              <w:rPr>
                <w:rFonts w:hint="eastAsia"/>
                <w:b/>
                <w:sz w:val="24"/>
                <w:szCs w:val="24"/>
              </w:rPr>
              <w:t>矿山综合治理工程：</w:t>
            </w:r>
            <w:r>
              <w:rPr>
                <w:rFonts w:hint="eastAsia" w:hAnsi="仿宋" w:cs="仿宋_GB2312"/>
                <w:kern w:val="0"/>
                <w:sz w:val="24"/>
                <w:szCs w:val="24"/>
              </w:rPr>
              <w:t>在通山县、崇阳县、通城县、阳新县的重点矿区实施矿山综合治理，主要开展陡坡综合治理、</w:t>
            </w:r>
            <w:r>
              <w:rPr>
                <w:rFonts w:hint="eastAsia" w:hAnsi="仿宋" w:cs="仿宋_GB2312"/>
                <w:bCs/>
                <w:kern w:val="0"/>
                <w:sz w:val="24"/>
                <w:szCs w:val="24"/>
              </w:rPr>
              <w:t>排水工程建设、废料堆整治、缓坡培土造林、地质灾害防治、水土污染治理等</w:t>
            </w:r>
            <w:r>
              <w:rPr>
                <w:rFonts w:hint="eastAsia" w:hAnsi="仿宋" w:cs="仿宋_GB2312"/>
                <w:kern w:val="0"/>
                <w:sz w:val="24"/>
                <w:szCs w:val="24"/>
              </w:rPr>
              <w:t>项目</w:t>
            </w:r>
            <w:r>
              <w:rPr>
                <w:rFonts w:hint="eastAsia" w:hAnsi="仿宋" w:cs="仿宋_GB2312"/>
                <w:bCs/>
                <w:kern w:val="0"/>
                <w:sz w:val="24"/>
                <w:szCs w:val="24"/>
              </w:rPr>
              <w:t>。</w:t>
            </w:r>
          </w:p>
          <w:p w14:paraId="38F08ED8">
            <w:pPr>
              <w:suppressAutoHyphens/>
              <w:autoSpaceDE w:val="0"/>
              <w:autoSpaceDN w:val="0"/>
              <w:adjustRightInd w:val="0"/>
              <w:spacing w:line="420" w:lineRule="exact"/>
              <w:ind w:firstLine="0" w:firstLineChars="0"/>
              <w:rPr>
                <w:rFonts w:hAnsi="仿宋" w:cs="仿宋_GB2312"/>
                <w:b/>
                <w:kern w:val="0"/>
                <w:sz w:val="24"/>
                <w:szCs w:val="24"/>
              </w:rPr>
            </w:pPr>
            <w:r>
              <w:rPr>
                <w:rFonts w:hint="eastAsia" w:hAnsi="仿宋" w:cs="仿宋_GB2312"/>
                <w:b/>
                <w:kern w:val="0"/>
                <w:sz w:val="24"/>
                <w:szCs w:val="24"/>
              </w:rPr>
              <w:t>4. 鄂东南幕阜山区生物多样性保护</w:t>
            </w:r>
            <w:r>
              <w:rPr>
                <w:rFonts w:hint="eastAsia"/>
                <w:b/>
                <w:sz w:val="24"/>
                <w:szCs w:val="24"/>
              </w:rPr>
              <w:t>工程</w:t>
            </w:r>
            <w:r>
              <w:rPr>
                <w:rFonts w:hint="eastAsia" w:hAnsi="仿宋" w:cs="仿宋_GB2312"/>
                <w:b/>
                <w:kern w:val="0"/>
                <w:sz w:val="24"/>
                <w:szCs w:val="24"/>
              </w:rPr>
              <w:t>：</w:t>
            </w:r>
            <w:r>
              <w:rPr>
                <w:rFonts w:hint="eastAsia" w:hAnsi="仿宋" w:cs="仿宋_GB2312"/>
                <w:kern w:val="0"/>
                <w:sz w:val="24"/>
                <w:szCs w:val="24"/>
              </w:rPr>
              <w:t>在通山县、崇阳县、通城县、阳新县的自然保护地及其他重点生态功能区实施生物多样性保护，主要开展濒危野生动物栖息地保护与修复、野生动物救护中心建设、生态廊道建设、天然林保护、森林抚育及质量提升、森林病虫害及外来物种防治等项目。</w:t>
            </w:r>
          </w:p>
        </w:tc>
      </w:tr>
    </w:tbl>
    <w:p w14:paraId="50299EA7">
      <w:pPr>
        <w:pStyle w:val="4"/>
        <w:spacing w:before="217" w:beforeLines="50"/>
        <w:ind w:firstLine="643"/>
      </w:pPr>
      <w:bookmarkStart w:id="124" w:name="_Toc83808727"/>
      <w:bookmarkStart w:id="125" w:name="_Toc87089279"/>
      <w:r>
        <w:rPr>
          <w:rFonts w:hint="eastAsia"/>
        </w:rPr>
        <w:t>（八）江汉平原河湖湿地和农业生态综合修复重点工程</w:t>
      </w:r>
      <w:bookmarkEnd w:id="124"/>
      <w:bookmarkEnd w:id="125"/>
    </w:p>
    <w:p w14:paraId="4C7E94B3">
      <w:pPr>
        <w:suppressAutoHyphens/>
        <w:spacing w:after="217" w:afterLines="50"/>
        <w:ind w:firstLine="664"/>
        <w:rPr>
          <w:spacing w:val="6"/>
        </w:rPr>
      </w:pPr>
      <w:r>
        <w:rPr>
          <w:rFonts w:hint="eastAsia"/>
          <w:spacing w:val="6"/>
        </w:rPr>
        <w:t>加强江汉平原湖泊湿地植被建设，开展入湖小流域综合治理，提升水土保持、水源涵养、洪水调蓄等生态功能，推进洪湖、斧头湖、长湖、梁子湖、黄盖湖、龙感湖等湖泊湿地生态功能修复与保护，恢复江湖连通廊道，重点在沉湖的王家社、张家大湖、龙感湖等核心区、石首市天鹅洲以及监利县长江故道开展湿地治理、湿地生态补水、河流水体连通、营造河岸生态林带；推进四湖流域、通顺河流域、府</w:t>
      </w:r>
      <w:r>
        <w:rPr>
          <w:rFonts w:hint="eastAsia" w:ascii="仿宋" w:hAnsi="仿宋" w:eastAsia="仿宋" w:cs="宋体"/>
          <w:spacing w:val="6"/>
        </w:rPr>
        <w:t>澴</w:t>
      </w:r>
      <w:r>
        <w:rPr>
          <w:rFonts w:hint="eastAsia" w:ascii="仿宋_GB2312" w:hAnsi="仿宋_GB2312" w:cs="仿宋_GB2312"/>
          <w:spacing w:val="6"/>
        </w:rPr>
        <w:t>河、天门河、汉北河</w:t>
      </w:r>
      <w:r>
        <w:rPr>
          <w:rFonts w:hint="eastAsia"/>
          <w:spacing w:val="6"/>
        </w:rPr>
        <w:t>等河湖水生态修复，实施</w:t>
      </w:r>
      <w:r>
        <w:rPr>
          <w:rFonts w:hint="eastAsia" w:ascii="仿宋" w:hAnsi="仿宋" w:eastAsia="仿宋" w:cs="宋体"/>
          <w:spacing w:val="6"/>
        </w:rPr>
        <w:t>汈</w:t>
      </w:r>
      <w:r>
        <w:rPr>
          <w:rFonts w:hint="eastAsia" w:ascii="仿宋_GB2312" w:hAnsi="仿宋_GB2312" w:cs="仿宋_GB2312"/>
          <w:spacing w:val="6"/>
        </w:rPr>
        <w:t>汊湖、武湖等湖泊清淤及综合</w:t>
      </w:r>
      <w:r>
        <w:rPr>
          <w:rFonts w:hint="eastAsia"/>
          <w:spacing w:val="6"/>
        </w:rPr>
        <w:t>治理试点，加强生态湖滨带和水源涵养林等生态隔离带建设与保护；</w:t>
      </w:r>
      <w:r>
        <w:rPr>
          <w:rFonts w:hint="eastAsia"/>
        </w:rPr>
        <w:t>加强重要堤坝的加固与培修，强化杜家台、华阳河、洪湖东等蓄滞洪区建设，增强洪水调蓄能力；</w:t>
      </w:r>
      <w:r>
        <w:rPr>
          <w:rFonts w:hint="eastAsia"/>
          <w:spacing w:val="6"/>
        </w:rPr>
        <w:t>深入开展黄石市、武汉市南部、鄂州市、咸宁市北部、孝感市西部等区域历史遗留矿山综合治理，推进绿色矿山创建。广泛开展全域国土综合整治，</w:t>
      </w:r>
      <w:r>
        <w:t>统筹工矿废弃地复垦、灾毁地修复、农用地整治、土壤改良、生态修复、人居环境整治、面源污染防治等建设，</w:t>
      </w:r>
      <w:r>
        <w:rPr>
          <w:rFonts w:hint="eastAsia" w:cs="Times New Roman"/>
        </w:rPr>
        <w:t>保护乡村原生植被和自然风貌，恢复田间生物群落和生态链，加强农业及湖泊湿地外来入侵物种治理，</w:t>
      </w:r>
      <w:r>
        <w:rPr>
          <w:rFonts w:cs="Times New Roman"/>
        </w:rPr>
        <w:t>提高</w:t>
      </w:r>
      <w:r>
        <w:rPr>
          <w:rFonts w:hint="eastAsia" w:cs="Times New Roman"/>
        </w:rPr>
        <w:t>农田及湖泊湿地生态系统生物多样性，打造规模适度、集中连片的耕-林-湿复合生态景观，全面改善农村人居生态环境</w:t>
      </w:r>
      <w:r>
        <w:rPr>
          <w:rFonts w:hint="eastAsia"/>
          <w:spacing w:val="6"/>
        </w:rPr>
        <w:t>。</w:t>
      </w:r>
    </w:p>
    <w:tbl>
      <w:tblPr>
        <w:tblStyle w:val="19"/>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7"/>
      </w:tblGrid>
      <w:tr w14:paraId="5220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5000" w:type="pct"/>
            <w:shd w:val="clear" w:color="auto" w:fill="D8D8D8" w:themeFill="background1" w:themeFillShade="D9"/>
            <w:vAlign w:val="center"/>
          </w:tcPr>
          <w:p w14:paraId="4CB91216">
            <w:pPr>
              <w:suppressAutoHyphens/>
              <w:spacing w:line="400" w:lineRule="exact"/>
              <w:ind w:firstLine="0" w:firstLineChars="0"/>
              <w:jc w:val="center"/>
              <w:rPr>
                <w:rFonts w:eastAsia="黑体" w:cs="Times New Roman"/>
              </w:rPr>
            </w:pPr>
            <w:r>
              <w:rPr>
                <w:rFonts w:eastAsia="黑体" w:cs="Times New Roman"/>
                <w:sz w:val="24"/>
                <w:szCs w:val="24"/>
              </w:rPr>
              <w:t>专栏5-</w:t>
            </w:r>
            <w:r>
              <w:rPr>
                <w:rFonts w:hint="eastAsia" w:eastAsia="黑体" w:cs="Times New Roman"/>
                <w:sz w:val="24"/>
                <w:szCs w:val="24"/>
              </w:rPr>
              <w:t>8江汉平原河湖湿地和农业生态综合修复重点工程</w:t>
            </w:r>
          </w:p>
        </w:tc>
      </w:tr>
      <w:tr w14:paraId="363E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5000" w:type="pct"/>
            <w:vAlign w:val="center"/>
          </w:tcPr>
          <w:p w14:paraId="26541DA2">
            <w:pPr>
              <w:suppressAutoHyphens/>
              <w:autoSpaceDE w:val="0"/>
              <w:autoSpaceDN w:val="0"/>
              <w:adjustRightInd w:val="0"/>
              <w:spacing w:line="420" w:lineRule="exact"/>
              <w:ind w:firstLine="0" w:firstLineChars="0"/>
              <w:rPr>
                <w:rFonts w:hAnsi="仿宋" w:cs="仿宋_GB2312"/>
                <w:spacing w:val="-6"/>
                <w:kern w:val="0"/>
                <w:sz w:val="24"/>
                <w:szCs w:val="24"/>
              </w:rPr>
            </w:pPr>
            <w:r>
              <w:rPr>
                <w:rFonts w:hint="eastAsia" w:hAnsi="仿宋" w:cs="仿宋_GB2312"/>
                <w:b/>
                <w:kern w:val="0"/>
                <w:sz w:val="24"/>
                <w:szCs w:val="24"/>
              </w:rPr>
              <w:t>1. 江汉平原河湖湿地生态修复工程：</w:t>
            </w:r>
            <w:r>
              <w:rPr>
                <w:rFonts w:hint="eastAsia" w:hAnsi="仿宋" w:cs="仿宋_GB2312"/>
                <w:spacing w:val="-6"/>
                <w:kern w:val="0"/>
                <w:sz w:val="24"/>
                <w:szCs w:val="24"/>
              </w:rPr>
              <w:t>主要在汉江下游、府</w:t>
            </w:r>
            <w:r>
              <w:rPr>
                <w:rFonts w:hint="eastAsia" w:ascii="仿宋" w:hAnsi="仿宋" w:eastAsia="仿宋" w:cs="仿宋_GB2312"/>
                <w:spacing w:val="-6"/>
                <w:kern w:val="0"/>
                <w:sz w:val="24"/>
                <w:szCs w:val="24"/>
              </w:rPr>
              <w:t>澴</w:t>
            </w:r>
            <w:r>
              <w:rPr>
                <w:rFonts w:hint="eastAsia" w:hAnsi="仿宋" w:cs="仿宋_GB2312"/>
                <w:spacing w:val="-6"/>
                <w:kern w:val="0"/>
                <w:sz w:val="24"/>
                <w:szCs w:val="24"/>
              </w:rPr>
              <w:t>河、通顺河、东荆河、天门河、汉北河、荆南四河、淦河等河流沿线县市和洪湖、斧头湖、梁子湖、长湖、</w:t>
            </w:r>
            <w:r>
              <w:rPr>
                <w:rFonts w:hint="eastAsia" w:ascii="仿宋_GB2312" w:cs="仿宋_GB2312" w:hAnsiTheme="minorHAnsi"/>
                <w:kern w:val="0"/>
                <w:sz w:val="24"/>
                <w:szCs w:val="24"/>
              </w:rPr>
              <w:t>西凉湖、黄盖湖、龙感湖、张家大湖、</w:t>
            </w:r>
            <w:r>
              <w:rPr>
                <w:rFonts w:hint="eastAsia" w:hAnsi="仿宋" w:cs="仿宋_GB2312"/>
                <w:spacing w:val="-6"/>
                <w:kern w:val="0"/>
                <w:sz w:val="24"/>
                <w:szCs w:val="24"/>
              </w:rPr>
              <w:t>磁湖、沉湖、返湾湖、大冶湖、</w:t>
            </w:r>
            <w:r>
              <w:rPr>
                <w:rFonts w:hint="eastAsia" w:ascii="仿宋" w:hAnsi="仿宋" w:eastAsia="仿宋" w:cs="宋体"/>
                <w:spacing w:val="-6"/>
                <w:kern w:val="0"/>
                <w:sz w:val="24"/>
                <w:szCs w:val="24"/>
              </w:rPr>
              <w:t>汈</w:t>
            </w:r>
            <w:r>
              <w:rPr>
                <w:rFonts w:hint="eastAsia" w:ascii="仿宋_GB2312" w:hAnsi="仿宋" w:cs="宋体"/>
                <w:spacing w:val="-6"/>
                <w:kern w:val="0"/>
                <w:sz w:val="24"/>
                <w:szCs w:val="24"/>
              </w:rPr>
              <w:t>汊</w:t>
            </w:r>
            <w:r>
              <w:rPr>
                <w:rFonts w:hint="eastAsia" w:ascii="仿宋_GB2312" w:hAnsi="宋体" w:cs="宋体"/>
                <w:spacing w:val="-6"/>
                <w:kern w:val="0"/>
                <w:sz w:val="24"/>
                <w:szCs w:val="24"/>
              </w:rPr>
              <w:t>湖、</w:t>
            </w:r>
            <w:r>
              <w:rPr>
                <w:rFonts w:hint="eastAsia" w:ascii="仿宋_GB2312" w:cs="仿宋_GB2312" w:hAnsiTheme="minorHAnsi"/>
                <w:kern w:val="0"/>
                <w:sz w:val="24"/>
                <w:szCs w:val="24"/>
              </w:rPr>
              <w:t>花马湖、洋澜湖</w:t>
            </w:r>
            <w:r>
              <w:rPr>
                <w:rFonts w:hint="eastAsia" w:hAnsi="仿宋" w:cs="仿宋_GB2312"/>
                <w:spacing w:val="-6"/>
                <w:kern w:val="0"/>
                <w:sz w:val="24"/>
                <w:szCs w:val="24"/>
              </w:rPr>
              <w:t>、石首天鹅洲、监利县长江故道等主要湖泊湿地所在县市开展退垸还湖</w:t>
            </w:r>
            <w:r>
              <w:rPr>
                <w:rFonts w:hint="eastAsia" w:hAnsi="仿宋" w:cs="仿宋_GB2312"/>
                <w:kern w:val="0"/>
                <w:sz w:val="24"/>
                <w:szCs w:val="24"/>
              </w:rPr>
              <w:t>还湿</w:t>
            </w:r>
            <w:r>
              <w:rPr>
                <w:rFonts w:hint="eastAsia" w:hAnsi="仿宋" w:cs="仿宋_GB2312"/>
                <w:spacing w:val="-6"/>
                <w:kern w:val="0"/>
                <w:sz w:val="24"/>
                <w:szCs w:val="24"/>
              </w:rPr>
              <w:t>、水系连通、水生态环境综合治理、生态流量及水位监测、生态防护林及河湖岸滨带建设、河道疏浚及湖泊清淤、水生植被修复、外来入侵物种防治、</w:t>
            </w:r>
            <w:r>
              <w:rPr>
                <w:rFonts w:hint="eastAsia" w:hAnsi="仿宋" w:cs="仿宋_GB2312"/>
                <w:kern w:val="0"/>
                <w:sz w:val="24"/>
                <w:szCs w:val="24"/>
              </w:rPr>
              <w:t>湿地综合治理、珍稀动植物栖息地恢复和重建、人工生态湿地系统构建、湿地生态景观建设</w:t>
            </w:r>
            <w:r>
              <w:rPr>
                <w:rFonts w:hint="eastAsia" w:hAnsi="仿宋" w:cs="仿宋_GB2312"/>
                <w:spacing w:val="-6"/>
                <w:kern w:val="0"/>
                <w:sz w:val="24"/>
                <w:szCs w:val="24"/>
              </w:rPr>
              <w:t>等项目。</w:t>
            </w:r>
          </w:p>
          <w:p w14:paraId="6D89CB03">
            <w:pPr>
              <w:suppressAutoHyphens/>
              <w:autoSpaceDE w:val="0"/>
              <w:autoSpaceDN w:val="0"/>
              <w:adjustRightInd w:val="0"/>
              <w:spacing w:line="420" w:lineRule="exact"/>
              <w:ind w:firstLine="0" w:firstLineChars="0"/>
              <w:rPr>
                <w:rFonts w:hAnsi="仿宋" w:cs="仿宋_GB2312"/>
                <w:kern w:val="0"/>
                <w:sz w:val="24"/>
                <w:szCs w:val="24"/>
              </w:rPr>
            </w:pPr>
            <w:r>
              <w:rPr>
                <w:rFonts w:hint="eastAsia" w:hAnsi="仿宋" w:cs="仿宋_GB2312"/>
                <w:b/>
                <w:kern w:val="0"/>
                <w:sz w:val="24"/>
                <w:szCs w:val="24"/>
              </w:rPr>
              <w:t>2. 江汉平原历史遗留矿山综合治理工程：</w:t>
            </w:r>
            <w:r>
              <w:rPr>
                <w:rFonts w:hint="eastAsia" w:hAnsi="仿宋" w:cs="仿宋_GB2312"/>
                <w:kern w:val="0"/>
                <w:sz w:val="24"/>
                <w:szCs w:val="24"/>
              </w:rPr>
              <w:t>主要在武汉市、黄石市、鄂州市、咸宁市、孝感市等市县重点矿区实施历史遗留矿山综合治理，主要开展边坡治理、复垦绿化、水土污染治理、地质灾害防治、植入郊野游憩功能</w:t>
            </w:r>
            <w:r>
              <w:rPr>
                <w:rFonts w:hAnsi="仿宋" w:cs="仿宋_GB2312"/>
                <w:bCs/>
                <w:kern w:val="0"/>
                <w:sz w:val="24"/>
                <w:szCs w:val="24"/>
              </w:rPr>
              <w:t>等</w:t>
            </w:r>
            <w:r>
              <w:rPr>
                <w:rFonts w:hint="eastAsia" w:hAnsi="仿宋" w:cs="仿宋_GB2312"/>
                <w:bCs/>
                <w:kern w:val="0"/>
                <w:sz w:val="24"/>
                <w:szCs w:val="24"/>
              </w:rPr>
              <w:t>项目</w:t>
            </w:r>
            <w:r>
              <w:rPr>
                <w:rFonts w:hint="eastAsia" w:hAnsi="仿宋" w:cs="仿宋_GB2312"/>
                <w:kern w:val="0"/>
                <w:sz w:val="24"/>
                <w:szCs w:val="24"/>
              </w:rPr>
              <w:t>。</w:t>
            </w:r>
          </w:p>
          <w:p w14:paraId="2F602AEA">
            <w:pPr>
              <w:suppressAutoHyphens/>
              <w:autoSpaceDE w:val="0"/>
              <w:autoSpaceDN w:val="0"/>
              <w:adjustRightInd w:val="0"/>
              <w:spacing w:line="420" w:lineRule="exact"/>
              <w:ind w:firstLine="0" w:firstLineChars="0"/>
              <w:rPr>
                <w:rFonts w:hAnsi="仿宋" w:cs="仿宋_GB2312"/>
                <w:kern w:val="0"/>
                <w:sz w:val="24"/>
                <w:szCs w:val="24"/>
              </w:rPr>
            </w:pPr>
            <w:r>
              <w:rPr>
                <w:rFonts w:hint="eastAsia"/>
                <w:b/>
                <w:sz w:val="24"/>
                <w:szCs w:val="24"/>
              </w:rPr>
              <w:t>3. 江汉平原农田生态系统修复与综合治理</w:t>
            </w:r>
            <w:r>
              <w:rPr>
                <w:rFonts w:hint="eastAsia" w:hAnsi="仿宋" w:cs="仿宋_GB2312"/>
                <w:b/>
                <w:kern w:val="0"/>
                <w:sz w:val="24"/>
                <w:szCs w:val="24"/>
              </w:rPr>
              <w:t>工程：</w:t>
            </w:r>
            <w:r>
              <w:rPr>
                <w:rFonts w:hint="eastAsia" w:hAnsi="仿宋" w:cs="仿宋_GB2312"/>
                <w:kern w:val="0"/>
                <w:sz w:val="24"/>
                <w:szCs w:val="24"/>
              </w:rPr>
              <w:t>主要在宜昌市、黄石市、荆州市、荆门市、黄冈市、孝感市、咸宁市、鄂州市、仙桃市、天门市、潜江市等市县的农业主产区，从退化土地修复着手，逐步恢复和重建严重退化的农田生态系统，提高林草覆盖率，加大保水保肥保土能力建设，改良修复土壤基质，实行建设占用耕地表土剥离，实施保护性耕作及化肥农药减量增效；推进农业面源污染治理，重点建设生态沟渠和生态塘、治理农田排弃的化肥农药污水、水产畜牧养殖尾水、农村生活污水，采取综合技术手段强化土壤污染管控和修复。</w:t>
            </w:r>
          </w:p>
          <w:p w14:paraId="1ADD77CB">
            <w:pPr>
              <w:suppressAutoHyphens/>
              <w:autoSpaceDE w:val="0"/>
              <w:autoSpaceDN w:val="0"/>
              <w:adjustRightInd w:val="0"/>
              <w:spacing w:line="420" w:lineRule="exact"/>
              <w:ind w:firstLine="0" w:firstLineChars="0"/>
              <w:rPr>
                <w:rFonts w:hAnsi="仿宋" w:cs="仿宋_GB2312"/>
                <w:kern w:val="0"/>
                <w:sz w:val="24"/>
                <w:szCs w:val="24"/>
              </w:rPr>
            </w:pPr>
            <w:r>
              <w:rPr>
                <w:b/>
                <w:sz w:val="24"/>
                <w:szCs w:val="24"/>
              </w:rPr>
              <w:t>4</w:t>
            </w:r>
            <w:r>
              <w:rPr>
                <w:rFonts w:hint="eastAsia"/>
                <w:b/>
                <w:sz w:val="24"/>
                <w:szCs w:val="24"/>
              </w:rPr>
              <w:t>. 江汉平原城镇生态品质提升</w:t>
            </w:r>
            <w:r>
              <w:rPr>
                <w:rFonts w:hint="eastAsia" w:hAnsi="仿宋" w:cs="仿宋_GB2312"/>
                <w:b/>
                <w:kern w:val="0"/>
                <w:sz w:val="24"/>
                <w:szCs w:val="24"/>
              </w:rPr>
              <w:t>工程：</w:t>
            </w:r>
            <w:r>
              <w:rPr>
                <w:rFonts w:hint="eastAsia" w:hAnsi="仿宋" w:cs="仿宋_GB2312"/>
                <w:kern w:val="0"/>
                <w:sz w:val="24"/>
                <w:szCs w:val="24"/>
              </w:rPr>
              <w:t>主要在江汉平原城镇集中地区结合城镇更新开展城市生态品质提升工程，加强城市山体、水体、湿地、绿地等自然生态资源的保护和修复，增强城市内部及周边蓝绿网络的连通性，构建网络化生态廊道和通风廊道，全面落实海绵城市理念，提升城市防洪排涝能力，积极推进公园城市建设，优化城市景观，增加城市游憩空间，建设具有荆楚特色的生态公园城市与美丽乡村。</w:t>
            </w:r>
          </w:p>
        </w:tc>
      </w:tr>
    </w:tbl>
    <w:p w14:paraId="705F8CDE">
      <w:pPr>
        <w:pStyle w:val="4"/>
        <w:spacing w:before="217" w:beforeLines="50"/>
        <w:ind w:firstLine="611"/>
        <w:rPr>
          <w:spacing w:val="-8"/>
        </w:rPr>
      </w:pPr>
      <w:bookmarkStart w:id="126" w:name="_Toc87089280"/>
      <w:bookmarkStart w:id="127" w:name="_Toc83808728"/>
      <w:r>
        <w:rPr>
          <w:rFonts w:hint="eastAsia"/>
          <w:spacing w:val="-8"/>
        </w:rPr>
        <w:t>（九）鄂中北农业主产区综合整治和水生态综合治理重点工程</w:t>
      </w:r>
      <w:bookmarkEnd w:id="126"/>
      <w:bookmarkEnd w:id="127"/>
    </w:p>
    <w:p w14:paraId="3EFC2107">
      <w:pPr>
        <w:widowControl/>
        <w:suppressAutoHyphens/>
        <w:spacing w:after="217" w:afterLines="50"/>
        <w:ind w:firstLine="664"/>
        <w:rPr>
          <w:rFonts w:hAnsi="Calibri" w:cs="Times New Roman"/>
          <w:spacing w:val="6"/>
        </w:rPr>
      </w:pPr>
      <w:r>
        <w:rPr>
          <w:rFonts w:hint="eastAsia" w:hAnsi="Calibri" w:cs="Times New Roman"/>
          <w:spacing w:val="6"/>
        </w:rPr>
        <w:t>完善汉江中下游沿江防护林和生态缓冲带建设，推进以汉江国家湿地公园为主的湿地资源保护和修复，加快受损岸线修复，实施水质-水量-水生态联合调度，加强汉江中下游生态流量调控，推进南河、唐白河、</w:t>
      </w:r>
      <w:r>
        <w:rPr>
          <w:rFonts w:hint="eastAsia" w:ascii="仿宋" w:hAnsi="仿宋" w:eastAsia="仿宋" w:cs="宋体"/>
          <w:spacing w:val="6"/>
        </w:rPr>
        <w:t>浰</w:t>
      </w:r>
      <w:r>
        <w:rPr>
          <w:rFonts w:hint="eastAsia" w:ascii="仿宋_GB2312" w:hAnsi="仿宋_GB2312" w:cs="仿宋_GB2312"/>
          <w:spacing w:val="6"/>
        </w:rPr>
        <w:t>河</w:t>
      </w:r>
      <w:r>
        <w:rPr>
          <w:rFonts w:hint="eastAsia" w:hAnsi="Calibri" w:cs="Times New Roman"/>
          <w:spacing w:val="6"/>
        </w:rPr>
        <w:t>、竹皮河等汉江支流及钟祥南湖等沿线湖库</w:t>
      </w:r>
      <w:r>
        <w:t>综合治理与修复</w:t>
      </w:r>
      <w:r>
        <w:rPr>
          <w:rFonts w:hint="eastAsia" w:hAnsi="Calibri" w:cs="Times New Roman"/>
          <w:spacing w:val="6"/>
        </w:rPr>
        <w:t>，强化区域面源污染防控，保护水体生态系统，防止水华发生；</w:t>
      </w:r>
      <w:r>
        <w:rPr>
          <w:rFonts w:hint="eastAsia"/>
          <w:spacing w:val="6"/>
        </w:rPr>
        <w:t>在荆门市西北区域矿山集中区开展历史遗留矿山综合治理，加强大洪山、荆山生态屏障保护和修复；</w:t>
      </w:r>
      <w:r>
        <w:rPr>
          <w:rFonts w:hint="eastAsia" w:hAnsi="Calibri" w:cs="Times New Roman"/>
          <w:spacing w:val="6"/>
        </w:rPr>
        <w:t>以土地综合整治为抓手，</w:t>
      </w:r>
      <w:r>
        <w:rPr>
          <w:rFonts w:hint="eastAsia"/>
          <w:spacing w:val="6"/>
        </w:rPr>
        <w:t>开展耕地提质增效、土壤沙化治理和</w:t>
      </w:r>
      <w:r>
        <w:rPr>
          <w:rFonts w:hint="eastAsia" w:hAnsi="Calibri" w:cs="Times New Roman"/>
          <w:spacing w:val="6"/>
        </w:rPr>
        <w:t>农田防护林建设</w:t>
      </w:r>
      <w:r>
        <w:rPr>
          <w:rFonts w:hint="eastAsia"/>
          <w:spacing w:val="6"/>
        </w:rPr>
        <w:t>，</w:t>
      </w:r>
      <w:r>
        <w:rPr>
          <w:rFonts w:cs="Times New Roman"/>
        </w:rPr>
        <w:t>完善农田水利配套设施，</w:t>
      </w:r>
      <w:r>
        <w:rPr>
          <w:rFonts w:hint="eastAsia" w:cs="Times New Roman"/>
        </w:rPr>
        <w:t>加快推进鄂北水资源配套设施水平较高地区旱改水工程，</w:t>
      </w:r>
      <w:r>
        <w:rPr>
          <w:rFonts w:cs="Times New Roman"/>
        </w:rPr>
        <w:t>重点实施低丘岗地改造和高效节水灌溉，</w:t>
      </w:r>
      <w:r>
        <w:rPr>
          <w:rFonts w:hint="eastAsia"/>
          <w:spacing w:val="6"/>
        </w:rPr>
        <w:t>提升农田蓄水保土能力，大力发展高效经济作物，提高种植业经营水平和经济效益，建设现代生态农业示范区。</w:t>
      </w:r>
    </w:p>
    <w:tbl>
      <w:tblPr>
        <w:tblStyle w:val="19"/>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7"/>
      </w:tblGrid>
      <w:tr w14:paraId="5233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5000" w:type="pct"/>
            <w:shd w:val="clear" w:color="auto" w:fill="D8D8D8" w:themeFill="background1" w:themeFillShade="D9"/>
            <w:vAlign w:val="center"/>
          </w:tcPr>
          <w:p w14:paraId="4E42600A">
            <w:pPr>
              <w:suppressAutoHyphens/>
              <w:spacing w:line="400" w:lineRule="exact"/>
              <w:ind w:firstLine="0" w:firstLineChars="0"/>
              <w:jc w:val="center"/>
              <w:rPr>
                <w:rFonts w:eastAsia="黑体" w:cs="Times New Roman"/>
                <w:kern w:val="0"/>
                <w:szCs w:val="20"/>
              </w:rPr>
            </w:pPr>
            <w:r>
              <w:rPr>
                <w:rFonts w:eastAsia="黑体" w:cs="Times New Roman"/>
                <w:kern w:val="0"/>
                <w:sz w:val="24"/>
                <w:szCs w:val="24"/>
              </w:rPr>
              <w:t>专栏5-</w:t>
            </w:r>
            <w:r>
              <w:rPr>
                <w:rFonts w:hint="eastAsia" w:eastAsia="黑体" w:cs="Times New Roman"/>
                <w:kern w:val="0"/>
                <w:sz w:val="24"/>
                <w:szCs w:val="24"/>
              </w:rPr>
              <w:t>9鄂中北农业主产区综合整治和水生态综合治理重点工程</w:t>
            </w:r>
          </w:p>
        </w:tc>
      </w:tr>
      <w:tr w14:paraId="73A2E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vAlign w:val="center"/>
          </w:tcPr>
          <w:p w14:paraId="155BA193">
            <w:pPr>
              <w:suppressAutoHyphens/>
              <w:autoSpaceDE w:val="0"/>
              <w:autoSpaceDN w:val="0"/>
              <w:adjustRightInd w:val="0"/>
              <w:spacing w:line="420" w:lineRule="exact"/>
              <w:ind w:firstLine="0" w:firstLineChars="0"/>
              <w:rPr>
                <w:rFonts w:hAnsi="仿宋" w:cs="仿宋_GB2312"/>
                <w:bCs/>
                <w:kern w:val="0"/>
                <w:sz w:val="24"/>
                <w:szCs w:val="24"/>
              </w:rPr>
            </w:pPr>
            <w:r>
              <w:rPr>
                <w:rFonts w:hint="eastAsia" w:cs="Times New Roman"/>
                <w:b/>
                <w:kern w:val="0"/>
                <w:sz w:val="24"/>
                <w:szCs w:val="24"/>
              </w:rPr>
              <w:t>1. 汉江生态经济带（襄阳段）山水林田湖草沙生态保护修复工程：</w:t>
            </w:r>
            <w:r>
              <w:rPr>
                <w:rFonts w:hAnsi="仿宋" w:cs="仿宋_GB2312"/>
                <w:kern w:val="0"/>
                <w:sz w:val="24"/>
                <w:szCs w:val="24"/>
              </w:rPr>
              <w:t>在汉江流域（襄阳段）的襄阳市襄州区、樊城区、谷城县、老河口市、宜城市等县市开展</w:t>
            </w:r>
            <w:r>
              <w:rPr>
                <w:rFonts w:hint="eastAsia" w:hAnsi="仿宋" w:cs="仿宋_GB2312"/>
                <w:kern w:val="0"/>
                <w:sz w:val="24"/>
                <w:szCs w:val="24"/>
              </w:rPr>
              <w:t>汉江国家湿地公园生态保护修复、生态防护林建设、河流渠道水源涵养林建设、优良林木种质资源保护及利用、南河自然保护区保护修复、</w:t>
            </w:r>
            <w:r>
              <w:rPr>
                <w:rFonts w:hint="eastAsia" w:hAnsi="仿宋" w:cs="仿宋_GB2312"/>
                <w:bCs/>
                <w:kern w:val="0"/>
                <w:sz w:val="24"/>
                <w:szCs w:val="24"/>
              </w:rPr>
              <w:t>唐白河等汉江支流综合修复、</w:t>
            </w:r>
            <w:r>
              <w:rPr>
                <w:rFonts w:hint="eastAsia" w:hAnsi="仿宋" w:cs="仿宋_GB2312"/>
                <w:kern w:val="0"/>
                <w:sz w:val="24"/>
                <w:szCs w:val="24"/>
              </w:rPr>
              <w:t>可持续发展生态农业建设等项目。</w:t>
            </w:r>
          </w:p>
          <w:p w14:paraId="1C291173">
            <w:pPr>
              <w:suppressAutoHyphens/>
              <w:spacing w:line="420" w:lineRule="exact"/>
              <w:ind w:firstLine="0" w:firstLineChars="0"/>
              <w:rPr>
                <w:rFonts w:hAnsi="仿宋" w:cs="仿宋_GB2312"/>
                <w:bCs/>
                <w:kern w:val="0"/>
                <w:sz w:val="24"/>
                <w:szCs w:val="24"/>
              </w:rPr>
            </w:pPr>
            <w:r>
              <w:rPr>
                <w:rFonts w:hint="eastAsia" w:cs="Times New Roman"/>
                <w:b/>
                <w:kern w:val="0"/>
                <w:sz w:val="24"/>
                <w:szCs w:val="24"/>
              </w:rPr>
              <w:t>2. 鄂中北河湖湿地生态修复工程：</w:t>
            </w:r>
            <w:r>
              <w:rPr>
                <w:rFonts w:hint="eastAsia" w:hAnsi="仿宋" w:cs="仿宋_GB2312"/>
                <w:kern w:val="0"/>
                <w:sz w:val="24"/>
                <w:szCs w:val="24"/>
              </w:rPr>
              <w:t>在南河、唐白河、</w:t>
            </w:r>
            <w:r>
              <w:rPr>
                <w:rFonts w:hint="eastAsia" w:ascii="仿宋" w:hAnsi="仿宋" w:eastAsia="仿宋" w:cs="宋体"/>
                <w:bCs/>
                <w:kern w:val="0"/>
                <w:sz w:val="24"/>
                <w:szCs w:val="24"/>
              </w:rPr>
              <w:t>浰</w:t>
            </w:r>
            <w:r>
              <w:rPr>
                <w:rFonts w:hint="eastAsia" w:ascii="仿宋_GB2312" w:hAnsi="仿宋_GB2312" w:cs="仿宋_GB2312"/>
                <w:bCs/>
                <w:kern w:val="0"/>
                <w:sz w:val="24"/>
                <w:szCs w:val="24"/>
              </w:rPr>
              <w:t>河、</w:t>
            </w:r>
            <w:r>
              <w:rPr>
                <w:rFonts w:hint="eastAsia" w:hAnsi="仿宋" w:cs="仿宋_GB2312"/>
                <w:bCs/>
                <w:kern w:val="0"/>
                <w:sz w:val="24"/>
                <w:szCs w:val="24"/>
              </w:rPr>
              <w:t>竹皮河、漳河、沮漳河</w:t>
            </w:r>
            <w:r>
              <w:rPr>
                <w:rFonts w:hint="eastAsia" w:hAnsi="仿宋" w:cs="仿宋_GB2312"/>
                <w:kern w:val="0"/>
                <w:sz w:val="24"/>
                <w:szCs w:val="24"/>
              </w:rPr>
              <w:t>等主要支流沿线县市及</w:t>
            </w:r>
            <w:r>
              <w:rPr>
                <w:rFonts w:hint="eastAsia" w:hAnsi="仿宋" w:cs="仿宋_GB2312"/>
                <w:bCs/>
                <w:kern w:val="0"/>
                <w:sz w:val="24"/>
                <w:szCs w:val="24"/>
              </w:rPr>
              <w:t>钟祥南湖、漳河水库等</w:t>
            </w:r>
            <w:r>
              <w:rPr>
                <w:rFonts w:hint="eastAsia" w:hAnsi="仿宋" w:cs="仿宋_GB2312"/>
                <w:kern w:val="0"/>
                <w:sz w:val="24"/>
                <w:szCs w:val="24"/>
              </w:rPr>
              <w:t>主要湖库所在县市主要开展岸线生态修复、</w:t>
            </w:r>
            <w:r>
              <w:rPr>
                <w:rFonts w:hint="eastAsia" w:hAnsi="仿宋" w:cs="仿宋_GB2312"/>
                <w:bCs/>
                <w:kern w:val="0"/>
                <w:sz w:val="24"/>
                <w:szCs w:val="24"/>
              </w:rPr>
              <w:t>防护林建设、水环境综合整治、水系连通、生态补水、湿地修复、湖泊清淤、生态绿道、小流域综合治理、面源污染治理</w:t>
            </w:r>
            <w:r>
              <w:rPr>
                <w:rFonts w:hint="eastAsia" w:hAnsi="仿宋" w:cs="仿宋_GB2312"/>
                <w:kern w:val="0"/>
                <w:sz w:val="24"/>
                <w:szCs w:val="24"/>
              </w:rPr>
              <w:t>等项目。</w:t>
            </w:r>
          </w:p>
          <w:p w14:paraId="062935A7">
            <w:pPr>
              <w:tabs>
                <w:tab w:val="left" w:pos="312"/>
              </w:tabs>
              <w:suppressAutoHyphens/>
              <w:autoSpaceDE w:val="0"/>
              <w:autoSpaceDN w:val="0"/>
              <w:adjustRightInd w:val="0"/>
              <w:spacing w:line="420" w:lineRule="exact"/>
              <w:ind w:firstLine="0" w:firstLineChars="0"/>
              <w:rPr>
                <w:rFonts w:hAnsi="仿宋" w:cs="仿宋_GB2312"/>
                <w:kern w:val="0"/>
                <w:sz w:val="24"/>
                <w:szCs w:val="24"/>
              </w:rPr>
            </w:pPr>
            <w:r>
              <w:rPr>
                <w:rFonts w:hint="eastAsia" w:hAnsi="仿宋" w:cs="仿宋_GB2312"/>
                <w:b/>
                <w:kern w:val="0"/>
                <w:sz w:val="24"/>
                <w:szCs w:val="24"/>
              </w:rPr>
              <w:t xml:space="preserve">3. </w:t>
            </w:r>
            <w:r>
              <w:rPr>
                <w:rFonts w:hint="eastAsia" w:cs="Times New Roman"/>
                <w:b/>
                <w:kern w:val="0"/>
                <w:sz w:val="24"/>
                <w:szCs w:val="24"/>
              </w:rPr>
              <w:t>鄂中北历史遗留</w:t>
            </w:r>
            <w:r>
              <w:rPr>
                <w:rFonts w:hint="eastAsia" w:hAnsi="仿宋" w:cs="仿宋_GB2312"/>
                <w:b/>
                <w:kern w:val="0"/>
                <w:sz w:val="24"/>
                <w:szCs w:val="24"/>
              </w:rPr>
              <w:t>矿山综合治理工程：</w:t>
            </w:r>
            <w:r>
              <w:rPr>
                <w:rFonts w:hint="eastAsia" w:hAnsi="仿宋" w:cs="仿宋_GB2312"/>
                <w:kern w:val="0"/>
                <w:sz w:val="24"/>
                <w:szCs w:val="24"/>
              </w:rPr>
              <w:t>主要在东宝区、掇刀区、当阳市、钟祥市、京山市等县市重点矿区开展弃渣场地质灾害防治、废弃工矿场地综合整治、矿区植被恢复、地下水监测</w:t>
            </w:r>
            <w:r>
              <w:rPr>
                <w:rFonts w:hAnsi="仿宋" w:cs="仿宋_GB2312"/>
                <w:bCs/>
                <w:kern w:val="0"/>
                <w:sz w:val="24"/>
                <w:szCs w:val="24"/>
              </w:rPr>
              <w:t>等</w:t>
            </w:r>
            <w:r>
              <w:rPr>
                <w:rFonts w:hint="eastAsia" w:hAnsi="仿宋" w:cs="仿宋_GB2312"/>
                <w:bCs/>
                <w:kern w:val="0"/>
                <w:sz w:val="24"/>
                <w:szCs w:val="24"/>
              </w:rPr>
              <w:t>项目</w:t>
            </w:r>
            <w:r>
              <w:rPr>
                <w:rFonts w:hint="eastAsia" w:hAnsi="仿宋" w:cs="仿宋_GB2312"/>
                <w:kern w:val="0"/>
                <w:sz w:val="24"/>
                <w:szCs w:val="24"/>
              </w:rPr>
              <w:t>。</w:t>
            </w:r>
          </w:p>
          <w:p w14:paraId="16ECCF13">
            <w:pPr>
              <w:suppressAutoHyphens/>
              <w:autoSpaceDE w:val="0"/>
              <w:autoSpaceDN w:val="0"/>
              <w:adjustRightInd w:val="0"/>
              <w:spacing w:line="420" w:lineRule="exact"/>
              <w:ind w:firstLine="0" w:firstLineChars="0"/>
              <w:rPr>
                <w:rFonts w:hAnsi="仿宋" w:cs="仿宋_GB2312"/>
                <w:bCs/>
                <w:kern w:val="0"/>
                <w:sz w:val="24"/>
                <w:szCs w:val="24"/>
              </w:rPr>
            </w:pPr>
            <w:r>
              <w:rPr>
                <w:rFonts w:hint="eastAsia" w:cs="Times New Roman"/>
                <w:b/>
                <w:kern w:val="0"/>
                <w:sz w:val="24"/>
                <w:szCs w:val="24"/>
              </w:rPr>
              <w:t xml:space="preserve">4. </w:t>
            </w:r>
            <w:r>
              <w:rPr>
                <w:rFonts w:hint="eastAsia" w:hAnsi="仿宋" w:cs="仿宋_GB2312"/>
                <w:b/>
                <w:bCs/>
                <w:kern w:val="0"/>
                <w:sz w:val="24"/>
                <w:szCs w:val="24"/>
              </w:rPr>
              <w:t>鄂中北</w:t>
            </w:r>
            <w:r>
              <w:rPr>
                <w:rFonts w:hint="eastAsia" w:cs="Times New Roman"/>
                <w:b/>
                <w:kern w:val="0"/>
                <w:sz w:val="24"/>
                <w:szCs w:val="24"/>
              </w:rPr>
              <w:t>农业主产区土地综合整治</w:t>
            </w:r>
            <w:r>
              <w:rPr>
                <w:rFonts w:hint="eastAsia" w:hAnsi="仿宋" w:cs="仿宋_GB2312"/>
                <w:b/>
                <w:bCs/>
                <w:kern w:val="0"/>
                <w:sz w:val="24"/>
                <w:szCs w:val="24"/>
              </w:rPr>
              <w:t>工程:</w:t>
            </w:r>
            <w:r>
              <w:rPr>
                <w:rFonts w:hint="eastAsia" w:hAnsi="仿宋" w:cs="仿宋_GB2312"/>
                <w:bCs/>
                <w:kern w:val="0"/>
                <w:sz w:val="24"/>
                <w:szCs w:val="24"/>
              </w:rPr>
              <w:t>在老河口市、枣阳市、宜城市、钟祥市、当阳市等县市</w:t>
            </w:r>
            <w:r>
              <w:rPr>
                <w:rFonts w:hint="eastAsia" w:hAnsi="仿宋" w:cs="仿宋_GB2312"/>
                <w:kern w:val="0"/>
                <w:sz w:val="24"/>
                <w:szCs w:val="24"/>
              </w:rPr>
              <w:t>农业主产区以乡镇为单元实施土地综合整治，主要开展耕地质量提升、农田基础设施建设、农村环境综合整治、农业面源污染治理、土壤及地下水修复等项目。</w:t>
            </w:r>
          </w:p>
        </w:tc>
      </w:tr>
    </w:tbl>
    <w:p w14:paraId="66106A97">
      <w:pPr>
        <w:pStyle w:val="4"/>
        <w:spacing w:before="217" w:beforeLines="50"/>
        <w:ind w:firstLine="643"/>
      </w:pPr>
      <w:bookmarkStart w:id="128" w:name="_Toc83808729"/>
      <w:bookmarkStart w:id="129" w:name="_Toc87089281"/>
      <w:r>
        <w:rPr>
          <w:rFonts w:hint="eastAsia"/>
        </w:rPr>
        <w:t>（十）重要生态廊道和生态网络建设重点工程</w:t>
      </w:r>
      <w:bookmarkEnd w:id="128"/>
      <w:bookmarkEnd w:id="129"/>
    </w:p>
    <w:p w14:paraId="7B6C1308">
      <w:pPr>
        <w:suppressAutoHyphens/>
        <w:spacing w:after="217" w:afterLines="50"/>
        <w:ind w:firstLine="640"/>
        <w:rPr>
          <w:rFonts w:ascii="仿宋_GB2312" w:hAnsi="仿宋"/>
          <w:color w:val="000000"/>
          <w:szCs w:val="32"/>
        </w:rPr>
      </w:pPr>
      <w:r>
        <w:rPr>
          <w:rFonts w:hint="eastAsia"/>
          <w:bCs/>
        </w:rPr>
        <w:t>着力建设</w:t>
      </w:r>
      <w:r>
        <w:rPr>
          <w:rFonts w:hint="eastAsia" w:cs="Times New Roman"/>
          <w:lang w:bidi="ar"/>
        </w:rPr>
        <w:t>汉江、清江及其他骨干河流生态缓冲带网，</w:t>
      </w:r>
      <w:r>
        <w:rPr>
          <w:rFonts w:hint="eastAsia"/>
          <w:bCs/>
        </w:rPr>
        <w:t>持续实施沿江河两岸造林绿化，</w:t>
      </w:r>
      <w:r>
        <w:rPr>
          <w:rFonts w:hint="eastAsia" w:cs="Times New Roman"/>
          <w:lang w:bidi="ar"/>
        </w:rPr>
        <w:t>保护恢复河流岸线湿地，加强岸线资源保护和分区管理，</w:t>
      </w:r>
      <w:r>
        <w:rPr>
          <w:rFonts w:hint="eastAsia"/>
          <w:bCs/>
        </w:rPr>
        <w:t>营造城市滨水生态景观</w:t>
      </w:r>
      <w:r>
        <w:rPr>
          <w:rFonts w:hint="eastAsia" w:ascii="仿宋_GB2312"/>
          <w:color w:val="000000"/>
          <w:szCs w:val="32"/>
        </w:rPr>
        <w:t>廊道和</w:t>
      </w:r>
      <w:r>
        <w:rPr>
          <w:rFonts w:hint="eastAsia"/>
          <w:bCs/>
        </w:rPr>
        <w:t>沿江特色文化廊道</w:t>
      </w:r>
      <w:r>
        <w:rPr>
          <w:rFonts w:hint="eastAsia" w:ascii="仿宋_GB2312"/>
          <w:color w:val="000000"/>
          <w:szCs w:val="32"/>
        </w:rPr>
        <w:t>；</w:t>
      </w:r>
      <w:r>
        <w:rPr>
          <w:rFonts w:hint="eastAsia" w:cs="Times New Roman"/>
          <w:lang w:bidi="ar"/>
        </w:rPr>
        <w:t>重点推进全省</w:t>
      </w:r>
      <w:r>
        <w:rPr>
          <w:rFonts w:hint="eastAsia" w:ascii="仿宋_GB2312" w:hAnsi="仿宋"/>
          <w:color w:val="000000"/>
          <w:szCs w:val="32"/>
        </w:rPr>
        <w:t>高速公路、高铁沿线及其他主要国省交通干线生态防护林网及</w:t>
      </w:r>
      <w:r>
        <w:rPr>
          <w:rFonts w:hint="eastAsia"/>
          <w:bCs/>
          <w:szCs w:val="28"/>
        </w:rPr>
        <w:t>具有人文历史特色的荆楚生态古道建设</w:t>
      </w:r>
      <w:r>
        <w:rPr>
          <w:rFonts w:hint="eastAsia" w:ascii="仿宋_GB2312" w:hAnsi="仿宋"/>
          <w:color w:val="000000"/>
          <w:szCs w:val="32"/>
        </w:rPr>
        <w:t>，积极开展造林绿化，提高森林植被覆盖，加强丘陵山区道路地质灾害防治，</w:t>
      </w:r>
      <w:r>
        <w:rPr>
          <w:rFonts w:hint="eastAsia"/>
          <w:bCs/>
          <w:szCs w:val="28"/>
        </w:rPr>
        <w:t>积极推进古道的生态修缮；完善长江中游重点湖泊水库水土保持林、水源涵养林、护湖护岸林建设，开展平原湖区高标准农田林网示范点建设，启动森林城市群建设，推动我省构建</w:t>
      </w:r>
      <w:r>
        <w:rPr>
          <w:rFonts w:hint="eastAsia" w:ascii="仿宋_GB2312" w:hAnsi="仿宋" w:cs="Times New Roman"/>
          <w:color w:val="000000"/>
          <w:szCs w:val="32"/>
        </w:rPr>
        <w:t>互联互通、结构稳定、功能完备、景观优美的生态廊道网络体系</w:t>
      </w:r>
      <w:r>
        <w:rPr>
          <w:rFonts w:hint="eastAsia" w:ascii="仿宋_GB2312" w:hAnsi="仿宋"/>
          <w:color w:val="000000"/>
          <w:szCs w:val="32"/>
        </w:rPr>
        <w:t>。</w:t>
      </w:r>
    </w:p>
    <w:tbl>
      <w:tblPr>
        <w:tblStyle w:val="19"/>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7"/>
      </w:tblGrid>
      <w:tr w14:paraId="564E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5000" w:type="pct"/>
            <w:shd w:val="clear" w:color="auto" w:fill="D8D8D8" w:themeFill="background1" w:themeFillShade="D9"/>
            <w:vAlign w:val="center"/>
          </w:tcPr>
          <w:p w14:paraId="0C98A647">
            <w:pPr>
              <w:suppressAutoHyphens/>
              <w:spacing w:line="400" w:lineRule="exact"/>
              <w:ind w:firstLine="0" w:firstLineChars="0"/>
              <w:jc w:val="center"/>
              <w:rPr>
                <w:rFonts w:eastAsia="黑体" w:cs="Times New Roman"/>
                <w:kern w:val="0"/>
                <w:szCs w:val="20"/>
              </w:rPr>
            </w:pPr>
            <w:r>
              <w:rPr>
                <w:rFonts w:eastAsia="黑体" w:cs="Times New Roman"/>
                <w:sz w:val="24"/>
                <w:szCs w:val="24"/>
              </w:rPr>
              <w:t>专栏5-</w:t>
            </w:r>
            <w:r>
              <w:rPr>
                <w:rFonts w:hint="eastAsia" w:eastAsia="黑体" w:cs="Times New Roman"/>
                <w:sz w:val="24"/>
                <w:szCs w:val="24"/>
              </w:rPr>
              <w:t>10重要生态廊道和生态网络建设重点工程</w:t>
            </w:r>
          </w:p>
        </w:tc>
      </w:tr>
      <w:tr w14:paraId="054C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vAlign w:val="center"/>
          </w:tcPr>
          <w:p w14:paraId="5D45F13D">
            <w:pPr>
              <w:suppressAutoHyphens/>
              <w:autoSpaceDE w:val="0"/>
              <w:autoSpaceDN w:val="0"/>
              <w:adjustRightInd w:val="0"/>
              <w:spacing w:line="400" w:lineRule="exact"/>
              <w:ind w:firstLine="0" w:firstLineChars="0"/>
              <w:rPr>
                <w:rFonts w:hAnsi="仿宋" w:cs="仿宋_GB2312"/>
                <w:bCs/>
                <w:kern w:val="0"/>
                <w:sz w:val="24"/>
                <w:szCs w:val="24"/>
              </w:rPr>
            </w:pPr>
            <w:r>
              <w:rPr>
                <w:rFonts w:hint="eastAsia"/>
                <w:b/>
                <w:sz w:val="24"/>
                <w:szCs w:val="24"/>
              </w:rPr>
              <w:t>1. 汉江、清江及骨干河流生态廊道建设工程：</w:t>
            </w:r>
            <w:r>
              <w:rPr>
                <w:rFonts w:hint="eastAsia" w:hAnsi="仿宋" w:cs="仿宋_GB2312"/>
                <w:bCs/>
                <w:kern w:val="0"/>
                <w:sz w:val="24"/>
                <w:szCs w:val="24"/>
              </w:rPr>
              <w:t>在</w:t>
            </w:r>
            <w:r>
              <w:rPr>
                <w:rFonts w:hint="eastAsia" w:hAnsi="仿宋" w:cs="仿宋_GB2312"/>
                <w:kern w:val="0"/>
                <w:sz w:val="24"/>
                <w:szCs w:val="24"/>
              </w:rPr>
              <w:t>汉江、清江</w:t>
            </w:r>
            <w:r>
              <w:rPr>
                <w:rFonts w:hint="eastAsia" w:hAnsi="仿宋" w:cs="仿宋_GB2312"/>
                <w:bCs/>
                <w:kern w:val="0"/>
                <w:sz w:val="24"/>
                <w:szCs w:val="24"/>
              </w:rPr>
              <w:t>两侧水岸线至第一层山脊线或平原区 2 公里之间的可建区域及骨干河流两岸适宜区建设生态缓冲带，加强造林绿化，完善沿江防护林体系，切实提高沿江林草覆盖率，维护生物多样性，恢复水清鱼跃、岸绿景美的良好生态，提升综合防灾能力。</w:t>
            </w:r>
          </w:p>
          <w:p w14:paraId="01263D9A">
            <w:pPr>
              <w:tabs>
                <w:tab w:val="left" w:pos="312"/>
              </w:tabs>
              <w:suppressAutoHyphens/>
              <w:spacing w:line="400" w:lineRule="exact"/>
              <w:ind w:firstLine="0" w:firstLineChars="0"/>
              <w:rPr>
                <w:rFonts w:hAnsi="仿宋" w:cs="仿宋_GB2312"/>
                <w:kern w:val="0"/>
                <w:sz w:val="24"/>
                <w:szCs w:val="24"/>
              </w:rPr>
            </w:pPr>
            <w:r>
              <w:rPr>
                <w:rFonts w:hint="eastAsia"/>
                <w:b/>
                <w:sz w:val="24"/>
                <w:szCs w:val="24"/>
              </w:rPr>
              <w:t xml:space="preserve">2. </w:t>
            </w:r>
            <w:r>
              <w:rPr>
                <w:rFonts w:hint="eastAsia" w:hAnsi="仿宋" w:cs="仿宋_GB2312"/>
                <w:b/>
                <w:kern w:val="0"/>
                <w:sz w:val="24"/>
                <w:szCs w:val="24"/>
              </w:rPr>
              <w:t>交通干线生态防护林网建设工程：</w:t>
            </w:r>
            <w:r>
              <w:rPr>
                <w:rFonts w:hint="eastAsia" w:hAnsi="仿宋" w:cs="仿宋_GB2312"/>
                <w:kern w:val="0"/>
                <w:sz w:val="24"/>
                <w:szCs w:val="24"/>
              </w:rPr>
              <w:t>在骨干道路沿线宜林区覆盖林网，连通生态源地，维持野生动物生境连通性；</w:t>
            </w:r>
            <w:r>
              <w:rPr>
                <w:rFonts w:hint="eastAsia" w:hAnsi="仿宋" w:cs="仿宋_GB2312"/>
                <w:bCs/>
                <w:kern w:val="0"/>
                <w:sz w:val="24"/>
                <w:szCs w:val="24"/>
              </w:rPr>
              <w:t>深入挖掘具备自然生态、风土民俗和人文历史的古代驿道、茶马古道、古盐道等珍贵线路性文化遗产，</w:t>
            </w:r>
            <w:r>
              <w:rPr>
                <w:rFonts w:hint="eastAsia" w:hAnsi="仿宋" w:cs="仿宋_GB2312"/>
                <w:kern w:val="0"/>
                <w:sz w:val="24"/>
                <w:szCs w:val="24"/>
              </w:rPr>
              <w:t>建设荆楚古道生态文化廊道。</w:t>
            </w:r>
          </w:p>
          <w:p w14:paraId="3276EF1B">
            <w:pPr>
              <w:widowControl/>
              <w:suppressAutoHyphens/>
              <w:autoSpaceDE w:val="0"/>
              <w:autoSpaceDN w:val="0"/>
              <w:adjustRightInd w:val="0"/>
              <w:spacing w:line="400" w:lineRule="exact"/>
              <w:ind w:firstLine="0" w:firstLineChars="0"/>
              <w:rPr>
                <w:rFonts w:hAnsi="仿宋" w:cs="仿宋_GB2312"/>
                <w:kern w:val="0"/>
                <w:sz w:val="24"/>
                <w:szCs w:val="24"/>
              </w:rPr>
            </w:pPr>
            <w:r>
              <w:rPr>
                <w:rFonts w:hint="eastAsia"/>
                <w:b/>
                <w:sz w:val="24"/>
                <w:szCs w:val="24"/>
              </w:rPr>
              <w:t>3. 重点区域廊道建设工程：</w:t>
            </w:r>
            <w:r>
              <w:rPr>
                <w:rFonts w:hint="eastAsia" w:hAnsi="仿宋" w:cs="仿宋_GB2312"/>
                <w:kern w:val="0"/>
                <w:sz w:val="24"/>
                <w:szCs w:val="24"/>
              </w:rPr>
              <w:t>围绕三峡库区、丹江口库区、洪湖、斧头湖、梁子湖等重点湖库，实施环湖库生态圈及生态缓冲带建设，加强生态湖滨带和水源涵养林等生态隔离带建设与保护，扩大动植物栖息地；在自然保护地及重要野生动植物栖息地、植物遗传资源分布地、野生动物迁徙停歇地等敏感区域，连通、保护重要栖息地，保护物种多样性。</w:t>
            </w:r>
          </w:p>
          <w:p w14:paraId="5024AC4C">
            <w:pPr>
              <w:suppressAutoHyphens/>
              <w:autoSpaceDE w:val="0"/>
              <w:autoSpaceDN w:val="0"/>
              <w:adjustRightInd w:val="0"/>
              <w:spacing w:line="400" w:lineRule="exact"/>
              <w:ind w:firstLine="0" w:firstLineChars="0"/>
              <w:rPr>
                <w:rFonts w:hAnsi="仿宋" w:cs="仿宋_GB2312"/>
                <w:bCs/>
                <w:kern w:val="0"/>
                <w:sz w:val="24"/>
                <w:szCs w:val="24"/>
              </w:rPr>
            </w:pPr>
            <w:r>
              <w:rPr>
                <w:rFonts w:hint="eastAsia" w:hAnsi="仿宋" w:cs="仿宋_GB2312"/>
                <w:b/>
                <w:kern w:val="0"/>
                <w:sz w:val="24"/>
                <w:szCs w:val="24"/>
              </w:rPr>
              <w:t>4. 森林城市建设工程：</w:t>
            </w:r>
            <w:r>
              <w:rPr>
                <w:rFonts w:hint="eastAsia" w:hAnsi="仿宋" w:cs="仿宋_GB2312"/>
                <w:kern w:val="0"/>
                <w:sz w:val="24"/>
                <w:szCs w:val="24"/>
              </w:rPr>
              <w:t>科学编制湖北省森林城市和森林城市群发展规划，指导全省各地进一步加快森林城市建设步伐，启动森林城市群建设，</w:t>
            </w:r>
            <w:r>
              <w:rPr>
                <w:rFonts w:hint="eastAsia" w:hAnsi="仿宋" w:cs="仿宋_GB2312"/>
                <w:bCs/>
                <w:kern w:val="0"/>
                <w:sz w:val="24"/>
                <w:szCs w:val="24"/>
              </w:rPr>
              <w:t>加强城市群内和城市间生态廊道、林网及生态斑块的连接，着力构建以城市为单元的全域森林生态系统。</w:t>
            </w:r>
          </w:p>
        </w:tc>
      </w:tr>
    </w:tbl>
    <w:p w14:paraId="07978A1D">
      <w:pPr>
        <w:ind w:firstLine="640"/>
      </w:pPr>
    </w:p>
    <w:p w14:paraId="780BA93C">
      <w:pPr>
        <w:widowControl/>
        <w:spacing w:line="240" w:lineRule="auto"/>
        <w:ind w:firstLine="0" w:firstLineChars="0"/>
        <w:jc w:val="left"/>
      </w:pPr>
      <w:r>
        <w:br w:type="page"/>
      </w:r>
    </w:p>
    <w:p w14:paraId="7E5AD6D3">
      <w:pPr>
        <w:ind w:firstLine="640"/>
      </w:pPr>
    </w:p>
    <w:p w14:paraId="7DA61803">
      <w:pPr>
        <w:pStyle w:val="54"/>
      </w:pPr>
      <w:bookmarkStart w:id="130" w:name="_Toc87089282"/>
      <w:bookmarkStart w:id="131" w:name="_Toc87200628"/>
      <w:r>
        <w:t>第六章　</w:t>
      </w:r>
      <w:r>
        <w:rPr>
          <w:rFonts w:hint="eastAsia"/>
        </w:rPr>
        <w:t>规划实施保障机制</w:t>
      </w:r>
      <w:bookmarkEnd w:id="130"/>
      <w:bookmarkEnd w:id="131"/>
    </w:p>
    <w:p w14:paraId="22563F11">
      <w:pPr>
        <w:pStyle w:val="53"/>
      </w:pPr>
      <w:bookmarkStart w:id="132" w:name="_Toc70508979"/>
      <w:bookmarkStart w:id="133" w:name="_Toc87200629"/>
      <w:bookmarkStart w:id="134" w:name="_Toc87089283"/>
      <w:bookmarkStart w:id="135" w:name="_Toc75433565"/>
      <w:r>
        <w:rPr>
          <w:rFonts w:hint="eastAsia"/>
        </w:rPr>
        <w:t>第一节　加强组织领导</w:t>
      </w:r>
      <w:bookmarkEnd w:id="132"/>
      <w:bookmarkEnd w:id="133"/>
      <w:bookmarkEnd w:id="134"/>
      <w:bookmarkEnd w:id="135"/>
    </w:p>
    <w:p w14:paraId="5AD56FBE">
      <w:pPr>
        <w:suppressAutoHyphens/>
        <w:ind w:firstLine="643"/>
      </w:pPr>
      <w:r>
        <w:rPr>
          <w:rFonts w:hint="eastAsia"/>
          <w:b/>
          <w:bCs/>
        </w:rPr>
        <w:t>健全工作机制</w:t>
      </w:r>
      <w:r>
        <w:rPr>
          <w:rFonts w:hint="eastAsia"/>
        </w:rPr>
        <w:t>。构建并完善国土空间生态修复领导管理体系，加强组织领导和沟通协调，明确职责定位与职能分工。在湖北省国土空间规划编制工作领导小组领导下，协调解决全省生态修复工作中重大问题，加强对各部门、各市州规划实施的监督指导，形成主要领导亲自抓、各部门协同推进、社会力量积极参与的工作组织机制。各级党委、政府作为国土空间生态修复的责任主体，要把国土空间生态修复作为推进生态文明建设、维护区域生态安全的重要基础性工作，建立目标责任制，指导各部门协同推进，做好规划编制、项目谋划、项目论证报批和组织实施等工作，制定和完善工作效能评价办法。</w:t>
      </w:r>
    </w:p>
    <w:p w14:paraId="4BC59184">
      <w:pPr>
        <w:widowControl/>
        <w:suppressAutoHyphens/>
        <w:ind w:firstLine="643"/>
      </w:pPr>
      <w:r>
        <w:rPr>
          <w:rFonts w:hint="eastAsia"/>
          <w:b/>
          <w:bCs/>
        </w:rPr>
        <w:t>加强部门协同。</w:t>
      </w:r>
      <w:r>
        <w:rPr>
          <w:rFonts w:hint="eastAsia"/>
        </w:rPr>
        <w:t>强化规划引领和用途管制，通过国土空间生态修复规划统筹发展改革、自然资源、生态环境、住房和城乡建设、水利、农业农村、林业等部门生态修复任务目标，加强部门协调联动，共同推进规划实施；严守生态保护红线，通过用途管制严控自然生态安全边界，保护与修复相结合，整合集中资金力量优先修复重点区域，构筑人与自然和谐共生的高品质空间。健全部门沟通协同机制，加强生态数据共享，明确各部门在生态修复重点工程中的具体职责范围，建立基于整体实施成效的评价体系和验收标准；制定绩效评估机制，着眼于生态环境整体利益、系统治理成效，发挥第三方机构在评估中的作用，优化完善考核、奖励补偿与惩罚机制。</w:t>
      </w:r>
    </w:p>
    <w:p w14:paraId="2088E482">
      <w:pPr>
        <w:suppressAutoHyphens/>
        <w:ind w:firstLine="643"/>
      </w:pPr>
      <w:r>
        <w:rPr>
          <w:rFonts w:hint="eastAsia"/>
          <w:b/>
        </w:rPr>
        <w:t>增强省际协同。</w:t>
      </w:r>
      <w:r>
        <w:rPr>
          <w:rFonts w:cs="Times New Roman"/>
        </w:rPr>
        <w:t>加强与</w:t>
      </w:r>
      <w:r>
        <w:rPr>
          <w:rFonts w:hint="eastAsia" w:cs="Times New Roman"/>
          <w:bCs/>
        </w:rPr>
        <w:t>湖南、江西、重庆</w:t>
      </w:r>
      <w:r>
        <w:rPr>
          <w:rFonts w:cs="Times New Roman"/>
        </w:rPr>
        <w:t>在长江流域生态保护修复领域的合作</w:t>
      </w:r>
      <w:r>
        <w:rPr>
          <w:rFonts w:hint="eastAsia" w:ascii="仿宋_GB2312" w:hAnsi="仿宋_GB2312" w:cs="仿宋_GB2312"/>
          <w:szCs w:val="32"/>
        </w:rPr>
        <w:t>交流</w:t>
      </w:r>
      <w:r>
        <w:rPr>
          <w:rFonts w:cs="Times New Roman"/>
        </w:rPr>
        <w:t>，</w:t>
      </w:r>
      <w:r>
        <w:rPr>
          <w:rFonts w:hint="eastAsia" w:ascii="仿宋_GB2312" w:hAnsi="仿宋_GB2312" w:cs="仿宋_GB2312"/>
          <w:szCs w:val="32"/>
        </w:rPr>
        <w:t>完善长江中游地区省际协商合作机制，大力推进生态环境联防联控，</w:t>
      </w:r>
      <w:r>
        <w:rPr>
          <w:rFonts w:cs="Times New Roman"/>
        </w:rPr>
        <w:t>将长江经济带建设为生态文明先行示范带。</w:t>
      </w:r>
      <w:r>
        <w:rPr>
          <w:rFonts w:hint="eastAsia" w:cs="Times New Roman"/>
          <w:spacing w:val="6"/>
        </w:rPr>
        <w:t>进一步深化与河南、陕西在汉江生态经济带的省际协商合作机制，共同推进</w:t>
      </w:r>
      <w:r>
        <w:rPr>
          <w:rFonts w:cs="Times New Roman"/>
          <w:spacing w:val="6"/>
        </w:rPr>
        <w:t>丹江口库区及上游地区、秦巴山区域、桐柏山区域的生态保护</w:t>
      </w:r>
      <w:r>
        <w:rPr>
          <w:rFonts w:hint="eastAsia" w:cs="Times New Roman"/>
          <w:spacing w:val="6"/>
        </w:rPr>
        <w:t>修复</w:t>
      </w:r>
      <w:r>
        <w:rPr>
          <w:rFonts w:cs="Times New Roman"/>
          <w:spacing w:val="6"/>
        </w:rPr>
        <w:t>，</w:t>
      </w:r>
      <w:r>
        <w:rPr>
          <w:rFonts w:hint="eastAsia" w:cs="Times New Roman"/>
          <w:spacing w:val="6"/>
        </w:rPr>
        <w:t>务实重行，合力开创推动汉江生态经济带高质量发展新局面。</w:t>
      </w:r>
      <w:r>
        <w:rPr>
          <w:rFonts w:hint="eastAsia" w:cs="Times New Roman"/>
        </w:rPr>
        <w:t>加强</w:t>
      </w:r>
      <w:r>
        <w:rPr>
          <w:rFonts w:hint="eastAsia"/>
        </w:rPr>
        <w:t>与河南、安徽在大别山革命老区生态安全方面的</w:t>
      </w:r>
      <w:r>
        <w:rPr>
          <w:rFonts w:hint="eastAsia" w:cs="Times New Roman"/>
        </w:rPr>
        <w:t>省际交流合作，</w:t>
      </w:r>
      <w:r>
        <w:rPr>
          <w:rFonts w:hint="eastAsia" w:cs="Times New Roman"/>
          <w:spacing w:val="6"/>
        </w:rPr>
        <w:t>共同</w:t>
      </w:r>
      <w:r>
        <w:rPr>
          <w:rFonts w:hint="eastAsia" w:cs="Times New Roman"/>
        </w:rPr>
        <w:t>推进</w:t>
      </w:r>
      <w:r>
        <w:rPr>
          <w:rFonts w:hint="eastAsia"/>
        </w:rPr>
        <w:t>大别山区域生态保护修复，</w:t>
      </w:r>
      <w:r>
        <w:rPr>
          <w:rFonts w:hint="eastAsia" w:cs="Times New Roman"/>
        </w:rPr>
        <w:t>加快完善多元化、广覆盖的大别山区生态综合补偿机制，以实施生态保护补偿为抓手，推进大别山区生态文明建设，实现绿水青山与金山银山的有机统一。</w:t>
      </w:r>
    </w:p>
    <w:p w14:paraId="7D3727A4">
      <w:pPr>
        <w:pStyle w:val="53"/>
      </w:pPr>
      <w:bookmarkStart w:id="136" w:name="_Toc87089284"/>
      <w:bookmarkStart w:id="137" w:name="_Toc87200630"/>
      <w:bookmarkStart w:id="138" w:name="_Toc75433566"/>
      <w:bookmarkStart w:id="139" w:name="_Toc70508980"/>
      <w:r>
        <w:rPr>
          <w:rFonts w:hint="eastAsia"/>
        </w:rPr>
        <w:t>第二节　完善制度体系</w:t>
      </w:r>
      <w:bookmarkEnd w:id="136"/>
      <w:bookmarkEnd w:id="137"/>
      <w:bookmarkEnd w:id="138"/>
      <w:bookmarkEnd w:id="139"/>
    </w:p>
    <w:p w14:paraId="0C482D37">
      <w:pPr>
        <w:suppressAutoHyphens/>
        <w:ind w:firstLine="643"/>
      </w:pPr>
      <w:r>
        <w:rPr>
          <w:rFonts w:hint="eastAsia"/>
          <w:b/>
          <w:bCs/>
        </w:rPr>
        <w:t>探索建立健全生态产品价值实现机制。</w:t>
      </w:r>
      <w:r>
        <w:rPr>
          <w:rFonts w:hint="eastAsia"/>
        </w:rPr>
        <w:t>建立生态产品调查监测机制，探索构建不同区域生态产品价值评价体系，支持各地积极探索生态产品价值核算评估方法，推动生态产品价值核算结果在生态保护补偿、生态环境损害赔偿、经营开发融资、生态资源权益交易等方面的应用。在严格保护生态环境前提下，鼓励各地积极探索生态农业、林业特色产业、生态旅游业、健康养生业等多样化模式和路径，打造特色鲜明的生态产品区域公用品牌，科学合理推动生态产品价值实现，促进生态产品价值增值。建立健全有效市场和有为政府更好结合、分类补偿与综合补偿统筹兼顾、纵向补偿与横向补偿协调推进、强化激励与硬化约束协同发力的生态保护补偿制度体系，探索转移支付、对口支援、专项补贴、生态移民、异地开发等多样化生态补偿方式，实现重点领域和重要生态区域生态补偿机制与政策全覆盖。加快总结推广</w:t>
      </w:r>
      <w:r>
        <w:t>宜城市</w:t>
      </w:r>
      <w:r>
        <w:rPr>
          <w:rFonts w:hint="eastAsia"/>
        </w:rPr>
        <w:t>、宜昌市</w:t>
      </w:r>
      <w:r>
        <w:t>夷陵区</w:t>
      </w:r>
      <w:r>
        <w:rPr>
          <w:rFonts w:hint="eastAsia"/>
        </w:rPr>
        <w:t>等</w:t>
      </w:r>
      <w:r>
        <w:t>9</w:t>
      </w:r>
      <w:r>
        <w:rPr>
          <w:rFonts w:hint="eastAsia"/>
        </w:rPr>
        <w:t>个</w:t>
      </w:r>
      <w:r>
        <w:t>生态产品价值实现路径试点</w:t>
      </w:r>
      <w:r>
        <w:rPr>
          <w:rFonts w:hint="eastAsia"/>
        </w:rPr>
        <w:t>县（市、区）的先进实践经验，支持有条件市县积极争创国家级生态产品价值实现机制试点，推进罗田县、秭归县、保康县、鹤峰县等“绿水青山就是金山银山”试点县创建工作，鼓励各市州在长江、汉江、清江干流及重要流域探索建立上下游横向生态保护补偿机制。</w:t>
      </w:r>
    </w:p>
    <w:p w14:paraId="04E5F04F">
      <w:pPr>
        <w:suppressAutoHyphens/>
        <w:ind w:firstLine="643"/>
      </w:pPr>
      <w:r>
        <w:rPr>
          <w:rFonts w:hint="eastAsia"/>
          <w:b/>
          <w:bCs/>
        </w:rPr>
        <w:t>大力推进多元化市场化投入机制。</w:t>
      </w:r>
      <w:r>
        <w:rPr>
          <w:rFonts w:hint="eastAsia"/>
          <w:bCs/>
        </w:rPr>
        <w:t>认真落实《国务院办公厅关于鼓励和支持社会资本参与生态保护修复的意见》，制定符合湖北省实际的实施文件，细化参与方式和程序，会同相关部门制订完善相关配套政策措施，推进规划管控、产权激励、资源利用、财税支持、金融支持等政策落实。加快研究生态系统碳汇项目参与全国碳排放权交易相关规则，完善林权、水权等生态资产交易制度，探索开发绿色基金、绿色债券、绿色信贷、绿色保险等金融产品。</w:t>
      </w:r>
      <w:r>
        <w:rPr>
          <w:rFonts w:hint="eastAsia"/>
        </w:rPr>
        <w:t>充分结合城乡建设用地增减挂钩、工矿废弃地复垦、全域国土综合整治、“两项”指标交易等已发布相关政策文件，</w:t>
      </w:r>
      <w:r>
        <w:rPr>
          <w:rFonts w:hint="eastAsia"/>
          <w:bCs/>
        </w:rPr>
        <w:t>探索多元化资金筹措方式，尝试</w:t>
      </w:r>
      <w:r>
        <w:rPr>
          <w:rFonts w:hint="eastAsia"/>
        </w:rPr>
        <w:t>采用P</w:t>
      </w:r>
      <w:r>
        <w:t>PP</w:t>
      </w:r>
      <w:r>
        <w:rPr>
          <w:rFonts w:hint="eastAsia"/>
        </w:rPr>
        <w:t>、A</w:t>
      </w:r>
      <w:r>
        <w:t>BO</w:t>
      </w:r>
      <w:r>
        <w:rPr>
          <w:rFonts w:hint="eastAsia"/>
        </w:rPr>
        <w:t>、E</w:t>
      </w:r>
      <w:r>
        <w:t>PC</w:t>
      </w:r>
      <w:r>
        <w:rPr>
          <w:rFonts w:hint="eastAsia"/>
        </w:rPr>
        <w:t>、E</w:t>
      </w:r>
      <w:r>
        <w:t>PCO</w:t>
      </w:r>
      <w:r>
        <w:rPr>
          <w:rFonts w:hint="eastAsia"/>
        </w:rPr>
        <w:t>等模式引入市场化主体，明确生态修复项目引入社会资本的相关边界条件与方式，建立政企银联动机制，积极引导社会资本投入。大力推进矿山生态修复市场化机制建设，坚持“谁破坏、谁治理”“谁修复、谁受益”原则，通过赋予矿山生态修复投资主体后续土地使用权的方式，盘活矿山存量建设用地，激励社会资本投入，鼓励矿山土地综合修复利用。</w:t>
      </w:r>
    </w:p>
    <w:p w14:paraId="20714F3E">
      <w:pPr>
        <w:widowControl/>
        <w:suppressAutoHyphens/>
        <w:ind w:firstLine="643"/>
      </w:pPr>
      <w:r>
        <w:rPr>
          <w:rFonts w:hint="eastAsia"/>
          <w:b/>
          <w:bCs/>
        </w:rPr>
        <w:t>建立健全生态修复政策法规和标准规范体系。</w:t>
      </w:r>
      <w:r>
        <w:rPr>
          <w:rFonts w:hint="eastAsia"/>
        </w:rPr>
        <w:t>积极推进国土空间生态修复相关政策法规及实施细则的制订修订，不断完善国土空间生态修复政策法规体系，强化国土空间生态修复的法律地位；加强生态保护修复激励政策研究与创新，充分发挥政策的利益杠杆调节作用，调动地方及社会各类群体的参与积极性，促进国土空间生态修复规划落地实施。梳理整合国家及湖北省已发布实施的生态保护修复相关标准规范，根据国家后续将制定发布的水土流失综合防治、生态保护修复、生态系统服务与评价、生态承载力评估、生态资源评价与监测、生物多样性保护及生态效益评估与生态产品价值实现等标准，持续健全完善符合湖北地方实际的生态修复标准体系，满足履行国土空间生态修复职责需要。</w:t>
      </w:r>
    </w:p>
    <w:p w14:paraId="5104516C">
      <w:pPr>
        <w:suppressAutoHyphens/>
        <w:ind w:firstLine="643"/>
      </w:pPr>
      <w:r>
        <w:rPr>
          <w:rFonts w:hint="eastAsia"/>
          <w:b/>
          <w:bCs/>
        </w:rPr>
        <w:t>推进形成全域国土综合整治制度性成果。</w:t>
      </w:r>
      <w:r>
        <w:rPr>
          <w:rFonts w:hint="eastAsia"/>
        </w:rPr>
        <w:t>稳妥有序推进全域国土综合整治试点，坚持规划先行、守住底线，认真编制实施方案。根据各地资源禀赋，探索不同区域尺度、不同模式类型、各具特色的全域国土综合整治路径，稳扎稳打、横纵联合，确保试点取得实效。省级部门做好审核和指导，实行全程监管，建立风险评估防控和动态退出机制，及时发现和纠正“跑偏”问题。及时总结各试点地区全域国土综合整治经验教训，推进形成符合湖北实际情况的全域国土综合整治政策制度、管制规则、技术导则等制度性成果。</w:t>
      </w:r>
    </w:p>
    <w:p w14:paraId="4F6AC0AD">
      <w:pPr>
        <w:pStyle w:val="53"/>
        <w:keepNext w:val="0"/>
        <w:keepLines w:val="0"/>
        <w:pageBreakBefore w:val="0"/>
        <w:kinsoku/>
        <w:wordWrap/>
        <w:topLinePunct w:val="0"/>
        <w:bidi w:val="0"/>
        <w:adjustRightInd/>
        <w:snapToGrid/>
        <w:spacing w:line="540" w:lineRule="exact"/>
        <w:textAlignment w:val="auto"/>
      </w:pPr>
      <w:bookmarkStart w:id="140" w:name="_Toc87200631"/>
      <w:bookmarkStart w:id="141" w:name="_Toc87089286"/>
      <w:r>
        <w:rPr>
          <w:rFonts w:hint="eastAsia"/>
        </w:rPr>
        <w:t>第三节　强化规划</w:t>
      </w:r>
      <w:bookmarkEnd w:id="140"/>
      <w:bookmarkEnd w:id="141"/>
      <w:r>
        <w:rPr>
          <w:rFonts w:hint="eastAsia"/>
        </w:rPr>
        <w:t>实施</w:t>
      </w:r>
    </w:p>
    <w:p w14:paraId="09557816">
      <w:pPr>
        <w:keepNext w:val="0"/>
        <w:keepLines w:val="0"/>
        <w:pageBreakBefore w:val="0"/>
        <w:widowControl/>
        <w:suppressAutoHyphens/>
        <w:kinsoku/>
        <w:wordWrap/>
        <w:topLinePunct w:val="0"/>
        <w:bidi w:val="0"/>
        <w:adjustRightInd/>
        <w:snapToGrid/>
        <w:spacing w:line="540" w:lineRule="exact"/>
        <w:ind w:firstLine="643"/>
        <w:textAlignment w:val="auto"/>
      </w:pPr>
      <w:r>
        <w:rPr>
          <w:rFonts w:hint="eastAsia"/>
          <w:b/>
        </w:rPr>
        <w:t>强化规划体系统筹引领作用。</w:t>
      </w:r>
      <w:r>
        <w:rPr>
          <w:rFonts w:hint="eastAsia"/>
        </w:rPr>
        <w:t>省级生态修复规划贯彻落实《全国重要生态系统保护和修复重大工程总体规划(2021-2035年)》、《湖北省国土空间规划(2021-2035年)》等上位规划中生态修复目标任务和工程，明确省级生态修复目标任务和工程，组建省级生态修复项目库；同时部署和指导做好市、县级国土空间生态修复规划编制工作，</w:t>
      </w:r>
      <w:r>
        <w:rPr>
          <w:rFonts w:hint="eastAsia"/>
          <w:bCs/>
        </w:rPr>
        <w:t>逐步构建和实施国家、省、市、县生态修复规划体系</w:t>
      </w:r>
      <w:r>
        <w:rPr>
          <w:rFonts w:hint="eastAsia"/>
        </w:rPr>
        <w:t>。市、县国土空间生态修复规划须全面落实上级生态修复规划确定的目标任务和工程项目，做好与相关规划的衔接，因地制宜细化落实生态修复工程，注重生态修复的科学性与系统性。</w:t>
      </w:r>
    </w:p>
    <w:p w14:paraId="7BB86702">
      <w:pPr>
        <w:keepNext w:val="0"/>
        <w:keepLines w:val="0"/>
        <w:pageBreakBefore w:val="0"/>
        <w:widowControl/>
        <w:suppressAutoHyphens/>
        <w:kinsoku/>
        <w:wordWrap/>
        <w:topLinePunct w:val="0"/>
        <w:bidi w:val="0"/>
        <w:adjustRightInd/>
        <w:snapToGrid/>
        <w:spacing w:line="540" w:lineRule="exact"/>
        <w:ind w:firstLine="667"/>
        <w:textAlignment w:val="auto"/>
        <w:rPr>
          <w:spacing w:val="6"/>
        </w:rPr>
      </w:pPr>
      <w:r>
        <w:rPr>
          <w:rFonts w:hint="eastAsia"/>
          <w:b/>
          <w:spacing w:val="6"/>
        </w:rPr>
        <w:t>推进相关规划统筹。</w:t>
      </w:r>
      <w:r>
        <w:rPr>
          <w:rFonts w:hint="eastAsia"/>
          <w:spacing w:val="6"/>
        </w:rPr>
        <w:t>加强国土空间生态修复规划对</w:t>
      </w:r>
      <w:r>
        <w:rPr>
          <w:rFonts w:hint="eastAsia"/>
        </w:rPr>
        <w:t>发展改革、生态环境、住房和城乡建设、水利、农业农村、林业</w:t>
      </w:r>
      <w:r>
        <w:rPr>
          <w:rFonts w:hint="eastAsia"/>
          <w:spacing w:val="6"/>
        </w:rPr>
        <w:t>等职能部门规划中生态修复相关内容的统筹，各职能部门应切实承担起职责范围内的生态保护和修复责任，聚焦全省主要生态问题，</w:t>
      </w:r>
      <w:r>
        <w:rPr>
          <w:rFonts w:hint="eastAsia"/>
        </w:rPr>
        <w:t>制定相应的行动计划，</w:t>
      </w:r>
      <w:r>
        <w:rPr>
          <w:rFonts w:hint="eastAsia"/>
          <w:spacing w:val="6"/>
        </w:rPr>
        <w:t>统筹推进、协力合作，共同开展全省生态保护修复，携手共建美丽湖北。</w:t>
      </w:r>
    </w:p>
    <w:p w14:paraId="6C006CFA">
      <w:pPr>
        <w:keepNext w:val="0"/>
        <w:keepLines w:val="0"/>
        <w:pageBreakBefore w:val="0"/>
        <w:widowControl/>
        <w:suppressAutoHyphens/>
        <w:kinsoku/>
        <w:wordWrap/>
        <w:topLinePunct w:val="0"/>
        <w:bidi w:val="0"/>
        <w:adjustRightInd/>
        <w:snapToGrid/>
        <w:spacing w:line="540" w:lineRule="exact"/>
        <w:ind w:firstLine="643"/>
        <w:textAlignment w:val="auto"/>
      </w:pPr>
      <w:r>
        <w:rPr>
          <w:rFonts w:hint="eastAsia"/>
          <w:b/>
          <w:bCs/>
        </w:rPr>
        <w:t>推进实施生态修复重大工程体系。</w:t>
      </w:r>
      <w:r>
        <w:rPr>
          <w:rFonts w:hint="eastAsia"/>
        </w:rPr>
        <w:t>加快推进湖北省长江三峡地区山水林田湖草生态保护修复工程通过竣工验收和综合评估，继续</w:t>
      </w:r>
      <w:r>
        <w:t>组织申报国家</w:t>
      </w:r>
      <w:r>
        <w:rPr>
          <w:rFonts w:hint="eastAsia"/>
        </w:rPr>
        <w:t>山水林田湖草沙一体化保护和修复工程</w:t>
      </w:r>
      <w:r>
        <w:t>，</w:t>
      </w:r>
      <w:r>
        <w:rPr>
          <w:rFonts w:hint="eastAsia"/>
        </w:rPr>
        <w:t>会同财政厅、生态环境厅等部门及各市州做好实施方案编制和项目申报工作。加强省级生态修复重点工程的组织实施，按照重点工程-工程-项目的工程体系，细化分解任务目标，明确实施主体，加强项目组织、日常监管、验收评估、后期管护等，确保工程实施成效。加强生态修复项目监督管理，严禁借生态修复之名变相违法占用耕地、林地、草地以及违法采矿，严把项目立项关口，强化项目科学实施，明确项目监管责任，实行负面清单管控，确保生态修复项目经得起检查检验。</w:t>
      </w:r>
    </w:p>
    <w:p w14:paraId="351C2655">
      <w:pPr>
        <w:keepNext w:val="0"/>
        <w:keepLines w:val="0"/>
        <w:pageBreakBefore w:val="0"/>
        <w:widowControl/>
        <w:suppressAutoHyphens/>
        <w:kinsoku/>
        <w:wordWrap/>
        <w:topLinePunct w:val="0"/>
        <w:bidi w:val="0"/>
        <w:adjustRightInd/>
        <w:snapToGrid/>
        <w:spacing w:line="540" w:lineRule="exact"/>
        <w:ind w:firstLine="643"/>
        <w:textAlignment w:val="auto"/>
        <w:rPr>
          <w:b/>
        </w:rPr>
      </w:pPr>
      <w:r>
        <w:rPr>
          <w:rFonts w:hint="eastAsia"/>
          <w:b/>
          <w:bCs/>
        </w:rPr>
        <w:t>探索推进生态监测评价预警体系建设。</w:t>
      </w:r>
      <w:r>
        <w:rPr>
          <w:rFonts w:hint="eastAsia"/>
        </w:rPr>
        <w:t>以国土“三调”为底板，探索开展生态监测评价预警业务化体系建设，充分发挥遥感、测绘、地调技术优势，整合和共享各类监测站点，拓展与相关部门、科研院所合作，发挥地方作用，逐步构建天空地一体化生态监测网络；探索开展生态专项调查、生态动态监测、生态保护修复成效监测评估、生态系统碳汇调查监测评估等，逐步掌握生态数量、质量、结构、功能、分布等家底，形成分析评生态状况及变化趋势、预警重大生态问题与潜在风险的能力，提出保护修复对策举措，服务政府管理职能。</w:t>
      </w:r>
    </w:p>
    <w:p w14:paraId="471D9E6D">
      <w:pPr>
        <w:keepNext w:val="0"/>
        <w:keepLines w:val="0"/>
        <w:pageBreakBefore w:val="0"/>
        <w:widowControl/>
        <w:suppressAutoHyphens/>
        <w:kinsoku/>
        <w:wordWrap/>
        <w:topLinePunct w:val="0"/>
        <w:bidi w:val="0"/>
        <w:adjustRightInd/>
        <w:snapToGrid/>
        <w:spacing w:line="540" w:lineRule="exact"/>
        <w:ind w:firstLine="643"/>
        <w:textAlignment w:val="auto"/>
      </w:pPr>
      <w:r>
        <w:rPr>
          <w:rFonts w:hint="eastAsia"/>
          <w:b/>
        </w:rPr>
        <w:t>构建生态修复监管考核体系。</w:t>
      </w:r>
      <w:r>
        <w:rPr>
          <w:rFonts w:hint="eastAsia" w:cs="Times New Roman"/>
        </w:rPr>
        <w:t>依托</w:t>
      </w:r>
      <w:r>
        <w:rPr>
          <w:rFonts w:cs="Times New Roman"/>
        </w:rPr>
        <w:t>自然资源调查监测</w:t>
      </w:r>
      <w:r>
        <w:rPr>
          <w:rFonts w:hint="eastAsia" w:cs="Times New Roman"/>
        </w:rPr>
        <w:t>体系和</w:t>
      </w:r>
      <w:r>
        <w:rPr>
          <w:rFonts w:hint="eastAsia" w:ascii="仿宋_GB2312" w:hAnsi="仿宋" w:cs="UWGMOF+·ÂËÎ"/>
          <w:bCs/>
          <w:spacing w:val="-1"/>
          <w:szCs w:val="32"/>
        </w:rPr>
        <w:t>生态质量监测网络</w:t>
      </w:r>
      <w:r>
        <w:rPr>
          <w:rFonts w:hint="eastAsia" w:cs="Times New Roman"/>
        </w:rPr>
        <w:t>，构建生态修复监管体系，明确生态修复监测评价指标；</w:t>
      </w:r>
      <w:r>
        <w:rPr>
          <w:rFonts w:hint="eastAsia"/>
        </w:rPr>
        <w:t>依托现有生态监测网络体系，优化生态修复工程监测点位布设，对规划实施成效和重点工程开展动态监测和评估，将监测评价结果作为国土空间生态修复规划编制和评估修改的依据</w:t>
      </w:r>
      <w:r>
        <w:rPr>
          <w:rFonts w:hint="eastAsia" w:cs="Times New Roman"/>
        </w:rPr>
        <w:t>。</w:t>
      </w:r>
      <w:r>
        <w:rPr>
          <w:rFonts w:hint="eastAsia"/>
        </w:rPr>
        <w:t>基于自然资源调查监测成果中的自然资源调查监测评价指标体系，科学建立生态保护修复考核体系，明确考核指标及考核办法。</w:t>
      </w:r>
    </w:p>
    <w:p w14:paraId="43DBAF21">
      <w:pPr>
        <w:keepNext w:val="0"/>
        <w:keepLines w:val="0"/>
        <w:pageBreakBefore w:val="0"/>
        <w:widowControl w:val="0"/>
        <w:suppressAutoHyphens/>
        <w:kinsoku/>
        <w:wordWrap/>
        <w:topLinePunct w:val="0"/>
        <w:bidi w:val="0"/>
        <w:adjustRightInd/>
        <w:snapToGrid/>
        <w:spacing w:line="540" w:lineRule="exact"/>
        <w:ind w:firstLine="643"/>
        <w:textAlignment w:val="auto"/>
      </w:pPr>
      <w:bookmarkStart w:id="142" w:name="_Toc75433568"/>
      <w:bookmarkStart w:id="143" w:name="_Toc70508982"/>
      <w:r>
        <w:rPr>
          <w:rFonts w:hint="eastAsia"/>
          <w:b/>
        </w:rPr>
        <w:t>强化生态修复业务支撑体系。</w:t>
      </w:r>
      <w:r>
        <w:rPr>
          <w:rFonts w:hint="eastAsia"/>
        </w:rPr>
        <w:t>强化人才和科技支撑，依托和发挥自然资源部门相关直属单位支撑作用，加强生态修复专业人才队伍建设；加大与高等院校、科研院所、研究机构的交流合作，发挥相关社团、学术和公益组织作用，推进国土空间生态修复相关理论、方法和技术标准研究，推动生态修复相关学科发展。及时把握国内外生态修复前沿技术与先进经验，推进武</w:t>
      </w:r>
      <w:r>
        <w:rPr>
          <w:rFonts w:hint="eastAsia"/>
          <w:bCs/>
        </w:rPr>
        <w:t>汉市、襄阳市、荆州市、十堰市、鄂州市专项试点工作，先行先试，积极探索总结符合我省实际的生态保护修复经验，</w:t>
      </w:r>
      <w:r>
        <w:rPr>
          <w:rFonts w:hint="eastAsia"/>
        </w:rPr>
        <w:t>促进和推广成熟成果应用，助力培育生态修复专业化企业。</w:t>
      </w:r>
    </w:p>
    <w:p w14:paraId="0AFC4B49">
      <w:pPr>
        <w:keepNext w:val="0"/>
        <w:keepLines w:val="0"/>
        <w:pageBreakBefore w:val="0"/>
        <w:widowControl w:val="0"/>
        <w:suppressAutoHyphens/>
        <w:kinsoku/>
        <w:wordWrap/>
        <w:topLinePunct w:val="0"/>
        <w:bidi w:val="0"/>
        <w:adjustRightInd/>
        <w:snapToGrid/>
        <w:spacing w:line="540" w:lineRule="exact"/>
        <w:ind w:firstLine="643"/>
        <w:textAlignment w:val="auto"/>
      </w:pPr>
      <w:r>
        <w:rPr>
          <w:rFonts w:hint="eastAsia"/>
          <w:b/>
        </w:rPr>
        <w:t>提高信息化管理水平。</w:t>
      </w:r>
      <w:r>
        <w:rPr>
          <w:rFonts w:hint="eastAsia"/>
        </w:rPr>
        <w:t>依托自然资源“一张图”与国土空间信息平台、国家生态保护红线监管平台，制订省级国土空间生态修复信息化方案，做好与其它相关信息系统的衔接，推进各类数据共建共享，实现生态保护修复信息系统管理、集成展现、场景应用和深度挖掘，提高国土空间生态修复的信息化服务水平。完善生态修复工程的规划设计、审批、实施、监督、评估等环节的线上、线下全周期互动管理机制，实现对生态修复工程的实时监督和及时反馈。</w:t>
      </w:r>
    </w:p>
    <w:bookmarkEnd w:id="142"/>
    <w:bookmarkEnd w:id="143"/>
    <w:p w14:paraId="3A7ACBDB">
      <w:pPr>
        <w:pStyle w:val="53"/>
        <w:keepNext w:val="0"/>
        <w:keepLines w:val="0"/>
        <w:pageBreakBefore w:val="0"/>
        <w:widowControl w:val="0"/>
        <w:kinsoku/>
        <w:wordWrap/>
        <w:topLinePunct w:val="0"/>
        <w:bidi w:val="0"/>
        <w:adjustRightInd/>
        <w:snapToGrid/>
        <w:spacing w:line="540" w:lineRule="exact"/>
        <w:textAlignment w:val="auto"/>
      </w:pPr>
      <w:bookmarkStart w:id="144" w:name="_Toc75433569"/>
      <w:bookmarkStart w:id="145" w:name="_Toc87089289"/>
      <w:bookmarkStart w:id="146" w:name="_Toc70508983"/>
      <w:bookmarkStart w:id="147" w:name="_Toc87200632"/>
      <w:r>
        <w:rPr>
          <w:rFonts w:hint="eastAsia"/>
        </w:rPr>
        <w:t>第四节　</w:t>
      </w:r>
      <w:bookmarkEnd w:id="144"/>
      <w:bookmarkEnd w:id="145"/>
      <w:bookmarkEnd w:id="146"/>
      <w:r>
        <w:rPr>
          <w:rFonts w:hint="eastAsia"/>
        </w:rPr>
        <w:t>加强宣传引导</w:t>
      </w:r>
      <w:bookmarkEnd w:id="147"/>
    </w:p>
    <w:p w14:paraId="0997C8DB">
      <w:pPr>
        <w:keepNext w:val="0"/>
        <w:keepLines w:val="0"/>
        <w:pageBreakBefore w:val="0"/>
        <w:widowControl w:val="0"/>
        <w:suppressAutoHyphens/>
        <w:kinsoku/>
        <w:wordWrap/>
        <w:topLinePunct w:val="0"/>
        <w:bidi w:val="0"/>
        <w:adjustRightInd/>
        <w:snapToGrid/>
        <w:spacing w:line="540" w:lineRule="exact"/>
        <w:ind w:firstLine="640"/>
        <w:textAlignment w:val="auto"/>
      </w:pPr>
      <w:r>
        <w:rPr>
          <w:rFonts w:hint="eastAsia"/>
        </w:rPr>
        <w:t>充分发挥各类媒体作用，加大国土空间生态修复宣传教育力度，及时总结推广先进经验做法，推广生态保护修复实用技术和模式，发挥先进典型的示范带动作用。依托生物多样性日、地球日、环境日、生态文明论坛等平台，加强生态保护修复相关法规政策解读与知识普及，凝聚共识，营造良好社会氛围，调动社会各界共同参与的积极性。积极扩大公众参与，加大生态修复信息公开力度，维护公众合法权益；建立专家咨询机制，成立专家库，提高专家在国土空间生态修复各个环节的参与程度，提升政府编制实施国土空间生态修复规划的科学决策水平。</w:t>
      </w:r>
    </w:p>
    <w:sectPr>
      <w:headerReference r:id="rId11" w:type="default"/>
      <w:footerReference r:id="rId12" w:type="default"/>
      <w:pgSz w:w="11906" w:h="16838"/>
      <w:pgMar w:top="1588" w:right="1588" w:bottom="1588" w:left="1588" w:header="992" w:footer="1134" w:gutter="0"/>
      <w:pgNumType w:start="1"/>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61190DF-2066-48AB-8BEF-99DA64C4DE7A}"/>
  </w:font>
  <w:font w:name="黑体">
    <w:panose1 w:val="02010609060101010101"/>
    <w:charset w:val="86"/>
    <w:family w:val="auto"/>
    <w:pitch w:val="default"/>
    <w:sig w:usb0="800002BF" w:usb1="38CF7CFA" w:usb2="00000016" w:usb3="00000000" w:csb0="00040001" w:csb1="00000000"/>
    <w:embedRegular r:id="rId2" w:fontKey="{685B30C0-D461-41D9-ACB4-B93AE03890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A1B91D2-8F19-4964-8243-8BEB008E1C4F}"/>
  </w:font>
  <w:font w:name="仿宋_GB2312">
    <w:altName w:val="仿宋"/>
    <w:panose1 w:val="02010609030101010101"/>
    <w:charset w:val="86"/>
    <w:family w:val="modern"/>
    <w:pitch w:val="default"/>
    <w:sig w:usb0="00000000" w:usb1="00000000" w:usb2="00000000" w:usb3="00000000" w:csb0="00040000" w:csb1="00000000"/>
    <w:embedRegular r:id="rId4" w:fontKey="{1C34766A-3CA6-42FA-926A-B36A3C5FCEC0}"/>
  </w:font>
  <w:font w:name="仿宋">
    <w:panose1 w:val="02010609060101010101"/>
    <w:charset w:val="86"/>
    <w:family w:val="auto"/>
    <w:pitch w:val="default"/>
    <w:sig w:usb0="800002BF" w:usb1="38CF7CFA" w:usb2="00000016" w:usb3="00000000" w:csb0="00040001" w:csb1="00000000"/>
    <w:embedRegular r:id="rId5" w:fontKey="{FE4BED34-DBBE-4316-BCA6-CC6E6D322EFC}"/>
  </w:font>
  <w:font w:name="方正小标宋_GBK">
    <w:panose1 w:val="02000000000000000000"/>
    <w:charset w:val="86"/>
    <w:family w:val="script"/>
    <w:pitch w:val="default"/>
    <w:sig w:usb0="A00002BF" w:usb1="38CF7CFA" w:usb2="00082016" w:usb3="00000000" w:csb0="00040001" w:csb1="00000000"/>
    <w:embedRegular r:id="rId6" w:fontKey="{6CA57A71-D68E-4FBB-81CD-C390D0814DF6}"/>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FZFSK--GBK1-0">
    <w:altName w:val="HP Simplified Hans"/>
    <w:panose1 w:val="00000000000000000000"/>
    <w:charset w:val="00"/>
    <w:family w:val="roman"/>
    <w:pitch w:val="default"/>
    <w:sig w:usb0="00000000" w:usb1="00000000" w:usb2="00000010" w:usb3="00000000" w:csb0="00040000" w:csb1="00000000"/>
  </w:font>
  <w:font w:name="HP Simplified Hans">
    <w:panose1 w:val="020B0500000000000000"/>
    <w:charset w:val="86"/>
    <w:family w:val="auto"/>
    <w:pitch w:val="default"/>
    <w:sig w:usb0="A00002BF" w:usb1="38CF7CFA" w:usb2="00000016" w:usb3="00000000" w:csb0="2004011D" w:csb1="41000000"/>
  </w:font>
  <w:font w:name="方正书宋_GBK">
    <w:altName w:val="微软雅黑"/>
    <w:panose1 w:val="02000000000000000000"/>
    <w:charset w:val="86"/>
    <w:family w:val="script"/>
    <w:pitch w:val="default"/>
    <w:sig w:usb0="00000000" w:usb1="00000000" w:usb2="00000000" w:usb3="00000000" w:csb0="00040000" w:csb1="00000000"/>
    <w:embedRegular r:id="rId7" w:fontKey="{1EB9B7A2-CFF7-41DE-8A68-F6F8559EC3F2}"/>
  </w:font>
  <w:font w:name="微软雅黑">
    <w:panose1 w:val="020B0503020204020204"/>
    <w:charset w:val="86"/>
    <w:family w:val="auto"/>
    <w:pitch w:val="default"/>
    <w:sig w:usb0="80000287" w:usb1="2ACF3C50" w:usb2="00000016" w:usb3="00000000" w:csb0="0004001F" w:csb1="00000000"/>
    <w:embedRegular r:id="rId8" w:fontKey="{5FEA38AA-4705-4E33-B418-E4C7919078EC}"/>
  </w:font>
  <w:font w:name="楷体_GB2312">
    <w:altName w:val="楷体"/>
    <w:panose1 w:val="02010609030101010101"/>
    <w:charset w:val="86"/>
    <w:family w:val="modern"/>
    <w:pitch w:val="default"/>
    <w:sig w:usb0="00000000" w:usb1="00000000" w:usb2="00000000" w:usb3="00000000" w:csb0="00040000" w:csb1="00000000"/>
    <w:embedRegular r:id="rId9" w:fontKey="{40EA0399-9984-44A6-A9A8-08BD19EC9195}"/>
  </w:font>
  <w:font w:name="UWGMOF+·ÂËÎ">
    <w:altName w:val="Segoe Print"/>
    <w:panose1 w:val="00000000000000000000"/>
    <w:charset w:val="01"/>
    <w:family w:val="modern"/>
    <w:pitch w:val="default"/>
    <w:sig w:usb0="00000000" w:usb1="00000000" w:usb2="01010101" w:usb3="01010101" w:csb0="01010101" w:csb1="01010101"/>
    <w:embedRegular r:id="rId10" w:fontKey="{8A5B406C-E0A6-4600-91F0-D222FAD2D96A}"/>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34413294"/>
      <w:showingPlcHdr/>
    </w:sdtPr>
    <w:sdtEndPr>
      <w:rPr>
        <w:rFonts w:hAnsi="Times New Roman" w:cs="Times New Roman"/>
        <w:sz w:val="21"/>
        <w:szCs w:val="21"/>
      </w:rPr>
    </w:sdtEndPr>
    <w:sdtContent>
      <w:p w14:paraId="33A056D8">
        <w:pPr>
          <w:pStyle w:val="11"/>
          <w:spacing w:line="240" w:lineRule="auto"/>
          <w:ind w:firstLine="0" w:firstLineChars="0"/>
          <w:jc w:val="center"/>
          <w:rPr>
            <w:rFonts w:hAnsi="Times New Roman" w:cs="Times New Roman"/>
            <w:sz w:val="21"/>
            <w:szCs w:val="21"/>
          </w:rPr>
        </w:pPr>
        <w:r>
          <w:rPr>
            <w:sz w:val="24"/>
            <w:szCs w:val="24"/>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F9DEE">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B75CF">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10796241"/>
    </w:sdtPr>
    <w:sdtEndPr>
      <w:rPr>
        <w:rFonts w:hAnsi="Times New Roman" w:cs="Times New Roman"/>
        <w:sz w:val="21"/>
        <w:szCs w:val="21"/>
      </w:rPr>
    </w:sdtEndPr>
    <w:sdtContent>
      <w:p w14:paraId="25217B61">
        <w:pPr>
          <w:pStyle w:val="11"/>
          <w:spacing w:line="240" w:lineRule="auto"/>
          <w:ind w:firstLine="0" w:firstLineChars="0"/>
          <w:jc w:val="center"/>
          <w:rPr>
            <w:rFonts w:hAnsi="Times New Roman" w:cs="Times New Roman"/>
            <w:sz w:val="21"/>
            <w:szCs w:val="21"/>
          </w:rPr>
        </w:pPr>
        <w:r>
          <w:rPr>
            <w:rFonts w:hAnsi="Times New Roman" w:cs="Times New Roman"/>
            <w:sz w:val="21"/>
            <w:szCs w:val="21"/>
          </w:rPr>
          <w:fldChar w:fldCharType="begin"/>
        </w:r>
        <w:r>
          <w:rPr>
            <w:rFonts w:hAnsi="Times New Roman" w:cs="Times New Roman"/>
            <w:sz w:val="21"/>
            <w:szCs w:val="21"/>
          </w:rPr>
          <w:instrText xml:space="preserve">PAGE   \* MERGEFORMAT</w:instrText>
        </w:r>
        <w:r>
          <w:rPr>
            <w:rFonts w:hAnsi="Times New Roman" w:cs="Times New Roman"/>
            <w:sz w:val="21"/>
            <w:szCs w:val="21"/>
          </w:rPr>
          <w:fldChar w:fldCharType="separate"/>
        </w:r>
        <w:r>
          <w:rPr>
            <w:rFonts w:hAnsi="Times New Roman" w:cs="Times New Roman"/>
            <w:sz w:val="21"/>
            <w:szCs w:val="21"/>
          </w:rPr>
          <w:t>76</w:t>
        </w:r>
        <w:r>
          <w:rPr>
            <w:rFonts w:hAnsi="Times New Roman" w:cs="Times New Roman"/>
            <w:sz w:val="21"/>
            <w:szCs w:val="2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724F2">
    <w:pPr>
      <w:pStyle w:val="12"/>
      <w:pBdr>
        <w:bottom w:val="none" w:color="auto" w:sz="0" w:space="0"/>
      </w:pBdr>
      <w:spacing w:line="240" w:lineRule="auto"/>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DDD1D">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11AE1">
    <w:pPr>
      <w:pStyle w:val="12"/>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3BA71">
    <w:pPr>
      <w:pStyle w:val="12"/>
      <w:pBdr>
        <w:bottom w:val="single" w:color="auto" w:sz="4" w:space="1"/>
      </w:pBdr>
      <w:spacing w:line="240" w:lineRule="auto"/>
      <w:ind w:firstLine="0" w:firstLineChars="0"/>
    </w:pPr>
    <w:r>
      <w:rPr>
        <w:rFonts w:hint="eastAsia"/>
      </w:rPr>
      <w:t>湖北省国土空间生态修复规划（2021-2035年）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F5756E"/>
    <w:multiLevelType w:val="multilevel"/>
    <w:tmpl w:val="19F5756E"/>
    <w:lvl w:ilvl="0" w:tentative="0">
      <w:start w:val="1"/>
      <w:numFmt w:val="decimal"/>
      <w:pStyle w:val="16"/>
      <w:lvlText w:val="%1."/>
      <w:lvlJc w:val="left"/>
      <w:pPr>
        <w:ind w:left="620" w:hanging="420"/>
      </w:p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1">
    <w:nsid w:val="4EC353B2"/>
    <w:multiLevelType w:val="multilevel"/>
    <w:tmpl w:val="4EC353B2"/>
    <w:lvl w:ilvl="0" w:tentative="0">
      <w:start w:val="1"/>
      <w:numFmt w:val="chineseCountingThousand"/>
      <w:lvlText w:val="第%1章"/>
      <w:lvlJc w:val="left"/>
      <w:pPr>
        <w:ind w:left="0" w:firstLine="0"/>
      </w:pPr>
      <w:rPr>
        <w:rFonts w:hint="eastAsia" w:ascii="黑体" w:eastAsia="黑体"/>
        <w:b/>
        <w:i w:val="0"/>
        <w:sz w:val="32"/>
      </w:rPr>
    </w:lvl>
    <w:lvl w:ilvl="1" w:tentative="0">
      <w:start w:val="1"/>
      <w:numFmt w:val="chineseCountingThousand"/>
      <w:lvlText w:val="第%2节"/>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2" w:tentative="0">
      <w:start w:val="1"/>
      <w:numFmt w:val="chineseCountingThousand"/>
      <w:lvlText w:val="（%3）"/>
      <w:lvlJc w:val="right"/>
      <w:pPr>
        <w:ind w:left="1135" w:firstLine="0"/>
      </w:pPr>
      <w:rPr>
        <w:rFonts w:hint="eastAsia" w:ascii="仿宋" w:eastAsia="仿宋"/>
        <w:b/>
        <w:i w:val="0"/>
        <w:sz w:val="30"/>
      </w:rPr>
    </w:lvl>
    <w:lvl w:ilvl="3" w:tentative="0">
      <w:start w:val="1"/>
      <w:numFmt w:val="decimal"/>
      <w:pStyle w:val="5"/>
      <w:lvlText w:val="%4."/>
      <w:lvlJc w:val="left"/>
      <w:pPr>
        <w:ind w:left="0" w:firstLine="0"/>
      </w:pPr>
      <w:rPr>
        <w:rFonts w:hint="eastAsia" w:ascii="仿宋" w:eastAsia="仿宋"/>
        <w:b/>
        <w:i w:val="0"/>
        <w:sz w:val="28"/>
      </w:rPr>
    </w:lvl>
    <w:lvl w:ilvl="4" w:tentative="0">
      <w:start w:val="1"/>
      <w:numFmt w:val="decimal"/>
      <w:lvlText w:val="（%5）"/>
      <w:lvlJc w:val="left"/>
      <w:pPr>
        <w:ind w:left="0" w:firstLine="0"/>
      </w:pPr>
      <w:rPr>
        <w:rFonts w:hint="eastAsia" w:ascii="仿宋" w:eastAsia="仿宋"/>
        <w:b/>
        <w:i w:val="0"/>
        <w:sz w:val="24"/>
      </w:rPr>
    </w:lvl>
    <w:lvl w:ilvl="5" w:tentative="0">
      <w:start w:val="1"/>
      <w:numFmt w:val="lowerRoman"/>
      <w:lvlText w:val="%6."/>
      <w:lvlJc w:val="righ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19"/>
  <w:drawingGridHorizontalSpacing w:val="14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4NTdkYzE5YjkwZjU3MjMxNjBkOTU3YmQ4ZmQ1YjYifQ=="/>
    <w:docVar w:name="KSO_WPS_MARK_KEY" w:val="ad84a668-b086-41c9-8b10-a6ae8ad9dfa9"/>
  </w:docVars>
  <w:rsids>
    <w:rsidRoot w:val="00C21FC5"/>
    <w:rsid w:val="00000E9B"/>
    <w:rsid w:val="0000102F"/>
    <w:rsid w:val="000011B1"/>
    <w:rsid w:val="000011CC"/>
    <w:rsid w:val="00001CCB"/>
    <w:rsid w:val="000020CA"/>
    <w:rsid w:val="0000234E"/>
    <w:rsid w:val="000023BE"/>
    <w:rsid w:val="000023EB"/>
    <w:rsid w:val="000029A0"/>
    <w:rsid w:val="00003468"/>
    <w:rsid w:val="0000362F"/>
    <w:rsid w:val="000048EF"/>
    <w:rsid w:val="00006012"/>
    <w:rsid w:val="00006517"/>
    <w:rsid w:val="000073E4"/>
    <w:rsid w:val="00007D0C"/>
    <w:rsid w:val="00007E75"/>
    <w:rsid w:val="00010CCF"/>
    <w:rsid w:val="00011D9F"/>
    <w:rsid w:val="0001225F"/>
    <w:rsid w:val="00014365"/>
    <w:rsid w:val="000144C7"/>
    <w:rsid w:val="00015B96"/>
    <w:rsid w:val="00015D8C"/>
    <w:rsid w:val="00016304"/>
    <w:rsid w:val="000165E6"/>
    <w:rsid w:val="000172DD"/>
    <w:rsid w:val="0001765B"/>
    <w:rsid w:val="00017739"/>
    <w:rsid w:val="00017912"/>
    <w:rsid w:val="000231B9"/>
    <w:rsid w:val="000236EB"/>
    <w:rsid w:val="00023875"/>
    <w:rsid w:val="000251A2"/>
    <w:rsid w:val="00025362"/>
    <w:rsid w:val="00025A6E"/>
    <w:rsid w:val="00025ADC"/>
    <w:rsid w:val="00026CF1"/>
    <w:rsid w:val="00027F80"/>
    <w:rsid w:val="000310EE"/>
    <w:rsid w:val="000315D0"/>
    <w:rsid w:val="00031A27"/>
    <w:rsid w:val="00032412"/>
    <w:rsid w:val="00033567"/>
    <w:rsid w:val="000341D0"/>
    <w:rsid w:val="00034696"/>
    <w:rsid w:val="00034D68"/>
    <w:rsid w:val="000371DC"/>
    <w:rsid w:val="0003733D"/>
    <w:rsid w:val="0004071C"/>
    <w:rsid w:val="00041AF5"/>
    <w:rsid w:val="0004223D"/>
    <w:rsid w:val="00043DD0"/>
    <w:rsid w:val="000444F5"/>
    <w:rsid w:val="00044611"/>
    <w:rsid w:val="00044F2D"/>
    <w:rsid w:val="00044FFC"/>
    <w:rsid w:val="00045264"/>
    <w:rsid w:val="000455D9"/>
    <w:rsid w:val="00047AEB"/>
    <w:rsid w:val="0005032B"/>
    <w:rsid w:val="00051081"/>
    <w:rsid w:val="000516AF"/>
    <w:rsid w:val="00051D91"/>
    <w:rsid w:val="0005224A"/>
    <w:rsid w:val="00052538"/>
    <w:rsid w:val="00052AE7"/>
    <w:rsid w:val="00052F9E"/>
    <w:rsid w:val="00053AAF"/>
    <w:rsid w:val="00053BC3"/>
    <w:rsid w:val="00054161"/>
    <w:rsid w:val="0005584E"/>
    <w:rsid w:val="0005627E"/>
    <w:rsid w:val="00056341"/>
    <w:rsid w:val="00056AD2"/>
    <w:rsid w:val="00056CD8"/>
    <w:rsid w:val="00060071"/>
    <w:rsid w:val="00060C5F"/>
    <w:rsid w:val="00060E4F"/>
    <w:rsid w:val="00061593"/>
    <w:rsid w:val="00061A23"/>
    <w:rsid w:val="00061DB1"/>
    <w:rsid w:val="00062204"/>
    <w:rsid w:val="00064127"/>
    <w:rsid w:val="00064906"/>
    <w:rsid w:val="00065C22"/>
    <w:rsid w:val="00065F0A"/>
    <w:rsid w:val="00066394"/>
    <w:rsid w:val="000676D7"/>
    <w:rsid w:val="00067E35"/>
    <w:rsid w:val="00070006"/>
    <w:rsid w:val="00070653"/>
    <w:rsid w:val="00070A62"/>
    <w:rsid w:val="0007267B"/>
    <w:rsid w:val="00072A67"/>
    <w:rsid w:val="0007569D"/>
    <w:rsid w:val="00076EFC"/>
    <w:rsid w:val="00077195"/>
    <w:rsid w:val="000803A4"/>
    <w:rsid w:val="00080CEF"/>
    <w:rsid w:val="00081070"/>
    <w:rsid w:val="00081A4B"/>
    <w:rsid w:val="0008207B"/>
    <w:rsid w:val="0008376A"/>
    <w:rsid w:val="000846E8"/>
    <w:rsid w:val="000851F3"/>
    <w:rsid w:val="00090204"/>
    <w:rsid w:val="000902C0"/>
    <w:rsid w:val="00090A3C"/>
    <w:rsid w:val="00091631"/>
    <w:rsid w:val="00093FA7"/>
    <w:rsid w:val="00096AC4"/>
    <w:rsid w:val="00097383"/>
    <w:rsid w:val="000A032C"/>
    <w:rsid w:val="000A04B5"/>
    <w:rsid w:val="000A0A43"/>
    <w:rsid w:val="000A21F1"/>
    <w:rsid w:val="000A254E"/>
    <w:rsid w:val="000A63EB"/>
    <w:rsid w:val="000A665C"/>
    <w:rsid w:val="000A6F90"/>
    <w:rsid w:val="000A7692"/>
    <w:rsid w:val="000A798C"/>
    <w:rsid w:val="000B2F6B"/>
    <w:rsid w:val="000B4252"/>
    <w:rsid w:val="000B4370"/>
    <w:rsid w:val="000B4667"/>
    <w:rsid w:val="000B4733"/>
    <w:rsid w:val="000B4C24"/>
    <w:rsid w:val="000B5A34"/>
    <w:rsid w:val="000B6E9B"/>
    <w:rsid w:val="000C1157"/>
    <w:rsid w:val="000C2573"/>
    <w:rsid w:val="000C2731"/>
    <w:rsid w:val="000C3115"/>
    <w:rsid w:val="000C34F3"/>
    <w:rsid w:val="000C5919"/>
    <w:rsid w:val="000C74C4"/>
    <w:rsid w:val="000C78C2"/>
    <w:rsid w:val="000C7AB1"/>
    <w:rsid w:val="000C7DD5"/>
    <w:rsid w:val="000C7F4E"/>
    <w:rsid w:val="000D0DA2"/>
    <w:rsid w:val="000D16A4"/>
    <w:rsid w:val="000D3B6E"/>
    <w:rsid w:val="000D4BBD"/>
    <w:rsid w:val="000D54AC"/>
    <w:rsid w:val="000D59B8"/>
    <w:rsid w:val="000D64A0"/>
    <w:rsid w:val="000D6E2B"/>
    <w:rsid w:val="000E14EE"/>
    <w:rsid w:val="000E19FC"/>
    <w:rsid w:val="000E29C7"/>
    <w:rsid w:val="000E4537"/>
    <w:rsid w:val="000E4988"/>
    <w:rsid w:val="000E4C2C"/>
    <w:rsid w:val="000E4F3D"/>
    <w:rsid w:val="000E5111"/>
    <w:rsid w:val="000E5A1B"/>
    <w:rsid w:val="000E61FB"/>
    <w:rsid w:val="000E6576"/>
    <w:rsid w:val="000F04DB"/>
    <w:rsid w:val="000F0FDC"/>
    <w:rsid w:val="000F1599"/>
    <w:rsid w:val="000F1AB7"/>
    <w:rsid w:val="000F201F"/>
    <w:rsid w:val="000F395A"/>
    <w:rsid w:val="000F3BCC"/>
    <w:rsid w:val="000F41EA"/>
    <w:rsid w:val="000F42C2"/>
    <w:rsid w:val="000F45EE"/>
    <w:rsid w:val="000F530E"/>
    <w:rsid w:val="000F6A13"/>
    <w:rsid w:val="000F6ADD"/>
    <w:rsid w:val="000F7813"/>
    <w:rsid w:val="001005F1"/>
    <w:rsid w:val="0010205B"/>
    <w:rsid w:val="001029D9"/>
    <w:rsid w:val="001063A0"/>
    <w:rsid w:val="00107266"/>
    <w:rsid w:val="001105AD"/>
    <w:rsid w:val="00112560"/>
    <w:rsid w:val="00112579"/>
    <w:rsid w:val="00113CA6"/>
    <w:rsid w:val="00116394"/>
    <w:rsid w:val="001166FA"/>
    <w:rsid w:val="00120160"/>
    <w:rsid w:val="0012193E"/>
    <w:rsid w:val="00122883"/>
    <w:rsid w:val="00123235"/>
    <w:rsid w:val="00123946"/>
    <w:rsid w:val="00123A5E"/>
    <w:rsid w:val="00123F29"/>
    <w:rsid w:val="001246E7"/>
    <w:rsid w:val="00124F14"/>
    <w:rsid w:val="001259CD"/>
    <w:rsid w:val="00125A58"/>
    <w:rsid w:val="00126F50"/>
    <w:rsid w:val="001301E5"/>
    <w:rsid w:val="001309C2"/>
    <w:rsid w:val="00131411"/>
    <w:rsid w:val="00131AAC"/>
    <w:rsid w:val="00131D27"/>
    <w:rsid w:val="00133614"/>
    <w:rsid w:val="00133F7F"/>
    <w:rsid w:val="00134485"/>
    <w:rsid w:val="0013595B"/>
    <w:rsid w:val="001361A7"/>
    <w:rsid w:val="001362B6"/>
    <w:rsid w:val="001378B5"/>
    <w:rsid w:val="001400F0"/>
    <w:rsid w:val="0014068D"/>
    <w:rsid w:val="00141B7B"/>
    <w:rsid w:val="00141FE9"/>
    <w:rsid w:val="00142110"/>
    <w:rsid w:val="00142993"/>
    <w:rsid w:val="00144408"/>
    <w:rsid w:val="001444CD"/>
    <w:rsid w:val="00144E95"/>
    <w:rsid w:val="0014509E"/>
    <w:rsid w:val="0014523E"/>
    <w:rsid w:val="00145369"/>
    <w:rsid w:val="001464C8"/>
    <w:rsid w:val="001466AE"/>
    <w:rsid w:val="001469E0"/>
    <w:rsid w:val="0015003C"/>
    <w:rsid w:val="00150E6D"/>
    <w:rsid w:val="00151A39"/>
    <w:rsid w:val="00152B64"/>
    <w:rsid w:val="001534E0"/>
    <w:rsid w:val="00153C95"/>
    <w:rsid w:val="00154224"/>
    <w:rsid w:val="00154FC0"/>
    <w:rsid w:val="00155129"/>
    <w:rsid w:val="00155690"/>
    <w:rsid w:val="001567DD"/>
    <w:rsid w:val="00156E3C"/>
    <w:rsid w:val="001573BD"/>
    <w:rsid w:val="00157F5E"/>
    <w:rsid w:val="00160D18"/>
    <w:rsid w:val="001613FA"/>
    <w:rsid w:val="00161521"/>
    <w:rsid w:val="00161DE8"/>
    <w:rsid w:val="00162C52"/>
    <w:rsid w:val="001645AC"/>
    <w:rsid w:val="00164661"/>
    <w:rsid w:val="0016490C"/>
    <w:rsid w:val="00164EE5"/>
    <w:rsid w:val="001665B2"/>
    <w:rsid w:val="0016769F"/>
    <w:rsid w:val="0016787C"/>
    <w:rsid w:val="00167F92"/>
    <w:rsid w:val="00170B8E"/>
    <w:rsid w:val="00170C1D"/>
    <w:rsid w:val="00173135"/>
    <w:rsid w:val="00173995"/>
    <w:rsid w:val="0017489D"/>
    <w:rsid w:val="00174C61"/>
    <w:rsid w:val="00174C72"/>
    <w:rsid w:val="00174FAF"/>
    <w:rsid w:val="001751FB"/>
    <w:rsid w:val="0017644C"/>
    <w:rsid w:val="00176777"/>
    <w:rsid w:val="00176A7E"/>
    <w:rsid w:val="001774A0"/>
    <w:rsid w:val="00180763"/>
    <w:rsid w:val="001808F9"/>
    <w:rsid w:val="00180C6E"/>
    <w:rsid w:val="001811BA"/>
    <w:rsid w:val="00181EBB"/>
    <w:rsid w:val="00182A71"/>
    <w:rsid w:val="00182D29"/>
    <w:rsid w:val="00185730"/>
    <w:rsid w:val="0018619B"/>
    <w:rsid w:val="00187F14"/>
    <w:rsid w:val="001906F2"/>
    <w:rsid w:val="00190960"/>
    <w:rsid w:val="001933BE"/>
    <w:rsid w:val="00193ADB"/>
    <w:rsid w:val="00193B4D"/>
    <w:rsid w:val="00193BE1"/>
    <w:rsid w:val="0019404A"/>
    <w:rsid w:val="00194226"/>
    <w:rsid w:val="0019423B"/>
    <w:rsid w:val="0019441C"/>
    <w:rsid w:val="001948D1"/>
    <w:rsid w:val="00196FC7"/>
    <w:rsid w:val="0019788B"/>
    <w:rsid w:val="001978F6"/>
    <w:rsid w:val="001A1EFB"/>
    <w:rsid w:val="001A3801"/>
    <w:rsid w:val="001A3B94"/>
    <w:rsid w:val="001A495F"/>
    <w:rsid w:val="001A502B"/>
    <w:rsid w:val="001A543D"/>
    <w:rsid w:val="001A6A73"/>
    <w:rsid w:val="001A6A96"/>
    <w:rsid w:val="001A7632"/>
    <w:rsid w:val="001A78C2"/>
    <w:rsid w:val="001B048D"/>
    <w:rsid w:val="001B08CB"/>
    <w:rsid w:val="001B1699"/>
    <w:rsid w:val="001B18EA"/>
    <w:rsid w:val="001B3068"/>
    <w:rsid w:val="001B30F2"/>
    <w:rsid w:val="001B37F6"/>
    <w:rsid w:val="001B5B23"/>
    <w:rsid w:val="001B6E68"/>
    <w:rsid w:val="001B7477"/>
    <w:rsid w:val="001C17F4"/>
    <w:rsid w:val="001C18B1"/>
    <w:rsid w:val="001C1A7E"/>
    <w:rsid w:val="001C2369"/>
    <w:rsid w:val="001C2F29"/>
    <w:rsid w:val="001C32E6"/>
    <w:rsid w:val="001C4A3E"/>
    <w:rsid w:val="001C568C"/>
    <w:rsid w:val="001C64DC"/>
    <w:rsid w:val="001C6833"/>
    <w:rsid w:val="001C7748"/>
    <w:rsid w:val="001D0084"/>
    <w:rsid w:val="001D068B"/>
    <w:rsid w:val="001D0E5E"/>
    <w:rsid w:val="001D103F"/>
    <w:rsid w:val="001D162E"/>
    <w:rsid w:val="001D423E"/>
    <w:rsid w:val="001D46BA"/>
    <w:rsid w:val="001D4F40"/>
    <w:rsid w:val="001D5372"/>
    <w:rsid w:val="001D6673"/>
    <w:rsid w:val="001D670D"/>
    <w:rsid w:val="001D780D"/>
    <w:rsid w:val="001D7E4D"/>
    <w:rsid w:val="001E0B28"/>
    <w:rsid w:val="001E10FF"/>
    <w:rsid w:val="001E1B9A"/>
    <w:rsid w:val="001E2425"/>
    <w:rsid w:val="001E2584"/>
    <w:rsid w:val="001E2B46"/>
    <w:rsid w:val="001E2DC4"/>
    <w:rsid w:val="001E482D"/>
    <w:rsid w:val="001E49DE"/>
    <w:rsid w:val="001E58FC"/>
    <w:rsid w:val="001E5E93"/>
    <w:rsid w:val="001E74D0"/>
    <w:rsid w:val="001E7C8B"/>
    <w:rsid w:val="001E7FA0"/>
    <w:rsid w:val="001F0AA9"/>
    <w:rsid w:val="001F0B4B"/>
    <w:rsid w:val="001F28AA"/>
    <w:rsid w:val="001F3BF4"/>
    <w:rsid w:val="001F480C"/>
    <w:rsid w:val="001F4FAA"/>
    <w:rsid w:val="001F509B"/>
    <w:rsid w:val="001F51E5"/>
    <w:rsid w:val="001F54D8"/>
    <w:rsid w:val="001F55AB"/>
    <w:rsid w:val="001F7914"/>
    <w:rsid w:val="001F7FE1"/>
    <w:rsid w:val="00200571"/>
    <w:rsid w:val="00201D86"/>
    <w:rsid w:val="00202CB3"/>
    <w:rsid w:val="00203DE3"/>
    <w:rsid w:val="00203E34"/>
    <w:rsid w:val="00203EFE"/>
    <w:rsid w:val="00205149"/>
    <w:rsid w:val="00205249"/>
    <w:rsid w:val="0020662E"/>
    <w:rsid w:val="00207690"/>
    <w:rsid w:val="00207DCA"/>
    <w:rsid w:val="00211452"/>
    <w:rsid w:val="002119E7"/>
    <w:rsid w:val="00211FA6"/>
    <w:rsid w:val="0021231C"/>
    <w:rsid w:val="00212A66"/>
    <w:rsid w:val="00212C44"/>
    <w:rsid w:val="00213BD6"/>
    <w:rsid w:val="00213E9B"/>
    <w:rsid w:val="00214DAC"/>
    <w:rsid w:val="00217331"/>
    <w:rsid w:val="00220AAA"/>
    <w:rsid w:val="0022121B"/>
    <w:rsid w:val="0022187C"/>
    <w:rsid w:val="00221B60"/>
    <w:rsid w:val="0022526A"/>
    <w:rsid w:val="002258D1"/>
    <w:rsid w:val="00230126"/>
    <w:rsid w:val="0023015C"/>
    <w:rsid w:val="00230668"/>
    <w:rsid w:val="00230F99"/>
    <w:rsid w:val="00231B6B"/>
    <w:rsid w:val="00231D99"/>
    <w:rsid w:val="00231DD9"/>
    <w:rsid w:val="00232282"/>
    <w:rsid w:val="00232B33"/>
    <w:rsid w:val="00232B96"/>
    <w:rsid w:val="00233464"/>
    <w:rsid w:val="00234AA1"/>
    <w:rsid w:val="0023539A"/>
    <w:rsid w:val="00235834"/>
    <w:rsid w:val="002368E8"/>
    <w:rsid w:val="002372E7"/>
    <w:rsid w:val="0024030E"/>
    <w:rsid w:val="002404D7"/>
    <w:rsid w:val="002411A0"/>
    <w:rsid w:val="002414B8"/>
    <w:rsid w:val="00242686"/>
    <w:rsid w:val="00244E52"/>
    <w:rsid w:val="00244F07"/>
    <w:rsid w:val="00245C5B"/>
    <w:rsid w:val="00245C99"/>
    <w:rsid w:val="00246162"/>
    <w:rsid w:val="00246935"/>
    <w:rsid w:val="002476C4"/>
    <w:rsid w:val="00247707"/>
    <w:rsid w:val="00247D1F"/>
    <w:rsid w:val="00250CE3"/>
    <w:rsid w:val="00250DA6"/>
    <w:rsid w:val="00251441"/>
    <w:rsid w:val="002515C6"/>
    <w:rsid w:val="00252216"/>
    <w:rsid w:val="002537B6"/>
    <w:rsid w:val="0025682A"/>
    <w:rsid w:val="002576B6"/>
    <w:rsid w:val="002578BD"/>
    <w:rsid w:val="0025790D"/>
    <w:rsid w:val="0026046A"/>
    <w:rsid w:val="002609AC"/>
    <w:rsid w:val="00260D7A"/>
    <w:rsid w:val="002610EB"/>
    <w:rsid w:val="00262575"/>
    <w:rsid w:val="002632B9"/>
    <w:rsid w:val="002637FF"/>
    <w:rsid w:val="00263F30"/>
    <w:rsid w:val="00264609"/>
    <w:rsid w:val="0026519B"/>
    <w:rsid w:val="002651B6"/>
    <w:rsid w:val="002651E4"/>
    <w:rsid w:val="00267D82"/>
    <w:rsid w:val="00270032"/>
    <w:rsid w:val="0027116E"/>
    <w:rsid w:val="0027175C"/>
    <w:rsid w:val="00271B82"/>
    <w:rsid w:val="00272674"/>
    <w:rsid w:val="0027272F"/>
    <w:rsid w:val="00274016"/>
    <w:rsid w:val="002743BF"/>
    <w:rsid w:val="00276521"/>
    <w:rsid w:val="002766B8"/>
    <w:rsid w:val="0028001B"/>
    <w:rsid w:val="00280A48"/>
    <w:rsid w:val="00280B81"/>
    <w:rsid w:val="00280D99"/>
    <w:rsid w:val="00280E3A"/>
    <w:rsid w:val="00281248"/>
    <w:rsid w:val="00281635"/>
    <w:rsid w:val="00281E78"/>
    <w:rsid w:val="00282946"/>
    <w:rsid w:val="00282997"/>
    <w:rsid w:val="00283D26"/>
    <w:rsid w:val="0028583B"/>
    <w:rsid w:val="00285BD0"/>
    <w:rsid w:val="002863D1"/>
    <w:rsid w:val="00291CD7"/>
    <w:rsid w:val="00291DA8"/>
    <w:rsid w:val="0029232D"/>
    <w:rsid w:val="00292509"/>
    <w:rsid w:val="002927E2"/>
    <w:rsid w:val="00293F69"/>
    <w:rsid w:val="002946ED"/>
    <w:rsid w:val="0029483D"/>
    <w:rsid w:val="00295576"/>
    <w:rsid w:val="00295966"/>
    <w:rsid w:val="0029601E"/>
    <w:rsid w:val="002960B6"/>
    <w:rsid w:val="002972A8"/>
    <w:rsid w:val="00297DC8"/>
    <w:rsid w:val="002A0077"/>
    <w:rsid w:val="002A0918"/>
    <w:rsid w:val="002A0AB8"/>
    <w:rsid w:val="002A3C25"/>
    <w:rsid w:val="002A3D49"/>
    <w:rsid w:val="002A467F"/>
    <w:rsid w:val="002A46CF"/>
    <w:rsid w:val="002A4B4D"/>
    <w:rsid w:val="002A585C"/>
    <w:rsid w:val="002A643E"/>
    <w:rsid w:val="002A70F4"/>
    <w:rsid w:val="002A734B"/>
    <w:rsid w:val="002A7951"/>
    <w:rsid w:val="002B00B6"/>
    <w:rsid w:val="002B03C1"/>
    <w:rsid w:val="002B1183"/>
    <w:rsid w:val="002B1E17"/>
    <w:rsid w:val="002B2431"/>
    <w:rsid w:val="002B2761"/>
    <w:rsid w:val="002B2BA3"/>
    <w:rsid w:val="002B3AA5"/>
    <w:rsid w:val="002B40E4"/>
    <w:rsid w:val="002B45FD"/>
    <w:rsid w:val="002B650B"/>
    <w:rsid w:val="002B7197"/>
    <w:rsid w:val="002C14DF"/>
    <w:rsid w:val="002C1CBF"/>
    <w:rsid w:val="002C1DC3"/>
    <w:rsid w:val="002C23D8"/>
    <w:rsid w:val="002C39CB"/>
    <w:rsid w:val="002C40B0"/>
    <w:rsid w:val="002C41B3"/>
    <w:rsid w:val="002C4534"/>
    <w:rsid w:val="002C4DD1"/>
    <w:rsid w:val="002C57C5"/>
    <w:rsid w:val="002C5D37"/>
    <w:rsid w:val="002C6DEC"/>
    <w:rsid w:val="002C71F7"/>
    <w:rsid w:val="002D0481"/>
    <w:rsid w:val="002D10B8"/>
    <w:rsid w:val="002D17DB"/>
    <w:rsid w:val="002D1D0D"/>
    <w:rsid w:val="002D1FDE"/>
    <w:rsid w:val="002D21C8"/>
    <w:rsid w:val="002D23FF"/>
    <w:rsid w:val="002D313F"/>
    <w:rsid w:val="002D374C"/>
    <w:rsid w:val="002D4C60"/>
    <w:rsid w:val="002D6F69"/>
    <w:rsid w:val="002D74A8"/>
    <w:rsid w:val="002D7855"/>
    <w:rsid w:val="002E016F"/>
    <w:rsid w:val="002E0F7B"/>
    <w:rsid w:val="002E2D76"/>
    <w:rsid w:val="002E3E15"/>
    <w:rsid w:val="002E3F9D"/>
    <w:rsid w:val="002E5A17"/>
    <w:rsid w:val="002E6181"/>
    <w:rsid w:val="002E66AA"/>
    <w:rsid w:val="002E66D6"/>
    <w:rsid w:val="002E7032"/>
    <w:rsid w:val="002E7581"/>
    <w:rsid w:val="002F00F6"/>
    <w:rsid w:val="002F01AA"/>
    <w:rsid w:val="002F1E6D"/>
    <w:rsid w:val="002F1F12"/>
    <w:rsid w:val="002F32B1"/>
    <w:rsid w:val="002F33B9"/>
    <w:rsid w:val="002F4376"/>
    <w:rsid w:val="002F49EF"/>
    <w:rsid w:val="002F5A88"/>
    <w:rsid w:val="002F62FA"/>
    <w:rsid w:val="002F69EA"/>
    <w:rsid w:val="002F6DC8"/>
    <w:rsid w:val="002F7272"/>
    <w:rsid w:val="00300B51"/>
    <w:rsid w:val="0030183E"/>
    <w:rsid w:val="003018E9"/>
    <w:rsid w:val="00301F17"/>
    <w:rsid w:val="003041EE"/>
    <w:rsid w:val="0030432E"/>
    <w:rsid w:val="00304BDE"/>
    <w:rsid w:val="003053EB"/>
    <w:rsid w:val="0030655F"/>
    <w:rsid w:val="00306564"/>
    <w:rsid w:val="00306ED4"/>
    <w:rsid w:val="003075C9"/>
    <w:rsid w:val="00307752"/>
    <w:rsid w:val="00310162"/>
    <w:rsid w:val="003123B0"/>
    <w:rsid w:val="00312B73"/>
    <w:rsid w:val="003138CE"/>
    <w:rsid w:val="00315E36"/>
    <w:rsid w:val="00315F55"/>
    <w:rsid w:val="00316197"/>
    <w:rsid w:val="00317178"/>
    <w:rsid w:val="003205BA"/>
    <w:rsid w:val="003209A4"/>
    <w:rsid w:val="00321AFF"/>
    <w:rsid w:val="00321B20"/>
    <w:rsid w:val="00322517"/>
    <w:rsid w:val="00322A79"/>
    <w:rsid w:val="00322C77"/>
    <w:rsid w:val="003243C3"/>
    <w:rsid w:val="0032614B"/>
    <w:rsid w:val="00326D83"/>
    <w:rsid w:val="003276E5"/>
    <w:rsid w:val="0033022F"/>
    <w:rsid w:val="00330C51"/>
    <w:rsid w:val="003312B4"/>
    <w:rsid w:val="00332788"/>
    <w:rsid w:val="00333F7D"/>
    <w:rsid w:val="00333FDC"/>
    <w:rsid w:val="003354D6"/>
    <w:rsid w:val="003358DC"/>
    <w:rsid w:val="00335A62"/>
    <w:rsid w:val="00336149"/>
    <w:rsid w:val="003363BC"/>
    <w:rsid w:val="003369E4"/>
    <w:rsid w:val="003374D2"/>
    <w:rsid w:val="00340934"/>
    <w:rsid w:val="00340D06"/>
    <w:rsid w:val="00341154"/>
    <w:rsid w:val="0034142C"/>
    <w:rsid w:val="00342020"/>
    <w:rsid w:val="003433DC"/>
    <w:rsid w:val="003434E1"/>
    <w:rsid w:val="00343915"/>
    <w:rsid w:val="00344BA7"/>
    <w:rsid w:val="00345BD4"/>
    <w:rsid w:val="00345EB1"/>
    <w:rsid w:val="003467BE"/>
    <w:rsid w:val="00351CAB"/>
    <w:rsid w:val="00351D3F"/>
    <w:rsid w:val="00352420"/>
    <w:rsid w:val="0035252C"/>
    <w:rsid w:val="003525BC"/>
    <w:rsid w:val="003536C8"/>
    <w:rsid w:val="00354A3D"/>
    <w:rsid w:val="00354D9E"/>
    <w:rsid w:val="0035518A"/>
    <w:rsid w:val="00355231"/>
    <w:rsid w:val="003556F9"/>
    <w:rsid w:val="0035585C"/>
    <w:rsid w:val="0035742F"/>
    <w:rsid w:val="00357B9C"/>
    <w:rsid w:val="00360076"/>
    <w:rsid w:val="0036023A"/>
    <w:rsid w:val="00360331"/>
    <w:rsid w:val="003604FB"/>
    <w:rsid w:val="00361317"/>
    <w:rsid w:val="00361568"/>
    <w:rsid w:val="0036273C"/>
    <w:rsid w:val="00363310"/>
    <w:rsid w:val="003634AE"/>
    <w:rsid w:val="0036360D"/>
    <w:rsid w:val="00363CD3"/>
    <w:rsid w:val="00363DCE"/>
    <w:rsid w:val="00365201"/>
    <w:rsid w:val="003664E8"/>
    <w:rsid w:val="00367061"/>
    <w:rsid w:val="003676B4"/>
    <w:rsid w:val="00370180"/>
    <w:rsid w:val="00371A2A"/>
    <w:rsid w:val="003727B0"/>
    <w:rsid w:val="00372E77"/>
    <w:rsid w:val="00373165"/>
    <w:rsid w:val="00373594"/>
    <w:rsid w:val="00373AEE"/>
    <w:rsid w:val="00374BD6"/>
    <w:rsid w:val="00374D06"/>
    <w:rsid w:val="0037559B"/>
    <w:rsid w:val="003758C9"/>
    <w:rsid w:val="00376782"/>
    <w:rsid w:val="00376B21"/>
    <w:rsid w:val="003771C9"/>
    <w:rsid w:val="003773D1"/>
    <w:rsid w:val="00377868"/>
    <w:rsid w:val="00377B86"/>
    <w:rsid w:val="0038066A"/>
    <w:rsid w:val="00380B0B"/>
    <w:rsid w:val="00380B41"/>
    <w:rsid w:val="00380F93"/>
    <w:rsid w:val="003815C0"/>
    <w:rsid w:val="003819F4"/>
    <w:rsid w:val="003846B4"/>
    <w:rsid w:val="00384D10"/>
    <w:rsid w:val="003851E6"/>
    <w:rsid w:val="00385E26"/>
    <w:rsid w:val="0038674F"/>
    <w:rsid w:val="00387A7F"/>
    <w:rsid w:val="00387C08"/>
    <w:rsid w:val="003907D5"/>
    <w:rsid w:val="003908A7"/>
    <w:rsid w:val="0039237B"/>
    <w:rsid w:val="0039299A"/>
    <w:rsid w:val="003938A9"/>
    <w:rsid w:val="00395BE9"/>
    <w:rsid w:val="00395CD4"/>
    <w:rsid w:val="003A127D"/>
    <w:rsid w:val="003A1B3C"/>
    <w:rsid w:val="003A1C38"/>
    <w:rsid w:val="003A35CB"/>
    <w:rsid w:val="003A367E"/>
    <w:rsid w:val="003A3851"/>
    <w:rsid w:val="003A3A9B"/>
    <w:rsid w:val="003A41F7"/>
    <w:rsid w:val="003A4363"/>
    <w:rsid w:val="003A4B54"/>
    <w:rsid w:val="003A4C02"/>
    <w:rsid w:val="003A54D6"/>
    <w:rsid w:val="003A60A5"/>
    <w:rsid w:val="003A67C1"/>
    <w:rsid w:val="003A74FF"/>
    <w:rsid w:val="003A781B"/>
    <w:rsid w:val="003B062D"/>
    <w:rsid w:val="003B0750"/>
    <w:rsid w:val="003B0D6B"/>
    <w:rsid w:val="003B12DD"/>
    <w:rsid w:val="003B17AC"/>
    <w:rsid w:val="003B4045"/>
    <w:rsid w:val="003B410E"/>
    <w:rsid w:val="003B4229"/>
    <w:rsid w:val="003B5391"/>
    <w:rsid w:val="003B5924"/>
    <w:rsid w:val="003B7B72"/>
    <w:rsid w:val="003B7CF0"/>
    <w:rsid w:val="003C0C68"/>
    <w:rsid w:val="003C0D43"/>
    <w:rsid w:val="003C152E"/>
    <w:rsid w:val="003C29E7"/>
    <w:rsid w:val="003C2D8E"/>
    <w:rsid w:val="003C301A"/>
    <w:rsid w:val="003C3A31"/>
    <w:rsid w:val="003C5024"/>
    <w:rsid w:val="003C513C"/>
    <w:rsid w:val="003C70DB"/>
    <w:rsid w:val="003C744E"/>
    <w:rsid w:val="003C7FFE"/>
    <w:rsid w:val="003D0050"/>
    <w:rsid w:val="003D030B"/>
    <w:rsid w:val="003D1F49"/>
    <w:rsid w:val="003D469B"/>
    <w:rsid w:val="003D5B2F"/>
    <w:rsid w:val="003D5D57"/>
    <w:rsid w:val="003D7529"/>
    <w:rsid w:val="003D76AD"/>
    <w:rsid w:val="003D7A7F"/>
    <w:rsid w:val="003D7E6D"/>
    <w:rsid w:val="003E0C76"/>
    <w:rsid w:val="003E334E"/>
    <w:rsid w:val="003E3812"/>
    <w:rsid w:val="003E3C70"/>
    <w:rsid w:val="003E5B03"/>
    <w:rsid w:val="003E6185"/>
    <w:rsid w:val="003E6CCF"/>
    <w:rsid w:val="003E78F8"/>
    <w:rsid w:val="003F1597"/>
    <w:rsid w:val="003F21A1"/>
    <w:rsid w:val="003F5CB7"/>
    <w:rsid w:val="003F5F95"/>
    <w:rsid w:val="003F620E"/>
    <w:rsid w:val="003F67AC"/>
    <w:rsid w:val="003F6939"/>
    <w:rsid w:val="003F6A52"/>
    <w:rsid w:val="003F71D1"/>
    <w:rsid w:val="003F71FE"/>
    <w:rsid w:val="003F765C"/>
    <w:rsid w:val="003F7BEF"/>
    <w:rsid w:val="0040192F"/>
    <w:rsid w:val="00401CFC"/>
    <w:rsid w:val="00402788"/>
    <w:rsid w:val="00403201"/>
    <w:rsid w:val="00403F44"/>
    <w:rsid w:val="004043B8"/>
    <w:rsid w:val="004047ED"/>
    <w:rsid w:val="00410F8B"/>
    <w:rsid w:val="00411443"/>
    <w:rsid w:val="00412291"/>
    <w:rsid w:val="00413EB4"/>
    <w:rsid w:val="00413ED4"/>
    <w:rsid w:val="00416146"/>
    <w:rsid w:val="00416451"/>
    <w:rsid w:val="0041768A"/>
    <w:rsid w:val="00420021"/>
    <w:rsid w:val="00421825"/>
    <w:rsid w:val="0042244F"/>
    <w:rsid w:val="00422A5D"/>
    <w:rsid w:val="00423FAD"/>
    <w:rsid w:val="004242B6"/>
    <w:rsid w:val="00424EBA"/>
    <w:rsid w:val="00426497"/>
    <w:rsid w:val="0042737E"/>
    <w:rsid w:val="004279F2"/>
    <w:rsid w:val="004311C0"/>
    <w:rsid w:val="00431FF2"/>
    <w:rsid w:val="00432429"/>
    <w:rsid w:val="0043262B"/>
    <w:rsid w:val="00432B77"/>
    <w:rsid w:val="0043382B"/>
    <w:rsid w:val="00433C71"/>
    <w:rsid w:val="0043406E"/>
    <w:rsid w:val="00434A71"/>
    <w:rsid w:val="00434FA8"/>
    <w:rsid w:val="0043769B"/>
    <w:rsid w:val="004377EC"/>
    <w:rsid w:val="00437928"/>
    <w:rsid w:val="004403D9"/>
    <w:rsid w:val="0044081C"/>
    <w:rsid w:val="00440BC7"/>
    <w:rsid w:val="00440D7A"/>
    <w:rsid w:val="00441A88"/>
    <w:rsid w:val="00441B10"/>
    <w:rsid w:val="00441F83"/>
    <w:rsid w:val="00442212"/>
    <w:rsid w:val="00443037"/>
    <w:rsid w:val="0044394D"/>
    <w:rsid w:val="00444500"/>
    <w:rsid w:val="004445D7"/>
    <w:rsid w:val="004449F4"/>
    <w:rsid w:val="00444C22"/>
    <w:rsid w:val="00444DBA"/>
    <w:rsid w:val="00444E07"/>
    <w:rsid w:val="00446008"/>
    <w:rsid w:val="004464C4"/>
    <w:rsid w:val="00446702"/>
    <w:rsid w:val="00447039"/>
    <w:rsid w:val="00447110"/>
    <w:rsid w:val="00447237"/>
    <w:rsid w:val="00450007"/>
    <w:rsid w:val="004513A2"/>
    <w:rsid w:val="0045234A"/>
    <w:rsid w:val="0045238D"/>
    <w:rsid w:val="0045353C"/>
    <w:rsid w:val="0045365D"/>
    <w:rsid w:val="004540D1"/>
    <w:rsid w:val="0045720D"/>
    <w:rsid w:val="004576C4"/>
    <w:rsid w:val="004609E1"/>
    <w:rsid w:val="00462485"/>
    <w:rsid w:val="00462AD6"/>
    <w:rsid w:val="00462D3E"/>
    <w:rsid w:val="00463060"/>
    <w:rsid w:val="004635E1"/>
    <w:rsid w:val="0046406E"/>
    <w:rsid w:val="00465EBA"/>
    <w:rsid w:val="00467DE8"/>
    <w:rsid w:val="00470B32"/>
    <w:rsid w:val="00471848"/>
    <w:rsid w:val="00471EEB"/>
    <w:rsid w:val="004720A2"/>
    <w:rsid w:val="00472563"/>
    <w:rsid w:val="00472CB4"/>
    <w:rsid w:val="00473490"/>
    <w:rsid w:val="00474A6B"/>
    <w:rsid w:val="00475E58"/>
    <w:rsid w:val="00475FE7"/>
    <w:rsid w:val="00476314"/>
    <w:rsid w:val="0047761F"/>
    <w:rsid w:val="00477789"/>
    <w:rsid w:val="00477C03"/>
    <w:rsid w:val="004802B8"/>
    <w:rsid w:val="00480A37"/>
    <w:rsid w:val="0048264A"/>
    <w:rsid w:val="004830E5"/>
    <w:rsid w:val="00483BB9"/>
    <w:rsid w:val="00483D31"/>
    <w:rsid w:val="004846A2"/>
    <w:rsid w:val="0048597C"/>
    <w:rsid w:val="00485EFF"/>
    <w:rsid w:val="00486599"/>
    <w:rsid w:val="00487478"/>
    <w:rsid w:val="00490012"/>
    <w:rsid w:val="00490A54"/>
    <w:rsid w:val="00491BD8"/>
    <w:rsid w:val="004926C4"/>
    <w:rsid w:val="00492ADA"/>
    <w:rsid w:val="00492F7A"/>
    <w:rsid w:val="004932A0"/>
    <w:rsid w:val="00493652"/>
    <w:rsid w:val="004939C3"/>
    <w:rsid w:val="0049408E"/>
    <w:rsid w:val="00494679"/>
    <w:rsid w:val="004949A0"/>
    <w:rsid w:val="004949CD"/>
    <w:rsid w:val="00495970"/>
    <w:rsid w:val="00495C4B"/>
    <w:rsid w:val="0049744E"/>
    <w:rsid w:val="00497E1A"/>
    <w:rsid w:val="004A18BF"/>
    <w:rsid w:val="004A238D"/>
    <w:rsid w:val="004A282A"/>
    <w:rsid w:val="004A2F0D"/>
    <w:rsid w:val="004A3CCE"/>
    <w:rsid w:val="004A3E80"/>
    <w:rsid w:val="004A48DC"/>
    <w:rsid w:val="004A54BF"/>
    <w:rsid w:val="004A5FA8"/>
    <w:rsid w:val="004B0579"/>
    <w:rsid w:val="004B0916"/>
    <w:rsid w:val="004B0C45"/>
    <w:rsid w:val="004B10D2"/>
    <w:rsid w:val="004B27FE"/>
    <w:rsid w:val="004B28DB"/>
    <w:rsid w:val="004B31D5"/>
    <w:rsid w:val="004B41E1"/>
    <w:rsid w:val="004B50EF"/>
    <w:rsid w:val="004B568B"/>
    <w:rsid w:val="004B586B"/>
    <w:rsid w:val="004B5897"/>
    <w:rsid w:val="004B5ADE"/>
    <w:rsid w:val="004B60C9"/>
    <w:rsid w:val="004B628F"/>
    <w:rsid w:val="004B6353"/>
    <w:rsid w:val="004B7855"/>
    <w:rsid w:val="004C07F2"/>
    <w:rsid w:val="004C0AB8"/>
    <w:rsid w:val="004C0C3B"/>
    <w:rsid w:val="004C1CA3"/>
    <w:rsid w:val="004C2513"/>
    <w:rsid w:val="004C33AE"/>
    <w:rsid w:val="004C3649"/>
    <w:rsid w:val="004C4E6C"/>
    <w:rsid w:val="004C6A22"/>
    <w:rsid w:val="004C7668"/>
    <w:rsid w:val="004C7EDA"/>
    <w:rsid w:val="004D0C3E"/>
    <w:rsid w:val="004D0FCE"/>
    <w:rsid w:val="004D128B"/>
    <w:rsid w:val="004D1DBE"/>
    <w:rsid w:val="004D328C"/>
    <w:rsid w:val="004D401C"/>
    <w:rsid w:val="004D4B1E"/>
    <w:rsid w:val="004D51D2"/>
    <w:rsid w:val="004D5A7D"/>
    <w:rsid w:val="004D7400"/>
    <w:rsid w:val="004E08AF"/>
    <w:rsid w:val="004E0BCC"/>
    <w:rsid w:val="004E0DB3"/>
    <w:rsid w:val="004E0ECA"/>
    <w:rsid w:val="004E1204"/>
    <w:rsid w:val="004E126C"/>
    <w:rsid w:val="004E1E1E"/>
    <w:rsid w:val="004E2457"/>
    <w:rsid w:val="004E2502"/>
    <w:rsid w:val="004E2510"/>
    <w:rsid w:val="004E2930"/>
    <w:rsid w:val="004E2C07"/>
    <w:rsid w:val="004E37BA"/>
    <w:rsid w:val="004E381E"/>
    <w:rsid w:val="004E3BEB"/>
    <w:rsid w:val="004E3C33"/>
    <w:rsid w:val="004E4067"/>
    <w:rsid w:val="004E4F87"/>
    <w:rsid w:val="004E4F92"/>
    <w:rsid w:val="004E653E"/>
    <w:rsid w:val="004E657B"/>
    <w:rsid w:val="004E6C8C"/>
    <w:rsid w:val="004E6E48"/>
    <w:rsid w:val="004F00EB"/>
    <w:rsid w:val="004F1993"/>
    <w:rsid w:val="004F3F76"/>
    <w:rsid w:val="004F538A"/>
    <w:rsid w:val="004F5D75"/>
    <w:rsid w:val="004F6786"/>
    <w:rsid w:val="004F6A52"/>
    <w:rsid w:val="004F7CF8"/>
    <w:rsid w:val="005001F5"/>
    <w:rsid w:val="00500294"/>
    <w:rsid w:val="00501617"/>
    <w:rsid w:val="00502C4E"/>
    <w:rsid w:val="005031C2"/>
    <w:rsid w:val="0050425A"/>
    <w:rsid w:val="00504367"/>
    <w:rsid w:val="00506237"/>
    <w:rsid w:val="0050680B"/>
    <w:rsid w:val="00506847"/>
    <w:rsid w:val="0050703C"/>
    <w:rsid w:val="00510B11"/>
    <w:rsid w:val="00510BDB"/>
    <w:rsid w:val="0051380E"/>
    <w:rsid w:val="00513AA5"/>
    <w:rsid w:val="00513F2F"/>
    <w:rsid w:val="00513FDB"/>
    <w:rsid w:val="00514586"/>
    <w:rsid w:val="00515EC0"/>
    <w:rsid w:val="00516117"/>
    <w:rsid w:val="00516286"/>
    <w:rsid w:val="005165BA"/>
    <w:rsid w:val="005168EF"/>
    <w:rsid w:val="00516D22"/>
    <w:rsid w:val="0052161C"/>
    <w:rsid w:val="005216D6"/>
    <w:rsid w:val="00521B8F"/>
    <w:rsid w:val="00522167"/>
    <w:rsid w:val="00523A34"/>
    <w:rsid w:val="00524879"/>
    <w:rsid w:val="00524E9F"/>
    <w:rsid w:val="005254BE"/>
    <w:rsid w:val="00525A0C"/>
    <w:rsid w:val="00526004"/>
    <w:rsid w:val="005261AF"/>
    <w:rsid w:val="00526613"/>
    <w:rsid w:val="005272DA"/>
    <w:rsid w:val="00527A61"/>
    <w:rsid w:val="00527CFF"/>
    <w:rsid w:val="00530CC3"/>
    <w:rsid w:val="00531421"/>
    <w:rsid w:val="005319FA"/>
    <w:rsid w:val="00532A00"/>
    <w:rsid w:val="00532D46"/>
    <w:rsid w:val="00534C09"/>
    <w:rsid w:val="00535307"/>
    <w:rsid w:val="0053550C"/>
    <w:rsid w:val="0053672C"/>
    <w:rsid w:val="005371C9"/>
    <w:rsid w:val="00537312"/>
    <w:rsid w:val="00540180"/>
    <w:rsid w:val="005424A2"/>
    <w:rsid w:val="00543351"/>
    <w:rsid w:val="00543935"/>
    <w:rsid w:val="00543B09"/>
    <w:rsid w:val="00543BF1"/>
    <w:rsid w:val="00544D10"/>
    <w:rsid w:val="005461CC"/>
    <w:rsid w:val="00547104"/>
    <w:rsid w:val="00547AE8"/>
    <w:rsid w:val="00547F42"/>
    <w:rsid w:val="00550C8D"/>
    <w:rsid w:val="00550D9F"/>
    <w:rsid w:val="00551083"/>
    <w:rsid w:val="005523C4"/>
    <w:rsid w:val="005548BD"/>
    <w:rsid w:val="00554C86"/>
    <w:rsid w:val="00554CAE"/>
    <w:rsid w:val="00554DC5"/>
    <w:rsid w:val="00554F1B"/>
    <w:rsid w:val="005551F0"/>
    <w:rsid w:val="00555BBD"/>
    <w:rsid w:val="00555D0D"/>
    <w:rsid w:val="00556C7C"/>
    <w:rsid w:val="00557C7B"/>
    <w:rsid w:val="00557DDB"/>
    <w:rsid w:val="00557F29"/>
    <w:rsid w:val="00562D31"/>
    <w:rsid w:val="00563106"/>
    <w:rsid w:val="00563197"/>
    <w:rsid w:val="005637A7"/>
    <w:rsid w:val="005649FF"/>
    <w:rsid w:val="00565192"/>
    <w:rsid w:val="00565790"/>
    <w:rsid w:val="005665A3"/>
    <w:rsid w:val="0056677B"/>
    <w:rsid w:val="00566AFB"/>
    <w:rsid w:val="005671B8"/>
    <w:rsid w:val="0057084A"/>
    <w:rsid w:val="00570ABE"/>
    <w:rsid w:val="00571961"/>
    <w:rsid w:val="00571EA1"/>
    <w:rsid w:val="00571F72"/>
    <w:rsid w:val="00572149"/>
    <w:rsid w:val="00572495"/>
    <w:rsid w:val="005742E1"/>
    <w:rsid w:val="00577AE3"/>
    <w:rsid w:val="005800D2"/>
    <w:rsid w:val="00581B27"/>
    <w:rsid w:val="005825C4"/>
    <w:rsid w:val="005838F5"/>
    <w:rsid w:val="00584486"/>
    <w:rsid w:val="005844B7"/>
    <w:rsid w:val="00585E59"/>
    <w:rsid w:val="005869DC"/>
    <w:rsid w:val="00586B27"/>
    <w:rsid w:val="00586F4D"/>
    <w:rsid w:val="005874D5"/>
    <w:rsid w:val="005874FD"/>
    <w:rsid w:val="00587DC4"/>
    <w:rsid w:val="0059032D"/>
    <w:rsid w:val="005907A4"/>
    <w:rsid w:val="00591DDB"/>
    <w:rsid w:val="0059247B"/>
    <w:rsid w:val="005927BC"/>
    <w:rsid w:val="00592B11"/>
    <w:rsid w:val="0059398F"/>
    <w:rsid w:val="005959ED"/>
    <w:rsid w:val="00595A0A"/>
    <w:rsid w:val="00596142"/>
    <w:rsid w:val="005967AF"/>
    <w:rsid w:val="00596A79"/>
    <w:rsid w:val="00596EC8"/>
    <w:rsid w:val="005A0E0D"/>
    <w:rsid w:val="005A1432"/>
    <w:rsid w:val="005A1E30"/>
    <w:rsid w:val="005A2297"/>
    <w:rsid w:val="005A2314"/>
    <w:rsid w:val="005A2EED"/>
    <w:rsid w:val="005A2F39"/>
    <w:rsid w:val="005A302F"/>
    <w:rsid w:val="005A57D8"/>
    <w:rsid w:val="005A6421"/>
    <w:rsid w:val="005A6612"/>
    <w:rsid w:val="005A69C0"/>
    <w:rsid w:val="005A6A79"/>
    <w:rsid w:val="005A6AC6"/>
    <w:rsid w:val="005A7473"/>
    <w:rsid w:val="005A7BA2"/>
    <w:rsid w:val="005A7C93"/>
    <w:rsid w:val="005B19CB"/>
    <w:rsid w:val="005B4002"/>
    <w:rsid w:val="005B583B"/>
    <w:rsid w:val="005B5EB5"/>
    <w:rsid w:val="005B64D4"/>
    <w:rsid w:val="005B69FA"/>
    <w:rsid w:val="005B6F14"/>
    <w:rsid w:val="005B734E"/>
    <w:rsid w:val="005B7C0C"/>
    <w:rsid w:val="005C0080"/>
    <w:rsid w:val="005C0773"/>
    <w:rsid w:val="005C170B"/>
    <w:rsid w:val="005C252E"/>
    <w:rsid w:val="005C2749"/>
    <w:rsid w:val="005C30C4"/>
    <w:rsid w:val="005C4498"/>
    <w:rsid w:val="005C5FAC"/>
    <w:rsid w:val="005C793E"/>
    <w:rsid w:val="005C7B81"/>
    <w:rsid w:val="005D0CCD"/>
    <w:rsid w:val="005D1AC8"/>
    <w:rsid w:val="005D1E4D"/>
    <w:rsid w:val="005D29EB"/>
    <w:rsid w:val="005D32CE"/>
    <w:rsid w:val="005D3A5A"/>
    <w:rsid w:val="005D3C1D"/>
    <w:rsid w:val="005D4441"/>
    <w:rsid w:val="005D5164"/>
    <w:rsid w:val="005D5AEC"/>
    <w:rsid w:val="005D6090"/>
    <w:rsid w:val="005D6705"/>
    <w:rsid w:val="005D70AA"/>
    <w:rsid w:val="005D7714"/>
    <w:rsid w:val="005D793E"/>
    <w:rsid w:val="005E0E6E"/>
    <w:rsid w:val="005E14CE"/>
    <w:rsid w:val="005E2145"/>
    <w:rsid w:val="005E2D15"/>
    <w:rsid w:val="005E50F2"/>
    <w:rsid w:val="005E6270"/>
    <w:rsid w:val="005E6321"/>
    <w:rsid w:val="005E67D7"/>
    <w:rsid w:val="005E71C4"/>
    <w:rsid w:val="005E7A77"/>
    <w:rsid w:val="005F01DF"/>
    <w:rsid w:val="005F133A"/>
    <w:rsid w:val="005F18C4"/>
    <w:rsid w:val="005F2392"/>
    <w:rsid w:val="005F2B73"/>
    <w:rsid w:val="005F402B"/>
    <w:rsid w:val="005F42DB"/>
    <w:rsid w:val="005F4579"/>
    <w:rsid w:val="005F4645"/>
    <w:rsid w:val="005F5125"/>
    <w:rsid w:val="005F5D62"/>
    <w:rsid w:val="005F632A"/>
    <w:rsid w:val="005F6AF3"/>
    <w:rsid w:val="005F719C"/>
    <w:rsid w:val="005F7253"/>
    <w:rsid w:val="005F7366"/>
    <w:rsid w:val="005F74B2"/>
    <w:rsid w:val="005F78AA"/>
    <w:rsid w:val="005F7B82"/>
    <w:rsid w:val="005F7FDC"/>
    <w:rsid w:val="00600C9F"/>
    <w:rsid w:val="00601A8A"/>
    <w:rsid w:val="00601D9B"/>
    <w:rsid w:val="00603AB6"/>
    <w:rsid w:val="006043E7"/>
    <w:rsid w:val="00604814"/>
    <w:rsid w:val="0060497C"/>
    <w:rsid w:val="006058E2"/>
    <w:rsid w:val="006059D0"/>
    <w:rsid w:val="00605BA8"/>
    <w:rsid w:val="0060622C"/>
    <w:rsid w:val="00607A2C"/>
    <w:rsid w:val="006102D2"/>
    <w:rsid w:val="0061114F"/>
    <w:rsid w:val="00611E5B"/>
    <w:rsid w:val="0061218F"/>
    <w:rsid w:val="0061224D"/>
    <w:rsid w:val="00613DB7"/>
    <w:rsid w:val="00614806"/>
    <w:rsid w:val="006153D8"/>
    <w:rsid w:val="00615566"/>
    <w:rsid w:val="00615717"/>
    <w:rsid w:val="00615ADC"/>
    <w:rsid w:val="00615D98"/>
    <w:rsid w:val="00615E2C"/>
    <w:rsid w:val="0061621A"/>
    <w:rsid w:val="006164A6"/>
    <w:rsid w:val="00617760"/>
    <w:rsid w:val="006179E8"/>
    <w:rsid w:val="006200A3"/>
    <w:rsid w:val="00621379"/>
    <w:rsid w:val="006217AD"/>
    <w:rsid w:val="0062186F"/>
    <w:rsid w:val="006224DA"/>
    <w:rsid w:val="00622D53"/>
    <w:rsid w:val="00623165"/>
    <w:rsid w:val="0062332F"/>
    <w:rsid w:val="00623333"/>
    <w:rsid w:val="00623755"/>
    <w:rsid w:val="00623813"/>
    <w:rsid w:val="00623842"/>
    <w:rsid w:val="00623974"/>
    <w:rsid w:val="006240D2"/>
    <w:rsid w:val="006248E1"/>
    <w:rsid w:val="00624C79"/>
    <w:rsid w:val="00625774"/>
    <w:rsid w:val="00627A4C"/>
    <w:rsid w:val="00630A71"/>
    <w:rsid w:val="00630D60"/>
    <w:rsid w:val="006311CE"/>
    <w:rsid w:val="00632079"/>
    <w:rsid w:val="00632C52"/>
    <w:rsid w:val="0063396F"/>
    <w:rsid w:val="00633A35"/>
    <w:rsid w:val="006348C8"/>
    <w:rsid w:val="00634BE9"/>
    <w:rsid w:val="00634ECB"/>
    <w:rsid w:val="00635542"/>
    <w:rsid w:val="0063609D"/>
    <w:rsid w:val="0063640C"/>
    <w:rsid w:val="00637E2A"/>
    <w:rsid w:val="0064298C"/>
    <w:rsid w:val="00643A39"/>
    <w:rsid w:val="00643DCA"/>
    <w:rsid w:val="00644889"/>
    <w:rsid w:val="006448D3"/>
    <w:rsid w:val="00644FDF"/>
    <w:rsid w:val="00645CF3"/>
    <w:rsid w:val="00646EAD"/>
    <w:rsid w:val="00646EE8"/>
    <w:rsid w:val="0064729D"/>
    <w:rsid w:val="0064760D"/>
    <w:rsid w:val="00647A62"/>
    <w:rsid w:val="00647B66"/>
    <w:rsid w:val="00647E55"/>
    <w:rsid w:val="006509E8"/>
    <w:rsid w:val="00650DC2"/>
    <w:rsid w:val="00651ACF"/>
    <w:rsid w:val="00652581"/>
    <w:rsid w:val="00652F9F"/>
    <w:rsid w:val="00655EF4"/>
    <w:rsid w:val="00655F57"/>
    <w:rsid w:val="0065616A"/>
    <w:rsid w:val="00656F2E"/>
    <w:rsid w:val="00657F02"/>
    <w:rsid w:val="00657FF3"/>
    <w:rsid w:val="00660489"/>
    <w:rsid w:val="0066094D"/>
    <w:rsid w:val="00660E46"/>
    <w:rsid w:val="006629FB"/>
    <w:rsid w:val="00662D82"/>
    <w:rsid w:val="00664428"/>
    <w:rsid w:val="00666098"/>
    <w:rsid w:val="006665DC"/>
    <w:rsid w:val="0066781B"/>
    <w:rsid w:val="00667950"/>
    <w:rsid w:val="00671441"/>
    <w:rsid w:val="00671EFB"/>
    <w:rsid w:val="00672C18"/>
    <w:rsid w:val="00672E5F"/>
    <w:rsid w:val="0067348E"/>
    <w:rsid w:val="006736EE"/>
    <w:rsid w:val="00674786"/>
    <w:rsid w:val="00674AD0"/>
    <w:rsid w:val="00675913"/>
    <w:rsid w:val="00675A6E"/>
    <w:rsid w:val="006762D0"/>
    <w:rsid w:val="0067630A"/>
    <w:rsid w:val="00677C60"/>
    <w:rsid w:val="00677D67"/>
    <w:rsid w:val="006807AE"/>
    <w:rsid w:val="00680A3F"/>
    <w:rsid w:val="006828D4"/>
    <w:rsid w:val="00684A18"/>
    <w:rsid w:val="00684F7E"/>
    <w:rsid w:val="006870F1"/>
    <w:rsid w:val="00687386"/>
    <w:rsid w:val="006874D9"/>
    <w:rsid w:val="00687B8F"/>
    <w:rsid w:val="00690F1E"/>
    <w:rsid w:val="00691BA4"/>
    <w:rsid w:val="00691D89"/>
    <w:rsid w:val="00692D94"/>
    <w:rsid w:val="006930D1"/>
    <w:rsid w:val="00693149"/>
    <w:rsid w:val="0069382C"/>
    <w:rsid w:val="00695E2D"/>
    <w:rsid w:val="00696083"/>
    <w:rsid w:val="00696822"/>
    <w:rsid w:val="00697873"/>
    <w:rsid w:val="006A1E68"/>
    <w:rsid w:val="006A2199"/>
    <w:rsid w:val="006A3107"/>
    <w:rsid w:val="006A33D7"/>
    <w:rsid w:val="006A4229"/>
    <w:rsid w:val="006A4387"/>
    <w:rsid w:val="006A49E9"/>
    <w:rsid w:val="006A5758"/>
    <w:rsid w:val="006A5F5D"/>
    <w:rsid w:val="006A63D3"/>
    <w:rsid w:val="006A6CB6"/>
    <w:rsid w:val="006A7477"/>
    <w:rsid w:val="006B0C90"/>
    <w:rsid w:val="006B104F"/>
    <w:rsid w:val="006B1377"/>
    <w:rsid w:val="006B1521"/>
    <w:rsid w:val="006B1A7B"/>
    <w:rsid w:val="006B29B7"/>
    <w:rsid w:val="006B3B80"/>
    <w:rsid w:val="006B483E"/>
    <w:rsid w:val="006B68EE"/>
    <w:rsid w:val="006B6942"/>
    <w:rsid w:val="006B7E5A"/>
    <w:rsid w:val="006B7EF8"/>
    <w:rsid w:val="006C023E"/>
    <w:rsid w:val="006C0465"/>
    <w:rsid w:val="006C05D3"/>
    <w:rsid w:val="006C1D0A"/>
    <w:rsid w:val="006C3C95"/>
    <w:rsid w:val="006C46B2"/>
    <w:rsid w:val="006C4841"/>
    <w:rsid w:val="006C4A28"/>
    <w:rsid w:val="006C58FE"/>
    <w:rsid w:val="006C5928"/>
    <w:rsid w:val="006D0FCC"/>
    <w:rsid w:val="006D1B6E"/>
    <w:rsid w:val="006D23B4"/>
    <w:rsid w:val="006D2C2F"/>
    <w:rsid w:val="006D368A"/>
    <w:rsid w:val="006D38A4"/>
    <w:rsid w:val="006D3D19"/>
    <w:rsid w:val="006D4735"/>
    <w:rsid w:val="006D538F"/>
    <w:rsid w:val="006D7700"/>
    <w:rsid w:val="006D7784"/>
    <w:rsid w:val="006D7C1A"/>
    <w:rsid w:val="006D7DA9"/>
    <w:rsid w:val="006D7FB8"/>
    <w:rsid w:val="006E03D4"/>
    <w:rsid w:val="006E115A"/>
    <w:rsid w:val="006E1296"/>
    <w:rsid w:val="006E3082"/>
    <w:rsid w:val="006E4003"/>
    <w:rsid w:val="006E5261"/>
    <w:rsid w:val="006E5E61"/>
    <w:rsid w:val="006E5F5E"/>
    <w:rsid w:val="006E70A8"/>
    <w:rsid w:val="006E7399"/>
    <w:rsid w:val="006F0084"/>
    <w:rsid w:val="006F033B"/>
    <w:rsid w:val="006F095A"/>
    <w:rsid w:val="006F155D"/>
    <w:rsid w:val="006F2CFE"/>
    <w:rsid w:val="006F379E"/>
    <w:rsid w:val="006F423C"/>
    <w:rsid w:val="006F7431"/>
    <w:rsid w:val="006F7A9D"/>
    <w:rsid w:val="006F7C5D"/>
    <w:rsid w:val="0070089E"/>
    <w:rsid w:val="00700A28"/>
    <w:rsid w:val="0070104B"/>
    <w:rsid w:val="0070161A"/>
    <w:rsid w:val="00701B06"/>
    <w:rsid w:val="007031C7"/>
    <w:rsid w:val="00703D3B"/>
    <w:rsid w:val="00710FF4"/>
    <w:rsid w:val="00712794"/>
    <w:rsid w:val="00714020"/>
    <w:rsid w:val="007142E3"/>
    <w:rsid w:val="0071561B"/>
    <w:rsid w:val="00720052"/>
    <w:rsid w:val="00720BD8"/>
    <w:rsid w:val="00720C28"/>
    <w:rsid w:val="0072373E"/>
    <w:rsid w:val="00723BD8"/>
    <w:rsid w:val="00724D4D"/>
    <w:rsid w:val="00724F76"/>
    <w:rsid w:val="0072578B"/>
    <w:rsid w:val="00726602"/>
    <w:rsid w:val="00726B35"/>
    <w:rsid w:val="007278E5"/>
    <w:rsid w:val="00730DC5"/>
    <w:rsid w:val="0073267A"/>
    <w:rsid w:val="00732A62"/>
    <w:rsid w:val="00732C7C"/>
    <w:rsid w:val="00732E65"/>
    <w:rsid w:val="00733A38"/>
    <w:rsid w:val="00733EFC"/>
    <w:rsid w:val="00734644"/>
    <w:rsid w:val="00734A9F"/>
    <w:rsid w:val="00734DF1"/>
    <w:rsid w:val="00735D3B"/>
    <w:rsid w:val="00736208"/>
    <w:rsid w:val="007367E8"/>
    <w:rsid w:val="00737851"/>
    <w:rsid w:val="00737DAE"/>
    <w:rsid w:val="007407D8"/>
    <w:rsid w:val="007412C1"/>
    <w:rsid w:val="00741804"/>
    <w:rsid w:val="00741E1A"/>
    <w:rsid w:val="00741E66"/>
    <w:rsid w:val="00743AD0"/>
    <w:rsid w:val="0074422A"/>
    <w:rsid w:val="0074484A"/>
    <w:rsid w:val="007449BD"/>
    <w:rsid w:val="00744B13"/>
    <w:rsid w:val="00745AFE"/>
    <w:rsid w:val="007460F5"/>
    <w:rsid w:val="00746254"/>
    <w:rsid w:val="007464E0"/>
    <w:rsid w:val="00746664"/>
    <w:rsid w:val="007471F3"/>
    <w:rsid w:val="00752722"/>
    <w:rsid w:val="00753767"/>
    <w:rsid w:val="00753E7C"/>
    <w:rsid w:val="00753EB7"/>
    <w:rsid w:val="00754712"/>
    <w:rsid w:val="00756200"/>
    <w:rsid w:val="007569BE"/>
    <w:rsid w:val="00756B5B"/>
    <w:rsid w:val="00756DF2"/>
    <w:rsid w:val="007570A1"/>
    <w:rsid w:val="007575C4"/>
    <w:rsid w:val="00757B8A"/>
    <w:rsid w:val="00760563"/>
    <w:rsid w:val="00761013"/>
    <w:rsid w:val="0076153B"/>
    <w:rsid w:val="0076161D"/>
    <w:rsid w:val="00761F5F"/>
    <w:rsid w:val="007620C3"/>
    <w:rsid w:val="00762A36"/>
    <w:rsid w:val="007634F0"/>
    <w:rsid w:val="0076429D"/>
    <w:rsid w:val="00764EE0"/>
    <w:rsid w:val="00765C56"/>
    <w:rsid w:val="00766251"/>
    <w:rsid w:val="007669C6"/>
    <w:rsid w:val="00766AB7"/>
    <w:rsid w:val="00766F63"/>
    <w:rsid w:val="0076708F"/>
    <w:rsid w:val="007677F7"/>
    <w:rsid w:val="00767B22"/>
    <w:rsid w:val="00767B90"/>
    <w:rsid w:val="00770E9E"/>
    <w:rsid w:val="00770EFD"/>
    <w:rsid w:val="007726FF"/>
    <w:rsid w:val="00772954"/>
    <w:rsid w:val="00772A0D"/>
    <w:rsid w:val="0077307A"/>
    <w:rsid w:val="007739E8"/>
    <w:rsid w:val="00773A03"/>
    <w:rsid w:val="00773E3D"/>
    <w:rsid w:val="00774349"/>
    <w:rsid w:val="00774D52"/>
    <w:rsid w:val="007751B7"/>
    <w:rsid w:val="0077566A"/>
    <w:rsid w:val="0077575C"/>
    <w:rsid w:val="007769C0"/>
    <w:rsid w:val="00780031"/>
    <w:rsid w:val="0078123C"/>
    <w:rsid w:val="00781599"/>
    <w:rsid w:val="0078188C"/>
    <w:rsid w:val="0078265E"/>
    <w:rsid w:val="00785920"/>
    <w:rsid w:val="00785E6E"/>
    <w:rsid w:val="007861AE"/>
    <w:rsid w:val="00787348"/>
    <w:rsid w:val="007874A4"/>
    <w:rsid w:val="007875C4"/>
    <w:rsid w:val="00791385"/>
    <w:rsid w:val="007918D0"/>
    <w:rsid w:val="00791CF6"/>
    <w:rsid w:val="00791ECF"/>
    <w:rsid w:val="0079242B"/>
    <w:rsid w:val="007928FD"/>
    <w:rsid w:val="007932B5"/>
    <w:rsid w:val="007937C6"/>
    <w:rsid w:val="0079398C"/>
    <w:rsid w:val="00793CCD"/>
    <w:rsid w:val="00794A76"/>
    <w:rsid w:val="007954C0"/>
    <w:rsid w:val="0079563C"/>
    <w:rsid w:val="007956FC"/>
    <w:rsid w:val="00795860"/>
    <w:rsid w:val="007974D2"/>
    <w:rsid w:val="007A04E8"/>
    <w:rsid w:val="007A0700"/>
    <w:rsid w:val="007A1853"/>
    <w:rsid w:val="007A1EAC"/>
    <w:rsid w:val="007A215C"/>
    <w:rsid w:val="007A24CB"/>
    <w:rsid w:val="007A37DD"/>
    <w:rsid w:val="007A4122"/>
    <w:rsid w:val="007A47C5"/>
    <w:rsid w:val="007A5ABA"/>
    <w:rsid w:val="007A5E53"/>
    <w:rsid w:val="007A642C"/>
    <w:rsid w:val="007A6F24"/>
    <w:rsid w:val="007A71B2"/>
    <w:rsid w:val="007B018D"/>
    <w:rsid w:val="007B137A"/>
    <w:rsid w:val="007B1E4D"/>
    <w:rsid w:val="007B22A3"/>
    <w:rsid w:val="007B23A9"/>
    <w:rsid w:val="007B3D8C"/>
    <w:rsid w:val="007B3EBB"/>
    <w:rsid w:val="007B7395"/>
    <w:rsid w:val="007B7AB0"/>
    <w:rsid w:val="007C20FB"/>
    <w:rsid w:val="007C214E"/>
    <w:rsid w:val="007C24BB"/>
    <w:rsid w:val="007C24CF"/>
    <w:rsid w:val="007C2B71"/>
    <w:rsid w:val="007C3273"/>
    <w:rsid w:val="007C358C"/>
    <w:rsid w:val="007C3DDD"/>
    <w:rsid w:val="007C54AE"/>
    <w:rsid w:val="007C5FA6"/>
    <w:rsid w:val="007C6942"/>
    <w:rsid w:val="007C7A46"/>
    <w:rsid w:val="007D2849"/>
    <w:rsid w:val="007D45B9"/>
    <w:rsid w:val="007D4827"/>
    <w:rsid w:val="007D58E0"/>
    <w:rsid w:val="007D59E8"/>
    <w:rsid w:val="007D5C0B"/>
    <w:rsid w:val="007E0414"/>
    <w:rsid w:val="007E06FD"/>
    <w:rsid w:val="007E17B8"/>
    <w:rsid w:val="007E2657"/>
    <w:rsid w:val="007E2ADE"/>
    <w:rsid w:val="007E2BD7"/>
    <w:rsid w:val="007E300C"/>
    <w:rsid w:val="007E31D8"/>
    <w:rsid w:val="007E34CB"/>
    <w:rsid w:val="007E4E5A"/>
    <w:rsid w:val="007E686A"/>
    <w:rsid w:val="007F008F"/>
    <w:rsid w:val="007F1A9B"/>
    <w:rsid w:val="007F1D10"/>
    <w:rsid w:val="007F1F83"/>
    <w:rsid w:val="007F20B5"/>
    <w:rsid w:val="007F2A32"/>
    <w:rsid w:val="007F3227"/>
    <w:rsid w:val="007F3B6B"/>
    <w:rsid w:val="007F4805"/>
    <w:rsid w:val="007F4923"/>
    <w:rsid w:val="007F4B6C"/>
    <w:rsid w:val="007F541C"/>
    <w:rsid w:val="007F54B7"/>
    <w:rsid w:val="007F67D3"/>
    <w:rsid w:val="007F726E"/>
    <w:rsid w:val="00800D4C"/>
    <w:rsid w:val="00801A8B"/>
    <w:rsid w:val="00801DCA"/>
    <w:rsid w:val="00802C27"/>
    <w:rsid w:val="00802D12"/>
    <w:rsid w:val="00804080"/>
    <w:rsid w:val="00804831"/>
    <w:rsid w:val="00804851"/>
    <w:rsid w:val="00804A95"/>
    <w:rsid w:val="00804C3E"/>
    <w:rsid w:val="00804D5D"/>
    <w:rsid w:val="00805CC8"/>
    <w:rsid w:val="00806824"/>
    <w:rsid w:val="00807B5B"/>
    <w:rsid w:val="008113C7"/>
    <w:rsid w:val="0081145F"/>
    <w:rsid w:val="00812952"/>
    <w:rsid w:val="0081390F"/>
    <w:rsid w:val="00814BF0"/>
    <w:rsid w:val="008150FD"/>
    <w:rsid w:val="00815E3D"/>
    <w:rsid w:val="00816513"/>
    <w:rsid w:val="0081675F"/>
    <w:rsid w:val="0081681D"/>
    <w:rsid w:val="00816935"/>
    <w:rsid w:val="00816E37"/>
    <w:rsid w:val="00820497"/>
    <w:rsid w:val="00820D1B"/>
    <w:rsid w:val="00820D44"/>
    <w:rsid w:val="00820E09"/>
    <w:rsid w:val="00820ECF"/>
    <w:rsid w:val="008234FD"/>
    <w:rsid w:val="00823679"/>
    <w:rsid w:val="00823A0B"/>
    <w:rsid w:val="00824261"/>
    <w:rsid w:val="00825025"/>
    <w:rsid w:val="008258E0"/>
    <w:rsid w:val="00825A03"/>
    <w:rsid w:val="0082604F"/>
    <w:rsid w:val="00826E87"/>
    <w:rsid w:val="00826EE7"/>
    <w:rsid w:val="00826F2F"/>
    <w:rsid w:val="0082745D"/>
    <w:rsid w:val="00827A29"/>
    <w:rsid w:val="00830648"/>
    <w:rsid w:val="00830955"/>
    <w:rsid w:val="008313B0"/>
    <w:rsid w:val="008315D6"/>
    <w:rsid w:val="00831730"/>
    <w:rsid w:val="00832B7F"/>
    <w:rsid w:val="00832D8A"/>
    <w:rsid w:val="00833499"/>
    <w:rsid w:val="0083451D"/>
    <w:rsid w:val="00835D9C"/>
    <w:rsid w:val="00836A98"/>
    <w:rsid w:val="00837801"/>
    <w:rsid w:val="008402A7"/>
    <w:rsid w:val="008409C4"/>
    <w:rsid w:val="008412C9"/>
    <w:rsid w:val="00841793"/>
    <w:rsid w:val="00841EBA"/>
    <w:rsid w:val="0084223C"/>
    <w:rsid w:val="00842983"/>
    <w:rsid w:val="00843340"/>
    <w:rsid w:val="00843D6C"/>
    <w:rsid w:val="008442CF"/>
    <w:rsid w:val="008448DB"/>
    <w:rsid w:val="008450FF"/>
    <w:rsid w:val="008456BB"/>
    <w:rsid w:val="0084584F"/>
    <w:rsid w:val="0084587C"/>
    <w:rsid w:val="008458FB"/>
    <w:rsid w:val="00847348"/>
    <w:rsid w:val="00847A35"/>
    <w:rsid w:val="00850512"/>
    <w:rsid w:val="00850E06"/>
    <w:rsid w:val="00850EB1"/>
    <w:rsid w:val="0085165C"/>
    <w:rsid w:val="00851D17"/>
    <w:rsid w:val="00851D60"/>
    <w:rsid w:val="008529F6"/>
    <w:rsid w:val="00853293"/>
    <w:rsid w:val="0085345D"/>
    <w:rsid w:val="00853B42"/>
    <w:rsid w:val="00853BCE"/>
    <w:rsid w:val="00855878"/>
    <w:rsid w:val="00855945"/>
    <w:rsid w:val="00855DB8"/>
    <w:rsid w:val="008574A5"/>
    <w:rsid w:val="00857C38"/>
    <w:rsid w:val="00857C3C"/>
    <w:rsid w:val="00860803"/>
    <w:rsid w:val="00860A51"/>
    <w:rsid w:val="00860D2E"/>
    <w:rsid w:val="008611C2"/>
    <w:rsid w:val="008621CD"/>
    <w:rsid w:val="00862543"/>
    <w:rsid w:val="00862B98"/>
    <w:rsid w:val="00862DAA"/>
    <w:rsid w:val="00864126"/>
    <w:rsid w:val="00865BA5"/>
    <w:rsid w:val="00865D43"/>
    <w:rsid w:val="008662F7"/>
    <w:rsid w:val="008667C5"/>
    <w:rsid w:val="008670B7"/>
    <w:rsid w:val="0087276E"/>
    <w:rsid w:val="008728ED"/>
    <w:rsid w:val="00872BBB"/>
    <w:rsid w:val="00872FF0"/>
    <w:rsid w:val="00873476"/>
    <w:rsid w:val="0087354A"/>
    <w:rsid w:val="00874A67"/>
    <w:rsid w:val="0087681F"/>
    <w:rsid w:val="008769FC"/>
    <w:rsid w:val="00877334"/>
    <w:rsid w:val="00877D7B"/>
    <w:rsid w:val="008804C9"/>
    <w:rsid w:val="008813CC"/>
    <w:rsid w:val="0088160A"/>
    <w:rsid w:val="00881AA4"/>
    <w:rsid w:val="0088220F"/>
    <w:rsid w:val="008828A3"/>
    <w:rsid w:val="00882A7C"/>
    <w:rsid w:val="00882AED"/>
    <w:rsid w:val="00882BF5"/>
    <w:rsid w:val="0088385F"/>
    <w:rsid w:val="00884266"/>
    <w:rsid w:val="00885306"/>
    <w:rsid w:val="00885F23"/>
    <w:rsid w:val="008861EF"/>
    <w:rsid w:val="0088696A"/>
    <w:rsid w:val="00887E8A"/>
    <w:rsid w:val="00890265"/>
    <w:rsid w:val="00890C68"/>
    <w:rsid w:val="00892147"/>
    <w:rsid w:val="00892442"/>
    <w:rsid w:val="008930DA"/>
    <w:rsid w:val="00894357"/>
    <w:rsid w:val="008949CD"/>
    <w:rsid w:val="008949D0"/>
    <w:rsid w:val="00895447"/>
    <w:rsid w:val="0089743D"/>
    <w:rsid w:val="008974AD"/>
    <w:rsid w:val="00897895"/>
    <w:rsid w:val="008A0153"/>
    <w:rsid w:val="008A125D"/>
    <w:rsid w:val="008A1D48"/>
    <w:rsid w:val="008A25B2"/>
    <w:rsid w:val="008A2636"/>
    <w:rsid w:val="008A2C11"/>
    <w:rsid w:val="008A33C0"/>
    <w:rsid w:val="008A4264"/>
    <w:rsid w:val="008A4B1C"/>
    <w:rsid w:val="008A5C8B"/>
    <w:rsid w:val="008A677B"/>
    <w:rsid w:val="008A717E"/>
    <w:rsid w:val="008A71A2"/>
    <w:rsid w:val="008B141E"/>
    <w:rsid w:val="008B153B"/>
    <w:rsid w:val="008B1648"/>
    <w:rsid w:val="008B172B"/>
    <w:rsid w:val="008B2C6B"/>
    <w:rsid w:val="008B2DB2"/>
    <w:rsid w:val="008B302E"/>
    <w:rsid w:val="008B4248"/>
    <w:rsid w:val="008B49A3"/>
    <w:rsid w:val="008B50A6"/>
    <w:rsid w:val="008B5435"/>
    <w:rsid w:val="008B57C0"/>
    <w:rsid w:val="008B616A"/>
    <w:rsid w:val="008B6732"/>
    <w:rsid w:val="008B74CA"/>
    <w:rsid w:val="008C0CA1"/>
    <w:rsid w:val="008C133A"/>
    <w:rsid w:val="008C15CF"/>
    <w:rsid w:val="008C1639"/>
    <w:rsid w:val="008C1B32"/>
    <w:rsid w:val="008C1DE0"/>
    <w:rsid w:val="008C3470"/>
    <w:rsid w:val="008C48BC"/>
    <w:rsid w:val="008C6095"/>
    <w:rsid w:val="008C74EA"/>
    <w:rsid w:val="008C755E"/>
    <w:rsid w:val="008C7734"/>
    <w:rsid w:val="008C7AE9"/>
    <w:rsid w:val="008C7F49"/>
    <w:rsid w:val="008D00DD"/>
    <w:rsid w:val="008D1C99"/>
    <w:rsid w:val="008D1FAA"/>
    <w:rsid w:val="008D21FC"/>
    <w:rsid w:val="008D2652"/>
    <w:rsid w:val="008D32E5"/>
    <w:rsid w:val="008D39FB"/>
    <w:rsid w:val="008D4366"/>
    <w:rsid w:val="008D4925"/>
    <w:rsid w:val="008D64D8"/>
    <w:rsid w:val="008E01DE"/>
    <w:rsid w:val="008E16FD"/>
    <w:rsid w:val="008E1AC6"/>
    <w:rsid w:val="008E233D"/>
    <w:rsid w:val="008E2C5D"/>
    <w:rsid w:val="008E390E"/>
    <w:rsid w:val="008E41E4"/>
    <w:rsid w:val="008E432A"/>
    <w:rsid w:val="008E47E3"/>
    <w:rsid w:val="008E4F32"/>
    <w:rsid w:val="008E50AB"/>
    <w:rsid w:val="008E524D"/>
    <w:rsid w:val="008E6D3F"/>
    <w:rsid w:val="008E75E0"/>
    <w:rsid w:val="008E7817"/>
    <w:rsid w:val="008E7E6D"/>
    <w:rsid w:val="008F0D6E"/>
    <w:rsid w:val="008F11E8"/>
    <w:rsid w:val="008F169A"/>
    <w:rsid w:val="008F17E5"/>
    <w:rsid w:val="008F1D3B"/>
    <w:rsid w:val="008F298F"/>
    <w:rsid w:val="008F352C"/>
    <w:rsid w:val="008F477A"/>
    <w:rsid w:val="008F4960"/>
    <w:rsid w:val="008F49EE"/>
    <w:rsid w:val="008F5014"/>
    <w:rsid w:val="008F51B1"/>
    <w:rsid w:val="008F5922"/>
    <w:rsid w:val="008F5F80"/>
    <w:rsid w:val="008F67B4"/>
    <w:rsid w:val="008F6B7C"/>
    <w:rsid w:val="008F746A"/>
    <w:rsid w:val="008F7721"/>
    <w:rsid w:val="008F7BE9"/>
    <w:rsid w:val="008F7CC2"/>
    <w:rsid w:val="009021B3"/>
    <w:rsid w:val="009027DE"/>
    <w:rsid w:val="00903032"/>
    <w:rsid w:val="0090441C"/>
    <w:rsid w:val="009045B9"/>
    <w:rsid w:val="00904E06"/>
    <w:rsid w:val="0090527B"/>
    <w:rsid w:val="00905D73"/>
    <w:rsid w:val="00907CE3"/>
    <w:rsid w:val="009102C1"/>
    <w:rsid w:val="00910E88"/>
    <w:rsid w:val="009111AB"/>
    <w:rsid w:val="00911E99"/>
    <w:rsid w:val="009133D5"/>
    <w:rsid w:val="009136C4"/>
    <w:rsid w:val="00914780"/>
    <w:rsid w:val="00915119"/>
    <w:rsid w:val="009151E6"/>
    <w:rsid w:val="00915833"/>
    <w:rsid w:val="00915C35"/>
    <w:rsid w:val="00915C54"/>
    <w:rsid w:val="00915CA2"/>
    <w:rsid w:val="00916645"/>
    <w:rsid w:val="00920115"/>
    <w:rsid w:val="00920481"/>
    <w:rsid w:val="00920AE1"/>
    <w:rsid w:val="00920B7E"/>
    <w:rsid w:val="0092117C"/>
    <w:rsid w:val="00921A70"/>
    <w:rsid w:val="00924B28"/>
    <w:rsid w:val="00927149"/>
    <w:rsid w:val="00930D2B"/>
    <w:rsid w:val="00930EF7"/>
    <w:rsid w:val="0093151C"/>
    <w:rsid w:val="009317AB"/>
    <w:rsid w:val="00931AD0"/>
    <w:rsid w:val="00931E39"/>
    <w:rsid w:val="00931FA2"/>
    <w:rsid w:val="00932AA5"/>
    <w:rsid w:val="00934034"/>
    <w:rsid w:val="00935E32"/>
    <w:rsid w:val="00936EC3"/>
    <w:rsid w:val="009372EA"/>
    <w:rsid w:val="00940D6D"/>
    <w:rsid w:val="00942010"/>
    <w:rsid w:val="00943519"/>
    <w:rsid w:val="009435B4"/>
    <w:rsid w:val="00943D24"/>
    <w:rsid w:val="00944636"/>
    <w:rsid w:val="00944AB3"/>
    <w:rsid w:val="00944CED"/>
    <w:rsid w:val="00944FE9"/>
    <w:rsid w:val="009453DE"/>
    <w:rsid w:val="009457A7"/>
    <w:rsid w:val="00946421"/>
    <w:rsid w:val="00946B01"/>
    <w:rsid w:val="009505F7"/>
    <w:rsid w:val="009509CA"/>
    <w:rsid w:val="00950EE2"/>
    <w:rsid w:val="00951355"/>
    <w:rsid w:val="00951BD9"/>
    <w:rsid w:val="00952550"/>
    <w:rsid w:val="009531C7"/>
    <w:rsid w:val="009539FD"/>
    <w:rsid w:val="00953DAA"/>
    <w:rsid w:val="009546D1"/>
    <w:rsid w:val="00954784"/>
    <w:rsid w:val="00955058"/>
    <w:rsid w:val="00955147"/>
    <w:rsid w:val="00956F5C"/>
    <w:rsid w:val="00957F05"/>
    <w:rsid w:val="009603A6"/>
    <w:rsid w:val="0096052E"/>
    <w:rsid w:val="00960D09"/>
    <w:rsid w:val="00961470"/>
    <w:rsid w:val="00961F02"/>
    <w:rsid w:val="00961F1A"/>
    <w:rsid w:val="00961FC4"/>
    <w:rsid w:val="00965189"/>
    <w:rsid w:val="0096583C"/>
    <w:rsid w:val="00965928"/>
    <w:rsid w:val="009677D9"/>
    <w:rsid w:val="00970D04"/>
    <w:rsid w:val="0097124A"/>
    <w:rsid w:val="00972387"/>
    <w:rsid w:val="00973034"/>
    <w:rsid w:val="00973822"/>
    <w:rsid w:val="00973937"/>
    <w:rsid w:val="00973AC5"/>
    <w:rsid w:val="00973C82"/>
    <w:rsid w:val="00974513"/>
    <w:rsid w:val="009749AA"/>
    <w:rsid w:val="00974C8D"/>
    <w:rsid w:val="00975F1D"/>
    <w:rsid w:val="00975F24"/>
    <w:rsid w:val="00977279"/>
    <w:rsid w:val="00977D82"/>
    <w:rsid w:val="0098187E"/>
    <w:rsid w:val="00982429"/>
    <w:rsid w:val="0098307E"/>
    <w:rsid w:val="009831E1"/>
    <w:rsid w:val="00984FF1"/>
    <w:rsid w:val="0098523C"/>
    <w:rsid w:val="00985615"/>
    <w:rsid w:val="00985AAE"/>
    <w:rsid w:val="00986E77"/>
    <w:rsid w:val="00990170"/>
    <w:rsid w:val="00990796"/>
    <w:rsid w:val="00990E8E"/>
    <w:rsid w:val="00993153"/>
    <w:rsid w:val="00993D58"/>
    <w:rsid w:val="009945BD"/>
    <w:rsid w:val="0099498E"/>
    <w:rsid w:val="00997127"/>
    <w:rsid w:val="0099745E"/>
    <w:rsid w:val="00997928"/>
    <w:rsid w:val="00997951"/>
    <w:rsid w:val="00997C04"/>
    <w:rsid w:val="009A04B3"/>
    <w:rsid w:val="009A1777"/>
    <w:rsid w:val="009A26F2"/>
    <w:rsid w:val="009A46CE"/>
    <w:rsid w:val="009A48C2"/>
    <w:rsid w:val="009A506A"/>
    <w:rsid w:val="009A623C"/>
    <w:rsid w:val="009A62DA"/>
    <w:rsid w:val="009A65F8"/>
    <w:rsid w:val="009A6716"/>
    <w:rsid w:val="009A7E02"/>
    <w:rsid w:val="009B0E7A"/>
    <w:rsid w:val="009B12C9"/>
    <w:rsid w:val="009B1376"/>
    <w:rsid w:val="009B14B1"/>
    <w:rsid w:val="009B17EF"/>
    <w:rsid w:val="009B1936"/>
    <w:rsid w:val="009B21F1"/>
    <w:rsid w:val="009B2212"/>
    <w:rsid w:val="009B26C7"/>
    <w:rsid w:val="009B2DFB"/>
    <w:rsid w:val="009B308D"/>
    <w:rsid w:val="009B32A1"/>
    <w:rsid w:val="009B3CD0"/>
    <w:rsid w:val="009B3F85"/>
    <w:rsid w:val="009B4BE8"/>
    <w:rsid w:val="009B507A"/>
    <w:rsid w:val="009B529A"/>
    <w:rsid w:val="009B54EF"/>
    <w:rsid w:val="009B596E"/>
    <w:rsid w:val="009B5C65"/>
    <w:rsid w:val="009B5F47"/>
    <w:rsid w:val="009B6405"/>
    <w:rsid w:val="009B77B2"/>
    <w:rsid w:val="009B789F"/>
    <w:rsid w:val="009C0249"/>
    <w:rsid w:val="009C089C"/>
    <w:rsid w:val="009C0AD7"/>
    <w:rsid w:val="009C1842"/>
    <w:rsid w:val="009C1E0E"/>
    <w:rsid w:val="009C2A0A"/>
    <w:rsid w:val="009C2A53"/>
    <w:rsid w:val="009C348F"/>
    <w:rsid w:val="009C4160"/>
    <w:rsid w:val="009C4860"/>
    <w:rsid w:val="009C512F"/>
    <w:rsid w:val="009C5527"/>
    <w:rsid w:val="009C55E2"/>
    <w:rsid w:val="009C615F"/>
    <w:rsid w:val="009C6EF1"/>
    <w:rsid w:val="009C72A4"/>
    <w:rsid w:val="009C7DC5"/>
    <w:rsid w:val="009C7E83"/>
    <w:rsid w:val="009D0DFA"/>
    <w:rsid w:val="009D170C"/>
    <w:rsid w:val="009D20DF"/>
    <w:rsid w:val="009D31A7"/>
    <w:rsid w:val="009D3804"/>
    <w:rsid w:val="009D5CBC"/>
    <w:rsid w:val="009D6077"/>
    <w:rsid w:val="009D618C"/>
    <w:rsid w:val="009D63E7"/>
    <w:rsid w:val="009D680E"/>
    <w:rsid w:val="009D72AF"/>
    <w:rsid w:val="009D7EA6"/>
    <w:rsid w:val="009D7F33"/>
    <w:rsid w:val="009E16B5"/>
    <w:rsid w:val="009E3A6A"/>
    <w:rsid w:val="009E3FCA"/>
    <w:rsid w:val="009E4441"/>
    <w:rsid w:val="009E44D3"/>
    <w:rsid w:val="009E48F7"/>
    <w:rsid w:val="009E546D"/>
    <w:rsid w:val="009E668D"/>
    <w:rsid w:val="009E6A8C"/>
    <w:rsid w:val="009E772D"/>
    <w:rsid w:val="009F00A3"/>
    <w:rsid w:val="009F0837"/>
    <w:rsid w:val="009F28E3"/>
    <w:rsid w:val="009F3FFE"/>
    <w:rsid w:val="009F469E"/>
    <w:rsid w:val="009F4E55"/>
    <w:rsid w:val="009F688A"/>
    <w:rsid w:val="009F6B0B"/>
    <w:rsid w:val="009F6E62"/>
    <w:rsid w:val="009F6FF8"/>
    <w:rsid w:val="009F7300"/>
    <w:rsid w:val="009F7C2C"/>
    <w:rsid w:val="00A001AD"/>
    <w:rsid w:val="00A01BD4"/>
    <w:rsid w:val="00A03A30"/>
    <w:rsid w:val="00A03DD8"/>
    <w:rsid w:val="00A04C1D"/>
    <w:rsid w:val="00A058D1"/>
    <w:rsid w:val="00A05E3D"/>
    <w:rsid w:val="00A060F8"/>
    <w:rsid w:val="00A06361"/>
    <w:rsid w:val="00A06455"/>
    <w:rsid w:val="00A07070"/>
    <w:rsid w:val="00A07D67"/>
    <w:rsid w:val="00A10502"/>
    <w:rsid w:val="00A10D9E"/>
    <w:rsid w:val="00A13920"/>
    <w:rsid w:val="00A13CE6"/>
    <w:rsid w:val="00A14779"/>
    <w:rsid w:val="00A1492F"/>
    <w:rsid w:val="00A15B7A"/>
    <w:rsid w:val="00A16DA6"/>
    <w:rsid w:val="00A16EB9"/>
    <w:rsid w:val="00A16F64"/>
    <w:rsid w:val="00A16F76"/>
    <w:rsid w:val="00A17124"/>
    <w:rsid w:val="00A17359"/>
    <w:rsid w:val="00A173BD"/>
    <w:rsid w:val="00A17F2F"/>
    <w:rsid w:val="00A17FDE"/>
    <w:rsid w:val="00A2037B"/>
    <w:rsid w:val="00A2041D"/>
    <w:rsid w:val="00A20FFA"/>
    <w:rsid w:val="00A21527"/>
    <w:rsid w:val="00A21801"/>
    <w:rsid w:val="00A2396D"/>
    <w:rsid w:val="00A23C09"/>
    <w:rsid w:val="00A24E04"/>
    <w:rsid w:val="00A2569F"/>
    <w:rsid w:val="00A26D4C"/>
    <w:rsid w:val="00A30492"/>
    <w:rsid w:val="00A30AE7"/>
    <w:rsid w:val="00A31BB1"/>
    <w:rsid w:val="00A32D29"/>
    <w:rsid w:val="00A34A18"/>
    <w:rsid w:val="00A35E0D"/>
    <w:rsid w:val="00A361E8"/>
    <w:rsid w:val="00A366C7"/>
    <w:rsid w:val="00A37321"/>
    <w:rsid w:val="00A37A3E"/>
    <w:rsid w:val="00A37ACB"/>
    <w:rsid w:val="00A40676"/>
    <w:rsid w:val="00A40AD5"/>
    <w:rsid w:val="00A40D7A"/>
    <w:rsid w:val="00A41141"/>
    <w:rsid w:val="00A41B2F"/>
    <w:rsid w:val="00A4288C"/>
    <w:rsid w:val="00A43349"/>
    <w:rsid w:val="00A438F4"/>
    <w:rsid w:val="00A44743"/>
    <w:rsid w:val="00A4716C"/>
    <w:rsid w:val="00A504BD"/>
    <w:rsid w:val="00A50AC8"/>
    <w:rsid w:val="00A50E58"/>
    <w:rsid w:val="00A51807"/>
    <w:rsid w:val="00A518C0"/>
    <w:rsid w:val="00A52E29"/>
    <w:rsid w:val="00A52FB3"/>
    <w:rsid w:val="00A5305C"/>
    <w:rsid w:val="00A533D7"/>
    <w:rsid w:val="00A53EBA"/>
    <w:rsid w:val="00A53F11"/>
    <w:rsid w:val="00A53FD2"/>
    <w:rsid w:val="00A56277"/>
    <w:rsid w:val="00A60D79"/>
    <w:rsid w:val="00A610EB"/>
    <w:rsid w:val="00A618F5"/>
    <w:rsid w:val="00A61B75"/>
    <w:rsid w:val="00A62358"/>
    <w:rsid w:val="00A62555"/>
    <w:rsid w:val="00A62626"/>
    <w:rsid w:val="00A635B0"/>
    <w:rsid w:val="00A65408"/>
    <w:rsid w:val="00A659D9"/>
    <w:rsid w:val="00A65D2E"/>
    <w:rsid w:val="00A67D26"/>
    <w:rsid w:val="00A7256D"/>
    <w:rsid w:val="00A726BB"/>
    <w:rsid w:val="00A72949"/>
    <w:rsid w:val="00A72EDA"/>
    <w:rsid w:val="00A7419E"/>
    <w:rsid w:val="00A74D82"/>
    <w:rsid w:val="00A75540"/>
    <w:rsid w:val="00A7580C"/>
    <w:rsid w:val="00A7661E"/>
    <w:rsid w:val="00A76FEF"/>
    <w:rsid w:val="00A77AE7"/>
    <w:rsid w:val="00A77EFB"/>
    <w:rsid w:val="00A77EFD"/>
    <w:rsid w:val="00A813E7"/>
    <w:rsid w:val="00A81554"/>
    <w:rsid w:val="00A81981"/>
    <w:rsid w:val="00A82478"/>
    <w:rsid w:val="00A82E6A"/>
    <w:rsid w:val="00A83107"/>
    <w:rsid w:val="00A83621"/>
    <w:rsid w:val="00A83AB6"/>
    <w:rsid w:val="00A83FE5"/>
    <w:rsid w:val="00A85DF3"/>
    <w:rsid w:val="00A861B3"/>
    <w:rsid w:val="00A86ACB"/>
    <w:rsid w:val="00A86CA4"/>
    <w:rsid w:val="00A875C2"/>
    <w:rsid w:val="00A8773B"/>
    <w:rsid w:val="00A904CE"/>
    <w:rsid w:val="00A90CF3"/>
    <w:rsid w:val="00A90E6F"/>
    <w:rsid w:val="00A90E70"/>
    <w:rsid w:val="00A91A60"/>
    <w:rsid w:val="00A929C2"/>
    <w:rsid w:val="00A943FB"/>
    <w:rsid w:val="00A97E4A"/>
    <w:rsid w:val="00AA034E"/>
    <w:rsid w:val="00AA0484"/>
    <w:rsid w:val="00AA0F79"/>
    <w:rsid w:val="00AA1989"/>
    <w:rsid w:val="00AA2749"/>
    <w:rsid w:val="00AA275A"/>
    <w:rsid w:val="00AA284A"/>
    <w:rsid w:val="00AA2BC4"/>
    <w:rsid w:val="00AA4339"/>
    <w:rsid w:val="00AA4E8E"/>
    <w:rsid w:val="00AA51D8"/>
    <w:rsid w:val="00AA61CE"/>
    <w:rsid w:val="00AA7519"/>
    <w:rsid w:val="00AA7A23"/>
    <w:rsid w:val="00AA7BE0"/>
    <w:rsid w:val="00AB05F7"/>
    <w:rsid w:val="00AB061E"/>
    <w:rsid w:val="00AB153A"/>
    <w:rsid w:val="00AB1773"/>
    <w:rsid w:val="00AB20E5"/>
    <w:rsid w:val="00AB225F"/>
    <w:rsid w:val="00AB2AB3"/>
    <w:rsid w:val="00AB3BD7"/>
    <w:rsid w:val="00AB4358"/>
    <w:rsid w:val="00AB4F18"/>
    <w:rsid w:val="00AB59EC"/>
    <w:rsid w:val="00AB69DC"/>
    <w:rsid w:val="00AB6A94"/>
    <w:rsid w:val="00AB750C"/>
    <w:rsid w:val="00AB7FE1"/>
    <w:rsid w:val="00AB7FEB"/>
    <w:rsid w:val="00AC0432"/>
    <w:rsid w:val="00AC06DB"/>
    <w:rsid w:val="00AC0A06"/>
    <w:rsid w:val="00AC0DD5"/>
    <w:rsid w:val="00AC108B"/>
    <w:rsid w:val="00AC15AB"/>
    <w:rsid w:val="00AC2799"/>
    <w:rsid w:val="00AC2E25"/>
    <w:rsid w:val="00AC4C1A"/>
    <w:rsid w:val="00AC4E98"/>
    <w:rsid w:val="00AC4EF5"/>
    <w:rsid w:val="00AC61F5"/>
    <w:rsid w:val="00AC6BF9"/>
    <w:rsid w:val="00AC7A47"/>
    <w:rsid w:val="00AD0596"/>
    <w:rsid w:val="00AD1243"/>
    <w:rsid w:val="00AD14F0"/>
    <w:rsid w:val="00AD1551"/>
    <w:rsid w:val="00AD1ADE"/>
    <w:rsid w:val="00AD205B"/>
    <w:rsid w:val="00AD2811"/>
    <w:rsid w:val="00AD313E"/>
    <w:rsid w:val="00AD3931"/>
    <w:rsid w:val="00AD3CAE"/>
    <w:rsid w:val="00AD3E00"/>
    <w:rsid w:val="00AD41AD"/>
    <w:rsid w:val="00AD441A"/>
    <w:rsid w:val="00AD5983"/>
    <w:rsid w:val="00AD5F4E"/>
    <w:rsid w:val="00AD6D84"/>
    <w:rsid w:val="00AD763C"/>
    <w:rsid w:val="00AD7B47"/>
    <w:rsid w:val="00AE0597"/>
    <w:rsid w:val="00AE10C7"/>
    <w:rsid w:val="00AE1216"/>
    <w:rsid w:val="00AE18C8"/>
    <w:rsid w:val="00AE2E4F"/>
    <w:rsid w:val="00AE36B7"/>
    <w:rsid w:val="00AE384E"/>
    <w:rsid w:val="00AE4346"/>
    <w:rsid w:val="00AE5A65"/>
    <w:rsid w:val="00AE5F0A"/>
    <w:rsid w:val="00AE742A"/>
    <w:rsid w:val="00AE761F"/>
    <w:rsid w:val="00AF153D"/>
    <w:rsid w:val="00AF1F83"/>
    <w:rsid w:val="00AF2B2D"/>
    <w:rsid w:val="00AF2D21"/>
    <w:rsid w:val="00AF345D"/>
    <w:rsid w:val="00AF36DD"/>
    <w:rsid w:val="00AF49E0"/>
    <w:rsid w:val="00AF4BCA"/>
    <w:rsid w:val="00AF57EA"/>
    <w:rsid w:val="00AF5A53"/>
    <w:rsid w:val="00AF65F4"/>
    <w:rsid w:val="00AF6965"/>
    <w:rsid w:val="00AF69F2"/>
    <w:rsid w:val="00AF7371"/>
    <w:rsid w:val="00B00CCD"/>
    <w:rsid w:val="00B01D56"/>
    <w:rsid w:val="00B028B7"/>
    <w:rsid w:val="00B028C4"/>
    <w:rsid w:val="00B032D0"/>
    <w:rsid w:val="00B0435E"/>
    <w:rsid w:val="00B051B8"/>
    <w:rsid w:val="00B05398"/>
    <w:rsid w:val="00B058A7"/>
    <w:rsid w:val="00B06045"/>
    <w:rsid w:val="00B06778"/>
    <w:rsid w:val="00B06894"/>
    <w:rsid w:val="00B06C43"/>
    <w:rsid w:val="00B07206"/>
    <w:rsid w:val="00B0761B"/>
    <w:rsid w:val="00B10455"/>
    <w:rsid w:val="00B109C1"/>
    <w:rsid w:val="00B10A07"/>
    <w:rsid w:val="00B10A11"/>
    <w:rsid w:val="00B121B3"/>
    <w:rsid w:val="00B12E78"/>
    <w:rsid w:val="00B13415"/>
    <w:rsid w:val="00B144DB"/>
    <w:rsid w:val="00B1499A"/>
    <w:rsid w:val="00B17FC8"/>
    <w:rsid w:val="00B2006A"/>
    <w:rsid w:val="00B20701"/>
    <w:rsid w:val="00B22253"/>
    <w:rsid w:val="00B222CD"/>
    <w:rsid w:val="00B224DF"/>
    <w:rsid w:val="00B23833"/>
    <w:rsid w:val="00B30921"/>
    <w:rsid w:val="00B3127B"/>
    <w:rsid w:val="00B31432"/>
    <w:rsid w:val="00B32964"/>
    <w:rsid w:val="00B33133"/>
    <w:rsid w:val="00B33570"/>
    <w:rsid w:val="00B33B70"/>
    <w:rsid w:val="00B3477B"/>
    <w:rsid w:val="00B355EE"/>
    <w:rsid w:val="00B35E92"/>
    <w:rsid w:val="00B35FED"/>
    <w:rsid w:val="00B36791"/>
    <w:rsid w:val="00B3746F"/>
    <w:rsid w:val="00B3780D"/>
    <w:rsid w:val="00B37AE3"/>
    <w:rsid w:val="00B40132"/>
    <w:rsid w:val="00B416B6"/>
    <w:rsid w:val="00B432A6"/>
    <w:rsid w:val="00B45C42"/>
    <w:rsid w:val="00B45D4E"/>
    <w:rsid w:val="00B4762A"/>
    <w:rsid w:val="00B5087C"/>
    <w:rsid w:val="00B50A05"/>
    <w:rsid w:val="00B51259"/>
    <w:rsid w:val="00B51A5D"/>
    <w:rsid w:val="00B52D31"/>
    <w:rsid w:val="00B52D44"/>
    <w:rsid w:val="00B546C8"/>
    <w:rsid w:val="00B54AB0"/>
    <w:rsid w:val="00B55473"/>
    <w:rsid w:val="00B56135"/>
    <w:rsid w:val="00B57454"/>
    <w:rsid w:val="00B62494"/>
    <w:rsid w:val="00B62811"/>
    <w:rsid w:val="00B62C1A"/>
    <w:rsid w:val="00B6403E"/>
    <w:rsid w:val="00B6441B"/>
    <w:rsid w:val="00B64B31"/>
    <w:rsid w:val="00B64D99"/>
    <w:rsid w:val="00B656E4"/>
    <w:rsid w:val="00B65C59"/>
    <w:rsid w:val="00B66138"/>
    <w:rsid w:val="00B67704"/>
    <w:rsid w:val="00B677F5"/>
    <w:rsid w:val="00B67828"/>
    <w:rsid w:val="00B67FBA"/>
    <w:rsid w:val="00B7115C"/>
    <w:rsid w:val="00B714B2"/>
    <w:rsid w:val="00B7302E"/>
    <w:rsid w:val="00B732F0"/>
    <w:rsid w:val="00B75FC0"/>
    <w:rsid w:val="00B76323"/>
    <w:rsid w:val="00B76ED1"/>
    <w:rsid w:val="00B7722B"/>
    <w:rsid w:val="00B77A9A"/>
    <w:rsid w:val="00B77E1B"/>
    <w:rsid w:val="00B77E8C"/>
    <w:rsid w:val="00B77EDF"/>
    <w:rsid w:val="00B77F85"/>
    <w:rsid w:val="00B8015E"/>
    <w:rsid w:val="00B82055"/>
    <w:rsid w:val="00B824E2"/>
    <w:rsid w:val="00B835C5"/>
    <w:rsid w:val="00B842BD"/>
    <w:rsid w:val="00B84335"/>
    <w:rsid w:val="00B85E79"/>
    <w:rsid w:val="00B869D2"/>
    <w:rsid w:val="00B86A57"/>
    <w:rsid w:val="00B912E3"/>
    <w:rsid w:val="00B91BD2"/>
    <w:rsid w:val="00B92919"/>
    <w:rsid w:val="00B931D7"/>
    <w:rsid w:val="00B9341C"/>
    <w:rsid w:val="00B94B72"/>
    <w:rsid w:val="00B952F0"/>
    <w:rsid w:val="00B9534B"/>
    <w:rsid w:val="00B97E6E"/>
    <w:rsid w:val="00BA3DD6"/>
    <w:rsid w:val="00BA42F2"/>
    <w:rsid w:val="00BA466B"/>
    <w:rsid w:val="00BA5BC2"/>
    <w:rsid w:val="00BA7AD5"/>
    <w:rsid w:val="00BA7D0E"/>
    <w:rsid w:val="00BB0511"/>
    <w:rsid w:val="00BB078A"/>
    <w:rsid w:val="00BB18A0"/>
    <w:rsid w:val="00BB28AA"/>
    <w:rsid w:val="00BB56C1"/>
    <w:rsid w:val="00BB5A42"/>
    <w:rsid w:val="00BB68FD"/>
    <w:rsid w:val="00BB70A1"/>
    <w:rsid w:val="00BB7631"/>
    <w:rsid w:val="00BB77F9"/>
    <w:rsid w:val="00BB7E47"/>
    <w:rsid w:val="00BC057F"/>
    <w:rsid w:val="00BC0ACE"/>
    <w:rsid w:val="00BC1CA5"/>
    <w:rsid w:val="00BC33EE"/>
    <w:rsid w:val="00BC3958"/>
    <w:rsid w:val="00BC3D16"/>
    <w:rsid w:val="00BC50AD"/>
    <w:rsid w:val="00BC52A3"/>
    <w:rsid w:val="00BC5314"/>
    <w:rsid w:val="00BC5BFC"/>
    <w:rsid w:val="00BC78AD"/>
    <w:rsid w:val="00BD0C7A"/>
    <w:rsid w:val="00BD2237"/>
    <w:rsid w:val="00BD2E83"/>
    <w:rsid w:val="00BD341E"/>
    <w:rsid w:val="00BD3956"/>
    <w:rsid w:val="00BD4B34"/>
    <w:rsid w:val="00BD63D8"/>
    <w:rsid w:val="00BD6434"/>
    <w:rsid w:val="00BD6902"/>
    <w:rsid w:val="00BD7321"/>
    <w:rsid w:val="00BD79E2"/>
    <w:rsid w:val="00BD7B31"/>
    <w:rsid w:val="00BD7B51"/>
    <w:rsid w:val="00BD7B6A"/>
    <w:rsid w:val="00BD7E37"/>
    <w:rsid w:val="00BE11EA"/>
    <w:rsid w:val="00BE16BB"/>
    <w:rsid w:val="00BE1FA7"/>
    <w:rsid w:val="00BE25C9"/>
    <w:rsid w:val="00BE2BD5"/>
    <w:rsid w:val="00BE2DE2"/>
    <w:rsid w:val="00BE3B70"/>
    <w:rsid w:val="00BE3DF4"/>
    <w:rsid w:val="00BE43FD"/>
    <w:rsid w:val="00BE4F03"/>
    <w:rsid w:val="00BE623A"/>
    <w:rsid w:val="00BE723A"/>
    <w:rsid w:val="00BE74C8"/>
    <w:rsid w:val="00BE7B83"/>
    <w:rsid w:val="00BF1774"/>
    <w:rsid w:val="00BF1E89"/>
    <w:rsid w:val="00BF3054"/>
    <w:rsid w:val="00BF38B7"/>
    <w:rsid w:val="00BF426F"/>
    <w:rsid w:val="00BF492B"/>
    <w:rsid w:val="00BF4BA4"/>
    <w:rsid w:val="00BF6035"/>
    <w:rsid w:val="00BF683C"/>
    <w:rsid w:val="00BF79EA"/>
    <w:rsid w:val="00BF7FBF"/>
    <w:rsid w:val="00C00C85"/>
    <w:rsid w:val="00C01DB7"/>
    <w:rsid w:val="00C01E40"/>
    <w:rsid w:val="00C021C0"/>
    <w:rsid w:val="00C025AE"/>
    <w:rsid w:val="00C039C1"/>
    <w:rsid w:val="00C03ADF"/>
    <w:rsid w:val="00C04719"/>
    <w:rsid w:val="00C04C87"/>
    <w:rsid w:val="00C053D4"/>
    <w:rsid w:val="00C054C2"/>
    <w:rsid w:val="00C068CB"/>
    <w:rsid w:val="00C06A69"/>
    <w:rsid w:val="00C07DA7"/>
    <w:rsid w:val="00C07E42"/>
    <w:rsid w:val="00C1106F"/>
    <w:rsid w:val="00C1180D"/>
    <w:rsid w:val="00C12C6F"/>
    <w:rsid w:val="00C131DC"/>
    <w:rsid w:val="00C14243"/>
    <w:rsid w:val="00C1457C"/>
    <w:rsid w:val="00C162A9"/>
    <w:rsid w:val="00C1721F"/>
    <w:rsid w:val="00C17B76"/>
    <w:rsid w:val="00C17D99"/>
    <w:rsid w:val="00C201DB"/>
    <w:rsid w:val="00C20463"/>
    <w:rsid w:val="00C20BC8"/>
    <w:rsid w:val="00C21718"/>
    <w:rsid w:val="00C21FC5"/>
    <w:rsid w:val="00C23330"/>
    <w:rsid w:val="00C2344A"/>
    <w:rsid w:val="00C235FA"/>
    <w:rsid w:val="00C240D0"/>
    <w:rsid w:val="00C24C28"/>
    <w:rsid w:val="00C2670F"/>
    <w:rsid w:val="00C26D42"/>
    <w:rsid w:val="00C26DE5"/>
    <w:rsid w:val="00C27A48"/>
    <w:rsid w:val="00C306B0"/>
    <w:rsid w:val="00C306B9"/>
    <w:rsid w:val="00C30D5A"/>
    <w:rsid w:val="00C32DA0"/>
    <w:rsid w:val="00C35DA5"/>
    <w:rsid w:val="00C36124"/>
    <w:rsid w:val="00C3656E"/>
    <w:rsid w:val="00C37B2D"/>
    <w:rsid w:val="00C37DBC"/>
    <w:rsid w:val="00C40684"/>
    <w:rsid w:val="00C4081C"/>
    <w:rsid w:val="00C415C8"/>
    <w:rsid w:val="00C41CAE"/>
    <w:rsid w:val="00C42EB7"/>
    <w:rsid w:val="00C43938"/>
    <w:rsid w:val="00C44875"/>
    <w:rsid w:val="00C4527A"/>
    <w:rsid w:val="00C527BC"/>
    <w:rsid w:val="00C52B49"/>
    <w:rsid w:val="00C532E3"/>
    <w:rsid w:val="00C53F9C"/>
    <w:rsid w:val="00C5425F"/>
    <w:rsid w:val="00C54BFC"/>
    <w:rsid w:val="00C55399"/>
    <w:rsid w:val="00C56656"/>
    <w:rsid w:val="00C566CC"/>
    <w:rsid w:val="00C56AEB"/>
    <w:rsid w:val="00C575FB"/>
    <w:rsid w:val="00C61992"/>
    <w:rsid w:val="00C61AC2"/>
    <w:rsid w:val="00C61C19"/>
    <w:rsid w:val="00C62F09"/>
    <w:rsid w:val="00C6469D"/>
    <w:rsid w:val="00C6522D"/>
    <w:rsid w:val="00C65808"/>
    <w:rsid w:val="00C6584F"/>
    <w:rsid w:val="00C67528"/>
    <w:rsid w:val="00C67BD2"/>
    <w:rsid w:val="00C701F3"/>
    <w:rsid w:val="00C70606"/>
    <w:rsid w:val="00C70F98"/>
    <w:rsid w:val="00C737BA"/>
    <w:rsid w:val="00C75B0F"/>
    <w:rsid w:val="00C77B9B"/>
    <w:rsid w:val="00C805C9"/>
    <w:rsid w:val="00C82020"/>
    <w:rsid w:val="00C820D4"/>
    <w:rsid w:val="00C8227E"/>
    <w:rsid w:val="00C83206"/>
    <w:rsid w:val="00C8345F"/>
    <w:rsid w:val="00C83C1D"/>
    <w:rsid w:val="00C83FF3"/>
    <w:rsid w:val="00C84653"/>
    <w:rsid w:val="00C85014"/>
    <w:rsid w:val="00C858B7"/>
    <w:rsid w:val="00C869FC"/>
    <w:rsid w:val="00C87FAA"/>
    <w:rsid w:val="00C90866"/>
    <w:rsid w:val="00C90963"/>
    <w:rsid w:val="00C91445"/>
    <w:rsid w:val="00C923E5"/>
    <w:rsid w:val="00C92DB2"/>
    <w:rsid w:val="00C937B0"/>
    <w:rsid w:val="00C93AB4"/>
    <w:rsid w:val="00C945E8"/>
    <w:rsid w:val="00C955F1"/>
    <w:rsid w:val="00C9563B"/>
    <w:rsid w:val="00C95873"/>
    <w:rsid w:val="00C9672E"/>
    <w:rsid w:val="00C96A63"/>
    <w:rsid w:val="00C96B34"/>
    <w:rsid w:val="00CA038D"/>
    <w:rsid w:val="00CA0E64"/>
    <w:rsid w:val="00CA1BC3"/>
    <w:rsid w:val="00CA1E9F"/>
    <w:rsid w:val="00CA2110"/>
    <w:rsid w:val="00CA240A"/>
    <w:rsid w:val="00CA2C7C"/>
    <w:rsid w:val="00CA3D1F"/>
    <w:rsid w:val="00CA463C"/>
    <w:rsid w:val="00CA4A37"/>
    <w:rsid w:val="00CA4B06"/>
    <w:rsid w:val="00CA55ED"/>
    <w:rsid w:val="00CA5796"/>
    <w:rsid w:val="00CA5AA4"/>
    <w:rsid w:val="00CA5C84"/>
    <w:rsid w:val="00CA6981"/>
    <w:rsid w:val="00CA6EB9"/>
    <w:rsid w:val="00CA75DE"/>
    <w:rsid w:val="00CA761B"/>
    <w:rsid w:val="00CB0731"/>
    <w:rsid w:val="00CB0A20"/>
    <w:rsid w:val="00CB21A4"/>
    <w:rsid w:val="00CB4E88"/>
    <w:rsid w:val="00CB5697"/>
    <w:rsid w:val="00CB56DE"/>
    <w:rsid w:val="00CB5C5A"/>
    <w:rsid w:val="00CB60AE"/>
    <w:rsid w:val="00CB782B"/>
    <w:rsid w:val="00CB793A"/>
    <w:rsid w:val="00CC0641"/>
    <w:rsid w:val="00CC0AB5"/>
    <w:rsid w:val="00CC0D82"/>
    <w:rsid w:val="00CC0F22"/>
    <w:rsid w:val="00CC11F6"/>
    <w:rsid w:val="00CC238C"/>
    <w:rsid w:val="00CC3D08"/>
    <w:rsid w:val="00CC502F"/>
    <w:rsid w:val="00CC5DD8"/>
    <w:rsid w:val="00CC6BE3"/>
    <w:rsid w:val="00CD2636"/>
    <w:rsid w:val="00CD29B1"/>
    <w:rsid w:val="00CD2AAF"/>
    <w:rsid w:val="00CD2ED5"/>
    <w:rsid w:val="00CD32DC"/>
    <w:rsid w:val="00CD3AEA"/>
    <w:rsid w:val="00CD3E4E"/>
    <w:rsid w:val="00CD466E"/>
    <w:rsid w:val="00CD6ACC"/>
    <w:rsid w:val="00CD6B3C"/>
    <w:rsid w:val="00CD6C81"/>
    <w:rsid w:val="00CD6D02"/>
    <w:rsid w:val="00CE06A6"/>
    <w:rsid w:val="00CE0A2C"/>
    <w:rsid w:val="00CE0D45"/>
    <w:rsid w:val="00CE0EDB"/>
    <w:rsid w:val="00CE27A7"/>
    <w:rsid w:val="00CE291A"/>
    <w:rsid w:val="00CE2AB7"/>
    <w:rsid w:val="00CE32F4"/>
    <w:rsid w:val="00CE3391"/>
    <w:rsid w:val="00CE3B39"/>
    <w:rsid w:val="00CE3FEF"/>
    <w:rsid w:val="00CE5346"/>
    <w:rsid w:val="00CE56BC"/>
    <w:rsid w:val="00CE5CBC"/>
    <w:rsid w:val="00CE66E4"/>
    <w:rsid w:val="00CE7BAC"/>
    <w:rsid w:val="00CE7CA6"/>
    <w:rsid w:val="00CF06A4"/>
    <w:rsid w:val="00CF36FB"/>
    <w:rsid w:val="00CF39CF"/>
    <w:rsid w:val="00CF3A79"/>
    <w:rsid w:val="00CF3DF1"/>
    <w:rsid w:val="00CF4AC5"/>
    <w:rsid w:val="00CF4B1B"/>
    <w:rsid w:val="00D00071"/>
    <w:rsid w:val="00D002DC"/>
    <w:rsid w:val="00D002DE"/>
    <w:rsid w:val="00D00E45"/>
    <w:rsid w:val="00D01464"/>
    <w:rsid w:val="00D0242D"/>
    <w:rsid w:val="00D02784"/>
    <w:rsid w:val="00D02A93"/>
    <w:rsid w:val="00D03634"/>
    <w:rsid w:val="00D03FCB"/>
    <w:rsid w:val="00D04289"/>
    <w:rsid w:val="00D063C1"/>
    <w:rsid w:val="00D06EB8"/>
    <w:rsid w:val="00D075AB"/>
    <w:rsid w:val="00D12C05"/>
    <w:rsid w:val="00D146E0"/>
    <w:rsid w:val="00D14A2E"/>
    <w:rsid w:val="00D16CA1"/>
    <w:rsid w:val="00D16EAE"/>
    <w:rsid w:val="00D17687"/>
    <w:rsid w:val="00D2244D"/>
    <w:rsid w:val="00D2262C"/>
    <w:rsid w:val="00D240CF"/>
    <w:rsid w:val="00D24962"/>
    <w:rsid w:val="00D2530E"/>
    <w:rsid w:val="00D257B4"/>
    <w:rsid w:val="00D258BA"/>
    <w:rsid w:val="00D258E7"/>
    <w:rsid w:val="00D25CE8"/>
    <w:rsid w:val="00D264CE"/>
    <w:rsid w:val="00D26C9D"/>
    <w:rsid w:val="00D27765"/>
    <w:rsid w:val="00D27A65"/>
    <w:rsid w:val="00D27F02"/>
    <w:rsid w:val="00D304A5"/>
    <w:rsid w:val="00D304EE"/>
    <w:rsid w:val="00D310D6"/>
    <w:rsid w:val="00D31576"/>
    <w:rsid w:val="00D31852"/>
    <w:rsid w:val="00D329B8"/>
    <w:rsid w:val="00D32AB7"/>
    <w:rsid w:val="00D32C02"/>
    <w:rsid w:val="00D32E85"/>
    <w:rsid w:val="00D33051"/>
    <w:rsid w:val="00D344B3"/>
    <w:rsid w:val="00D34CE3"/>
    <w:rsid w:val="00D37E49"/>
    <w:rsid w:val="00D41420"/>
    <w:rsid w:val="00D437D3"/>
    <w:rsid w:val="00D44102"/>
    <w:rsid w:val="00D447F0"/>
    <w:rsid w:val="00D44A97"/>
    <w:rsid w:val="00D44D32"/>
    <w:rsid w:val="00D45568"/>
    <w:rsid w:val="00D45A2F"/>
    <w:rsid w:val="00D45DC6"/>
    <w:rsid w:val="00D465B5"/>
    <w:rsid w:val="00D46D4D"/>
    <w:rsid w:val="00D4733B"/>
    <w:rsid w:val="00D47612"/>
    <w:rsid w:val="00D50218"/>
    <w:rsid w:val="00D5024C"/>
    <w:rsid w:val="00D5089A"/>
    <w:rsid w:val="00D52411"/>
    <w:rsid w:val="00D5278C"/>
    <w:rsid w:val="00D53F69"/>
    <w:rsid w:val="00D53FDF"/>
    <w:rsid w:val="00D542EF"/>
    <w:rsid w:val="00D5482B"/>
    <w:rsid w:val="00D54A76"/>
    <w:rsid w:val="00D54B04"/>
    <w:rsid w:val="00D54D9E"/>
    <w:rsid w:val="00D55AA3"/>
    <w:rsid w:val="00D56BFE"/>
    <w:rsid w:val="00D56DC9"/>
    <w:rsid w:val="00D57BE0"/>
    <w:rsid w:val="00D63815"/>
    <w:rsid w:val="00D64859"/>
    <w:rsid w:val="00D64A7F"/>
    <w:rsid w:val="00D65FEF"/>
    <w:rsid w:val="00D66326"/>
    <w:rsid w:val="00D663B0"/>
    <w:rsid w:val="00D66971"/>
    <w:rsid w:val="00D678F1"/>
    <w:rsid w:val="00D67E0B"/>
    <w:rsid w:val="00D70341"/>
    <w:rsid w:val="00D70C8A"/>
    <w:rsid w:val="00D71D2A"/>
    <w:rsid w:val="00D72D94"/>
    <w:rsid w:val="00D734AB"/>
    <w:rsid w:val="00D73761"/>
    <w:rsid w:val="00D7495D"/>
    <w:rsid w:val="00D773BF"/>
    <w:rsid w:val="00D77F4B"/>
    <w:rsid w:val="00D80530"/>
    <w:rsid w:val="00D810DB"/>
    <w:rsid w:val="00D81169"/>
    <w:rsid w:val="00D81C4B"/>
    <w:rsid w:val="00D822BC"/>
    <w:rsid w:val="00D822D6"/>
    <w:rsid w:val="00D824E4"/>
    <w:rsid w:val="00D827A2"/>
    <w:rsid w:val="00D856B9"/>
    <w:rsid w:val="00D856FA"/>
    <w:rsid w:val="00D864E8"/>
    <w:rsid w:val="00D8680A"/>
    <w:rsid w:val="00D90B99"/>
    <w:rsid w:val="00D91C3C"/>
    <w:rsid w:val="00D91FE6"/>
    <w:rsid w:val="00D925C3"/>
    <w:rsid w:val="00D928C3"/>
    <w:rsid w:val="00D92F77"/>
    <w:rsid w:val="00D934FD"/>
    <w:rsid w:val="00D95387"/>
    <w:rsid w:val="00D956E6"/>
    <w:rsid w:val="00D959F9"/>
    <w:rsid w:val="00DA1D94"/>
    <w:rsid w:val="00DA1E0C"/>
    <w:rsid w:val="00DA24E9"/>
    <w:rsid w:val="00DA339A"/>
    <w:rsid w:val="00DA341E"/>
    <w:rsid w:val="00DA38AB"/>
    <w:rsid w:val="00DA3B21"/>
    <w:rsid w:val="00DA3FDC"/>
    <w:rsid w:val="00DA4DEA"/>
    <w:rsid w:val="00DA5033"/>
    <w:rsid w:val="00DA6B9D"/>
    <w:rsid w:val="00DB0268"/>
    <w:rsid w:val="00DB08FA"/>
    <w:rsid w:val="00DB1395"/>
    <w:rsid w:val="00DB1F7E"/>
    <w:rsid w:val="00DB27B3"/>
    <w:rsid w:val="00DB2CAB"/>
    <w:rsid w:val="00DB37A5"/>
    <w:rsid w:val="00DB48C4"/>
    <w:rsid w:val="00DB500F"/>
    <w:rsid w:val="00DB5B95"/>
    <w:rsid w:val="00DB6A41"/>
    <w:rsid w:val="00DB7B3F"/>
    <w:rsid w:val="00DB7C37"/>
    <w:rsid w:val="00DC1C5F"/>
    <w:rsid w:val="00DC1E7B"/>
    <w:rsid w:val="00DC2E97"/>
    <w:rsid w:val="00DC34BD"/>
    <w:rsid w:val="00DC407B"/>
    <w:rsid w:val="00DC569D"/>
    <w:rsid w:val="00DC62F9"/>
    <w:rsid w:val="00DC6617"/>
    <w:rsid w:val="00DC6F6F"/>
    <w:rsid w:val="00DC70BD"/>
    <w:rsid w:val="00DC7F83"/>
    <w:rsid w:val="00DD0F77"/>
    <w:rsid w:val="00DD2041"/>
    <w:rsid w:val="00DD221D"/>
    <w:rsid w:val="00DD2A20"/>
    <w:rsid w:val="00DD3529"/>
    <w:rsid w:val="00DD36BE"/>
    <w:rsid w:val="00DD39CC"/>
    <w:rsid w:val="00DD3CA2"/>
    <w:rsid w:val="00DD41DD"/>
    <w:rsid w:val="00DD4444"/>
    <w:rsid w:val="00DD4FC0"/>
    <w:rsid w:val="00DD5083"/>
    <w:rsid w:val="00DD50C8"/>
    <w:rsid w:val="00DD6595"/>
    <w:rsid w:val="00DD6CFE"/>
    <w:rsid w:val="00DD7F15"/>
    <w:rsid w:val="00DE1A3B"/>
    <w:rsid w:val="00DE30BC"/>
    <w:rsid w:val="00DE3806"/>
    <w:rsid w:val="00DE3934"/>
    <w:rsid w:val="00DE5CCC"/>
    <w:rsid w:val="00DE64C4"/>
    <w:rsid w:val="00DE7E35"/>
    <w:rsid w:val="00DF0755"/>
    <w:rsid w:val="00DF08CF"/>
    <w:rsid w:val="00DF0D99"/>
    <w:rsid w:val="00DF1AC5"/>
    <w:rsid w:val="00DF1B20"/>
    <w:rsid w:val="00DF2861"/>
    <w:rsid w:val="00DF2ECC"/>
    <w:rsid w:val="00DF31A4"/>
    <w:rsid w:val="00DF33F9"/>
    <w:rsid w:val="00DF3A24"/>
    <w:rsid w:val="00DF3D2F"/>
    <w:rsid w:val="00DF4272"/>
    <w:rsid w:val="00DF4978"/>
    <w:rsid w:val="00DF4BC0"/>
    <w:rsid w:val="00DF6F46"/>
    <w:rsid w:val="00DF7668"/>
    <w:rsid w:val="00E02704"/>
    <w:rsid w:val="00E04933"/>
    <w:rsid w:val="00E0530F"/>
    <w:rsid w:val="00E067E1"/>
    <w:rsid w:val="00E06BD7"/>
    <w:rsid w:val="00E07B86"/>
    <w:rsid w:val="00E10B58"/>
    <w:rsid w:val="00E10C8F"/>
    <w:rsid w:val="00E11B1A"/>
    <w:rsid w:val="00E12679"/>
    <w:rsid w:val="00E12C77"/>
    <w:rsid w:val="00E1441B"/>
    <w:rsid w:val="00E1497C"/>
    <w:rsid w:val="00E157FF"/>
    <w:rsid w:val="00E16AB1"/>
    <w:rsid w:val="00E16D63"/>
    <w:rsid w:val="00E21816"/>
    <w:rsid w:val="00E21D58"/>
    <w:rsid w:val="00E2387F"/>
    <w:rsid w:val="00E24A1E"/>
    <w:rsid w:val="00E24FBF"/>
    <w:rsid w:val="00E25F04"/>
    <w:rsid w:val="00E25FE2"/>
    <w:rsid w:val="00E2697F"/>
    <w:rsid w:val="00E26CAA"/>
    <w:rsid w:val="00E277A4"/>
    <w:rsid w:val="00E2788A"/>
    <w:rsid w:val="00E30B19"/>
    <w:rsid w:val="00E31603"/>
    <w:rsid w:val="00E32610"/>
    <w:rsid w:val="00E32A30"/>
    <w:rsid w:val="00E32E92"/>
    <w:rsid w:val="00E345D0"/>
    <w:rsid w:val="00E352E7"/>
    <w:rsid w:val="00E35329"/>
    <w:rsid w:val="00E364F1"/>
    <w:rsid w:val="00E366EB"/>
    <w:rsid w:val="00E37BAB"/>
    <w:rsid w:val="00E4085A"/>
    <w:rsid w:val="00E40DE5"/>
    <w:rsid w:val="00E4122A"/>
    <w:rsid w:val="00E415A1"/>
    <w:rsid w:val="00E41A12"/>
    <w:rsid w:val="00E41E0A"/>
    <w:rsid w:val="00E4278A"/>
    <w:rsid w:val="00E42819"/>
    <w:rsid w:val="00E42888"/>
    <w:rsid w:val="00E42E67"/>
    <w:rsid w:val="00E439EC"/>
    <w:rsid w:val="00E43AF7"/>
    <w:rsid w:val="00E44D28"/>
    <w:rsid w:val="00E44E9B"/>
    <w:rsid w:val="00E44EBF"/>
    <w:rsid w:val="00E45681"/>
    <w:rsid w:val="00E464A2"/>
    <w:rsid w:val="00E46B58"/>
    <w:rsid w:val="00E47AD7"/>
    <w:rsid w:val="00E47CE9"/>
    <w:rsid w:val="00E51F2E"/>
    <w:rsid w:val="00E5405D"/>
    <w:rsid w:val="00E54294"/>
    <w:rsid w:val="00E549CD"/>
    <w:rsid w:val="00E54AD9"/>
    <w:rsid w:val="00E558DE"/>
    <w:rsid w:val="00E55BC5"/>
    <w:rsid w:val="00E55ED8"/>
    <w:rsid w:val="00E570F7"/>
    <w:rsid w:val="00E57376"/>
    <w:rsid w:val="00E57573"/>
    <w:rsid w:val="00E57A70"/>
    <w:rsid w:val="00E60981"/>
    <w:rsid w:val="00E609B1"/>
    <w:rsid w:val="00E610F4"/>
    <w:rsid w:val="00E6164E"/>
    <w:rsid w:val="00E645EA"/>
    <w:rsid w:val="00E645F8"/>
    <w:rsid w:val="00E64936"/>
    <w:rsid w:val="00E662EC"/>
    <w:rsid w:val="00E66746"/>
    <w:rsid w:val="00E673FD"/>
    <w:rsid w:val="00E709E0"/>
    <w:rsid w:val="00E71EBE"/>
    <w:rsid w:val="00E72400"/>
    <w:rsid w:val="00E72560"/>
    <w:rsid w:val="00E72A9D"/>
    <w:rsid w:val="00E72E5F"/>
    <w:rsid w:val="00E7364B"/>
    <w:rsid w:val="00E7430B"/>
    <w:rsid w:val="00E75522"/>
    <w:rsid w:val="00E762D7"/>
    <w:rsid w:val="00E76758"/>
    <w:rsid w:val="00E76B5B"/>
    <w:rsid w:val="00E76D31"/>
    <w:rsid w:val="00E77A8C"/>
    <w:rsid w:val="00E82DFA"/>
    <w:rsid w:val="00E8340F"/>
    <w:rsid w:val="00E83BF6"/>
    <w:rsid w:val="00E8431F"/>
    <w:rsid w:val="00E8448D"/>
    <w:rsid w:val="00E85D9A"/>
    <w:rsid w:val="00E85EC6"/>
    <w:rsid w:val="00E86EC7"/>
    <w:rsid w:val="00E87733"/>
    <w:rsid w:val="00E8788F"/>
    <w:rsid w:val="00E87A3F"/>
    <w:rsid w:val="00E87BA9"/>
    <w:rsid w:val="00E91B61"/>
    <w:rsid w:val="00E91D2E"/>
    <w:rsid w:val="00E9244F"/>
    <w:rsid w:val="00E934F0"/>
    <w:rsid w:val="00E9354C"/>
    <w:rsid w:val="00E93989"/>
    <w:rsid w:val="00E93A0C"/>
    <w:rsid w:val="00E942D7"/>
    <w:rsid w:val="00E94710"/>
    <w:rsid w:val="00E94984"/>
    <w:rsid w:val="00E957F8"/>
    <w:rsid w:val="00E95FDA"/>
    <w:rsid w:val="00E965E4"/>
    <w:rsid w:val="00E97048"/>
    <w:rsid w:val="00EA221D"/>
    <w:rsid w:val="00EA2945"/>
    <w:rsid w:val="00EA2DA1"/>
    <w:rsid w:val="00EA3673"/>
    <w:rsid w:val="00EA4279"/>
    <w:rsid w:val="00EA4532"/>
    <w:rsid w:val="00EA571B"/>
    <w:rsid w:val="00EA60DD"/>
    <w:rsid w:val="00EA6915"/>
    <w:rsid w:val="00EA785B"/>
    <w:rsid w:val="00EA79A3"/>
    <w:rsid w:val="00EA7FC0"/>
    <w:rsid w:val="00EB04DA"/>
    <w:rsid w:val="00EB0E61"/>
    <w:rsid w:val="00EB1B95"/>
    <w:rsid w:val="00EB1F66"/>
    <w:rsid w:val="00EB2046"/>
    <w:rsid w:val="00EB36FA"/>
    <w:rsid w:val="00EB370C"/>
    <w:rsid w:val="00EB3D6A"/>
    <w:rsid w:val="00EB4503"/>
    <w:rsid w:val="00EB45E2"/>
    <w:rsid w:val="00EB4C32"/>
    <w:rsid w:val="00EB5088"/>
    <w:rsid w:val="00EB54C1"/>
    <w:rsid w:val="00EB7127"/>
    <w:rsid w:val="00EB75DE"/>
    <w:rsid w:val="00EC0EBC"/>
    <w:rsid w:val="00EC5D9D"/>
    <w:rsid w:val="00EC6FBF"/>
    <w:rsid w:val="00EC7970"/>
    <w:rsid w:val="00ED03E4"/>
    <w:rsid w:val="00ED1630"/>
    <w:rsid w:val="00ED2D55"/>
    <w:rsid w:val="00ED37CC"/>
    <w:rsid w:val="00ED4244"/>
    <w:rsid w:val="00ED4A36"/>
    <w:rsid w:val="00ED57DC"/>
    <w:rsid w:val="00ED5CD3"/>
    <w:rsid w:val="00ED6585"/>
    <w:rsid w:val="00ED6B11"/>
    <w:rsid w:val="00ED7F3A"/>
    <w:rsid w:val="00EE0034"/>
    <w:rsid w:val="00EE02A3"/>
    <w:rsid w:val="00EE035F"/>
    <w:rsid w:val="00EE04E3"/>
    <w:rsid w:val="00EE05AC"/>
    <w:rsid w:val="00EE0BC5"/>
    <w:rsid w:val="00EE14A1"/>
    <w:rsid w:val="00EE199E"/>
    <w:rsid w:val="00EE6FFD"/>
    <w:rsid w:val="00EE70FD"/>
    <w:rsid w:val="00EE7326"/>
    <w:rsid w:val="00EE741F"/>
    <w:rsid w:val="00EF00EA"/>
    <w:rsid w:val="00EF0869"/>
    <w:rsid w:val="00EF101F"/>
    <w:rsid w:val="00EF12A3"/>
    <w:rsid w:val="00EF1F61"/>
    <w:rsid w:val="00EF2E9F"/>
    <w:rsid w:val="00EF3376"/>
    <w:rsid w:val="00EF3701"/>
    <w:rsid w:val="00EF39C5"/>
    <w:rsid w:val="00EF3B3E"/>
    <w:rsid w:val="00EF4DFA"/>
    <w:rsid w:val="00EF5784"/>
    <w:rsid w:val="00EF5988"/>
    <w:rsid w:val="00EF61BC"/>
    <w:rsid w:val="00EF6319"/>
    <w:rsid w:val="00EF7043"/>
    <w:rsid w:val="00EF759E"/>
    <w:rsid w:val="00EF766D"/>
    <w:rsid w:val="00EF7C63"/>
    <w:rsid w:val="00F0040F"/>
    <w:rsid w:val="00F00FEE"/>
    <w:rsid w:val="00F0118B"/>
    <w:rsid w:val="00F01AB6"/>
    <w:rsid w:val="00F0274E"/>
    <w:rsid w:val="00F03AE2"/>
    <w:rsid w:val="00F07980"/>
    <w:rsid w:val="00F07FD5"/>
    <w:rsid w:val="00F100CE"/>
    <w:rsid w:val="00F10AFB"/>
    <w:rsid w:val="00F10B33"/>
    <w:rsid w:val="00F10DF6"/>
    <w:rsid w:val="00F1346B"/>
    <w:rsid w:val="00F14E36"/>
    <w:rsid w:val="00F20AA6"/>
    <w:rsid w:val="00F22495"/>
    <w:rsid w:val="00F22D02"/>
    <w:rsid w:val="00F22FA8"/>
    <w:rsid w:val="00F233A9"/>
    <w:rsid w:val="00F2345A"/>
    <w:rsid w:val="00F23B86"/>
    <w:rsid w:val="00F23CA5"/>
    <w:rsid w:val="00F23E9C"/>
    <w:rsid w:val="00F24221"/>
    <w:rsid w:val="00F244DF"/>
    <w:rsid w:val="00F24EAF"/>
    <w:rsid w:val="00F25505"/>
    <w:rsid w:val="00F263E6"/>
    <w:rsid w:val="00F305BD"/>
    <w:rsid w:val="00F319AE"/>
    <w:rsid w:val="00F31A11"/>
    <w:rsid w:val="00F31D58"/>
    <w:rsid w:val="00F3286C"/>
    <w:rsid w:val="00F32C74"/>
    <w:rsid w:val="00F32F5E"/>
    <w:rsid w:val="00F344AB"/>
    <w:rsid w:val="00F372EB"/>
    <w:rsid w:val="00F37D09"/>
    <w:rsid w:val="00F37D53"/>
    <w:rsid w:val="00F41225"/>
    <w:rsid w:val="00F422CA"/>
    <w:rsid w:val="00F42645"/>
    <w:rsid w:val="00F4287C"/>
    <w:rsid w:val="00F42CFE"/>
    <w:rsid w:val="00F42EF8"/>
    <w:rsid w:val="00F43F4A"/>
    <w:rsid w:val="00F44749"/>
    <w:rsid w:val="00F475DA"/>
    <w:rsid w:val="00F478D4"/>
    <w:rsid w:val="00F508BA"/>
    <w:rsid w:val="00F51BB1"/>
    <w:rsid w:val="00F5288C"/>
    <w:rsid w:val="00F52B09"/>
    <w:rsid w:val="00F52B57"/>
    <w:rsid w:val="00F52FC6"/>
    <w:rsid w:val="00F532A6"/>
    <w:rsid w:val="00F532EC"/>
    <w:rsid w:val="00F5493C"/>
    <w:rsid w:val="00F54D73"/>
    <w:rsid w:val="00F54D8E"/>
    <w:rsid w:val="00F55541"/>
    <w:rsid w:val="00F55B84"/>
    <w:rsid w:val="00F560DE"/>
    <w:rsid w:val="00F563F2"/>
    <w:rsid w:val="00F56861"/>
    <w:rsid w:val="00F57252"/>
    <w:rsid w:val="00F57E50"/>
    <w:rsid w:val="00F6019D"/>
    <w:rsid w:val="00F60785"/>
    <w:rsid w:val="00F60DD8"/>
    <w:rsid w:val="00F60E28"/>
    <w:rsid w:val="00F61A06"/>
    <w:rsid w:val="00F61E3D"/>
    <w:rsid w:val="00F61E72"/>
    <w:rsid w:val="00F627C2"/>
    <w:rsid w:val="00F634B1"/>
    <w:rsid w:val="00F64671"/>
    <w:rsid w:val="00F64761"/>
    <w:rsid w:val="00F65EFE"/>
    <w:rsid w:val="00F661C5"/>
    <w:rsid w:val="00F66401"/>
    <w:rsid w:val="00F70536"/>
    <w:rsid w:val="00F7096F"/>
    <w:rsid w:val="00F70A3D"/>
    <w:rsid w:val="00F70B83"/>
    <w:rsid w:val="00F71704"/>
    <w:rsid w:val="00F718F4"/>
    <w:rsid w:val="00F71CC7"/>
    <w:rsid w:val="00F71DE8"/>
    <w:rsid w:val="00F71F9F"/>
    <w:rsid w:val="00F73CD8"/>
    <w:rsid w:val="00F7590C"/>
    <w:rsid w:val="00F77706"/>
    <w:rsid w:val="00F8012A"/>
    <w:rsid w:val="00F80546"/>
    <w:rsid w:val="00F80994"/>
    <w:rsid w:val="00F8244E"/>
    <w:rsid w:val="00F82527"/>
    <w:rsid w:val="00F82CB2"/>
    <w:rsid w:val="00F8331C"/>
    <w:rsid w:val="00F83EBD"/>
    <w:rsid w:val="00F84104"/>
    <w:rsid w:val="00F85013"/>
    <w:rsid w:val="00F85BCC"/>
    <w:rsid w:val="00F85DED"/>
    <w:rsid w:val="00F86625"/>
    <w:rsid w:val="00F87054"/>
    <w:rsid w:val="00F874F0"/>
    <w:rsid w:val="00F87569"/>
    <w:rsid w:val="00F931AC"/>
    <w:rsid w:val="00F938B9"/>
    <w:rsid w:val="00F94B03"/>
    <w:rsid w:val="00F95165"/>
    <w:rsid w:val="00F9523B"/>
    <w:rsid w:val="00F96D94"/>
    <w:rsid w:val="00F97172"/>
    <w:rsid w:val="00F976E3"/>
    <w:rsid w:val="00F979C5"/>
    <w:rsid w:val="00FA02E3"/>
    <w:rsid w:val="00FA085B"/>
    <w:rsid w:val="00FA0889"/>
    <w:rsid w:val="00FA0EE5"/>
    <w:rsid w:val="00FA106B"/>
    <w:rsid w:val="00FA130C"/>
    <w:rsid w:val="00FA18E5"/>
    <w:rsid w:val="00FA3771"/>
    <w:rsid w:val="00FA386D"/>
    <w:rsid w:val="00FA386F"/>
    <w:rsid w:val="00FA48CD"/>
    <w:rsid w:val="00FA4E88"/>
    <w:rsid w:val="00FA574D"/>
    <w:rsid w:val="00FA5DB5"/>
    <w:rsid w:val="00FA61D5"/>
    <w:rsid w:val="00FA6E37"/>
    <w:rsid w:val="00FA6E90"/>
    <w:rsid w:val="00FB0050"/>
    <w:rsid w:val="00FB0D1D"/>
    <w:rsid w:val="00FB20FB"/>
    <w:rsid w:val="00FB3616"/>
    <w:rsid w:val="00FB3A5E"/>
    <w:rsid w:val="00FB49F3"/>
    <w:rsid w:val="00FB4D78"/>
    <w:rsid w:val="00FB5D45"/>
    <w:rsid w:val="00FB6538"/>
    <w:rsid w:val="00FB669A"/>
    <w:rsid w:val="00FB79B0"/>
    <w:rsid w:val="00FB7A24"/>
    <w:rsid w:val="00FC054C"/>
    <w:rsid w:val="00FC06EF"/>
    <w:rsid w:val="00FC0DB2"/>
    <w:rsid w:val="00FC0EE2"/>
    <w:rsid w:val="00FC1694"/>
    <w:rsid w:val="00FC2617"/>
    <w:rsid w:val="00FC3875"/>
    <w:rsid w:val="00FC39A2"/>
    <w:rsid w:val="00FC4924"/>
    <w:rsid w:val="00FC5BD5"/>
    <w:rsid w:val="00FC5DA3"/>
    <w:rsid w:val="00FC6021"/>
    <w:rsid w:val="00FC62E9"/>
    <w:rsid w:val="00FC6DB5"/>
    <w:rsid w:val="00FC706E"/>
    <w:rsid w:val="00FC75D9"/>
    <w:rsid w:val="00FD19FA"/>
    <w:rsid w:val="00FD2D7F"/>
    <w:rsid w:val="00FD4116"/>
    <w:rsid w:val="00FD532B"/>
    <w:rsid w:val="00FD53CF"/>
    <w:rsid w:val="00FD5F17"/>
    <w:rsid w:val="00FD678B"/>
    <w:rsid w:val="00FE1530"/>
    <w:rsid w:val="00FE16A4"/>
    <w:rsid w:val="00FE1C99"/>
    <w:rsid w:val="00FE3C3B"/>
    <w:rsid w:val="00FE3CCA"/>
    <w:rsid w:val="00FE40AA"/>
    <w:rsid w:val="00FE4175"/>
    <w:rsid w:val="00FE444D"/>
    <w:rsid w:val="00FE45F5"/>
    <w:rsid w:val="00FE4E06"/>
    <w:rsid w:val="00FE5043"/>
    <w:rsid w:val="00FE6570"/>
    <w:rsid w:val="00FE69FF"/>
    <w:rsid w:val="00FE7B33"/>
    <w:rsid w:val="00FF0DC0"/>
    <w:rsid w:val="00FF16AE"/>
    <w:rsid w:val="00FF18C1"/>
    <w:rsid w:val="00FF1FAE"/>
    <w:rsid w:val="00FF40ED"/>
    <w:rsid w:val="00FF556E"/>
    <w:rsid w:val="00FF5ACA"/>
    <w:rsid w:val="00FF5D63"/>
    <w:rsid w:val="00FF5FA2"/>
    <w:rsid w:val="00FF6060"/>
    <w:rsid w:val="00FF7523"/>
    <w:rsid w:val="03262301"/>
    <w:rsid w:val="05B15146"/>
    <w:rsid w:val="08084868"/>
    <w:rsid w:val="08D1545F"/>
    <w:rsid w:val="095B3A5F"/>
    <w:rsid w:val="0B843D3C"/>
    <w:rsid w:val="0D390894"/>
    <w:rsid w:val="16152A06"/>
    <w:rsid w:val="16D82BA7"/>
    <w:rsid w:val="16E729FC"/>
    <w:rsid w:val="1802459B"/>
    <w:rsid w:val="18602F47"/>
    <w:rsid w:val="190166F4"/>
    <w:rsid w:val="1CF41303"/>
    <w:rsid w:val="1D46311F"/>
    <w:rsid w:val="241815D1"/>
    <w:rsid w:val="26720260"/>
    <w:rsid w:val="26CB1B33"/>
    <w:rsid w:val="2AEB4841"/>
    <w:rsid w:val="2F101ACF"/>
    <w:rsid w:val="2F244340"/>
    <w:rsid w:val="30D22608"/>
    <w:rsid w:val="33731D88"/>
    <w:rsid w:val="338D133C"/>
    <w:rsid w:val="358B6A13"/>
    <w:rsid w:val="3F8B414A"/>
    <w:rsid w:val="3F9377F0"/>
    <w:rsid w:val="43B6172A"/>
    <w:rsid w:val="48447F81"/>
    <w:rsid w:val="505E721C"/>
    <w:rsid w:val="52056B21"/>
    <w:rsid w:val="598C38BF"/>
    <w:rsid w:val="5C100EF2"/>
    <w:rsid w:val="5CE6669B"/>
    <w:rsid w:val="5D7D4CE3"/>
    <w:rsid w:val="61DC553E"/>
    <w:rsid w:val="67251BD3"/>
    <w:rsid w:val="6B5F6539"/>
    <w:rsid w:val="6C33195B"/>
    <w:rsid w:val="6C6515BD"/>
    <w:rsid w:val="6F04799C"/>
    <w:rsid w:val="70E3358A"/>
    <w:rsid w:val="726B57FA"/>
    <w:rsid w:val="75156B6E"/>
    <w:rsid w:val="7A165A27"/>
    <w:rsid w:val="7D94186F"/>
    <w:rsid w:val="7EF60231"/>
    <w:rsid w:val="7FA655A7"/>
    <w:rsid w:val="DB6FB944"/>
    <w:rsid w:val="EBF7E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8" w:lineRule="exact"/>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link w:val="25"/>
    <w:qFormat/>
    <w:uiPriority w:val="9"/>
    <w:pPr>
      <w:ind w:firstLine="0" w:firstLineChars="0"/>
      <w:jc w:val="center"/>
      <w:outlineLvl w:val="0"/>
    </w:pPr>
    <w:rPr>
      <w:rFonts w:ascii="黑体" w:eastAsia="方正小标宋_GBK"/>
      <w:bCs/>
      <w:kern w:val="44"/>
      <w:sz w:val="44"/>
      <w:szCs w:val="44"/>
    </w:rPr>
  </w:style>
  <w:style w:type="paragraph" w:styleId="3">
    <w:name w:val="heading 2"/>
    <w:basedOn w:val="1"/>
    <w:next w:val="1"/>
    <w:link w:val="26"/>
    <w:unhideWhenUsed/>
    <w:qFormat/>
    <w:uiPriority w:val="9"/>
    <w:pPr>
      <w:keepNext/>
      <w:keepLines/>
      <w:spacing w:before="100" w:beforeLines="100" w:after="80" w:afterLines="80" w:line="594" w:lineRule="exact"/>
      <w:ind w:firstLine="0" w:firstLineChars="0"/>
      <w:jc w:val="center"/>
      <w:outlineLvl w:val="1"/>
    </w:pPr>
    <w:rPr>
      <w:rFonts w:ascii="楷体" w:eastAsia="黑体" w:hAnsiTheme="majorHAnsi" w:cstheme="majorBidi"/>
      <w:bCs/>
      <w:sz w:val="36"/>
      <w:szCs w:val="32"/>
    </w:rPr>
  </w:style>
  <w:style w:type="paragraph" w:styleId="4">
    <w:name w:val="heading 3"/>
    <w:basedOn w:val="1"/>
    <w:next w:val="1"/>
    <w:link w:val="27"/>
    <w:unhideWhenUsed/>
    <w:qFormat/>
    <w:uiPriority w:val="9"/>
    <w:pPr>
      <w:keepNext/>
      <w:keepLines/>
      <w:spacing w:line="500" w:lineRule="exact"/>
      <w:outlineLvl w:val="2"/>
    </w:pPr>
    <w:rPr>
      <w:b/>
      <w:bCs/>
      <w:szCs w:val="32"/>
    </w:rPr>
  </w:style>
  <w:style w:type="paragraph" w:styleId="5">
    <w:name w:val="heading 4"/>
    <w:basedOn w:val="1"/>
    <w:next w:val="1"/>
    <w:link w:val="28"/>
    <w:unhideWhenUsed/>
    <w:qFormat/>
    <w:uiPriority w:val="9"/>
    <w:pPr>
      <w:keepNext/>
      <w:keepLines/>
      <w:numPr>
        <w:ilvl w:val="3"/>
        <w:numId w:val="1"/>
      </w:numPr>
      <w:spacing w:line="500" w:lineRule="exact"/>
      <w:ind w:firstLine="200"/>
      <w:outlineLvl w:val="3"/>
    </w:pPr>
    <w:rPr>
      <w:rFonts w:hAnsiTheme="majorHAnsi" w:cstheme="majorBidi"/>
      <w:b/>
      <w:bCs/>
      <w:szCs w:val="28"/>
    </w:rPr>
  </w:style>
  <w:style w:type="paragraph" w:styleId="6">
    <w:name w:val="heading 5"/>
    <w:basedOn w:val="1"/>
    <w:next w:val="1"/>
    <w:link w:val="31"/>
    <w:semiHidden/>
    <w:unhideWhenUsed/>
    <w:qFormat/>
    <w:uiPriority w:val="9"/>
    <w:pPr>
      <w:keepNext/>
      <w:keepLines/>
      <w:spacing w:before="280" w:after="290" w:line="376" w:lineRule="auto"/>
      <w:ind w:firstLine="0" w:firstLineChars="0"/>
      <w:outlineLvl w:val="4"/>
    </w:pPr>
    <w:rPr>
      <w:rFonts w:eastAsiaTheme="minorEastAsia"/>
      <w:b/>
      <w:bCs/>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38"/>
    <w:unhideWhenUsed/>
    <w:qFormat/>
    <w:uiPriority w:val="99"/>
    <w:pPr>
      <w:jc w:val="left"/>
    </w:pPr>
  </w:style>
  <w:style w:type="paragraph" w:styleId="8">
    <w:name w:val="Body Text"/>
    <w:basedOn w:val="1"/>
    <w:link w:val="34"/>
    <w:semiHidden/>
    <w:unhideWhenUsed/>
    <w:qFormat/>
    <w:uiPriority w:val="99"/>
    <w:pPr>
      <w:spacing w:after="120"/>
    </w:pPr>
  </w:style>
  <w:style w:type="paragraph" w:styleId="9">
    <w:name w:val="toc 3"/>
    <w:basedOn w:val="1"/>
    <w:next w:val="1"/>
    <w:unhideWhenUsed/>
    <w:qFormat/>
    <w:uiPriority w:val="39"/>
    <w:pPr>
      <w:ind w:left="840" w:leftChars="400"/>
    </w:pPr>
  </w:style>
  <w:style w:type="paragraph" w:styleId="10">
    <w:name w:val="Balloon Text"/>
    <w:basedOn w:val="1"/>
    <w:link w:val="33"/>
    <w:semiHidden/>
    <w:unhideWhenUsed/>
    <w:qFormat/>
    <w:uiPriority w:val="99"/>
    <w:pPr>
      <w:spacing w:line="240" w:lineRule="auto"/>
    </w:pPr>
    <w:rPr>
      <w:sz w:val="18"/>
      <w:szCs w:val="18"/>
    </w:rPr>
  </w:style>
  <w:style w:type="paragraph" w:styleId="11">
    <w:name w:val="footer"/>
    <w:basedOn w:val="1"/>
    <w:link w:val="29"/>
    <w:unhideWhenUsed/>
    <w:qFormat/>
    <w:uiPriority w:val="99"/>
    <w:pPr>
      <w:tabs>
        <w:tab w:val="center" w:pos="4153"/>
        <w:tab w:val="right" w:pos="8306"/>
      </w:tabs>
      <w:snapToGrid w:val="0"/>
      <w:spacing w:line="500" w:lineRule="exact"/>
      <w:ind w:firstLine="480"/>
      <w:jc w:val="left"/>
    </w:pPr>
    <w:rPr>
      <w:rFonts w:hAnsi="宋体"/>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spacing w:line="500" w:lineRule="exact"/>
      <w:ind w:firstLine="480"/>
      <w:jc w:val="center"/>
    </w:pPr>
    <w:rPr>
      <w:rFonts w:hAnsi="宋体"/>
      <w:sz w:val="18"/>
      <w:szCs w:val="18"/>
    </w:rPr>
  </w:style>
  <w:style w:type="paragraph" w:styleId="13">
    <w:name w:val="toc 1"/>
    <w:basedOn w:val="1"/>
    <w:next w:val="1"/>
    <w:unhideWhenUsed/>
    <w:qFormat/>
    <w:uiPriority w:val="39"/>
    <w:pPr>
      <w:tabs>
        <w:tab w:val="right" w:leader="dot" w:pos="8947"/>
      </w:tabs>
      <w:spacing w:line="240" w:lineRule="auto"/>
      <w:ind w:firstLine="0" w:firstLineChars="0"/>
    </w:pPr>
    <w:rPr>
      <w:rFonts w:hAnsi="宋体"/>
      <w:szCs w:val="24"/>
    </w:rPr>
  </w:style>
  <w:style w:type="paragraph" w:styleId="14">
    <w:name w:val="footnote text"/>
    <w:basedOn w:val="1"/>
    <w:semiHidden/>
    <w:unhideWhenUsed/>
    <w:qFormat/>
    <w:uiPriority w:val="99"/>
    <w:pPr>
      <w:snapToGrid w:val="0"/>
      <w:jc w:val="left"/>
    </w:pPr>
    <w:rPr>
      <w:sz w:val="18"/>
    </w:rPr>
  </w:style>
  <w:style w:type="paragraph" w:styleId="15">
    <w:name w:val="toc 2"/>
    <w:basedOn w:val="1"/>
    <w:next w:val="1"/>
    <w:unhideWhenUsed/>
    <w:qFormat/>
    <w:uiPriority w:val="39"/>
    <w:pPr>
      <w:spacing w:line="500" w:lineRule="exact"/>
      <w:ind w:left="420" w:leftChars="200" w:firstLine="480"/>
    </w:pPr>
    <w:rPr>
      <w:rFonts w:hAnsi="宋体"/>
      <w:szCs w:val="24"/>
    </w:rPr>
  </w:style>
  <w:style w:type="paragraph" w:styleId="16">
    <w:name w:val="Title"/>
    <w:basedOn w:val="1"/>
    <w:next w:val="1"/>
    <w:link w:val="32"/>
    <w:qFormat/>
    <w:uiPriority w:val="10"/>
    <w:pPr>
      <w:numPr>
        <w:ilvl w:val="0"/>
        <w:numId w:val="2"/>
      </w:numPr>
      <w:ind w:left="0" w:firstLine="200"/>
      <w:jc w:val="left"/>
      <w:outlineLvl w:val="3"/>
    </w:pPr>
    <w:rPr>
      <w:rFonts w:asciiTheme="majorHAnsi" w:hAnsiTheme="majorHAnsi" w:eastAsiaTheme="majorEastAsia" w:cstheme="majorBidi"/>
      <w:b/>
      <w:bCs/>
      <w:szCs w:val="32"/>
    </w:rPr>
  </w:style>
  <w:style w:type="paragraph" w:styleId="17">
    <w:name w:val="Body Text First Indent"/>
    <w:basedOn w:val="8"/>
    <w:link w:val="35"/>
    <w:qFormat/>
    <w:uiPriority w:val="0"/>
    <w:pPr>
      <w:spacing w:after="0"/>
      <w:ind w:left="150" w:firstLine="420" w:firstLineChars="100"/>
    </w:pPr>
    <w:rPr>
      <w:rFonts w:ascii="Arial Unicode MS" w:hAnsi="Arial Unicode MS" w:eastAsia="Arial Unicode MS" w:cs="Arial Unicode MS"/>
      <w:sz w:val="20"/>
      <w:szCs w:val="20"/>
      <w:lang w:val="zh-CN" w:bidi="zh-CN"/>
    </w:r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Emphasis"/>
    <w:basedOn w:val="20"/>
    <w:qFormat/>
    <w:uiPriority w:val="20"/>
    <w:rPr>
      <w:i/>
      <w:iCs/>
    </w:rPr>
  </w:style>
  <w:style w:type="character" w:styleId="23">
    <w:name w:val="Hyperlink"/>
    <w:basedOn w:val="20"/>
    <w:unhideWhenUsed/>
    <w:qFormat/>
    <w:uiPriority w:val="99"/>
    <w:rPr>
      <w:color w:val="0000FF"/>
      <w:u w:val="single"/>
    </w:rPr>
  </w:style>
  <w:style w:type="character" w:styleId="24">
    <w:name w:val="footnote reference"/>
    <w:basedOn w:val="20"/>
    <w:unhideWhenUsed/>
    <w:qFormat/>
    <w:uiPriority w:val="99"/>
    <w:rPr>
      <w:vertAlign w:val="superscript"/>
    </w:rPr>
  </w:style>
  <w:style w:type="character" w:customStyle="1" w:styleId="25">
    <w:name w:val="标题 1 Char"/>
    <w:basedOn w:val="20"/>
    <w:link w:val="2"/>
    <w:qFormat/>
    <w:uiPriority w:val="9"/>
    <w:rPr>
      <w:rFonts w:ascii="黑体" w:eastAsia="方正小标宋_GBK"/>
      <w:bCs/>
      <w:kern w:val="44"/>
      <w:sz w:val="44"/>
      <w:szCs w:val="44"/>
    </w:rPr>
  </w:style>
  <w:style w:type="character" w:customStyle="1" w:styleId="26">
    <w:name w:val="标题 2 Char"/>
    <w:basedOn w:val="20"/>
    <w:link w:val="3"/>
    <w:qFormat/>
    <w:uiPriority w:val="9"/>
    <w:rPr>
      <w:rFonts w:ascii="楷体" w:eastAsia="黑体" w:hAnsiTheme="majorHAnsi" w:cstheme="majorBidi"/>
      <w:bCs/>
      <w:kern w:val="2"/>
      <w:sz w:val="36"/>
      <w:szCs w:val="32"/>
    </w:rPr>
  </w:style>
  <w:style w:type="character" w:customStyle="1" w:styleId="27">
    <w:name w:val="标题 3 Char"/>
    <w:basedOn w:val="20"/>
    <w:link w:val="4"/>
    <w:qFormat/>
    <w:uiPriority w:val="9"/>
    <w:rPr>
      <w:rFonts w:ascii="Times New Roman" w:hAnsi="Times New Roman" w:eastAsia="仿宋_GB2312"/>
      <w:b/>
      <w:bCs/>
      <w:kern w:val="2"/>
      <w:sz w:val="32"/>
      <w:szCs w:val="32"/>
    </w:rPr>
  </w:style>
  <w:style w:type="character" w:customStyle="1" w:styleId="28">
    <w:name w:val="标题 4 Char"/>
    <w:basedOn w:val="20"/>
    <w:link w:val="5"/>
    <w:qFormat/>
    <w:uiPriority w:val="9"/>
    <w:rPr>
      <w:rFonts w:ascii="仿宋" w:eastAsia="仿宋" w:hAnsiTheme="majorHAnsi" w:cstheme="majorBidi"/>
      <w:b/>
      <w:bCs/>
      <w:kern w:val="2"/>
      <w:sz w:val="28"/>
      <w:szCs w:val="28"/>
    </w:rPr>
  </w:style>
  <w:style w:type="character" w:customStyle="1" w:styleId="29">
    <w:name w:val="页脚 Char"/>
    <w:basedOn w:val="20"/>
    <w:link w:val="11"/>
    <w:qFormat/>
    <w:uiPriority w:val="99"/>
    <w:rPr>
      <w:rFonts w:ascii="仿宋" w:hAnsi="宋体" w:eastAsia="仿宋"/>
      <w:sz w:val="18"/>
      <w:szCs w:val="18"/>
    </w:rPr>
  </w:style>
  <w:style w:type="character" w:customStyle="1" w:styleId="30">
    <w:name w:val="页眉 Char"/>
    <w:basedOn w:val="20"/>
    <w:link w:val="12"/>
    <w:qFormat/>
    <w:uiPriority w:val="99"/>
    <w:rPr>
      <w:rFonts w:ascii="仿宋" w:hAnsi="宋体" w:eastAsia="仿宋"/>
      <w:sz w:val="18"/>
      <w:szCs w:val="18"/>
    </w:rPr>
  </w:style>
  <w:style w:type="character" w:customStyle="1" w:styleId="31">
    <w:name w:val="标题 5 Char"/>
    <w:basedOn w:val="20"/>
    <w:link w:val="6"/>
    <w:semiHidden/>
    <w:qFormat/>
    <w:uiPriority w:val="9"/>
    <w:rPr>
      <w:b/>
      <w:bCs/>
      <w:sz w:val="28"/>
      <w:szCs w:val="28"/>
    </w:rPr>
  </w:style>
  <w:style w:type="character" w:customStyle="1" w:styleId="32">
    <w:name w:val="标题 Char"/>
    <w:basedOn w:val="20"/>
    <w:link w:val="16"/>
    <w:qFormat/>
    <w:uiPriority w:val="10"/>
    <w:rPr>
      <w:rFonts w:asciiTheme="majorHAnsi" w:hAnsiTheme="majorHAnsi" w:eastAsiaTheme="majorEastAsia" w:cstheme="majorBidi"/>
      <w:b/>
      <w:bCs/>
      <w:sz w:val="28"/>
      <w:szCs w:val="32"/>
    </w:rPr>
  </w:style>
  <w:style w:type="character" w:customStyle="1" w:styleId="33">
    <w:name w:val="批注框文本 Char"/>
    <w:basedOn w:val="20"/>
    <w:link w:val="10"/>
    <w:semiHidden/>
    <w:qFormat/>
    <w:uiPriority w:val="99"/>
    <w:rPr>
      <w:rFonts w:eastAsia="仿宋"/>
      <w:sz w:val="18"/>
      <w:szCs w:val="18"/>
    </w:rPr>
  </w:style>
  <w:style w:type="character" w:customStyle="1" w:styleId="34">
    <w:name w:val="正文文本 Char"/>
    <w:basedOn w:val="20"/>
    <w:link w:val="8"/>
    <w:semiHidden/>
    <w:qFormat/>
    <w:uiPriority w:val="99"/>
    <w:rPr>
      <w:rFonts w:ascii="仿宋" w:eastAsia="仿宋"/>
      <w:sz w:val="28"/>
    </w:rPr>
  </w:style>
  <w:style w:type="character" w:customStyle="1" w:styleId="35">
    <w:name w:val="正文首行缩进 Char"/>
    <w:basedOn w:val="34"/>
    <w:link w:val="17"/>
    <w:qFormat/>
    <w:uiPriority w:val="0"/>
    <w:rPr>
      <w:rFonts w:ascii="Arial Unicode MS" w:hAnsi="Arial Unicode MS" w:eastAsia="Arial Unicode MS" w:cs="Arial Unicode MS"/>
      <w:sz w:val="20"/>
      <w:szCs w:val="20"/>
      <w:lang w:val="zh-CN" w:bidi="zh-CN"/>
    </w:rPr>
  </w:style>
  <w:style w:type="paragraph" w:customStyle="1" w:styleId="36">
    <w:name w:val="03-     正文"/>
    <w:basedOn w:val="1"/>
    <w:qFormat/>
    <w:uiPriority w:val="0"/>
    <w:pPr>
      <w:overflowPunct w:val="0"/>
      <w:autoSpaceDE w:val="0"/>
      <w:autoSpaceDN w:val="0"/>
      <w:spacing w:line="573" w:lineRule="exact"/>
      <w:ind w:firstLine="648"/>
    </w:pPr>
    <w:rPr>
      <w:rFonts w:cs="Times New Roman"/>
      <w:szCs w:val="32"/>
    </w:rPr>
  </w:style>
  <w:style w:type="paragraph" w:customStyle="1" w:styleId="37">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character" w:customStyle="1" w:styleId="38">
    <w:name w:val="批注文字 Char"/>
    <w:basedOn w:val="20"/>
    <w:link w:val="7"/>
    <w:qFormat/>
    <w:uiPriority w:val="99"/>
    <w:rPr>
      <w:rFonts w:ascii="仿宋" w:eastAsia="仿宋"/>
      <w:sz w:val="28"/>
    </w:rPr>
  </w:style>
  <w:style w:type="paragraph" w:customStyle="1" w:styleId="39">
    <w:name w:val="表格和专栏标题"/>
    <w:link w:val="40"/>
    <w:qFormat/>
    <w:uiPriority w:val="0"/>
    <w:pPr>
      <w:spacing w:before="120"/>
      <w:jc w:val="center"/>
    </w:pPr>
    <w:rPr>
      <w:rFonts w:ascii="黑体" w:hAnsi="黑体" w:eastAsia="黑体" w:cs="Times New Roman"/>
      <w:bCs/>
      <w:color w:val="000000"/>
      <w:sz w:val="24"/>
      <w:szCs w:val="24"/>
      <w:lang w:val="zh-CN" w:eastAsia="zh-CN" w:bidi="zh-CN"/>
    </w:rPr>
  </w:style>
  <w:style w:type="character" w:customStyle="1" w:styleId="40">
    <w:name w:val="表格和专栏标题 字符"/>
    <w:basedOn w:val="35"/>
    <w:link w:val="39"/>
    <w:qFormat/>
    <w:uiPriority w:val="0"/>
    <w:rPr>
      <w:rFonts w:ascii="黑体" w:hAnsi="黑体" w:eastAsia="黑体" w:cs="Times New Roman"/>
      <w:bCs/>
      <w:color w:val="000000"/>
      <w:sz w:val="24"/>
      <w:szCs w:val="24"/>
      <w:lang w:val="zh-CN" w:bidi="zh-CN"/>
    </w:rPr>
  </w:style>
  <w:style w:type="paragraph" w:customStyle="1" w:styleId="41">
    <w:name w:val="专栏文字"/>
    <w:link w:val="42"/>
    <w:qFormat/>
    <w:uiPriority w:val="0"/>
    <w:pPr>
      <w:spacing w:before="30" w:beforeLines="30" w:line="400" w:lineRule="exact"/>
      <w:ind w:firstLine="200" w:firstLineChars="200"/>
      <w:jc w:val="both"/>
    </w:pPr>
    <w:rPr>
      <w:rFonts w:ascii="仿宋_GB2312" w:hAnsi="Times New Roman" w:eastAsia="仿宋_GB2312" w:cs="Times New Roman"/>
      <w:bCs/>
      <w:sz w:val="24"/>
      <w:szCs w:val="24"/>
      <w:lang w:val="en-US" w:eastAsia="zh-CN" w:bidi="ar-SA"/>
    </w:rPr>
  </w:style>
  <w:style w:type="character" w:customStyle="1" w:styleId="42">
    <w:name w:val="专栏文字 字符"/>
    <w:basedOn w:val="20"/>
    <w:link w:val="41"/>
    <w:qFormat/>
    <w:uiPriority w:val="0"/>
    <w:rPr>
      <w:rFonts w:ascii="仿宋_GB2312" w:hAnsi="Times New Roman" w:eastAsia="仿宋_GB2312" w:cs="Times New Roman"/>
      <w:bCs/>
      <w:sz w:val="24"/>
      <w:szCs w:val="24"/>
    </w:rPr>
  </w:style>
  <w:style w:type="paragraph" w:styleId="43">
    <w:name w:val="List Paragraph"/>
    <w:basedOn w:val="1"/>
    <w:unhideWhenUsed/>
    <w:qFormat/>
    <w:uiPriority w:val="99"/>
    <w:pPr>
      <w:ind w:firstLine="420"/>
    </w:pPr>
  </w:style>
  <w:style w:type="character" w:customStyle="1" w:styleId="44">
    <w:name w:val="fontstyle01"/>
    <w:basedOn w:val="20"/>
    <w:qFormat/>
    <w:uiPriority w:val="0"/>
    <w:rPr>
      <w:rFonts w:hint="default" w:ascii="FZFSK--GBK1-0" w:hAnsi="FZFSK--GBK1-0"/>
      <w:color w:val="000000"/>
      <w:sz w:val="30"/>
      <w:szCs w:val="30"/>
    </w:rPr>
  </w:style>
  <w:style w:type="paragraph" w:customStyle="1" w:styleId="45">
    <w:name w:val="正2-正文1"/>
    <w:basedOn w:val="1"/>
    <w:link w:val="46"/>
    <w:qFormat/>
    <w:uiPriority w:val="99"/>
    <w:pPr>
      <w:overflowPunct w:val="0"/>
      <w:autoSpaceDE w:val="0"/>
      <w:autoSpaceDN w:val="0"/>
      <w:spacing w:before="30" w:beforeLines="30" w:line="594" w:lineRule="exact"/>
      <w:ind w:firstLine="520"/>
    </w:pPr>
    <w:rPr>
      <w:rFonts w:cs="Times New Roman"/>
      <w:spacing w:val="2"/>
      <w:kern w:val="0"/>
      <w:szCs w:val="20"/>
    </w:rPr>
  </w:style>
  <w:style w:type="character" w:customStyle="1" w:styleId="46">
    <w:name w:val="2-正文1 Char"/>
    <w:link w:val="45"/>
    <w:qFormat/>
    <w:locked/>
    <w:uiPriority w:val="99"/>
    <w:rPr>
      <w:rFonts w:ascii="Times New Roman" w:hAnsi="Times New Roman" w:eastAsia="仿宋_GB2312" w:cs="Times New Roman"/>
      <w:spacing w:val="2"/>
      <w:sz w:val="32"/>
    </w:rPr>
  </w:style>
  <w:style w:type="paragraph" w:customStyle="1" w:styleId="47">
    <w:name w:val="1-正文"/>
    <w:basedOn w:val="1"/>
    <w:qFormat/>
    <w:uiPriority w:val="99"/>
    <w:pPr>
      <w:overflowPunct w:val="0"/>
      <w:autoSpaceDE w:val="0"/>
      <w:autoSpaceDN w:val="0"/>
      <w:spacing w:before="30" w:beforeLines="30"/>
    </w:pPr>
    <w:rPr>
      <w:rFonts w:cs="Times New Roman"/>
      <w:kern w:val="0"/>
      <w:szCs w:val="32"/>
    </w:rPr>
  </w:style>
  <w:style w:type="paragraph" w:customStyle="1" w:styleId="48">
    <w:name w:val="正3-1大标题"/>
    <w:basedOn w:val="45"/>
    <w:qFormat/>
    <w:uiPriority w:val="0"/>
    <w:pPr>
      <w:spacing w:before="0" w:beforeLines="0"/>
      <w:ind w:firstLine="0" w:firstLineChars="0"/>
      <w:jc w:val="center"/>
      <w:outlineLvl w:val="1"/>
    </w:pPr>
    <w:rPr>
      <w:rFonts w:eastAsia="方正小标宋_GBK"/>
      <w:sz w:val="44"/>
    </w:rPr>
  </w:style>
  <w:style w:type="paragraph" w:customStyle="1" w:styleId="49">
    <w:name w:val="02-大标题"/>
    <w:basedOn w:val="1"/>
    <w:link w:val="50"/>
    <w:qFormat/>
    <w:uiPriority w:val="99"/>
    <w:pPr>
      <w:overflowPunct w:val="0"/>
      <w:autoSpaceDE w:val="0"/>
      <w:autoSpaceDN w:val="0"/>
      <w:ind w:firstLine="0" w:firstLineChars="0"/>
      <w:jc w:val="center"/>
      <w:outlineLvl w:val="0"/>
    </w:pPr>
    <w:rPr>
      <w:rFonts w:eastAsia="方正小标宋_GBK" w:cs="Times New Roman"/>
      <w:sz w:val="44"/>
      <w:szCs w:val="20"/>
    </w:rPr>
  </w:style>
  <w:style w:type="character" w:customStyle="1" w:styleId="50">
    <w:name w:val="02-大标题 Char"/>
    <w:basedOn w:val="20"/>
    <w:link w:val="49"/>
    <w:qFormat/>
    <w:locked/>
    <w:uiPriority w:val="99"/>
    <w:rPr>
      <w:rFonts w:ascii="Times New Roman" w:hAnsi="Times New Roman" w:eastAsia="方正小标宋_GBK" w:cs="Times New Roman"/>
      <w:kern w:val="2"/>
      <w:sz w:val="44"/>
    </w:rPr>
  </w:style>
  <w:style w:type="paragraph" w:customStyle="1" w:styleId="51">
    <w:name w:val="04-1  节"/>
    <w:basedOn w:val="1"/>
    <w:link w:val="52"/>
    <w:qFormat/>
    <w:uiPriority w:val="99"/>
    <w:pPr>
      <w:overflowPunct w:val="0"/>
      <w:autoSpaceDE w:val="0"/>
      <w:autoSpaceDN w:val="0"/>
      <w:spacing w:before="100" w:beforeLines="100" w:afterLines="80" w:line="594" w:lineRule="exact"/>
      <w:ind w:firstLine="0" w:firstLineChars="0"/>
      <w:jc w:val="center"/>
      <w:outlineLvl w:val="1"/>
    </w:pPr>
    <w:rPr>
      <w:rFonts w:eastAsia="黑体" w:cs="Times New Roman"/>
      <w:sz w:val="36"/>
      <w:szCs w:val="20"/>
    </w:rPr>
  </w:style>
  <w:style w:type="character" w:customStyle="1" w:styleId="52">
    <w:name w:val="04-1  节 Char"/>
    <w:basedOn w:val="20"/>
    <w:link w:val="51"/>
    <w:qFormat/>
    <w:uiPriority w:val="99"/>
    <w:rPr>
      <w:rFonts w:ascii="Times New Roman" w:hAnsi="Times New Roman" w:eastAsia="黑体" w:cs="Times New Roman"/>
      <w:kern w:val="2"/>
      <w:sz w:val="36"/>
    </w:rPr>
  </w:style>
  <w:style w:type="paragraph" w:customStyle="1" w:styleId="53">
    <w:name w:val="00-章"/>
    <w:basedOn w:val="51"/>
    <w:qFormat/>
    <w:uiPriority w:val="0"/>
    <w:pPr>
      <w:spacing w:before="304" w:beforeLines="70" w:after="261" w:afterLines="60" w:line="568" w:lineRule="exact"/>
    </w:pPr>
  </w:style>
  <w:style w:type="paragraph" w:customStyle="1" w:styleId="54">
    <w:name w:val="00-大标题"/>
    <w:basedOn w:val="49"/>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78</Pages>
  <Words>15067</Words>
  <Characters>15775</Characters>
  <Lines>339</Lines>
  <Paragraphs>95</Paragraphs>
  <TotalTime>1</TotalTime>
  <ScaleCrop>false</ScaleCrop>
  <LinksUpToDate>false</LinksUpToDate>
  <CharactersWithSpaces>15846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2022-01-06T16:41:00Z</dcterms:created>
  <dc:creator>lenovo</dc:creator>
  <cp:lastModifiedBy>郝庆锋</cp:lastModifiedBy>
  <cp:lastPrinted>2022-01-06T17:57:00Z</cp:lastPrinted>
  <dcterms:modified xsi:type="dcterms:W3CDTF">2026-09-18T09:41:08Z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BB93CB9DB48747A186336E8A517C4362</vt:lpwstr>
  </property>
  <property fmtid="{D5CDD505-2E9C-101B-9397-08002B2CF9AE}" pid="4" name="KSOTemplateDocerSaveRecord">
    <vt:lpwstr>eyJoZGlkIjoiYmQ4NTdkYzE5YjkwZjU3MjMxNjBkOTU3YmQ4ZmQ1YjYiLCJ1c2VySWQiOiI3MzY5MDA0ODIifQ==</vt:lpwstr>
  </property>
</Properties>
</file>