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spacing w:line="58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方正小标宋简体" w:hAnsi="方正小标宋简体" w:eastAsia="方正小标宋简体" w:cs="方正小标宋简体"/>
          <w:snapToGrid/>
          <w:color w:val="auto"/>
          <w:kern w:val="0"/>
          <w:sz w:val="44"/>
          <w:szCs w:val="44"/>
          <w:lang w:eastAsia="zh-CN"/>
        </w:rPr>
      </w:pP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snapToGrid/>
          <w:color w:val="auto"/>
          <w:kern w:val="0"/>
          <w:sz w:val="44"/>
          <w:szCs w:val="44"/>
          <w:lang w:eastAsia="zh-CN"/>
        </w:rPr>
      </w:pPr>
      <w:r>
        <w:rPr>
          <w:rFonts w:hint="eastAsia" w:ascii="方正小标宋简体" w:hAnsi="方正小标宋简体" w:eastAsia="方正小标宋简体" w:cs="方正小标宋简体"/>
          <w:snapToGrid/>
          <w:color w:val="auto"/>
          <w:kern w:val="0"/>
          <w:sz w:val="44"/>
          <w:szCs w:val="44"/>
          <w:lang w:eastAsia="zh-CN"/>
        </w:rPr>
        <w:t>省自然资源厅</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snapToGrid/>
          <w:color w:val="auto"/>
          <w:kern w:val="0"/>
          <w:sz w:val="44"/>
          <w:szCs w:val="44"/>
          <w:lang w:eastAsia="zh-CN"/>
        </w:rPr>
      </w:pPr>
      <w:r>
        <w:rPr>
          <w:rFonts w:hint="eastAsia" w:ascii="方正小标宋简体" w:hAnsi="方正小标宋简体" w:eastAsia="方正小标宋简体" w:cs="方正小标宋简体"/>
          <w:snapToGrid/>
          <w:color w:val="auto"/>
          <w:kern w:val="0"/>
          <w:sz w:val="44"/>
          <w:szCs w:val="44"/>
          <w:lang w:eastAsia="zh-CN"/>
        </w:rPr>
        <w:t>关于推动</w:t>
      </w:r>
      <w:r>
        <w:rPr>
          <w:rFonts w:hint="eastAsia" w:ascii="方正小标宋简体" w:hAnsi="方正小标宋简体" w:eastAsia="方正小标宋简体" w:cs="方正小标宋简体"/>
          <w:snapToGrid/>
          <w:color w:val="auto"/>
          <w:kern w:val="0"/>
          <w:sz w:val="44"/>
          <w:szCs w:val="44"/>
          <w:lang w:val="en-US" w:eastAsia="zh-CN"/>
        </w:rPr>
        <w:t>土地</w:t>
      </w:r>
      <w:r>
        <w:rPr>
          <w:rFonts w:hint="eastAsia" w:ascii="方正小标宋简体" w:hAnsi="方正小标宋简体" w:eastAsia="方正小标宋简体" w:cs="方正小标宋简体"/>
          <w:snapToGrid/>
          <w:color w:val="auto"/>
          <w:kern w:val="0"/>
          <w:sz w:val="44"/>
          <w:szCs w:val="44"/>
          <w:lang w:eastAsia="zh-CN"/>
        </w:rPr>
        <w:t>混合</w:t>
      </w:r>
      <w:r>
        <w:rPr>
          <w:rFonts w:hint="eastAsia" w:ascii="方正小标宋简体" w:hAnsi="方正小标宋简体" w:eastAsia="方正小标宋简体" w:cs="方正小标宋简体"/>
          <w:snapToGrid/>
          <w:color w:val="auto"/>
          <w:kern w:val="0"/>
          <w:sz w:val="44"/>
          <w:szCs w:val="44"/>
          <w:lang w:val="en-US" w:eastAsia="zh-CN"/>
        </w:rPr>
        <w:t>开发</w:t>
      </w:r>
      <w:r>
        <w:rPr>
          <w:rFonts w:hint="eastAsia" w:ascii="方正小标宋简体" w:hAnsi="方正小标宋简体" w:eastAsia="方正小标宋简体" w:cs="方正小标宋简体"/>
          <w:snapToGrid/>
          <w:color w:val="auto"/>
          <w:kern w:val="0"/>
          <w:sz w:val="44"/>
          <w:szCs w:val="44"/>
          <w:lang w:eastAsia="zh-CN"/>
        </w:rPr>
        <w:t>利用的通知</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楷体_GB2312" w:hAnsi="楷体_GB2312" w:eastAsia="楷体_GB2312" w:cs="楷体_GB2312"/>
          <w:snapToGrid/>
          <w:color w:val="auto"/>
          <w:kern w:val="0"/>
          <w:sz w:val="32"/>
          <w:szCs w:val="32"/>
          <w:lang w:eastAsia="zh-CN"/>
        </w:rPr>
      </w:pPr>
      <w:r>
        <w:rPr>
          <w:rFonts w:hint="eastAsia" w:ascii="楷体_GB2312" w:hAnsi="楷体_GB2312" w:eastAsia="楷体_GB2312" w:cs="楷体_GB2312"/>
          <w:snapToGrid/>
          <w:color w:val="auto"/>
          <w:kern w:val="0"/>
          <w:sz w:val="32"/>
          <w:szCs w:val="32"/>
          <w:lang w:eastAsia="zh-CN"/>
        </w:rPr>
        <w:t>（征求意见稿）</w:t>
      </w:r>
    </w:p>
    <w:p>
      <w:pPr>
        <w:pStyle w:val="10"/>
        <w:keepNext w:val="0"/>
        <w:keepLines w:val="0"/>
        <w:pageBreakBefore w:val="0"/>
        <w:widowControl w:val="0"/>
        <w:kinsoku w:val="0"/>
        <w:wordWrap/>
        <w:overflowPunct/>
        <w:bidi w:val="0"/>
        <w:adjustRightInd w:val="0"/>
        <w:snapToGrid w:val="0"/>
        <w:spacing w:beforeAutospacing="0" w:afterAutospacing="0" w:line="560" w:lineRule="exact"/>
        <w:ind w:firstLine="640"/>
        <w:jc w:val="left"/>
        <w:textAlignment w:val="baseline"/>
        <w:rPr>
          <w:rFonts w:ascii="仿宋_GB2312" w:hAnsi="仿宋_GB2312" w:cs="仿宋_GB2312"/>
          <w:kern w:val="0"/>
          <w:sz w:val="32"/>
          <w:szCs w:val="32"/>
        </w:rPr>
      </w:pPr>
    </w:p>
    <w:p>
      <w:pPr>
        <w:pStyle w:val="10"/>
        <w:keepNext w:val="0"/>
        <w:keepLines w:val="0"/>
        <w:pageBreakBefore w:val="0"/>
        <w:widowControl w:val="0"/>
        <w:kinsoku w:val="0"/>
        <w:wordWrap/>
        <w:overflowPunct/>
        <w:topLinePunct/>
        <w:autoSpaceDE w:val="0"/>
        <w:autoSpaceDN w:val="0"/>
        <w:bidi w:val="0"/>
        <w:adjustRightInd w:val="0"/>
        <w:snapToGrid w:val="0"/>
        <w:spacing w:beforeAutospacing="0" w:afterAutospacing="0" w:line="540" w:lineRule="exact"/>
        <w:ind w:firstLine="0" w:firstLineChars="0"/>
        <w:jc w:val="left"/>
        <w:textAlignment w:val="baseline"/>
        <w:rPr>
          <w:rFonts w:ascii="仿宋_GB2312" w:hAnsi="仿宋_GB2312" w:cs="仿宋_GB2312"/>
          <w:kern w:val="0"/>
          <w:sz w:val="32"/>
          <w:szCs w:val="32"/>
        </w:rPr>
      </w:pPr>
      <w:r>
        <w:rPr>
          <w:rFonts w:hint="eastAsia" w:ascii="仿宋_GB2312" w:hAnsi="仿宋_GB2312" w:cs="仿宋_GB2312"/>
          <w:kern w:val="0"/>
          <w:sz w:val="32"/>
          <w:szCs w:val="32"/>
          <w:shd w:val="clear" w:color="auto" w:fill="FFFFFF"/>
        </w:rPr>
        <w:t>各市、州、直管市、神农架林区自然资源主管部门，厅相关处室、直属单位：</w:t>
      </w:r>
    </w:p>
    <w:p>
      <w:pPr>
        <w:pStyle w:val="10"/>
        <w:keepNext w:val="0"/>
        <w:keepLines w:val="0"/>
        <w:pageBreakBefore w:val="0"/>
        <w:widowControl w:val="0"/>
        <w:kinsoku w:val="0"/>
        <w:wordWrap/>
        <w:overflowPunct/>
        <w:topLinePunct/>
        <w:autoSpaceDE w:val="0"/>
        <w:autoSpaceDN w:val="0"/>
        <w:bidi w:val="0"/>
        <w:adjustRightInd w:val="0"/>
        <w:snapToGrid w:val="0"/>
        <w:spacing w:beforeAutospacing="0" w:afterAutospacing="0" w:line="540" w:lineRule="exact"/>
        <w:ind w:firstLine="640"/>
        <w:jc w:val="both"/>
        <w:textAlignment w:val="baseline"/>
        <w:rPr>
          <w:rFonts w:ascii="Times New Roman" w:hAnsi="Times New Roman"/>
          <w:kern w:val="0"/>
          <w:sz w:val="32"/>
          <w:szCs w:val="32"/>
          <w:shd w:val="clear" w:color="auto" w:fill="FFFFFF"/>
        </w:rPr>
      </w:pPr>
      <w:r>
        <w:rPr>
          <w:rFonts w:hint="eastAsia" w:ascii="Times New Roman" w:hAnsi="Times New Roman"/>
          <w:kern w:val="0"/>
          <w:sz w:val="32"/>
          <w:szCs w:val="32"/>
          <w:shd w:val="clear" w:color="auto" w:fill="FFFFFF"/>
        </w:rPr>
        <w:t>为</w:t>
      </w:r>
      <w:r>
        <w:rPr>
          <w:rFonts w:ascii="Times New Roman" w:hAnsi="Times New Roman"/>
          <w:kern w:val="0"/>
          <w:sz w:val="32"/>
          <w:szCs w:val="32"/>
          <w:shd w:val="clear" w:color="auto" w:fill="FFFFFF"/>
        </w:rPr>
        <w:t>贯彻落实</w:t>
      </w:r>
      <w:r>
        <w:rPr>
          <w:rFonts w:hint="eastAsia" w:ascii="Times New Roman" w:hAnsi="Times New Roman"/>
          <w:kern w:val="0"/>
          <w:sz w:val="32"/>
          <w:szCs w:val="32"/>
          <w:shd w:val="clear" w:color="auto" w:fill="FFFFFF"/>
        </w:rPr>
        <w:t>党中央、国务院和省委、省政府关于进一步</w:t>
      </w:r>
      <w:r>
        <w:rPr>
          <w:rFonts w:ascii="Times New Roman" w:hAnsi="Times New Roman"/>
          <w:kern w:val="0"/>
          <w:sz w:val="32"/>
          <w:szCs w:val="32"/>
          <w:shd w:val="clear" w:color="auto" w:fill="FFFFFF"/>
        </w:rPr>
        <w:t>创新产业用地</w:t>
      </w:r>
      <w:r>
        <w:rPr>
          <w:rFonts w:hint="eastAsia" w:ascii="Times New Roman" w:hAnsi="Times New Roman"/>
          <w:kern w:val="0"/>
          <w:sz w:val="32"/>
          <w:szCs w:val="32"/>
          <w:shd w:val="clear" w:color="auto" w:fill="FFFFFF"/>
          <w:lang w:val="en-US" w:eastAsia="zh-CN"/>
        </w:rPr>
        <w:t>供给</w:t>
      </w:r>
      <w:r>
        <w:rPr>
          <w:rFonts w:ascii="Times New Roman" w:hAnsi="Times New Roman"/>
          <w:kern w:val="0"/>
          <w:sz w:val="32"/>
          <w:szCs w:val="32"/>
          <w:shd w:val="clear" w:color="auto" w:fill="FFFFFF"/>
        </w:rPr>
        <w:t>，推动土地混合开发利用、用途合理转换，</w:t>
      </w:r>
      <w:r>
        <w:rPr>
          <w:rFonts w:hint="eastAsia" w:ascii="Times New Roman" w:hAnsi="Times New Roman"/>
          <w:kern w:val="0"/>
          <w:sz w:val="32"/>
          <w:szCs w:val="32"/>
          <w:shd w:val="clear" w:color="auto" w:fill="FFFFFF"/>
        </w:rPr>
        <w:t>助推</w:t>
      </w:r>
      <w:r>
        <w:rPr>
          <w:rFonts w:ascii="Times New Roman" w:hAnsi="Times New Roman"/>
          <w:kern w:val="0"/>
          <w:sz w:val="32"/>
          <w:szCs w:val="32"/>
          <w:shd w:val="clear" w:color="auto" w:fill="FFFFFF"/>
        </w:rPr>
        <w:t>产业转型升级</w:t>
      </w:r>
      <w:r>
        <w:rPr>
          <w:rFonts w:hint="eastAsia" w:ascii="Times New Roman" w:hAnsi="Times New Roman"/>
          <w:kern w:val="0"/>
          <w:sz w:val="32"/>
          <w:szCs w:val="32"/>
          <w:shd w:val="clear" w:color="auto" w:fill="FFFFFF"/>
        </w:rPr>
        <w:t>，服务全省支点建设，</w:t>
      </w:r>
      <w:r>
        <w:rPr>
          <w:rFonts w:ascii="Times New Roman" w:hAnsi="Times New Roman"/>
          <w:kern w:val="0"/>
          <w:sz w:val="32"/>
          <w:szCs w:val="32"/>
          <w:shd w:val="clear" w:color="auto" w:fill="FFFFFF"/>
        </w:rPr>
        <w:t>现就</w:t>
      </w:r>
      <w:r>
        <w:rPr>
          <w:rFonts w:hint="eastAsia" w:ascii="Times New Roman" w:hAnsi="Times New Roman"/>
          <w:kern w:val="0"/>
          <w:sz w:val="32"/>
          <w:szCs w:val="32"/>
          <w:shd w:val="clear" w:color="auto" w:fill="FFFFFF"/>
        </w:rPr>
        <w:t>有</w:t>
      </w:r>
      <w:r>
        <w:rPr>
          <w:rFonts w:ascii="Times New Roman" w:hAnsi="Times New Roman"/>
          <w:kern w:val="0"/>
          <w:sz w:val="32"/>
          <w:szCs w:val="32"/>
          <w:shd w:val="clear" w:color="auto" w:fill="FFFFFF"/>
        </w:rPr>
        <w:t>关事项通知如下。</w:t>
      </w:r>
    </w:p>
    <w:p>
      <w:pPr>
        <w:pStyle w:val="10"/>
        <w:keepNext w:val="0"/>
        <w:keepLines w:val="0"/>
        <w:pageBreakBefore w:val="0"/>
        <w:widowControl w:val="0"/>
        <w:kinsoku w:val="0"/>
        <w:wordWrap/>
        <w:overflowPunct/>
        <w:topLinePunct/>
        <w:autoSpaceDE w:val="0"/>
        <w:autoSpaceDN w:val="0"/>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一、明确概念和范围</w:t>
      </w:r>
    </w:p>
    <w:p>
      <w:pPr>
        <w:pStyle w:val="10"/>
        <w:keepNext w:val="0"/>
        <w:keepLines w:val="0"/>
        <w:pageBreakBefore w:val="0"/>
        <w:widowControl w:val="0"/>
        <w:kinsoku w:val="0"/>
        <w:wordWrap/>
        <w:overflowPunct/>
        <w:topLinePunct/>
        <w:autoSpaceDE w:val="0"/>
        <w:autoSpaceDN w:val="0"/>
        <w:bidi w:val="0"/>
        <w:adjustRightInd w:val="0"/>
        <w:snapToGrid w:val="0"/>
        <w:spacing w:beforeAutospacing="0" w:afterAutospacing="0" w:line="540" w:lineRule="exact"/>
        <w:ind w:firstLine="640"/>
        <w:jc w:val="both"/>
        <w:textAlignment w:val="baseline"/>
        <w:rPr>
          <w:rFonts w:hint="eastAsia" w:ascii="仿宋_GB2312" w:hAnsi="仿宋_GB2312" w:eastAsia="仿宋_GB2312" w:cs="仿宋_GB2312"/>
          <w:b w:val="0"/>
          <w:bCs w:val="0"/>
          <w:i w:val="0"/>
          <w:iCs w:val="0"/>
          <w:spacing w:val="7"/>
          <w:kern w:val="0"/>
          <w:sz w:val="32"/>
          <w:szCs w:val="32"/>
        </w:rPr>
      </w:pPr>
      <w:r>
        <w:rPr>
          <w:rFonts w:hint="eastAsia" w:ascii="仿宋_GB2312" w:hAnsi="仿宋_GB2312" w:eastAsia="仿宋_GB2312" w:cs="仿宋_GB2312"/>
          <w:b w:val="0"/>
          <w:bCs w:val="0"/>
          <w:i w:val="0"/>
          <w:iCs w:val="0"/>
          <w:spacing w:val="7"/>
          <w:kern w:val="0"/>
          <w:sz w:val="32"/>
          <w:szCs w:val="32"/>
        </w:rPr>
        <w:t>本通知所指</w:t>
      </w:r>
      <w:r>
        <w:rPr>
          <w:rFonts w:hint="eastAsia" w:ascii="仿宋_GB2312" w:hAnsi="仿宋_GB2312" w:eastAsia="仿宋_GB2312" w:cs="仿宋_GB2312"/>
          <w:b w:val="0"/>
          <w:bCs w:val="0"/>
          <w:i w:val="0"/>
          <w:iCs w:val="0"/>
          <w:spacing w:val="7"/>
          <w:kern w:val="0"/>
          <w:sz w:val="32"/>
          <w:szCs w:val="32"/>
          <w:lang w:val="en-US" w:eastAsia="zh-CN"/>
        </w:rPr>
        <w:t>土地混合开发利用</w:t>
      </w:r>
      <w:r>
        <w:rPr>
          <w:rFonts w:hint="eastAsia" w:ascii="仿宋_GB2312" w:hAnsi="仿宋_GB2312" w:eastAsia="仿宋_GB2312" w:cs="仿宋_GB2312"/>
          <w:b w:val="0"/>
          <w:bCs w:val="0"/>
          <w:i w:val="0"/>
          <w:iCs w:val="0"/>
          <w:spacing w:val="7"/>
          <w:kern w:val="0"/>
          <w:sz w:val="32"/>
          <w:szCs w:val="32"/>
        </w:rPr>
        <w:t>，是指一宗建设用地土地使用功能超出用地兼容性规定的适建用途或比例，需要采用两种或两种以上用地性质组合表达的用地类别。</w:t>
      </w:r>
      <w:r>
        <w:rPr>
          <w:rFonts w:hint="eastAsia" w:ascii="仿宋_GB2312" w:hAnsi="仿宋_GB2312" w:eastAsia="仿宋_GB2312" w:cs="仿宋_GB2312"/>
          <w:b w:val="0"/>
          <w:bCs w:val="0"/>
          <w:i w:val="0"/>
          <w:iCs w:val="0"/>
          <w:spacing w:val="7"/>
          <w:kern w:val="0"/>
          <w:sz w:val="32"/>
          <w:szCs w:val="32"/>
          <w:lang w:eastAsia="zh-CN"/>
        </w:rPr>
        <w:t>混合用地中各类用地的地上建筑面积占地上总建筑面积或各类用地面积占总用地面积比例应当大于</w:t>
      </w:r>
      <w:r>
        <w:rPr>
          <w:rFonts w:hint="eastAsia" w:ascii="仿宋_GB2312" w:hAnsi="仿宋_GB2312" w:eastAsia="仿宋_GB2312" w:cs="仿宋_GB2312"/>
          <w:b w:val="0"/>
          <w:bCs w:val="0"/>
          <w:i w:val="0"/>
          <w:iCs w:val="0"/>
          <w:spacing w:val="7"/>
          <w:kern w:val="0"/>
          <w:sz w:val="32"/>
          <w:szCs w:val="32"/>
          <w:lang w:val="en-US" w:eastAsia="zh-CN"/>
        </w:rPr>
        <w:t>15%，</w:t>
      </w:r>
      <w:r>
        <w:rPr>
          <w:rFonts w:hint="eastAsia" w:ascii="仿宋_GB2312" w:hAnsi="仿宋_GB2312" w:eastAsia="仿宋_GB2312" w:cs="仿宋_GB2312"/>
          <w:b w:val="0"/>
          <w:bCs w:val="0"/>
          <w:i w:val="0"/>
          <w:iCs w:val="0"/>
          <w:spacing w:val="7"/>
          <w:kern w:val="0"/>
          <w:sz w:val="32"/>
          <w:szCs w:val="32"/>
        </w:rPr>
        <w:t>混合用地原则上应明确一种主导用途，其用地面积占总用地面积比例或其地上建筑面积占地上总建筑面积比例应大于50%。</w:t>
      </w:r>
    </w:p>
    <w:p>
      <w:pPr>
        <w:pStyle w:val="10"/>
        <w:keepNext w:val="0"/>
        <w:keepLines w:val="0"/>
        <w:pageBreakBefore w:val="0"/>
        <w:widowControl w:val="0"/>
        <w:kinsoku w:val="0"/>
        <w:wordWrap/>
        <w:overflowPunct/>
        <w:topLinePunct/>
        <w:autoSpaceDE w:val="0"/>
        <w:autoSpaceDN w:val="0"/>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highlight w:val="yellow"/>
          <w:shd w:val="clear" w:color="auto" w:fill="FFFFFF"/>
        </w:rPr>
      </w:pPr>
      <w:r>
        <w:rPr>
          <w:rStyle w:val="14"/>
          <w:rFonts w:hint="eastAsia" w:ascii="黑体" w:hAnsi="黑体" w:eastAsia="黑体" w:cs="黑体"/>
          <w:b w:val="0"/>
          <w:bCs/>
          <w:kern w:val="0"/>
          <w:sz w:val="32"/>
          <w:szCs w:val="32"/>
          <w:shd w:val="clear" w:color="auto" w:fill="FFFFFF"/>
        </w:rPr>
        <w:t>二、坚持规划引领</w:t>
      </w:r>
    </w:p>
    <w:p>
      <w:pPr>
        <w:pStyle w:val="10"/>
        <w:keepNext w:val="0"/>
        <w:keepLines w:val="0"/>
        <w:pageBreakBefore w:val="0"/>
        <w:widowControl w:val="0"/>
        <w:kinsoku w:val="0"/>
        <w:wordWrap/>
        <w:overflowPunct/>
        <w:topLinePunct/>
        <w:autoSpaceDE w:val="0"/>
        <w:autoSpaceDN w:val="0"/>
        <w:bidi w:val="0"/>
        <w:adjustRightInd w:val="0"/>
        <w:snapToGrid w:val="0"/>
        <w:spacing w:beforeAutospacing="0" w:afterAutospacing="0" w:line="540" w:lineRule="exact"/>
        <w:ind w:firstLine="640"/>
        <w:jc w:val="both"/>
        <w:textAlignment w:val="baseline"/>
        <w:rPr>
          <w:rFonts w:ascii="仿宋_GB2312" w:hAnsi="仿宋_GB2312" w:cs="仿宋_GB2312"/>
          <w:kern w:val="0"/>
          <w:sz w:val="32"/>
          <w:szCs w:val="32"/>
          <w:shd w:val="clear" w:color="auto" w:fill="FFFFFF"/>
        </w:rPr>
      </w:pPr>
      <w:r>
        <w:rPr>
          <w:rFonts w:hint="eastAsia" w:ascii="仿宋_GB2312" w:hAnsi="仿宋_GB2312" w:cs="仿宋_GB2312"/>
          <w:kern w:val="0"/>
          <w:sz w:val="32"/>
          <w:szCs w:val="32"/>
          <w:shd w:val="clear" w:color="auto" w:fill="FFFFFF"/>
        </w:rPr>
        <w:t>编制国土空间详细规划时按照“产业关联、功能相容、互不干扰、设施共享、效能提升”的原则设置混合用地。允许规划编制阶段对部分拟混合使用的土地仅设定主导用途、设施配套等基本内容，对辅助用途及其比例管控、建筑规模等条件提出原则性要求，在实施阶段根据实际需求动态细化明确。对不符合国土空间详细规划但确需混合利用的地块，依法依规调整国土空间详细规划后方可进行混合利用。</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三、实行</w:t>
      </w:r>
      <w:r>
        <w:rPr>
          <w:rStyle w:val="14"/>
          <w:rFonts w:hint="eastAsia" w:ascii="黑体" w:hAnsi="黑体" w:eastAsia="黑体" w:cs="黑体"/>
          <w:b w:val="0"/>
          <w:bCs/>
          <w:kern w:val="0"/>
          <w:sz w:val="32"/>
          <w:szCs w:val="32"/>
          <w:shd w:val="clear" w:color="auto" w:fill="FFFFFF"/>
          <w:lang w:eastAsia="zh-CN"/>
        </w:rPr>
        <w:t>正</w:t>
      </w:r>
      <w:r>
        <w:rPr>
          <w:rStyle w:val="14"/>
          <w:rFonts w:hint="eastAsia" w:ascii="黑体" w:hAnsi="黑体" w:eastAsia="黑体" w:cs="黑体"/>
          <w:b w:val="0"/>
          <w:bCs/>
          <w:kern w:val="0"/>
          <w:sz w:val="32"/>
          <w:szCs w:val="32"/>
          <w:shd w:val="clear" w:color="auto" w:fill="FFFFFF"/>
        </w:rPr>
        <w:t>负面清单管理</w:t>
      </w:r>
    </w:p>
    <w:p>
      <w:pPr>
        <w:keepNext w:val="0"/>
        <w:keepLines w:val="0"/>
        <w:pageBreakBefore w:val="0"/>
        <w:widowControl w:val="0"/>
        <w:kinsoku w:val="0"/>
        <w:wordWrap/>
        <w:overflowPunct/>
        <w:topLinePunct/>
        <w:autoSpaceDE w:val="0"/>
        <w:autoSpaceDN w:val="0"/>
        <w:bidi w:val="0"/>
        <w:adjustRightInd w:val="0"/>
        <w:snapToGrid w:val="0"/>
        <w:spacing w:line="540" w:lineRule="exact"/>
        <w:ind w:firstLine="640" w:firstLineChars="200"/>
        <w:jc w:val="both"/>
        <w:textAlignment w:val="baseline"/>
        <w:rPr>
          <w:rFonts w:ascii="仿宋_GB2312" w:hAnsi="仿宋_GB2312" w:eastAsia="仿宋_GB2312" w:cs="仿宋_GB2312"/>
          <w:snapToGrid w:val="0"/>
          <w:color w:val="000000"/>
          <w:kern w:val="0"/>
          <w:sz w:val="32"/>
          <w:szCs w:val="32"/>
          <w:shd w:val="clear" w:color="auto" w:fill="FFFFFF"/>
          <w:lang w:eastAsia="zh-CN"/>
        </w:rPr>
      </w:pPr>
      <w:r>
        <w:rPr>
          <w:rFonts w:hint="eastAsia" w:ascii="仿宋_GB2312" w:hAnsi="仿宋_GB2312" w:eastAsia="仿宋_GB2312" w:cs="仿宋_GB2312"/>
          <w:snapToGrid w:val="0"/>
          <w:color w:val="000000"/>
          <w:kern w:val="0"/>
          <w:sz w:val="32"/>
          <w:szCs w:val="32"/>
          <w:shd w:val="clear" w:color="auto" w:fill="FFFFFF"/>
          <w:lang w:eastAsia="zh-CN"/>
        </w:rPr>
        <w:t>依据自然资源部印发《国土空间调查、规划、用途管制用地用海分类指南》，混合用地实行正负面清单管理，</w:t>
      </w:r>
      <w:r>
        <w:rPr>
          <w:rFonts w:hint="eastAsia" w:ascii="仿宋_GB2312" w:hAnsi="仿宋_GB2312" w:eastAsia="仿宋_GB2312" w:cs="仿宋_GB2312"/>
          <w:snapToGrid w:val="0"/>
          <w:color w:val="000000"/>
          <w:kern w:val="0"/>
          <w:sz w:val="32"/>
          <w:szCs w:val="32"/>
          <w:shd w:val="clear" w:color="auto" w:fill="FFFFFF"/>
          <w:lang w:val="en-US" w:eastAsia="zh-CN"/>
        </w:rPr>
        <w:t>明确“允许混合”</w:t>
      </w:r>
      <w:r>
        <w:rPr>
          <w:rFonts w:hint="eastAsia" w:ascii="仿宋_GB2312" w:hAnsi="仿宋_GB2312" w:eastAsia="仿宋_GB2312" w:cs="仿宋_GB2312"/>
          <w:snapToGrid w:val="0"/>
          <w:color w:val="000000"/>
          <w:kern w:val="0"/>
          <w:sz w:val="32"/>
          <w:szCs w:val="32"/>
          <w:shd w:val="clear" w:color="auto" w:fill="FFFFFF"/>
          <w:lang w:eastAsia="zh-CN"/>
        </w:rPr>
        <w:t>“禁止混合”用地类型（</w:t>
      </w:r>
      <w:r>
        <w:rPr>
          <w:rFonts w:hint="eastAsia" w:ascii="仿宋_GB2312" w:hAnsi="仿宋_GB2312" w:eastAsia="仿宋_GB2312" w:cs="仿宋_GB2312"/>
          <w:snapToGrid w:val="0"/>
          <w:color w:val="000000"/>
          <w:kern w:val="0"/>
          <w:sz w:val="32"/>
          <w:szCs w:val="32"/>
          <w:shd w:val="clear" w:color="auto" w:fill="FFFFFF"/>
          <w:lang w:val="en-US" w:eastAsia="zh-CN"/>
        </w:rPr>
        <w:t>参考附件1</w:t>
      </w:r>
      <w:r>
        <w:rPr>
          <w:rFonts w:hint="eastAsia" w:ascii="仿宋_GB2312" w:hAnsi="仿宋_GB2312" w:eastAsia="仿宋_GB2312" w:cs="仿宋_GB2312"/>
          <w:snapToGrid w:val="0"/>
          <w:color w:val="000000"/>
          <w:kern w:val="0"/>
          <w:sz w:val="32"/>
          <w:szCs w:val="32"/>
          <w:shd w:val="clear" w:color="auto" w:fill="FFFFFF"/>
          <w:lang w:eastAsia="zh-CN"/>
        </w:rPr>
        <w:t>）。</w:t>
      </w:r>
      <w:r>
        <w:rPr>
          <w:rFonts w:hint="eastAsia" w:ascii="仿宋_GB2312" w:hAnsi="仿宋_GB2312" w:eastAsia="仿宋_GB2312" w:cs="仿宋_GB2312"/>
          <w:b w:val="0"/>
          <w:bCs w:val="0"/>
          <w:i w:val="0"/>
          <w:iCs w:val="0"/>
          <w:snapToGrid w:val="0"/>
          <w:color w:val="000000"/>
          <w:spacing w:val="0"/>
          <w:kern w:val="0"/>
          <w:sz w:val="32"/>
          <w:szCs w:val="32"/>
          <w:shd w:val="clear" w:color="auto" w:fill="FFFFFF"/>
          <w:lang w:eastAsia="zh-CN"/>
        </w:rPr>
        <w:t>鼓励商业主导型混合居住、公共管理与公共服务等用途；居住主导型混合商业服务业（加油加气站除外）、公共管理与公共服务等用途；工业主导型混合物流仓储、科研等用途。</w:t>
      </w:r>
      <w:r>
        <w:rPr>
          <w:rFonts w:hint="eastAsia" w:ascii="仿宋_GB2312" w:hAnsi="仿宋_GB2312" w:eastAsia="仿宋_GB2312" w:cs="仿宋_GB2312"/>
          <w:b w:val="0"/>
          <w:bCs w:val="0"/>
          <w:i w:val="0"/>
          <w:iCs w:val="0"/>
          <w:snapToGrid w:val="0"/>
          <w:color w:val="000000"/>
          <w:spacing w:val="0"/>
          <w:kern w:val="0"/>
          <w:sz w:val="32"/>
          <w:szCs w:val="32"/>
          <w:shd w:val="clear" w:color="auto" w:fill="FFFFFF"/>
          <w:lang w:val="en-US" w:eastAsia="zh-CN"/>
        </w:rPr>
        <w:t>同时</w:t>
      </w:r>
      <w:r>
        <w:rPr>
          <w:rFonts w:hint="eastAsia" w:ascii="仿宋_GB2312" w:hAnsi="仿宋_GB2312" w:eastAsia="仿宋_GB2312" w:cs="仿宋_GB2312"/>
          <w:snapToGrid w:val="0"/>
          <w:color w:val="000000"/>
          <w:kern w:val="0"/>
          <w:sz w:val="32"/>
          <w:szCs w:val="32"/>
          <w:shd w:val="clear" w:color="auto" w:fill="FFFFFF"/>
          <w:lang w:eastAsia="zh-CN"/>
        </w:rPr>
        <w:t>支持地方综合考虑空间、布局、业态融合、安全生产、环境保护等因素，</w:t>
      </w:r>
      <w:r>
        <w:rPr>
          <w:rFonts w:hint="eastAsia" w:ascii="仿宋_GB2312" w:hAnsi="仿宋_GB2312" w:eastAsia="仿宋_GB2312" w:cs="仿宋_GB2312"/>
          <w:snapToGrid w:val="0"/>
          <w:color w:val="000000"/>
          <w:kern w:val="0"/>
          <w:sz w:val="32"/>
          <w:szCs w:val="32"/>
          <w:shd w:val="clear" w:color="auto" w:fill="FFFFFF"/>
          <w:lang w:val="en-US" w:eastAsia="zh-CN"/>
        </w:rPr>
        <w:t>出台土地混合利用制度文件、</w:t>
      </w:r>
      <w:r>
        <w:rPr>
          <w:rFonts w:hint="eastAsia" w:ascii="仿宋_GB2312" w:hAnsi="仿宋_GB2312" w:eastAsia="仿宋_GB2312" w:cs="仿宋_GB2312"/>
          <w:snapToGrid w:val="0"/>
          <w:color w:val="000000"/>
          <w:kern w:val="0"/>
          <w:sz w:val="32"/>
          <w:szCs w:val="32"/>
          <w:shd w:val="clear" w:color="auto" w:fill="FFFFFF"/>
          <w:lang w:eastAsia="zh-CN"/>
        </w:rPr>
        <w:t>进一步细化完善清单，明确两种或两种以上用途混合的类型和比例等内容。</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四、完善土地供应方式</w:t>
      </w:r>
    </w:p>
    <w:p>
      <w:pPr>
        <w:pStyle w:val="10"/>
        <w:keepNext w:val="0"/>
        <w:keepLines w:val="0"/>
        <w:pageBreakBefore w:val="0"/>
        <w:widowControl/>
        <w:kinsoku w:val="0"/>
        <w:wordWrap/>
        <w:overflowPunct/>
        <w:topLinePunct w:val="0"/>
        <w:autoSpaceDE/>
        <w:autoSpaceDN/>
        <w:bidi w:val="0"/>
        <w:adjustRightInd w:val="0"/>
        <w:snapToGrid w:val="0"/>
        <w:spacing w:beforeAutospacing="0" w:afterAutospacing="0" w:line="540" w:lineRule="exact"/>
        <w:ind w:firstLine="420"/>
        <w:jc w:val="left"/>
        <w:textAlignment w:val="baseline"/>
        <w:rPr>
          <w:rFonts w:ascii="仿宋_GB2312" w:hAnsi="仿宋_GB2312" w:cs="仿宋_GB2312"/>
          <w:kern w:val="0"/>
          <w:sz w:val="32"/>
          <w:szCs w:val="32"/>
          <w:shd w:val="clear" w:color="auto" w:fill="FFFFFF"/>
        </w:rPr>
      </w:pPr>
      <w:r>
        <w:rPr>
          <w:rFonts w:hint="eastAsia" w:ascii="仿宋_GB2312" w:hAnsi="仿宋_GB2312" w:cs="仿宋_GB2312"/>
          <w:kern w:val="0"/>
          <w:sz w:val="32"/>
          <w:szCs w:val="32"/>
          <w:shd w:val="clear" w:color="auto" w:fill="FFFFFF"/>
        </w:rPr>
        <w:t>混合用地供应要按照“公平、公开、公正”原则，切实维护土地市场规范运行，</w:t>
      </w:r>
      <w:r>
        <w:rPr>
          <w:rFonts w:hint="eastAsia" w:ascii="仿宋_GB2312" w:hAnsi="仿宋_GB2312" w:cs="仿宋_GB2312"/>
          <w:kern w:val="0"/>
          <w:sz w:val="32"/>
          <w:szCs w:val="32"/>
          <w:shd w:val="clear" w:color="auto" w:fill="FFFFFF"/>
          <w:lang w:val="en-US" w:eastAsia="zh-CN"/>
        </w:rPr>
        <w:t>涉及经营性用地的</w:t>
      </w:r>
      <w:r>
        <w:rPr>
          <w:rFonts w:hint="eastAsia" w:ascii="仿宋_GB2312" w:hAnsi="仿宋_GB2312" w:cs="仿宋_GB2312"/>
          <w:kern w:val="0"/>
          <w:sz w:val="32"/>
          <w:szCs w:val="32"/>
          <w:shd w:val="clear" w:color="auto" w:fill="FFFFFF"/>
        </w:rPr>
        <w:t>必须以招标、拍卖、挂牌方式供地。鼓励各地结合主导用途、产业政策、项目特点和生命周期等因素，通过长期租赁、先租后让、弹性年期出让等方式供地。</w:t>
      </w:r>
      <w:r>
        <w:rPr>
          <w:rFonts w:hint="eastAsia" w:ascii="仿宋_GB2312" w:hAnsi="仿宋_GB2312" w:eastAsia="仿宋_GB2312" w:cs="仿宋_GB2312"/>
          <w:b w:val="0"/>
          <w:bCs w:val="0"/>
          <w:i w:val="0"/>
          <w:iCs w:val="0"/>
          <w:spacing w:val="0"/>
          <w:kern w:val="0"/>
          <w:sz w:val="32"/>
          <w:szCs w:val="32"/>
          <w:shd w:val="clear" w:color="auto" w:fill="FFFFFF"/>
        </w:rPr>
        <w:t>整宗混合用地符合</w:t>
      </w:r>
      <w:r>
        <w:rPr>
          <w:rFonts w:hint="eastAsia" w:ascii="仿宋_GB2312" w:hAnsi="仿宋_GB2312" w:eastAsia="仿宋_GB2312" w:cs="仿宋_GB2312"/>
          <w:b w:val="0"/>
          <w:bCs w:val="0"/>
          <w:i w:val="0"/>
          <w:iCs w:val="0"/>
          <w:spacing w:val="0"/>
          <w:kern w:val="0"/>
          <w:sz w:val="32"/>
          <w:szCs w:val="32"/>
          <w:u w:val="none"/>
          <w:shd w:val="clear" w:color="auto" w:fill="FFFFFF"/>
        </w:rPr>
        <w:t>《</w:t>
      </w:r>
      <w:r>
        <w:rPr>
          <w:rStyle w:val="15"/>
          <w:rFonts w:hint="eastAsia" w:ascii="仿宋_GB2312" w:hAnsi="仿宋_GB2312" w:eastAsia="仿宋_GB2312" w:cs="仿宋_GB2312"/>
          <w:b w:val="0"/>
          <w:bCs w:val="0"/>
          <w:i w:val="0"/>
          <w:iCs w:val="0"/>
          <w:color w:val="auto"/>
          <w:spacing w:val="0"/>
          <w:kern w:val="0"/>
          <w:sz w:val="32"/>
          <w:szCs w:val="32"/>
          <w:u w:val="none"/>
          <w:shd w:val="clear" w:color="auto" w:fill="FFFFFF"/>
        </w:rPr>
        <w:t>划拨用地目录（2025版）</w:t>
      </w:r>
      <w:r>
        <w:rPr>
          <w:rFonts w:hint="eastAsia" w:ascii="仿宋_GB2312" w:hAnsi="仿宋_GB2312" w:eastAsia="仿宋_GB2312" w:cs="仿宋_GB2312"/>
          <w:b w:val="0"/>
          <w:bCs w:val="0"/>
          <w:i w:val="0"/>
          <w:iCs w:val="0"/>
          <w:spacing w:val="0"/>
          <w:kern w:val="0"/>
          <w:sz w:val="32"/>
          <w:szCs w:val="32"/>
          <w:u w:val="none"/>
          <w:shd w:val="clear" w:color="auto" w:fill="FFFFFF"/>
        </w:rPr>
        <w:t>》</w:t>
      </w:r>
      <w:r>
        <w:rPr>
          <w:rFonts w:hint="eastAsia" w:ascii="仿宋_GB2312" w:hAnsi="仿宋_GB2312" w:cs="仿宋_GB2312"/>
          <w:b w:val="0"/>
          <w:bCs w:val="0"/>
          <w:i w:val="0"/>
          <w:iCs w:val="0"/>
          <w:spacing w:val="0"/>
          <w:kern w:val="0"/>
          <w:sz w:val="32"/>
          <w:szCs w:val="32"/>
          <w:shd w:val="clear" w:color="auto" w:fill="FFFFFF"/>
          <w:lang w:eastAsia="zh-CN"/>
        </w:rPr>
        <w:t>（</w:t>
      </w:r>
      <w:r>
        <w:rPr>
          <w:rFonts w:hint="eastAsia" w:ascii="仿宋_GB2312" w:hAnsi="仿宋_GB2312" w:eastAsia="仿宋_GB2312" w:cs="仿宋_GB2312"/>
          <w:b w:val="0"/>
          <w:bCs w:val="0"/>
          <w:i w:val="0"/>
          <w:iCs w:val="0"/>
          <w:spacing w:val="0"/>
          <w:kern w:val="0"/>
          <w:sz w:val="32"/>
          <w:szCs w:val="32"/>
          <w:shd w:val="clear" w:color="auto" w:fill="FFFFFF"/>
        </w:rPr>
        <w:t>自然资源部令第16号</w:t>
      </w:r>
      <w:r>
        <w:rPr>
          <w:rFonts w:hint="eastAsia" w:ascii="仿宋_GB2312" w:hAnsi="仿宋_GB2312" w:cs="仿宋_GB2312"/>
          <w:b w:val="0"/>
          <w:bCs w:val="0"/>
          <w:i w:val="0"/>
          <w:iCs w:val="0"/>
          <w:spacing w:val="0"/>
          <w:kern w:val="0"/>
          <w:sz w:val="32"/>
          <w:szCs w:val="32"/>
          <w:shd w:val="clear" w:color="auto" w:fill="FFFFFF"/>
          <w:lang w:eastAsia="zh-CN"/>
        </w:rPr>
        <w:t>）</w:t>
      </w:r>
      <w:r>
        <w:rPr>
          <w:rFonts w:hint="eastAsia" w:ascii="仿宋_GB2312" w:hAnsi="仿宋_GB2312" w:eastAsia="仿宋_GB2312" w:cs="仿宋_GB2312"/>
          <w:b w:val="0"/>
          <w:bCs w:val="0"/>
          <w:i w:val="0"/>
          <w:iCs w:val="0"/>
          <w:spacing w:val="0"/>
          <w:kern w:val="0"/>
          <w:sz w:val="32"/>
          <w:szCs w:val="32"/>
          <w:shd w:val="clear" w:color="auto" w:fill="FFFFFF"/>
        </w:rPr>
        <w:t>的，可按划拨方式供应。</w:t>
      </w:r>
      <w:r>
        <w:rPr>
          <w:rFonts w:hint="eastAsia" w:ascii="仿宋_GB2312" w:hAnsi="仿宋_GB2312" w:cs="仿宋_GB2312"/>
          <w:kern w:val="0"/>
          <w:sz w:val="32"/>
          <w:szCs w:val="32"/>
          <w:shd w:val="clear" w:color="auto" w:fill="FFFFFF"/>
        </w:rPr>
        <w:t>产业主管部门对产业类型、建设时序、自持比例、产权分割及移交管理等提出要求的应一并纳入土地供应方案。在符合国土空间规划、建设用地控制标准和准入管理的前提下，探索采用“带设计方案”供地。</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五、合理设定使用年限</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both"/>
        <w:textAlignment w:val="baseline"/>
        <w:rPr>
          <w:rFonts w:ascii="仿宋_GB2312" w:hAnsi="仿宋_GB2312" w:cs="仿宋_GB2312"/>
          <w:kern w:val="0"/>
          <w:sz w:val="32"/>
          <w:szCs w:val="32"/>
          <w:shd w:val="clear" w:color="auto" w:fill="FFFFFF"/>
        </w:rPr>
      </w:pPr>
      <w:r>
        <w:rPr>
          <w:rFonts w:hint="eastAsia" w:ascii="仿宋_GB2312" w:hAnsi="仿宋_GB2312" w:cs="仿宋_GB2312"/>
          <w:kern w:val="0"/>
          <w:sz w:val="32"/>
          <w:szCs w:val="32"/>
          <w:shd w:val="clear" w:color="auto" w:fill="FFFFFF"/>
        </w:rPr>
        <w:t>因</w:t>
      </w:r>
      <w:r>
        <w:rPr>
          <w:rFonts w:hint="eastAsia" w:ascii="仿宋_GB2312" w:hAnsi="仿宋_GB2312" w:cs="仿宋_GB2312"/>
          <w:kern w:val="0"/>
          <w:sz w:val="32"/>
          <w:szCs w:val="32"/>
          <w:shd w:val="clear" w:color="auto" w:fill="FFFFFF"/>
          <w:lang w:val="en-US" w:eastAsia="zh-CN"/>
        </w:rPr>
        <w:t>混合用地中</w:t>
      </w:r>
      <w:r>
        <w:rPr>
          <w:rFonts w:hint="eastAsia" w:ascii="仿宋_GB2312" w:hAnsi="仿宋_GB2312" w:cs="仿宋_GB2312"/>
          <w:kern w:val="0"/>
          <w:sz w:val="32"/>
          <w:szCs w:val="32"/>
          <w:shd w:val="clear" w:color="auto" w:fill="FFFFFF"/>
        </w:rPr>
        <w:t>土地用途不同导致最高出让年限不一致，</w:t>
      </w:r>
      <w:r>
        <w:rPr>
          <w:rFonts w:hint="eastAsia" w:ascii="仿宋_GB2312" w:hAnsi="仿宋_GB2312" w:eastAsia="仿宋_GB2312" w:cs="仿宋_GB2312"/>
          <w:b w:val="0"/>
          <w:bCs w:val="0"/>
          <w:i w:val="0"/>
          <w:iCs w:val="0"/>
          <w:spacing w:val="0"/>
          <w:kern w:val="0"/>
          <w:sz w:val="32"/>
          <w:szCs w:val="32"/>
          <w:shd w:val="clear" w:color="auto" w:fill="FFFFFF"/>
        </w:rPr>
        <w:t>城镇住宅用地</w:t>
      </w:r>
      <w:r>
        <w:rPr>
          <w:rFonts w:hint="eastAsia" w:ascii="仿宋_GB2312" w:hAnsi="仿宋_GB2312" w:cs="仿宋_GB2312"/>
          <w:b w:val="0"/>
          <w:bCs w:val="0"/>
          <w:i w:val="0"/>
          <w:iCs w:val="0"/>
          <w:spacing w:val="0"/>
          <w:kern w:val="0"/>
          <w:sz w:val="32"/>
          <w:szCs w:val="32"/>
          <w:shd w:val="clear" w:color="auto" w:fill="FFFFFF"/>
          <w:lang w:val="en-US" w:eastAsia="zh-CN"/>
        </w:rPr>
        <w:t>出让年限设定为</w:t>
      </w:r>
      <w:r>
        <w:rPr>
          <w:rFonts w:hint="eastAsia" w:ascii="仿宋_GB2312" w:hAnsi="仿宋_GB2312" w:eastAsia="仿宋_GB2312" w:cs="仿宋_GB2312"/>
          <w:b w:val="0"/>
          <w:bCs w:val="0"/>
          <w:i w:val="0"/>
          <w:iCs w:val="0"/>
          <w:spacing w:val="0"/>
          <w:kern w:val="0"/>
          <w:sz w:val="32"/>
          <w:szCs w:val="32"/>
          <w:shd w:val="clear" w:color="auto" w:fill="FFFFFF"/>
        </w:rPr>
        <w:t>70年</w:t>
      </w:r>
      <w:r>
        <w:rPr>
          <w:rFonts w:hint="eastAsia" w:ascii="仿宋_GB2312" w:hAnsi="仿宋_GB2312" w:cs="仿宋_GB2312"/>
          <w:b w:val="0"/>
          <w:bCs w:val="0"/>
          <w:i w:val="0"/>
          <w:iCs w:val="0"/>
          <w:spacing w:val="0"/>
          <w:kern w:val="0"/>
          <w:sz w:val="32"/>
          <w:szCs w:val="32"/>
          <w:shd w:val="clear" w:color="auto" w:fill="FFFFFF"/>
          <w:lang w:eastAsia="zh-CN"/>
        </w:rPr>
        <w:t>，</w:t>
      </w:r>
      <w:r>
        <w:rPr>
          <w:rFonts w:hint="eastAsia" w:ascii="仿宋_GB2312" w:hAnsi="仿宋_GB2312" w:cs="仿宋_GB2312"/>
          <w:b w:val="0"/>
          <w:bCs w:val="0"/>
          <w:i w:val="0"/>
          <w:iCs w:val="0"/>
          <w:spacing w:val="0"/>
          <w:kern w:val="0"/>
          <w:sz w:val="32"/>
          <w:szCs w:val="32"/>
          <w:shd w:val="clear" w:color="auto" w:fill="FFFFFF"/>
          <w:lang w:val="en-US" w:eastAsia="zh-CN"/>
        </w:rPr>
        <w:t>其他用途</w:t>
      </w:r>
      <w:r>
        <w:rPr>
          <w:rFonts w:hint="eastAsia" w:ascii="仿宋_GB2312" w:hAnsi="仿宋_GB2312" w:cs="仿宋_GB2312"/>
          <w:kern w:val="0"/>
          <w:sz w:val="32"/>
          <w:szCs w:val="32"/>
          <w:shd w:val="clear" w:color="auto" w:fill="FFFFFF"/>
        </w:rPr>
        <w:t>出让年限（或租让年限之和）不得高于主导用途和辅助用途中最短的法定最高出让年限。鼓励根据主导用途产业类型特点，合理确定出让年限。土地使用权使用期限届满后的续期和续期费用缴纳，依照法律、法规和相关行政规定办理。</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六、科学确定土地价格</w:t>
      </w:r>
    </w:p>
    <w:p>
      <w:pPr>
        <w:pStyle w:val="10"/>
        <w:keepNext w:val="0"/>
        <w:keepLines w:val="0"/>
        <w:pageBreakBefore w:val="0"/>
        <w:widowControl w:val="0"/>
        <w:suppressLineNumbers w:val="0"/>
        <w:kinsoku w:val="0"/>
        <w:wordWrap/>
        <w:overflowPunct/>
        <w:topLinePunct/>
        <w:bidi w:val="0"/>
        <w:adjustRightInd w:val="0"/>
        <w:snapToGrid w:val="0"/>
        <w:spacing w:beforeAutospacing="0" w:afterAutospacing="0" w:line="540" w:lineRule="exact"/>
        <w:ind w:left="0" w:firstLine="640"/>
        <w:jc w:val="left"/>
        <w:textAlignment w:val="baseline"/>
        <w:rPr>
          <w:rFonts w:hint="eastAsia" w:ascii="仿宋_GB2312" w:hAnsi="仿宋_GB2312" w:cs="仿宋_GB2312"/>
          <w:kern w:val="0"/>
          <w:sz w:val="32"/>
          <w:szCs w:val="32"/>
          <w:shd w:val="clear" w:color="auto" w:fill="FFFFFF"/>
          <w:lang w:eastAsia="zh-CN"/>
        </w:rPr>
      </w:pPr>
      <w:r>
        <w:rPr>
          <w:rFonts w:hint="eastAsia" w:ascii="仿宋_GB2312" w:hAnsi="仿宋_GB2312" w:cs="仿宋_GB2312"/>
          <w:kern w:val="0"/>
          <w:sz w:val="32"/>
          <w:szCs w:val="32"/>
          <w:shd w:val="clear" w:color="auto" w:fill="FFFFFF"/>
          <w:lang w:eastAsia="zh-CN"/>
        </w:rPr>
        <w:t>混合用地涉及多种用途土地使用权出让时，应按不同用途分项评估后加总确定出让底价。估价报告中估价结果应在总地价外按各用途单列地面地价、楼面地价和总价。采取弹性年期出让的，出让底价按不低于弹性年期与最高年期的比值进行年期修正。采取先租后让供应的，租赁期租金标准按照租赁期与最高年期的比值进行年期修正，转出让后，已交租金的剩余部分可冲抵出让价款。</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七、加强合同及履约监管</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Fonts w:hint="eastAsia" w:ascii="仿宋_GB2312" w:hAnsi="仿宋_GB2312" w:cs="仿宋_GB2312"/>
          <w:kern w:val="0"/>
          <w:sz w:val="32"/>
          <w:szCs w:val="32"/>
          <w:shd w:val="clear" w:color="auto" w:fill="FFFFFF"/>
        </w:rPr>
      </w:pPr>
      <w:r>
        <w:rPr>
          <w:rFonts w:hint="eastAsia" w:ascii="仿宋_GB2312" w:hAnsi="仿宋_GB2312" w:cs="仿宋_GB2312"/>
          <w:kern w:val="0"/>
          <w:sz w:val="32"/>
          <w:szCs w:val="32"/>
          <w:shd w:val="clear" w:color="auto" w:fill="FFFFFF"/>
        </w:rPr>
        <w:t>混合用地成交后，受让人按程序与出让人签订土地出让合同。依据规划条件明确用途清单、比例构成和不动产权利处分的限制性条款等内容。同时</w:t>
      </w:r>
      <w:r>
        <w:rPr>
          <w:rFonts w:hint="eastAsia" w:ascii="仿宋_GB2312" w:hAnsi="仿宋_GB2312" w:eastAsia="仿宋_GB2312" w:cs="仿宋_GB2312"/>
          <w:b w:val="0"/>
          <w:bCs w:val="0"/>
          <w:i w:val="0"/>
          <w:iCs w:val="0"/>
          <w:spacing w:val="0"/>
          <w:kern w:val="0"/>
          <w:sz w:val="32"/>
          <w:szCs w:val="32"/>
          <w:shd w:val="clear" w:color="auto" w:fill="FFFFFF"/>
        </w:rPr>
        <w:t>按照“谁提出、谁履责、谁监管”的原则</w:t>
      </w:r>
      <w:r>
        <w:rPr>
          <w:rFonts w:hint="eastAsia" w:ascii="仿宋_GB2312" w:hAnsi="仿宋_GB2312" w:cs="仿宋_GB2312"/>
          <w:b w:val="0"/>
          <w:bCs w:val="0"/>
          <w:i w:val="0"/>
          <w:iCs w:val="0"/>
          <w:spacing w:val="0"/>
          <w:kern w:val="0"/>
          <w:sz w:val="32"/>
          <w:szCs w:val="32"/>
          <w:shd w:val="clear" w:color="auto" w:fill="FFFFFF"/>
          <w:lang w:eastAsia="zh-CN"/>
        </w:rPr>
        <w:t>，</w:t>
      </w:r>
      <w:r>
        <w:rPr>
          <w:rFonts w:hint="eastAsia" w:ascii="Times New Roman" w:hAnsi="Times New Roman" w:eastAsia="仿宋_GB2312" w:cs="仿宋_GB2312"/>
          <w:b w:val="0"/>
          <w:bCs w:val="0"/>
          <w:i w:val="0"/>
          <w:iCs w:val="0"/>
          <w:spacing w:val="0"/>
          <w:kern w:val="0"/>
          <w:sz w:val="32"/>
          <w:szCs w:val="32"/>
          <w:lang w:bidi="ar"/>
        </w:rPr>
        <w:t>自然资源、发改、住建、</w:t>
      </w:r>
      <w:r>
        <w:rPr>
          <w:rFonts w:hint="eastAsia" w:ascii="Times New Roman" w:hAnsi="Times New Roman" w:cs="仿宋_GB2312"/>
          <w:b w:val="0"/>
          <w:bCs w:val="0"/>
          <w:i w:val="0"/>
          <w:iCs w:val="0"/>
          <w:spacing w:val="0"/>
          <w:kern w:val="0"/>
          <w:sz w:val="32"/>
          <w:szCs w:val="32"/>
          <w:lang w:val="en-US" w:eastAsia="zh-CN" w:bidi="ar"/>
        </w:rPr>
        <w:t>经</w:t>
      </w:r>
      <w:r>
        <w:rPr>
          <w:rFonts w:hint="eastAsia" w:ascii="Times New Roman" w:hAnsi="Times New Roman" w:eastAsia="仿宋_GB2312" w:cs="仿宋_GB2312"/>
          <w:b w:val="0"/>
          <w:bCs w:val="0"/>
          <w:i w:val="0"/>
          <w:iCs w:val="0"/>
          <w:spacing w:val="0"/>
          <w:kern w:val="0"/>
          <w:sz w:val="32"/>
          <w:szCs w:val="32"/>
          <w:lang w:bidi="ar"/>
        </w:rPr>
        <w:t>信等相关部门按照各自职责建立覆盖产业准入、土地供应、工程建设、竣工验收等环节的全程监管机制。</w:t>
      </w:r>
      <w:r>
        <w:rPr>
          <w:rFonts w:hint="eastAsia" w:ascii="仿宋_GB2312" w:hAnsi="仿宋_GB2312" w:cs="仿宋_GB2312"/>
          <w:kern w:val="0"/>
          <w:sz w:val="32"/>
          <w:szCs w:val="32"/>
          <w:shd w:val="clear" w:color="auto" w:fill="FFFFFF"/>
        </w:rPr>
        <w:t>除</w:t>
      </w:r>
      <w:r>
        <w:rPr>
          <w:rFonts w:hint="eastAsia" w:ascii="Times New Roman" w:hAnsi="Times New Roman" w:cs="仿宋_GB2312"/>
          <w:kern w:val="0"/>
          <w:sz w:val="32"/>
          <w:szCs w:val="32"/>
          <w:lang w:bidi="ar"/>
        </w:rPr>
        <w:t>经有权机关审批或根据合同约定允许分割转让外</w:t>
      </w:r>
      <w:r>
        <w:rPr>
          <w:rFonts w:hint="eastAsia" w:ascii="仿宋_GB2312" w:hAnsi="仿宋_GB2312" w:cs="仿宋_GB2312"/>
          <w:kern w:val="0"/>
          <w:sz w:val="32"/>
          <w:szCs w:val="32"/>
          <w:shd w:val="clear" w:color="auto" w:fill="FFFFFF"/>
        </w:rPr>
        <w:t>，原则上混合用地应整体持有，不得分割转让。土地使用权发生转让的，土地出让合同和履约监管协议载明的权利、义务随之转移。</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Fonts w:ascii="仿宋_GB2312" w:hAnsi="仿宋_GB2312" w:cs="仿宋_GB2312"/>
          <w:kern w:val="0"/>
          <w:sz w:val="32"/>
          <w:szCs w:val="32"/>
          <w:shd w:val="clear" w:color="auto" w:fill="FFFFFF"/>
        </w:rPr>
      </w:pPr>
      <w:r>
        <w:rPr>
          <w:rFonts w:hint="eastAsia" w:ascii="仿宋_GB2312" w:hAnsi="仿宋_GB2312" w:eastAsia="仿宋_GB2312" w:cs="仿宋_GB2312"/>
          <w:b w:val="0"/>
          <w:bCs w:val="0"/>
          <w:i w:val="0"/>
          <w:iCs w:val="0"/>
          <w:spacing w:val="0"/>
          <w:kern w:val="0"/>
          <w:sz w:val="32"/>
          <w:szCs w:val="32"/>
          <w:shd w:val="clear" w:color="auto" w:fill="FFFFFF"/>
        </w:rPr>
        <w:t>坚决防止土地混合开发利用工作隐形变异，坚决杜绝借土地混合开发利用之名违规进行别墅、私家庄园等房地产开发建设行为。</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Style w:val="14"/>
          <w:rFonts w:ascii="黑体" w:hAnsi="黑体" w:eastAsia="黑体" w:cs="黑体"/>
          <w:b w:val="0"/>
          <w:bCs/>
          <w:kern w:val="0"/>
          <w:sz w:val="32"/>
          <w:szCs w:val="32"/>
          <w:shd w:val="clear" w:color="auto" w:fill="FFFFFF"/>
        </w:rPr>
      </w:pPr>
      <w:r>
        <w:rPr>
          <w:rStyle w:val="14"/>
          <w:rFonts w:hint="eastAsia" w:ascii="黑体" w:hAnsi="黑体" w:eastAsia="黑体" w:cs="黑体"/>
          <w:b w:val="0"/>
          <w:bCs/>
          <w:kern w:val="0"/>
          <w:sz w:val="32"/>
          <w:szCs w:val="32"/>
          <w:shd w:val="clear" w:color="auto" w:fill="FFFFFF"/>
        </w:rPr>
        <w:t>八、依法办理不动产登记</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both"/>
        <w:textAlignment w:val="baseline"/>
        <w:rPr>
          <w:rFonts w:ascii="仿宋_GB2312" w:hAnsi="仿宋_GB2312" w:cs="仿宋_GB2312"/>
          <w:kern w:val="0"/>
          <w:sz w:val="32"/>
          <w:szCs w:val="32"/>
          <w:shd w:val="clear" w:color="auto" w:fill="FFFFFF"/>
        </w:rPr>
      </w:pPr>
      <w:r>
        <w:rPr>
          <w:rFonts w:hint="eastAsia" w:ascii="仿宋_GB2312" w:hAnsi="仿宋_GB2312" w:cs="仿宋_GB2312"/>
          <w:kern w:val="0"/>
          <w:sz w:val="32"/>
          <w:szCs w:val="32"/>
          <w:shd w:val="clear" w:color="auto" w:fill="FFFFFF"/>
        </w:rPr>
        <w:t>企业按土地出让合同约定缴纳土地出让金及有关税费后，不动产登记部门依申请办理不动产登记。混合用地不动产权证书的证载用途应与土地出让合同确定的用途保持一致。土地出让合同约定的用途清单、比例构成、不动产权利处分的限制性条款等有关信息应当在不动产登记簿附记栏中注记。</w:t>
      </w:r>
    </w:p>
    <w:p>
      <w:pPr>
        <w:pStyle w:val="10"/>
        <w:keepNext w:val="0"/>
        <w:keepLines w:val="0"/>
        <w:pageBreakBefore w:val="0"/>
        <w:widowControl w:val="0"/>
        <w:kinsoku w:val="0"/>
        <w:wordWrap/>
        <w:overflowPunct/>
        <w:topLinePunct/>
        <w:bidi w:val="0"/>
        <w:adjustRightInd w:val="0"/>
        <w:snapToGrid w:val="0"/>
        <w:spacing w:beforeAutospacing="0" w:afterAutospacing="0" w:line="540" w:lineRule="exact"/>
        <w:ind w:firstLine="640"/>
        <w:jc w:val="left"/>
        <w:textAlignment w:val="baseline"/>
        <w:rPr>
          <w:rFonts w:ascii="仿宋_GB2312" w:hAnsi="仿宋_GB2312" w:cs="仿宋_GB2312"/>
          <w:kern w:val="0"/>
          <w:sz w:val="32"/>
          <w:szCs w:val="32"/>
          <w:shd w:val="clear" w:color="auto" w:fill="FFFFFF"/>
        </w:rPr>
      </w:pPr>
      <w:r>
        <w:rPr>
          <w:rStyle w:val="14"/>
          <w:rFonts w:hint="eastAsia" w:ascii="黑体" w:hAnsi="黑体" w:eastAsia="黑体" w:cs="黑体"/>
          <w:b w:val="0"/>
          <w:bCs/>
          <w:kern w:val="0"/>
          <w:sz w:val="32"/>
          <w:szCs w:val="32"/>
          <w:shd w:val="clear" w:color="auto" w:fill="FFFFFF"/>
        </w:rPr>
        <w:t>九、支持存量</w:t>
      </w:r>
      <w:r>
        <w:rPr>
          <w:rStyle w:val="14"/>
          <w:rFonts w:hint="eastAsia" w:ascii="黑体" w:hAnsi="黑体" w:eastAsia="黑体" w:cs="黑体"/>
          <w:b w:val="0"/>
          <w:bCs/>
          <w:kern w:val="0"/>
          <w:sz w:val="32"/>
          <w:szCs w:val="32"/>
          <w:shd w:val="clear" w:color="auto" w:fill="FFFFFF"/>
          <w:lang w:eastAsia="zh-CN"/>
        </w:rPr>
        <w:t>产业</w:t>
      </w:r>
      <w:r>
        <w:rPr>
          <w:rStyle w:val="14"/>
          <w:rFonts w:hint="eastAsia" w:ascii="黑体" w:hAnsi="黑体" w:eastAsia="黑体" w:cs="黑体"/>
          <w:b w:val="0"/>
          <w:bCs/>
          <w:kern w:val="0"/>
          <w:sz w:val="32"/>
          <w:szCs w:val="32"/>
          <w:shd w:val="clear" w:color="auto" w:fill="FFFFFF"/>
        </w:rPr>
        <w:t>用地用途转换</w:t>
      </w:r>
    </w:p>
    <w:p>
      <w:pPr>
        <w:keepNext w:val="0"/>
        <w:keepLines w:val="0"/>
        <w:pageBreakBefore w:val="0"/>
        <w:widowControl w:val="0"/>
        <w:kinsoku w:val="0"/>
        <w:wordWrap/>
        <w:overflowPunct/>
        <w:topLinePunct/>
        <w:autoSpaceDE w:val="0"/>
        <w:autoSpaceDN w:val="0"/>
        <w:bidi w:val="0"/>
        <w:adjustRightInd w:val="0"/>
        <w:snapToGrid w:val="0"/>
        <w:spacing w:line="54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在符合国土空间规划前提下，结合产业发展需要，</w:t>
      </w:r>
      <w:r>
        <w:rPr>
          <w:rFonts w:hint="eastAsia" w:ascii="Times New Roman" w:hAnsi="Times New Roman" w:eastAsia="仿宋_GB2312" w:cs="Times New Roman"/>
          <w:snapToGrid w:val="0"/>
          <w:color w:val="000000"/>
          <w:kern w:val="0"/>
          <w:sz w:val="32"/>
          <w:szCs w:val="32"/>
          <w:shd w:val="clear" w:color="auto" w:fill="FFFFFF"/>
          <w:lang w:eastAsia="zh-CN"/>
        </w:rPr>
        <w:t>支持</w:t>
      </w:r>
      <w:r>
        <w:rPr>
          <w:rFonts w:ascii="Times New Roman" w:hAnsi="Times New Roman" w:eastAsia="仿宋_GB2312" w:cs="Times New Roman"/>
          <w:snapToGrid w:val="0"/>
          <w:color w:val="000000"/>
          <w:kern w:val="0"/>
          <w:sz w:val="32"/>
          <w:szCs w:val="32"/>
          <w:shd w:val="clear" w:color="auto" w:fill="FFFFFF"/>
          <w:lang w:eastAsia="zh-CN"/>
        </w:rPr>
        <w:t>存量</w:t>
      </w:r>
      <w:r>
        <w:rPr>
          <w:rFonts w:hint="eastAsia" w:ascii="Times New Roman" w:hAnsi="Times New Roman" w:eastAsia="仿宋_GB2312" w:cs="Times New Roman"/>
          <w:snapToGrid w:val="0"/>
          <w:color w:val="000000"/>
          <w:kern w:val="0"/>
          <w:sz w:val="32"/>
          <w:szCs w:val="32"/>
          <w:shd w:val="clear" w:color="auto" w:fill="FFFFFF"/>
          <w:lang w:val="en-US" w:eastAsia="zh-CN"/>
        </w:rPr>
        <w:t>产业</w:t>
      </w:r>
      <w:r>
        <w:rPr>
          <w:rFonts w:ascii="Times New Roman" w:hAnsi="Times New Roman" w:eastAsia="仿宋_GB2312" w:cs="Times New Roman"/>
          <w:snapToGrid w:val="0"/>
          <w:color w:val="000000"/>
          <w:kern w:val="0"/>
          <w:sz w:val="32"/>
          <w:szCs w:val="32"/>
          <w:shd w:val="clear" w:color="auto" w:fill="FFFFFF"/>
          <w:lang w:eastAsia="zh-CN"/>
        </w:rPr>
        <w:t>用地</w:t>
      </w:r>
      <w:r>
        <w:rPr>
          <w:rFonts w:hint="eastAsia" w:ascii="Times New Roman" w:hAnsi="Times New Roman" w:eastAsia="仿宋_GB2312" w:cs="Times New Roman"/>
          <w:snapToGrid w:val="0"/>
          <w:color w:val="000000"/>
          <w:kern w:val="0"/>
          <w:sz w:val="32"/>
          <w:szCs w:val="32"/>
          <w:shd w:val="clear" w:color="auto" w:fill="FFFFFF"/>
          <w:lang w:eastAsia="zh-CN"/>
        </w:rPr>
        <w:t>及建筑通过</w:t>
      </w:r>
      <w:r>
        <w:rPr>
          <w:rFonts w:ascii="Times New Roman" w:hAnsi="Times New Roman" w:eastAsia="仿宋_GB2312" w:cs="Times New Roman"/>
          <w:snapToGrid w:val="0"/>
          <w:color w:val="000000"/>
          <w:kern w:val="0"/>
          <w:sz w:val="32"/>
          <w:szCs w:val="32"/>
          <w:shd w:val="clear" w:color="auto" w:fill="FFFFFF"/>
          <w:lang w:eastAsia="zh-CN"/>
        </w:rPr>
        <w:t>自主</w:t>
      </w:r>
      <w:r>
        <w:rPr>
          <w:rFonts w:hint="eastAsia" w:ascii="Times New Roman" w:hAnsi="Times New Roman" w:eastAsia="仿宋_GB2312" w:cs="Times New Roman"/>
          <w:snapToGrid w:val="0"/>
          <w:color w:val="000000"/>
          <w:kern w:val="0"/>
          <w:sz w:val="32"/>
          <w:szCs w:val="32"/>
          <w:shd w:val="clear" w:color="auto" w:fill="FFFFFF"/>
          <w:lang w:eastAsia="zh-CN"/>
        </w:rPr>
        <w:t>开发</w:t>
      </w:r>
      <w:r>
        <w:rPr>
          <w:rFonts w:ascii="Times New Roman" w:hAnsi="Times New Roman" w:eastAsia="仿宋_GB2312" w:cs="Times New Roman"/>
          <w:snapToGrid w:val="0"/>
          <w:color w:val="000000"/>
          <w:kern w:val="0"/>
          <w:sz w:val="32"/>
          <w:szCs w:val="32"/>
          <w:shd w:val="clear" w:color="auto" w:fill="FFFFFF"/>
          <w:lang w:eastAsia="zh-CN"/>
        </w:rPr>
        <w:t>、入股</w:t>
      </w:r>
      <w:r>
        <w:rPr>
          <w:rFonts w:hint="eastAsia" w:ascii="Times New Roman" w:hAnsi="Times New Roman" w:eastAsia="仿宋_GB2312" w:cs="Times New Roman"/>
          <w:snapToGrid w:val="0"/>
          <w:color w:val="000000"/>
          <w:kern w:val="0"/>
          <w:sz w:val="32"/>
          <w:szCs w:val="32"/>
          <w:shd w:val="clear" w:color="auto" w:fill="FFFFFF"/>
          <w:lang w:eastAsia="zh-CN"/>
        </w:rPr>
        <w:t>联营</w:t>
      </w:r>
      <w:r>
        <w:rPr>
          <w:rFonts w:ascii="Times New Roman" w:hAnsi="Times New Roman" w:eastAsia="仿宋_GB2312" w:cs="Times New Roman"/>
          <w:snapToGrid w:val="0"/>
          <w:color w:val="000000"/>
          <w:kern w:val="0"/>
          <w:sz w:val="32"/>
          <w:szCs w:val="32"/>
          <w:shd w:val="clear" w:color="auto" w:fill="FFFFFF"/>
          <w:lang w:eastAsia="zh-CN"/>
        </w:rPr>
        <w:t>、转让</w:t>
      </w:r>
      <w:r>
        <w:rPr>
          <w:rFonts w:hint="eastAsia" w:ascii="Times New Roman" w:hAnsi="Times New Roman" w:eastAsia="仿宋_GB2312" w:cs="Times New Roman"/>
          <w:snapToGrid w:val="0"/>
          <w:color w:val="000000"/>
          <w:kern w:val="0"/>
          <w:sz w:val="32"/>
          <w:szCs w:val="32"/>
          <w:shd w:val="clear" w:color="auto" w:fill="FFFFFF"/>
          <w:lang w:eastAsia="zh-CN"/>
        </w:rPr>
        <w:t>等方式盘活利用，</w:t>
      </w:r>
      <w:r>
        <w:rPr>
          <w:rFonts w:ascii="Times New Roman" w:hAnsi="Times New Roman" w:eastAsia="仿宋_GB2312" w:cs="Times New Roman"/>
          <w:snapToGrid w:val="0"/>
          <w:color w:val="000000"/>
          <w:kern w:val="0"/>
          <w:sz w:val="32"/>
          <w:szCs w:val="32"/>
          <w:shd w:val="clear" w:color="auto" w:fill="FFFFFF"/>
          <w:lang w:eastAsia="zh-CN"/>
        </w:rPr>
        <w:t>依法办理土地用途变更手续和规划建设手续，并按照</w:t>
      </w:r>
      <w:r>
        <w:rPr>
          <w:rFonts w:hint="eastAsia" w:ascii="Times New Roman" w:hAnsi="Times New Roman" w:eastAsia="仿宋_GB2312" w:cs="Times New Roman"/>
          <w:snapToGrid w:val="0"/>
          <w:color w:val="000000"/>
          <w:kern w:val="0"/>
          <w:sz w:val="32"/>
          <w:szCs w:val="32"/>
          <w:shd w:val="clear" w:color="auto" w:fill="FFFFFF"/>
          <w:lang w:eastAsia="zh-CN"/>
        </w:rPr>
        <w:t>新的土地</w:t>
      </w:r>
      <w:r>
        <w:rPr>
          <w:rFonts w:ascii="Times New Roman" w:hAnsi="Times New Roman" w:eastAsia="仿宋_GB2312" w:cs="Times New Roman"/>
          <w:snapToGrid w:val="0"/>
          <w:color w:val="000000"/>
          <w:kern w:val="0"/>
          <w:sz w:val="32"/>
          <w:szCs w:val="32"/>
          <w:shd w:val="clear" w:color="auto" w:fill="FFFFFF"/>
          <w:lang w:eastAsia="zh-CN"/>
        </w:rPr>
        <w:t>用途</w:t>
      </w:r>
      <w:r>
        <w:rPr>
          <w:rFonts w:hint="eastAsia" w:ascii="Times New Roman" w:hAnsi="Times New Roman" w:eastAsia="仿宋_GB2312" w:cs="Times New Roman"/>
          <w:snapToGrid w:val="0"/>
          <w:color w:val="000000"/>
          <w:kern w:val="0"/>
          <w:sz w:val="32"/>
          <w:szCs w:val="32"/>
          <w:shd w:val="clear" w:color="auto" w:fill="FFFFFF"/>
          <w:lang w:eastAsia="zh-CN"/>
        </w:rPr>
        <w:t>核算</w:t>
      </w:r>
      <w:r>
        <w:rPr>
          <w:rFonts w:ascii="Times New Roman" w:hAnsi="Times New Roman" w:eastAsia="仿宋_GB2312" w:cs="Times New Roman"/>
          <w:snapToGrid w:val="0"/>
          <w:color w:val="000000"/>
          <w:kern w:val="0"/>
          <w:sz w:val="32"/>
          <w:szCs w:val="32"/>
          <w:shd w:val="clear" w:color="auto" w:fill="FFFFFF"/>
          <w:lang w:eastAsia="zh-CN"/>
        </w:rPr>
        <w:t>补缴</w:t>
      </w:r>
      <w:r>
        <w:rPr>
          <w:rFonts w:hint="eastAsia" w:ascii="Times New Roman" w:hAnsi="Times New Roman" w:eastAsia="仿宋_GB2312" w:cs="Times New Roman"/>
          <w:snapToGrid w:val="0"/>
          <w:color w:val="000000"/>
          <w:kern w:val="0"/>
          <w:sz w:val="32"/>
          <w:szCs w:val="32"/>
          <w:shd w:val="clear" w:color="auto" w:fill="FFFFFF"/>
          <w:lang w:eastAsia="zh-CN"/>
        </w:rPr>
        <w:t>土地</w:t>
      </w:r>
      <w:r>
        <w:rPr>
          <w:rFonts w:ascii="Times New Roman" w:hAnsi="Times New Roman" w:eastAsia="仿宋_GB2312" w:cs="Times New Roman"/>
          <w:snapToGrid w:val="0"/>
          <w:color w:val="000000"/>
          <w:kern w:val="0"/>
          <w:sz w:val="32"/>
          <w:szCs w:val="32"/>
          <w:shd w:val="clear" w:color="auto" w:fill="FFFFFF"/>
          <w:lang w:eastAsia="zh-CN"/>
        </w:rPr>
        <w:t>价款。</w:t>
      </w:r>
      <w:r>
        <w:rPr>
          <w:rFonts w:hint="eastAsia" w:ascii="Times New Roman" w:hAnsi="Times New Roman" w:eastAsia="仿宋_GB2312" w:cs="Times New Roman"/>
          <w:snapToGrid w:val="0"/>
          <w:color w:val="000000"/>
          <w:kern w:val="0"/>
          <w:sz w:val="32"/>
          <w:szCs w:val="32"/>
          <w:shd w:val="clear" w:color="auto" w:fill="FFFFFF"/>
          <w:lang w:eastAsia="zh-CN"/>
        </w:rPr>
        <w:t>对</w:t>
      </w:r>
      <w:r>
        <w:rPr>
          <w:rFonts w:ascii="Times New Roman" w:hAnsi="Times New Roman" w:eastAsia="仿宋_GB2312" w:cs="Times New Roman"/>
          <w:snapToGrid w:val="0"/>
          <w:color w:val="000000"/>
          <w:kern w:val="0"/>
          <w:sz w:val="32"/>
          <w:szCs w:val="32"/>
          <w:shd w:val="clear" w:color="auto" w:fill="FFFFFF"/>
          <w:lang w:eastAsia="zh-CN"/>
        </w:rPr>
        <w:t>存量</w:t>
      </w:r>
      <w:r>
        <w:rPr>
          <w:rFonts w:hint="eastAsia" w:ascii="Times New Roman" w:hAnsi="Times New Roman" w:eastAsia="仿宋_GB2312" w:cs="Times New Roman"/>
          <w:snapToGrid w:val="0"/>
          <w:color w:val="000000"/>
          <w:kern w:val="0"/>
          <w:sz w:val="32"/>
          <w:szCs w:val="32"/>
          <w:shd w:val="clear" w:color="auto" w:fill="FFFFFF"/>
          <w:lang w:val="en-US" w:eastAsia="zh-CN"/>
        </w:rPr>
        <w:t>产业</w:t>
      </w:r>
      <w:r>
        <w:rPr>
          <w:rFonts w:ascii="Times New Roman" w:hAnsi="Times New Roman" w:eastAsia="仿宋_GB2312" w:cs="Times New Roman"/>
          <w:snapToGrid w:val="0"/>
          <w:color w:val="000000"/>
          <w:kern w:val="0"/>
          <w:sz w:val="32"/>
          <w:szCs w:val="32"/>
          <w:shd w:val="clear" w:color="auto" w:fill="FFFFFF"/>
          <w:lang w:eastAsia="zh-CN"/>
        </w:rPr>
        <w:t>用地</w:t>
      </w:r>
      <w:r>
        <w:rPr>
          <w:rFonts w:hint="eastAsia" w:ascii="Times New Roman" w:hAnsi="Times New Roman" w:eastAsia="仿宋_GB2312" w:cs="Times New Roman"/>
          <w:snapToGrid w:val="0"/>
          <w:color w:val="000000"/>
          <w:kern w:val="0"/>
          <w:sz w:val="32"/>
          <w:szCs w:val="32"/>
          <w:shd w:val="clear" w:color="auto" w:fill="FFFFFF"/>
          <w:lang w:eastAsia="zh-CN"/>
        </w:rPr>
        <w:t>用途转换</w:t>
      </w:r>
      <w:r>
        <w:rPr>
          <w:rFonts w:hint="eastAsia" w:ascii="Times New Roman" w:hAnsi="Times New Roman" w:eastAsia="仿宋_GB2312" w:cs="Times New Roman"/>
          <w:snapToGrid w:val="0"/>
          <w:color w:val="000000"/>
          <w:kern w:val="0"/>
          <w:sz w:val="32"/>
          <w:szCs w:val="32"/>
          <w:shd w:val="clear" w:color="auto" w:fill="FFFFFF"/>
          <w:lang w:val="en-US" w:eastAsia="zh-CN"/>
        </w:rPr>
        <w:t>实行正</w:t>
      </w:r>
      <w:r>
        <w:rPr>
          <w:rFonts w:hint="eastAsia" w:ascii="Times New Roman" w:hAnsi="Times New Roman" w:eastAsia="仿宋_GB2312" w:cs="Times New Roman"/>
          <w:snapToGrid w:val="0"/>
          <w:color w:val="000000"/>
          <w:kern w:val="0"/>
          <w:sz w:val="32"/>
          <w:szCs w:val="32"/>
          <w:shd w:val="clear" w:color="auto" w:fill="FFFFFF"/>
          <w:lang w:eastAsia="zh-CN"/>
        </w:rPr>
        <w:t>负面清单管控（</w:t>
      </w:r>
      <w:r>
        <w:rPr>
          <w:rFonts w:hint="eastAsia" w:ascii="Times New Roman" w:hAnsi="Times New Roman" w:eastAsia="仿宋_GB2312" w:cs="Times New Roman"/>
          <w:snapToGrid w:val="0"/>
          <w:color w:val="000000"/>
          <w:kern w:val="0"/>
          <w:sz w:val="32"/>
          <w:szCs w:val="32"/>
          <w:shd w:val="clear" w:color="auto" w:fill="FFFFFF"/>
          <w:lang w:val="en-US" w:eastAsia="zh-CN"/>
        </w:rPr>
        <w:t>参考附件2</w:t>
      </w:r>
      <w:r>
        <w:rPr>
          <w:rFonts w:hint="eastAsia" w:ascii="Times New Roman" w:hAnsi="Times New Roman" w:eastAsia="仿宋_GB2312" w:cs="Times New Roman"/>
          <w:snapToGrid w:val="0"/>
          <w:color w:val="000000"/>
          <w:kern w:val="0"/>
          <w:sz w:val="32"/>
          <w:szCs w:val="32"/>
          <w:shd w:val="clear" w:color="auto" w:fill="FFFFFF"/>
          <w:lang w:eastAsia="zh-CN"/>
        </w:rPr>
        <w:t>）。</w:t>
      </w:r>
    </w:p>
    <w:p>
      <w:pPr>
        <w:pStyle w:val="10"/>
        <w:keepNext w:val="0"/>
        <w:keepLines w:val="0"/>
        <w:pageBreakBefore w:val="0"/>
        <w:widowControl w:val="0"/>
        <w:suppressLineNumbers w:val="0"/>
        <w:kinsoku w:val="0"/>
        <w:wordWrap/>
        <w:overflowPunct/>
        <w:topLinePunct/>
        <w:bidi w:val="0"/>
        <w:adjustRightInd w:val="0"/>
        <w:snapToGrid w:val="0"/>
        <w:spacing w:beforeAutospacing="0" w:afterAutospacing="0" w:line="540" w:lineRule="exact"/>
        <w:ind w:left="0" w:firstLine="640"/>
        <w:jc w:val="left"/>
        <w:textAlignment w:val="baseline"/>
        <w:rPr>
          <w:rFonts w:hint="eastAsia" w:ascii="仿宋_GB2312" w:hAnsi="仿宋_GB2312" w:cs="仿宋_GB2312"/>
          <w:kern w:val="0"/>
          <w:sz w:val="32"/>
          <w:szCs w:val="32"/>
          <w:shd w:val="clear" w:color="auto" w:fill="FFFFFF"/>
        </w:rPr>
      </w:pPr>
      <w:r>
        <w:rPr>
          <w:rFonts w:hint="eastAsia" w:ascii="仿宋_GB2312" w:hAnsi="仿宋_GB2312" w:eastAsia="仿宋_GB2312" w:cs="仿宋_GB2312"/>
          <w:b w:val="0"/>
          <w:bCs w:val="0"/>
          <w:i w:val="0"/>
          <w:iCs w:val="0"/>
          <w:spacing w:val="0"/>
          <w:kern w:val="0"/>
          <w:sz w:val="32"/>
          <w:szCs w:val="32"/>
          <w:shd w:val="clear" w:color="auto" w:fill="FFFFFF"/>
        </w:rPr>
        <w:t>以工业用地为主导的混合用地，工业用地部分在符合规划、不改变用途的前提下提高土地利用率和增加容积率的，不再增收土地价款。工业用地已建的地下空间作为仓储、停车等自用的，其建筑面积可不计容。鼓励利用存量土地、房产资源发展国家支持产业、行业的，可享受一定年期内不改变用地主体和规划条件的过渡期政策，过渡期原则上不超过5年。</w:t>
      </w:r>
    </w:p>
    <w:p>
      <w:pPr>
        <w:keepNext w:val="0"/>
        <w:keepLines w:val="0"/>
        <w:pageBreakBefore w:val="0"/>
        <w:widowControl w:val="0"/>
        <w:kinsoku w:val="0"/>
        <w:wordWrap/>
        <w:overflowPunct/>
        <w:autoSpaceDE w:val="0"/>
        <w:autoSpaceDN w:val="0"/>
        <w:bidi w:val="0"/>
        <w:adjustRightInd w:val="0"/>
        <w:snapToGrid w:val="0"/>
        <w:spacing w:line="54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p>
    <w:p>
      <w:pPr>
        <w:keepNext w:val="0"/>
        <w:keepLines w:val="0"/>
        <w:pageBreakBefore w:val="0"/>
        <w:widowControl w:val="0"/>
        <w:kinsoku w:val="0"/>
        <w:wordWrap/>
        <w:overflowPunct/>
        <w:autoSpaceDE w:val="0"/>
        <w:autoSpaceDN w:val="0"/>
        <w:bidi w:val="0"/>
        <w:adjustRightInd w:val="0"/>
        <w:snapToGrid w:val="0"/>
        <w:spacing w:line="54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附件：1.</w:t>
      </w:r>
      <w:r>
        <w:rPr>
          <w:rFonts w:hint="eastAsia" w:ascii="Times New Roman" w:hAnsi="Times New Roman" w:eastAsia="仿宋_GB2312" w:cs="Times New Roman"/>
          <w:snapToGrid w:val="0"/>
          <w:color w:val="000000"/>
          <w:kern w:val="0"/>
          <w:sz w:val="32"/>
          <w:szCs w:val="32"/>
          <w:shd w:val="clear" w:color="auto" w:fill="FFFFFF"/>
          <w:lang w:val="en-US" w:eastAsia="zh-CN"/>
        </w:rPr>
        <w:t>土地混合开发利用正</w:t>
      </w:r>
      <w:r>
        <w:rPr>
          <w:rFonts w:ascii="Times New Roman" w:hAnsi="Times New Roman" w:eastAsia="仿宋_GB2312" w:cs="Times New Roman"/>
          <w:snapToGrid w:val="0"/>
          <w:color w:val="000000"/>
          <w:kern w:val="0"/>
          <w:sz w:val="32"/>
          <w:szCs w:val="32"/>
          <w:shd w:val="clear" w:color="auto" w:fill="FFFFFF"/>
          <w:lang w:eastAsia="zh-CN"/>
        </w:rPr>
        <w:t>负面清单（试行）</w:t>
      </w:r>
    </w:p>
    <w:p>
      <w:pPr>
        <w:keepNext w:val="0"/>
        <w:keepLines w:val="0"/>
        <w:pageBreakBefore w:val="0"/>
        <w:widowControl w:val="0"/>
        <w:kinsoku w:val="0"/>
        <w:wordWrap/>
        <w:overflowPunct/>
        <w:autoSpaceDE w:val="0"/>
        <w:autoSpaceDN w:val="0"/>
        <w:bidi w:val="0"/>
        <w:adjustRightInd w:val="0"/>
        <w:snapToGrid w:val="0"/>
        <w:spacing w:line="540" w:lineRule="exact"/>
        <w:ind w:firstLine="1600" w:firstLineChars="5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2.存量</w:t>
      </w:r>
      <w:r>
        <w:rPr>
          <w:rFonts w:hint="eastAsia" w:ascii="Times New Roman" w:hAnsi="Times New Roman" w:eastAsia="仿宋_GB2312" w:cs="Times New Roman"/>
          <w:snapToGrid w:val="0"/>
          <w:color w:val="000000"/>
          <w:kern w:val="0"/>
          <w:sz w:val="32"/>
          <w:szCs w:val="32"/>
          <w:shd w:val="clear" w:color="auto" w:fill="FFFFFF"/>
          <w:lang w:eastAsia="zh-CN"/>
        </w:rPr>
        <w:t>产业</w:t>
      </w:r>
      <w:r>
        <w:rPr>
          <w:rFonts w:ascii="Times New Roman" w:hAnsi="Times New Roman" w:eastAsia="仿宋_GB2312" w:cs="Times New Roman"/>
          <w:snapToGrid w:val="0"/>
          <w:color w:val="000000"/>
          <w:kern w:val="0"/>
          <w:sz w:val="32"/>
          <w:szCs w:val="32"/>
          <w:shd w:val="clear" w:color="auto" w:fill="FFFFFF"/>
          <w:lang w:eastAsia="zh-CN"/>
        </w:rPr>
        <w:t>用地</w:t>
      </w:r>
      <w:r>
        <w:rPr>
          <w:rFonts w:hint="eastAsia" w:ascii="Times New Roman" w:hAnsi="Times New Roman" w:eastAsia="仿宋_GB2312" w:cs="Times New Roman"/>
          <w:snapToGrid w:val="0"/>
          <w:color w:val="000000"/>
          <w:kern w:val="0"/>
          <w:sz w:val="32"/>
          <w:szCs w:val="32"/>
          <w:shd w:val="clear" w:color="auto" w:fill="FFFFFF"/>
          <w:lang w:eastAsia="zh-CN"/>
        </w:rPr>
        <w:t>用途转换</w:t>
      </w:r>
      <w:r>
        <w:rPr>
          <w:rFonts w:hint="eastAsia" w:ascii="Times New Roman" w:hAnsi="Times New Roman" w:eastAsia="仿宋_GB2312" w:cs="Times New Roman"/>
          <w:snapToGrid w:val="0"/>
          <w:color w:val="000000"/>
          <w:kern w:val="0"/>
          <w:sz w:val="32"/>
          <w:szCs w:val="32"/>
          <w:shd w:val="clear" w:color="auto" w:fill="FFFFFF"/>
          <w:lang w:val="en-US" w:eastAsia="zh-CN"/>
        </w:rPr>
        <w:t>正</w:t>
      </w:r>
      <w:r>
        <w:rPr>
          <w:rFonts w:ascii="Times New Roman" w:hAnsi="Times New Roman" w:eastAsia="仿宋_GB2312" w:cs="Times New Roman"/>
          <w:snapToGrid w:val="0"/>
          <w:color w:val="000000"/>
          <w:kern w:val="0"/>
          <w:sz w:val="32"/>
          <w:szCs w:val="32"/>
          <w:shd w:val="clear" w:color="auto" w:fill="FFFFFF"/>
          <w:lang w:eastAsia="zh-CN"/>
        </w:rPr>
        <w:t>负面清单（试行）</w:t>
      </w:r>
    </w:p>
    <w:p>
      <w:pPr>
        <w:keepNext w:val="0"/>
        <w:keepLines w:val="0"/>
        <w:pageBreakBefore w:val="0"/>
        <w:widowControl w:val="0"/>
        <w:kinsoku w:val="0"/>
        <w:wordWrap/>
        <w:overflowPunct/>
        <w:autoSpaceDE w:val="0"/>
        <w:autoSpaceDN w:val="0"/>
        <w:bidi w:val="0"/>
        <w:adjustRightInd w:val="0"/>
        <w:snapToGrid w:val="0"/>
        <w:spacing w:line="54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p>
    <w:p>
      <w:pPr>
        <w:keepNext w:val="0"/>
        <w:keepLines w:val="0"/>
        <w:pageBreakBefore w:val="0"/>
        <w:widowControl w:val="0"/>
        <w:wordWrap/>
        <w:overflowPunct/>
        <w:bidi w:val="0"/>
        <w:spacing w:line="540" w:lineRule="exact"/>
        <w:ind w:firstLine="480" w:firstLineChars="200"/>
        <w:rPr>
          <w:rFonts w:ascii="Calibri" w:hAnsi="Calibri" w:eastAsia="宋体" w:cs="Times New Roman"/>
          <w:kern w:val="2"/>
          <w:sz w:val="24"/>
          <w:szCs w:val="22"/>
          <w:lang w:val="en-US" w:eastAsia="zh-CN" w:bidi="ar-SA"/>
        </w:rPr>
      </w:pPr>
    </w:p>
    <w:p>
      <w:pPr>
        <w:keepNext w:val="0"/>
        <w:keepLines w:val="0"/>
        <w:pageBreakBefore w:val="0"/>
        <w:widowControl w:val="0"/>
        <w:kinsoku w:val="0"/>
        <w:wordWrap/>
        <w:overflowPunct/>
        <w:topLinePunct w:val="0"/>
        <w:autoSpaceDE w:val="0"/>
        <w:autoSpaceDN w:val="0"/>
        <w:bidi w:val="0"/>
        <w:adjustRightInd w:val="0"/>
        <w:snapToGrid w:val="0"/>
        <w:spacing w:line="540" w:lineRule="exact"/>
        <w:ind w:left="1599" w:firstLine="3200" w:firstLineChars="1000"/>
        <w:jc w:val="center"/>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湖北省自然资源厅</w:t>
      </w:r>
    </w:p>
    <w:p>
      <w:pPr>
        <w:keepNext w:val="0"/>
        <w:keepLines w:val="0"/>
        <w:pageBreakBefore w:val="0"/>
        <w:widowControl w:val="0"/>
        <w:kinsoku w:val="0"/>
        <w:wordWrap/>
        <w:overflowPunct/>
        <w:topLinePunct w:val="0"/>
        <w:autoSpaceDE w:val="0"/>
        <w:autoSpaceDN w:val="0"/>
        <w:bidi w:val="0"/>
        <w:adjustRightInd w:val="0"/>
        <w:snapToGrid w:val="0"/>
        <w:spacing w:line="540" w:lineRule="exact"/>
        <w:ind w:left="1599" w:firstLine="3200" w:firstLineChars="1000"/>
        <w:jc w:val="center"/>
        <w:textAlignment w:val="baseline"/>
        <w:rPr>
          <w:rFonts w:ascii="Times New Roman" w:hAnsi="Times New Roman" w:cs="Times New Roman"/>
          <w:szCs w:val="32"/>
          <w:shd w:val="clear" w:color="auto" w:fill="FFFFFF"/>
          <w:lang w:eastAsia="zh-CN"/>
        </w:rPr>
        <w:sectPr>
          <w:footerReference r:id="rId3" w:type="default"/>
          <w:pgSz w:w="11906" w:h="16838"/>
          <w:pgMar w:top="1814" w:right="1247" w:bottom="1247" w:left="1474" w:header="850" w:footer="1134" w:gutter="0"/>
          <w:pgNumType w:fmt="numberInDash"/>
          <w:cols w:space="720" w:num="1"/>
        </w:sectPr>
      </w:pPr>
      <w:r>
        <w:rPr>
          <w:rFonts w:ascii="Times New Roman" w:hAnsi="Times New Roman" w:eastAsia="仿宋_GB2312" w:cs="Times New Roman"/>
          <w:snapToGrid w:val="0"/>
          <w:color w:val="000000"/>
          <w:kern w:val="0"/>
          <w:sz w:val="32"/>
          <w:szCs w:val="32"/>
          <w:shd w:val="clear" w:color="auto" w:fill="FFFFFF"/>
          <w:lang w:eastAsia="zh-CN"/>
        </w:rPr>
        <w:t>202</w:t>
      </w:r>
      <w:r>
        <w:rPr>
          <w:rFonts w:hint="eastAsia" w:ascii="Times New Roman" w:hAnsi="Times New Roman" w:eastAsia="仿宋_GB2312" w:cs="Times New Roman"/>
          <w:snapToGrid w:val="0"/>
          <w:color w:val="000000"/>
          <w:kern w:val="0"/>
          <w:sz w:val="32"/>
          <w:szCs w:val="32"/>
          <w:shd w:val="clear" w:color="auto" w:fill="FFFFFF"/>
          <w:lang w:val="en-US" w:eastAsia="zh-CN"/>
        </w:rPr>
        <w:t>6</w:t>
      </w:r>
      <w:r>
        <w:rPr>
          <w:rFonts w:ascii="Times New Roman" w:hAnsi="Times New Roman" w:eastAsia="仿宋_GB2312" w:cs="Times New Roman"/>
          <w:snapToGrid w:val="0"/>
          <w:color w:val="000000"/>
          <w:kern w:val="0"/>
          <w:sz w:val="32"/>
          <w:szCs w:val="32"/>
          <w:shd w:val="clear" w:color="auto" w:fill="FFFFFF"/>
          <w:lang w:eastAsia="zh-CN"/>
        </w:rPr>
        <w:t>年</w:t>
      </w:r>
      <w:r>
        <w:rPr>
          <w:rFonts w:hint="eastAsia" w:ascii="Times New Roman" w:hAnsi="Times New Roman" w:eastAsia="仿宋_GB2312" w:cs="Times New Roman"/>
          <w:snapToGrid w:val="0"/>
          <w:color w:val="000000"/>
          <w:kern w:val="0"/>
          <w:sz w:val="32"/>
          <w:szCs w:val="32"/>
          <w:shd w:val="clear" w:color="auto" w:fill="FFFFFF"/>
          <w:lang w:val="en-US" w:eastAsia="zh-CN"/>
        </w:rPr>
        <w:t>10</w:t>
      </w:r>
      <w:r>
        <w:rPr>
          <w:rFonts w:ascii="Times New Roman" w:hAnsi="Times New Roman" w:eastAsia="仿宋_GB2312" w:cs="Times New Roman"/>
          <w:snapToGrid w:val="0"/>
          <w:color w:val="000000"/>
          <w:kern w:val="0"/>
          <w:sz w:val="32"/>
          <w:szCs w:val="32"/>
          <w:shd w:val="clear" w:color="auto" w:fill="FFFFFF"/>
          <w:lang w:eastAsia="zh-CN"/>
        </w:rPr>
        <w:t>月</w:t>
      </w:r>
      <w:r>
        <w:rPr>
          <w:rFonts w:hint="eastAsia" w:ascii="Times New Roman" w:hAnsi="Times New Roman" w:eastAsia="仿宋_GB2312" w:cs="Times New Roman"/>
          <w:snapToGrid w:val="0"/>
          <w:color w:val="000000"/>
          <w:kern w:val="0"/>
          <w:sz w:val="32"/>
          <w:szCs w:val="32"/>
          <w:shd w:val="clear" w:color="auto" w:fill="FFFFFF"/>
          <w:lang w:val="en-US" w:eastAsia="zh-CN"/>
        </w:rPr>
        <w:t xml:space="preserve">  </w:t>
      </w:r>
      <w:r>
        <w:rPr>
          <w:rFonts w:ascii="Times New Roman" w:hAnsi="Times New Roman" w:eastAsia="仿宋_GB2312" w:cs="Times New Roman"/>
          <w:snapToGrid w:val="0"/>
          <w:color w:val="000000"/>
          <w:kern w:val="0"/>
          <w:sz w:val="32"/>
          <w:szCs w:val="32"/>
          <w:shd w:val="clear" w:color="auto" w:fill="FFFFFF"/>
          <w:lang w:eastAsia="zh-CN"/>
        </w:rPr>
        <w:t>日</w:t>
      </w:r>
    </w:p>
    <w:p>
      <w:pPr>
        <w:widowControl w:val="0"/>
        <w:kinsoku w:val="0"/>
        <w:autoSpaceDE w:val="0"/>
        <w:autoSpaceDN w:val="0"/>
        <w:adjustRightInd w:val="0"/>
        <w:snapToGrid w:val="0"/>
        <w:spacing w:before="101" w:line="230" w:lineRule="auto"/>
        <w:ind w:firstLine="0" w:firstLineChars="0"/>
        <w:jc w:val="left"/>
        <w:textAlignment w:val="baseline"/>
        <w:rPr>
          <w:rFonts w:hint="default" w:ascii="Times New Roman" w:hAnsi="Times New Roman" w:eastAsia="黑体" w:cs="Times New Roman"/>
          <w:snapToGrid w:val="0"/>
          <w:color w:val="000000"/>
          <w:spacing w:val="-6"/>
          <w:kern w:val="0"/>
          <w:sz w:val="32"/>
          <w:szCs w:val="32"/>
          <w:lang w:eastAsia="zh-CN"/>
        </w:rPr>
      </w:pPr>
      <w:r>
        <w:rPr>
          <w:rFonts w:hint="default" w:ascii="Times New Roman" w:hAnsi="Times New Roman" w:eastAsia="黑体" w:cs="Times New Roman"/>
          <w:snapToGrid w:val="0"/>
          <w:color w:val="000000"/>
          <w:spacing w:val="-6"/>
          <w:kern w:val="0"/>
          <w:sz w:val="32"/>
          <w:szCs w:val="32"/>
          <w:lang w:eastAsia="zh-CN"/>
        </w:rPr>
        <w:t>附件1</w:t>
      </w:r>
    </w:p>
    <w:p>
      <w:pPr>
        <w:widowControl w:val="0"/>
        <w:kinsoku w:val="0"/>
        <w:autoSpaceDE w:val="0"/>
        <w:autoSpaceDN w:val="0"/>
        <w:adjustRightInd w:val="0"/>
        <w:snapToGrid w:val="0"/>
        <w:spacing w:before="101" w:line="230" w:lineRule="auto"/>
        <w:ind w:firstLine="0" w:firstLineChars="0"/>
        <w:jc w:val="left"/>
        <w:textAlignment w:val="baseline"/>
        <w:rPr>
          <w:rFonts w:ascii="黑体" w:hAnsi="黑体" w:eastAsia="黑体" w:cs="仿宋_GB2312"/>
          <w:snapToGrid w:val="0"/>
          <w:color w:val="000000"/>
          <w:spacing w:val="-6"/>
          <w:kern w:val="0"/>
          <w:sz w:val="32"/>
          <w:szCs w:val="32"/>
          <w:lang w:eastAsia="zh-CN"/>
        </w:rPr>
      </w:pPr>
    </w:p>
    <w:p>
      <w:pPr>
        <w:pStyle w:val="10"/>
        <w:widowControl w:val="0"/>
        <w:spacing w:beforeAutospacing="0" w:afterAutospacing="0" w:line="540" w:lineRule="atLeast"/>
        <w:ind w:firstLine="0" w:firstLineChars="0"/>
        <w:jc w:val="center"/>
        <w:rPr>
          <w:rFonts w:ascii="方正小标宋简体" w:hAnsi="方正小标宋简体" w:eastAsia="方正小标宋简体" w:cs="方正小标宋简体"/>
          <w:kern w:val="0"/>
          <w:sz w:val="36"/>
          <w:szCs w:val="36"/>
          <w:shd w:val="clear" w:color="auto" w:fill="FFFFFF"/>
        </w:rPr>
      </w:pPr>
      <w:r>
        <w:rPr>
          <w:rFonts w:hint="eastAsia" w:ascii="方正小标宋简体" w:hAnsi="方正小标宋简体" w:eastAsia="方正小标宋简体" w:cs="方正小标宋简体"/>
          <w:kern w:val="0"/>
          <w:sz w:val="36"/>
          <w:szCs w:val="36"/>
          <w:shd w:val="clear" w:color="auto" w:fill="FFFFFF"/>
          <w:lang w:val="en-US" w:eastAsia="zh-CN"/>
        </w:rPr>
        <w:t>土地混合开发利用正</w:t>
      </w:r>
      <w:r>
        <w:rPr>
          <w:rFonts w:ascii="方正小标宋简体" w:hAnsi="方正小标宋简体" w:eastAsia="方正小标宋简体" w:cs="方正小标宋简体"/>
          <w:kern w:val="0"/>
          <w:sz w:val="36"/>
          <w:szCs w:val="36"/>
          <w:shd w:val="clear" w:color="auto" w:fill="FFFFFF"/>
        </w:rPr>
        <w:t>负面清单（试行）</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1691"/>
        <w:gridCol w:w="3324"/>
        <w:gridCol w:w="3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blHeader/>
          <w:jc w:val="center"/>
        </w:trPr>
        <w:tc>
          <w:tcPr>
            <w:tcW w:w="1309" w:type="pct"/>
            <w:gridSpan w:val="2"/>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420" w:firstLineChars="200"/>
              <w:jc w:val="center"/>
              <w:textAlignment w:val="baseline"/>
              <w:rPr>
                <w:rFonts w:hint="eastAsia" w:ascii="黑体" w:hAnsi="黑体" w:eastAsia="黑体" w:cs="黑体"/>
                <w:b w:val="0"/>
                <w:bCs w:val="0"/>
                <w:snapToGrid w:val="0"/>
                <w:color w:val="000000"/>
                <w:kern w:val="0"/>
                <w:sz w:val="21"/>
                <w:szCs w:val="21"/>
                <w:vertAlign w:val="baseline"/>
                <w:lang w:eastAsia="zh-CN"/>
              </w:rPr>
            </w:pPr>
            <w:r>
              <w:rPr>
                <w:rFonts w:hint="eastAsia" w:ascii="黑体" w:hAnsi="黑体" w:eastAsia="黑体" w:cs="黑体"/>
                <w:b w:val="0"/>
                <w:bCs w:val="0"/>
                <w:snapToGrid w:val="0"/>
                <w:color w:val="000000"/>
                <w:kern w:val="0"/>
                <w:sz w:val="21"/>
                <w:szCs w:val="21"/>
                <w:vertAlign w:val="baseline"/>
                <w:lang w:val="en-US" w:eastAsia="zh-CN"/>
              </w:rPr>
              <w:t>主导用途</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黑体" w:hAnsi="黑体" w:eastAsia="黑体" w:cs="黑体"/>
                <w:b w:val="0"/>
                <w:bCs w:val="0"/>
                <w:snapToGrid w:val="0"/>
                <w:color w:val="000000"/>
                <w:kern w:val="0"/>
                <w:sz w:val="21"/>
                <w:szCs w:val="21"/>
                <w:vertAlign w:val="baseline"/>
                <w:lang w:val="en-US" w:eastAsia="zh-CN"/>
              </w:rPr>
            </w:pPr>
            <w:r>
              <w:rPr>
                <w:rFonts w:hint="eastAsia" w:ascii="黑体" w:hAnsi="黑体" w:eastAsia="黑体" w:cs="黑体"/>
                <w:b w:val="0"/>
                <w:bCs w:val="0"/>
                <w:snapToGrid w:val="0"/>
                <w:color w:val="000000"/>
                <w:kern w:val="0"/>
                <w:sz w:val="21"/>
                <w:szCs w:val="21"/>
                <w:vertAlign w:val="baseline"/>
                <w:lang w:val="en-US" w:eastAsia="zh-CN"/>
              </w:rPr>
              <w:t>允许混合的用地类型</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黑体" w:hAnsi="黑体" w:eastAsia="黑体" w:cs="黑体"/>
                <w:b w:val="0"/>
                <w:bCs w:val="0"/>
                <w:snapToGrid w:val="0"/>
                <w:color w:val="000000"/>
                <w:kern w:val="0"/>
                <w:sz w:val="21"/>
                <w:szCs w:val="21"/>
                <w:vertAlign w:val="baseline"/>
                <w:lang w:val="en-US" w:eastAsia="zh-CN"/>
              </w:rPr>
            </w:pPr>
            <w:r>
              <w:rPr>
                <w:rFonts w:hint="eastAsia" w:ascii="黑体" w:hAnsi="黑体" w:eastAsia="黑体" w:cs="黑体"/>
                <w:b w:val="0"/>
                <w:bCs w:val="0"/>
                <w:snapToGrid w:val="0"/>
                <w:color w:val="000000"/>
                <w:kern w:val="0"/>
                <w:sz w:val="21"/>
                <w:szCs w:val="21"/>
                <w:vertAlign w:val="baseline"/>
                <w:lang w:val="en-US" w:eastAsia="zh-CN"/>
              </w:rPr>
              <w:t>禁止混合的用地类型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33"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lang w:eastAsia="en-US"/>
              </w:rPr>
            </w:pPr>
            <w:r>
              <w:rPr>
                <w:rFonts w:hint="eastAsia" w:ascii="Times New Roman" w:hAnsi="Times New Roman" w:eastAsia="仿宋_GB2312" w:cs="仿宋_GB2312"/>
                <w:b/>
                <w:bCs/>
                <w:snapToGrid w:val="0"/>
                <w:color w:val="000000"/>
                <w:kern w:val="0"/>
                <w:sz w:val="21"/>
                <w:szCs w:val="21"/>
                <w:lang w:eastAsia="en-US"/>
              </w:rPr>
              <w:t>居住</w:t>
            </w:r>
          </w:p>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lang w:eastAsia="en-US"/>
              </w:rPr>
            </w:pPr>
            <w:r>
              <w:rPr>
                <w:rFonts w:hint="eastAsia" w:ascii="Times New Roman" w:hAnsi="Times New Roman" w:eastAsia="仿宋_GB2312" w:cs="仿宋_GB2312"/>
                <w:b/>
                <w:bCs/>
                <w:snapToGrid w:val="0"/>
                <w:color w:val="000000"/>
                <w:kern w:val="0"/>
                <w:sz w:val="21"/>
                <w:szCs w:val="21"/>
                <w:lang w:eastAsia="en-US"/>
              </w:rPr>
              <w:t>用地</w:t>
            </w:r>
          </w:p>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lang w:eastAsia="zh-CN"/>
              </w:rPr>
              <w:t>（</w:t>
            </w:r>
            <w:r>
              <w:rPr>
                <w:rFonts w:hint="eastAsia" w:ascii="Times New Roman" w:hAnsi="Times New Roman" w:eastAsia="仿宋_GB2312" w:cs="仿宋_GB2312"/>
                <w:b/>
                <w:bCs/>
                <w:snapToGrid w:val="0"/>
                <w:color w:val="000000"/>
                <w:kern w:val="0"/>
                <w:sz w:val="21"/>
                <w:szCs w:val="21"/>
                <w:lang w:eastAsia="en-US"/>
              </w:rPr>
              <w:t>07</w:t>
            </w:r>
            <w:r>
              <w:rPr>
                <w:rFonts w:hint="eastAsia" w:ascii="Times New Roman" w:hAnsi="Times New Roman" w:eastAsia="仿宋_GB2312" w:cs="仿宋_GB2312"/>
                <w:b/>
                <w:bCs/>
                <w:snapToGrid w:val="0"/>
                <w:color w:val="000000"/>
                <w:kern w:val="0"/>
                <w:sz w:val="21"/>
                <w:szCs w:val="21"/>
                <w:lang w:eastAsia="zh-CN"/>
              </w:rPr>
              <w:t>）</w:t>
            </w:r>
          </w:p>
        </w:tc>
        <w:tc>
          <w:tcPr>
            <w:tcW w:w="976"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城镇住宅用地（0701）</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公共管理与公共服务用地（08）、商业服务业用地（09）（</w:t>
            </w:r>
            <w:r>
              <w:rPr>
                <w:rFonts w:hint="eastAsia" w:ascii="Times New Roman" w:hAnsi="Times New Roman" w:eastAsia="仿宋_GB2312" w:cs="仿宋_GB2312"/>
                <w:b w:val="0"/>
                <w:bCs w:val="0"/>
                <w:snapToGrid w:val="0"/>
                <w:color w:val="000000"/>
                <w:kern w:val="0"/>
                <w:sz w:val="21"/>
                <w:szCs w:val="21"/>
                <w:vertAlign w:val="baseline"/>
                <w:lang w:val="en-US" w:eastAsia="zh-CN"/>
              </w:rPr>
              <w:t>加油加气站除外</w:t>
            </w:r>
            <w:r>
              <w:rPr>
                <w:rFonts w:hint="eastAsia" w:ascii="Times New Roman" w:hAnsi="Times New Roman" w:eastAsia="仿宋_GB2312" w:cs="仿宋_GB2312"/>
                <w:b w:val="0"/>
                <w:bCs w:val="0"/>
                <w:snapToGrid w:val="0"/>
                <w:color w:val="000000"/>
                <w:kern w:val="0"/>
                <w:sz w:val="21"/>
                <w:szCs w:val="21"/>
                <w:vertAlign w:val="baseline"/>
                <w:lang w:eastAsia="zh-CN"/>
              </w:rPr>
              <w:t>）</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工业用地（1001）、仓储用地（11）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309" w:type="pct"/>
            <w:gridSpan w:val="2"/>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lang w:eastAsia="en-US"/>
              </w:rPr>
              <w:t>公共管理与公共服务用地</w:t>
            </w:r>
            <w:r>
              <w:rPr>
                <w:rFonts w:hint="eastAsia" w:ascii="Times New Roman" w:hAnsi="Times New Roman" w:eastAsia="仿宋_GB2312" w:cs="仿宋_GB2312"/>
                <w:b/>
                <w:bCs/>
                <w:snapToGrid w:val="0"/>
                <w:color w:val="000000"/>
                <w:kern w:val="0"/>
                <w:sz w:val="21"/>
                <w:szCs w:val="21"/>
                <w:lang w:eastAsia="zh-CN"/>
              </w:rPr>
              <w:t>（</w:t>
            </w:r>
            <w:r>
              <w:rPr>
                <w:rFonts w:hint="eastAsia" w:ascii="Times New Roman" w:hAnsi="Times New Roman" w:eastAsia="仿宋_GB2312" w:cs="仿宋_GB2312"/>
                <w:b/>
                <w:bCs/>
                <w:snapToGrid w:val="0"/>
                <w:color w:val="000000"/>
                <w:kern w:val="0"/>
                <w:sz w:val="21"/>
                <w:szCs w:val="21"/>
                <w:lang w:eastAsia="en-US"/>
              </w:rPr>
              <w:t>08</w:t>
            </w:r>
            <w:r>
              <w:rPr>
                <w:rFonts w:hint="eastAsia" w:ascii="Times New Roman" w:hAnsi="Times New Roman" w:eastAsia="仿宋_GB2312" w:cs="仿宋_GB2312"/>
                <w:b/>
                <w:bCs/>
                <w:snapToGrid w:val="0"/>
                <w:color w:val="000000"/>
                <w:kern w:val="0"/>
                <w:sz w:val="21"/>
                <w:szCs w:val="21"/>
                <w:lang w:eastAsia="zh-CN"/>
              </w:rPr>
              <w:t>）</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default" w:ascii="Times New Roman" w:hAnsi="Times New Roman" w:eastAsia="仿宋_GB2312" w:cs="仿宋_GB2312"/>
                <w:b w:val="0"/>
                <w:bCs w:val="0"/>
                <w:snapToGrid w:val="0"/>
                <w:color w:val="000000"/>
                <w:kern w:val="0"/>
                <w:sz w:val="21"/>
                <w:szCs w:val="21"/>
                <w:vertAlign w:val="baseline"/>
                <w:lang w:val="en-US"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城镇住宅用地（0701）、</w:t>
            </w:r>
            <w:r>
              <w:rPr>
                <w:rFonts w:hint="eastAsia" w:ascii="Times New Roman" w:hAnsi="Times New Roman" w:eastAsia="仿宋_GB2312" w:cs="仿宋_GB2312"/>
                <w:b w:val="0"/>
                <w:bCs w:val="0"/>
                <w:snapToGrid w:val="0"/>
                <w:color w:val="000000"/>
                <w:kern w:val="0"/>
                <w:sz w:val="21"/>
                <w:szCs w:val="21"/>
                <w:vertAlign w:val="baseline"/>
                <w:lang w:eastAsia="zh-CN"/>
              </w:rPr>
              <w:t>商业服务业用地（09）（</w:t>
            </w:r>
            <w:r>
              <w:rPr>
                <w:rFonts w:hint="eastAsia" w:ascii="Times New Roman" w:hAnsi="Times New Roman" w:eastAsia="仿宋_GB2312" w:cs="仿宋_GB2312"/>
                <w:b w:val="0"/>
                <w:bCs w:val="0"/>
                <w:snapToGrid w:val="0"/>
                <w:color w:val="000000"/>
                <w:kern w:val="0"/>
                <w:sz w:val="21"/>
                <w:szCs w:val="21"/>
                <w:vertAlign w:val="baseline"/>
                <w:lang w:val="en-US" w:eastAsia="zh-CN"/>
              </w:rPr>
              <w:t>加油加气站除外</w:t>
            </w:r>
            <w:r>
              <w:rPr>
                <w:rFonts w:hint="eastAsia" w:ascii="Times New Roman" w:hAnsi="Times New Roman" w:eastAsia="仿宋_GB2312" w:cs="仿宋_GB2312"/>
                <w:b w:val="0"/>
                <w:bCs w:val="0"/>
                <w:snapToGrid w:val="0"/>
                <w:color w:val="000000"/>
                <w:kern w:val="0"/>
                <w:sz w:val="21"/>
                <w:szCs w:val="21"/>
                <w:vertAlign w:val="baseline"/>
                <w:lang w:eastAsia="zh-CN"/>
              </w:rPr>
              <w:t>）</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三类工业用地（100103）、三类物流仓储用地（110103）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jc w:val="center"/>
        </w:trPr>
        <w:tc>
          <w:tcPr>
            <w:tcW w:w="1309" w:type="pct"/>
            <w:gridSpan w:val="2"/>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vertAlign w:val="baseline"/>
                <w:lang w:eastAsia="zh-CN"/>
              </w:rPr>
              <w:t>商业服务业用地（09）</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城镇住宅用地（0701）、公共管理与公共服务用地（08）</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三类工业用地（100103）、三类物流仓储用地（110103）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333" w:type="pct"/>
            <w:vMerge w:val="restar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vertAlign w:val="baseline"/>
                <w:lang w:eastAsia="zh-CN"/>
              </w:rPr>
              <w:t>工业用地</w:t>
            </w:r>
          </w:p>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vertAlign w:val="baseline"/>
                <w:lang w:eastAsia="zh-CN"/>
              </w:rPr>
              <w:t>（1001）</w:t>
            </w:r>
          </w:p>
        </w:tc>
        <w:tc>
          <w:tcPr>
            <w:tcW w:w="976"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一类工业</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（100101）、二类工业</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（100102）</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default" w:ascii="Times New Roman" w:hAnsi="Times New Roman" w:eastAsia="仿宋_GB2312" w:cs="仿宋_GB2312"/>
                <w:b w:val="0"/>
                <w:bCs w:val="0"/>
                <w:snapToGrid w:val="0"/>
                <w:color w:val="000000"/>
                <w:kern w:val="0"/>
                <w:sz w:val="21"/>
                <w:szCs w:val="21"/>
                <w:vertAlign w:val="baseline"/>
                <w:lang w:val="en-US"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科研用地（0802）、</w:t>
            </w:r>
            <w:r>
              <w:rPr>
                <w:rFonts w:hint="eastAsia" w:ascii="Times New Roman" w:hAnsi="Times New Roman" w:eastAsia="仿宋_GB2312" w:cs="仿宋_GB2312"/>
                <w:b w:val="0"/>
                <w:bCs w:val="0"/>
                <w:snapToGrid w:val="0"/>
                <w:color w:val="000000"/>
                <w:kern w:val="0"/>
                <w:sz w:val="21"/>
                <w:szCs w:val="21"/>
                <w:vertAlign w:val="baseline"/>
                <w:lang w:eastAsia="zh-CN"/>
              </w:rPr>
              <w:t>一类物流仓储</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（110101）、二类物流仓储</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（110102）</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城镇住宅用地（0701）、三类工业用地（100103）、三类物流仓储用地（110103）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33" w:type="pct"/>
            <w:vMerge w:val="continue"/>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421" w:firstLineChars="200"/>
              <w:jc w:val="center"/>
              <w:textAlignment w:val="baseline"/>
              <w:rPr>
                <w:rFonts w:hint="eastAsia" w:ascii="Times New Roman" w:hAnsi="Times New Roman" w:eastAsia="仿宋_GB2312" w:cs="仿宋_GB2312"/>
                <w:b/>
                <w:bCs/>
                <w:snapToGrid w:val="0"/>
                <w:color w:val="000000"/>
                <w:kern w:val="0"/>
                <w:sz w:val="21"/>
                <w:szCs w:val="21"/>
                <w:vertAlign w:val="baseline"/>
                <w:lang w:eastAsia="zh-CN"/>
              </w:rPr>
            </w:pPr>
          </w:p>
        </w:tc>
        <w:tc>
          <w:tcPr>
            <w:tcW w:w="976"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三类工业</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（100103）</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default" w:ascii="Times New Roman" w:hAnsi="Times New Roman" w:eastAsia="仿宋_GB2312" w:cs="仿宋_GB2312"/>
                <w:b w:val="0"/>
                <w:bCs w:val="0"/>
                <w:snapToGrid w:val="0"/>
                <w:color w:val="000000"/>
                <w:kern w:val="0"/>
                <w:sz w:val="21"/>
                <w:szCs w:val="21"/>
                <w:vertAlign w:val="baseline"/>
                <w:lang w:val="en-US"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禁止</w:t>
            </w:r>
            <w:r>
              <w:rPr>
                <w:rFonts w:hint="eastAsia" w:ascii="Times New Roman" w:hAnsi="Times New Roman" w:eastAsia="仿宋_GB2312" w:cs="仿宋_GB2312"/>
                <w:b w:val="0"/>
                <w:bCs w:val="0"/>
                <w:snapToGrid w:val="0"/>
                <w:color w:val="000000"/>
                <w:kern w:val="0"/>
                <w:sz w:val="21"/>
                <w:szCs w:val="21"/>
                <w:vertAlign w:val="baseline"/>
                <w:lang w:eastAsia="zh-CN"/>
              </w:rPr>
              <w:t>与其他任何用地混合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333" w:type="pct"/>
            <w:vMerge w:val="restar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vertAlign w:val="baseline"/>
                <w:lang w:eastAsia="zh-CN"/>
              </w:rPr>
              <w:t>物流仓储用地</w:t>
            </w:r>
          </w:p>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bCs/>
                <w:snapToGrid w:val="0"/>
                <w:color w:val="000000"/>
                <w:kern w:val="0"/>
                <w:sz w:val="21"/>
                <w:szCs w:val="21"/>
                <w:vertAlign w:val="baseline"/>
                <w:lang w:eastAsia="zh-CN"/>
              </w:rPr>
            </w:pPr>
            <w:r>
              <w:rPr>
                <w:rFonts w:hint="eastAsia" w:ascii="Times New Roman" w:hAnsi="Times New Roman" w:eastAsia="仿宋_GB2312" w:cs="仿宋_GB2312"/>
                <w:b/>
                <w:bCs/>
                <w:snapToGrid w:val="0"/>
                <w:color w:val="000000"/>
                <w:kern w:val="0"/>
                <w:sz w:val="21"/>
                <w:szCs w:val="21"/>
                <w:vertAlign w:val="baseline"/>
                <w:lang w:eastAsia="zh-CN"/>
              </w:rPr>
              <w:t>（11）</w:t>
            </w:r>
          </w:p>
        </w:tc>
        <w:tc>
          <w:tcPr>
            <w:tcW w:w="976"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一类物流仓储</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（110101）、二类物流仓储</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（110102）</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科研用地（0802）、</w:t>
            </w:r>
            <w:r>
              <w:rPr>
                <w:rFonts w:hint="eastAsia" w:ascii="Times New Roman" w:hAnsi="Times New Roman" w:eastAsia="仿宋_GB2312" w:cs="仿宋_GB2312"/>
                <w:b w:val="0"/>
                <w:bCs w:val="0"/>
                <w:snapToGrid w:val="0"/>
                <w:color w:val="000000"/>
                <w:kern w:val="0"/>
                <w:sz w:val="21"/>
                <w:szCs w:val="21"/>
                <w:vertAlign w:val="baseline"/>
                <w:lang w:eastAsia="zh-CN"/>
              </w:rPr>
              <w:t>一类工业</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（100101）、二类工业</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（100102）</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城镇住宅用地（0701）、三类工业用地（100103）、三类物流仓储用地（110103）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33" w:type="pct"/>
            <w:vMerge w:val="continue"/>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420" w:firstLineChars="20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p>
        </w:tc>
        <w:tc>
          <w:tcPr>
            <w:tcW w:w="976"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eastAsia="zh-CN"/>
              </w:rPr>
              <w:t>三类物流仓储</w:t>
            </w:r>
            <w:r>
              <w:rPr>
                <w:rFonts w:hint="eastAsia" w:ascii="Times New Roman" w:hAnsi="Times New Roman" w:eastAsia="仿宋_GB2312" w:cs="仿宋_GB2312"/>
                <w:b w:val="0"/>
                <w:bCs w:val="0"/>
                <w:snapToGrid w:val="0"/>
                <w:color w:val="000000"/>
                <w:kern w:val="0"/>
                <w:sz w:val="21"/>
                <w:szCs w:val="21"/>
                <w:vertAlign w:val="baseline"/>
                <w:lang w:val="en-US" w:eastAsia="zh-CN"/>
              </w:rPr>
              <w:t>用地</w:t>
            </w:r>
            <w:r>
              <w:rPr>
                <w:rFonts w:hint="eastAsia" w:ascii="Times New Roman" w:hAnsi="Times New Roman" w:eastAsia="仿宋_GB2312" w:cs="仿宋_GB2312"/>
                <w:b w:val="0"/>
                <w:bCs w:val="0"/>
                <w:snapToGrid w:val="0"/>
                <w:color w:val="000000"/>
                <w:kern w:val="0"/>
                <w:sz w:val="21"/>
                <w:szCs w:val="21"/>
                <w:vertAlign w:val="baseline"/>
                <w:lang w:eastAsia="zh-CN"/>
              </w:rPr>
              <w:t>（110103）</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val="en-US"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w:t>
            </w:r>
          </w:p>
        </w:tc>
        <w:tc>
          <w:tcPr>
            <w:tcW w:w="1845" w:type="pct"/>
            <w:vAlign w:val="center"/>
          </w:tcPr>
          <w:p>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0" w:firstLineChars="0"/>
              <w:jc w:val="center"/>
              <w:textAlignment w:val="baseline"/>
              <w:rPr>
                <w:rFonts w:hint="eastAsia" w:ascii="Times New Roman" w:hAnsi="Times New Roman" w:eastAsia="仿宋_GB2312" w:cs="仿宋_GB2312"/>
                <w:b w:val="0"/>
                <w:bCs w:val="0"/>
                <w:snapToGrid w:val="0"/>
                <w:color w:val="000000"/>
                <w:kern w:val="0"/>
                <w:sz w:val="21"/>
                <w:szCs w:val="21"/>
                <w:vertAlign w:val="baseline"/>
                <w:lang w:eastAsia="zh-CN"/>
              </w:rPr>
            </w:pPr>
            <w:r>
              <w:rPr>
                <w:rFonts w:hint="eastAsia" w:ascii="Times New Roman" w:hAnsi="Times New Roman" w:eastAsia="仿宋_GB2312" w:cs="仿宋_GB2312"/>
                <w:b w:val="0"/>
                <w:bCs w:val="0"/>
                <w:snapToGrid w:val="0"/>
                <w:color w:val="000000"/>
                <w:kern w:val="0"/>
                <w:sz w:val="21"/>
                <w:szCs w:val="21"/>
                <w:vertAlign w:val="baseline"/>
                <w:lang w:val="en-US" w:eastAsia="zh-CN"/>
              </w:rPr>
              <w:t>禁止</w:t>
            </w:r>
            <w:r>
              <w:rPr>
                <w:rFonts w:hint="eastAsia" w:ascii="Times New Roman" w:hAnsi="Times New Roman" w:eastAsia="仿宋_GB2312" w:cs="仿宋_GB2312"/>
                <w:b w:val="0"/>
                <w:bCs w:val="0"/>
                <w:snapToGrid w:val="0"/>
                <w:color w:val="000000"/>
                <w:kern w:val="0"/>
                <w:sz w:val="21"/>
                <w:szCs w:val="21"/>
                <w:vertAlign w:val="baseline"/>
                <w:lang w:eastAsia="zh-CN"/>
              </w:rPr>
              <w:t>与其他任何用地混合</w:t>
            </w:r>
          </w:p>
        </w:tc>
      </w:tr>
    </w:tbl>
    <w:p>
      <w:pPr>
        <w:widowControl/>
        <w:kinsoku w:val="0"/>
        <w:autoSpaceDE w:val="0"/>
        <w:autoSpaceDN w:val="0"/>
        <w:adjustRightInd w:val="0"/>
        <w:snapToGrid w:val="0"/>
        <w:spacing w:line="240" w:lineRule="auto"/>
        <w:ind w:firstLine="0" w:firstLineChars="0"/>
        <w:jc w:val="left"/>
        <w:textAlignment w:val="baseline"/>
        <w:rPr>
          <w:rFonts w:ascii="宋体" w:hAnsi="宋体" w:eastAsia="仿宋_GB2312" w:cs="宋体"/>
          <w:b/>
          <w:bCs/>
          <w:snapToGrid w:val="0"/>
          <w:color w:val="000000"/>
          <w:kern w:val="0"/>
          <w:sz w:val="18"/>
          <w:szCs w:val="18"/>
          <w:lang w:eastAsia="zh-CN"/>
        </w:rPr>
      </w:pPr>
    </w:p>
    <w:p>
      <w:pPr>
        <w:widowControl/>
        <w:kinsoku w:val="0"/>
        <w:autoSpaceDE w:val="0"/>
        <w:autoSpaceDN w:val="0"/>
        <w:adjustRightInd w:val="0"/>
        <w:snapToGrid w:val="0"/>
        <w:spacing w:line="240" w:lineRule="auto"/>
        <w:ind w:firstLine="420" w:firstLineChars="200"/>
        <w:jc w:val="left"/>
        <w:textAlignment w:val="baseline"/>
        <w:rPr>
          <w:rFonts w:ascii="宋体" w:hAnsi="宋体" w:eastAsia="仿宋_GB2312" w:cs="宋体"/>
          <w:snapToGrid w:val="0"/>
          <w:color w:val="000000"/>
          <w:kern w:val="0"/>
          <w:sz w:val="21"/>
          <w:szCs w:val="21"/>
          <w:lang w:eastAsia="zh-CN"/>
        </w:rPr>
      </w:pPr>
      <w:r>
        <w:rPr>
          <w:rFonts w:hint="eastAsia" w:ascii="宋体" w:hAnsi="宋体" w:eastAsia="仿宋_GB2312" w:cs="宋体"/>
          <w:b w:val="0"/>
          <w:bCs w:val="0"/>
          <w:snapToGrid w:val="0"/>
          <w:color w:val="000000"/>
          <w:kern w:val="0"/>
          <w:sz w:val="21"/>
          <w:szCs w:val="21"/>
          <w:lang w:eastAsia="zh-CN"/>
        </w:rPr>
        <w:t>备注：</w:t>
      </w:r>
      <w:r>
        <w:rPr>
          <w:rFonts w:hint="eastAsia" w:ascii="宋体" w:hAnsi="宋体" w:eastAsia="仿宋_GB2312" w:cs="宋体"/>
          <w:b w:val="0"/>
          <w:bCs w:val="0"/>
          <w:snapToGrid w:val="0"/>
          <w:color w:val="000000"/>
          <w:kern w:val="0"/>
          <w:sz w:val="21"/>
          <w:szCs w:val="21"/>
          <w:lang w:val="en-US" w:eastAsia="zh-CN"/>
        </w:rPr>
        <w:t>本清单未涉及到的地类，</w:t>
      </w:r>
      <w:r>
        <w:rPr>
          <w:rFonts w:hint="eastAsia" w:ascii="宋体" w:hAnsi="宋体" w:eastAsia="仿宋_GB2312" w:cs="宋体"/>
          <w:b w:val="0"/>
          <w:bCs w:val="0"/>
          <w:snapToGrid w:val="0"/>
          <w:color w:val="000000"/>
          <w:kern w:val="0"/>
          <w:sz w:val="21"/>
          <w:szCs w:val="21"/>
          <w:lang w:eastAsia="zh-CN"/>
        </w:rPr>
        <w:t>各地可</w:t>
      </w:r>
      <w:r>
        <w:rPr>
          <w:rFonts w:hint="eastAsia" w:ascii="宋体" w:hAnsi="宋体" w:eastAsia="仿宋_GB2312" w:cs="宋体"/>
          <w:b w:val="0"/>
          <w:bCs w:val="0"/>
          <w:snapToGrid w:val="0"/>
          <w:color w:val="000000"/>
          <w:kern w:val="0"/>
          <w:sz w:val="21"/>
          <w:szCs w:val="21"/>
          <w:lang w:val="en-US" w:eastAsia="zh-CN"/>
        </w:rPr>
        <w:t>结合实际</w:t>
      </w:r>
      <w:r>
        <w:rPr>
          <w:rFonts w:hint="eastAsia" w:ascii="宋体" w:hAnsi="宋体" w:eastAsia="仿宋_GB2312" w:cs="宋体"/>
          <w:b w:val="0"/>
          <w:bCs w:val="0"/>
          <w:snapToGrid w:val="0"/>
          <w:color w:val="000000"/>
          <w:kern w:val="0"/>
          <w:sz w:val="21"/>
          <w:szCs w:val="21"/>
          <w:lang w:eastAsia="zh-CN"/>
        </w:rPr>
        <w:t>制定</w:t>
      </w:r>
      <w:r>
        <w:rPr>
          <w:rFonts w:hint="eastAsia" w:ascii="宋体" w:hAnsi="宋体" w:eastAsia="仿宋_GB2312" w:cs="宋体"/>
          <w:b w:val="0"/>
          <w:bCs w:val="0"/>
          <w:snapToGrid w:val="0"/>
          <w:color w:val="000000"/>
          <w:kern w:val="0"/>
          <w:sz w:val="21"/>
          <w:szCs w:val="21"/>
          <w:lang w:val="en-US" w:eastAsia="zh-CN"/>
        </w:rPr>
        <w:t>土地混合利用正</w:t>
      </w:r>
      <w:r>
        <w:rPr>
          <w:rFonts w:hint="eastAsia" w:ascii="宋体" w:hAnsi="宋体" w:eastAsia="仿宋_GB2312" w:cs="宋体"/>
          <w:b w:val="0"/>
          <w:bCs w:val="0"/>
          <w:snapToGrid w:val="0"/>
          <w:color w:val="000000"/>
          <w:kern w:val="0"/>
          <w:sz w:val="21"/>
          <w:szCs w:val="21"/>
          <w:lang w:eastAsia="zh-CN"/>
        </w:rPr>
        <w:t>负面清单。</w:t>
      </w:r>
    </w:p>
    <w:p>
      <w:pPr>
        <w:kinsoku/>
        <w:autoSpaceDE/>
        <w:autoSpaceDN/>
        <w:adjustRightInd/>
        <w:snapToGrid/>
        <w:spacing w:line="240" w:lineRule="auto"/>
        <w:ind w:firstLine="0" w:firstLineChars="0"/>
        <w:textAlignment w:val="auto"/>
        <w:rPr>
          <w:rFonts w:ascii="仿宋_GB2312" w:hAnsi="仿宋_GB2312" w:cs="仿宋_GB2312"/>
          <w:spacing w:val="-6"/>
          <w:szCs w:val="32"/>
          <w:lang w:eastAsia="zh-CN"/>
        </w:rPr>
        <w:sectPr>
          <w:footerReference r:id="rId4" w:type="default"/>
          <w:pgSz w:w="11906" w:h="16838"/>
          <w:pgMar w:top="1814" w:right="1247" w:bottom="1247" w:left="1474" w:header="850" w:footer="1134" w:gutter="0"/>
          <w:pgNumType w:fmt="numberInDash"/>
          <w:cols w:space="720" w:num="1"/>
        </w:sectPr>
      </w:pPr>
    </w:p>
    <w:p>
      <w:pPr>
        <w:widowControl w:val="0"/>
        <w:kinsoku w:val="0"/>
        <w:autoSpaceDE w:val="0"/>
        <w:autoSpaceDN w:val="0"/>
        <w:adjustRightInd w:val="0"/>
        <w:snapToGrid w:val="0"/>
        <w:spacing w:before="101" w:line="230" w:lineRule="auto"/>
        <w:ind w:firstLine="0" w:firstLineChars="0"/>
        <w:jc w:val="left"/>
        <w:textAlignment w:val="baseline"/>
        <w:rPr>
          <w:rFonts w:ascii="黑体" w:hAnsi="黑体" w:eastAsia="黑体" w:cs="仿宋_GB2312"/>
          <w:snapToGrid w:val="0"/>
          <w:color w:val="000000"/>
          <w:spacing w:val="-6"/>
          <w:kern w:val="0"/>
          <w:sz w:val="32"/>
          <w:szCs w:val="32"/>
          <w:lang w:eastAsia="zh-CN"/>
        </w:rPr>
      </w:pPr>
      <w:r>
        <w:rPr>
          <w:rFonts w:ascii="黑体" w:hAnsi="黑体" w:eastAsia="黑体" w:cs="仿宋_GB2312"/>
          <w:snapToGrid w:val="0"/>
          <w:color w:val="000000"/>
          <w:spacing w:val="-6"/>
          <w:kern w:val="0"/>
          <w:sz w:val="32"/>
          <w:szCs w:val="32"/>
          <w:lang w:eastAsia="zh-CN"/>
        </w:rPr>
        <w:t>附件2</w:t>
      </w:r>
    </w:p>
    <w:p>
      <w:pPr>
        <w:widowControl w:val="0"/>
        <w:kinsoku w:val="0"/>
        <w:autoSpaceDE w:val="0"/>
        <w:autoSpaceDN w:val="0"/>
        <w:adjustRightInd w:val="0"/>
        <w:snapToGrid w:val="0"/>
        <w:spacing w:before="101" w:line="230" w:lineRule="auto"/>
        <w:ind w:firstLine="0" w:firstLineChars="0"/>
        <w:jc w:val="left"/>
        <w:textAlignment w:val="baseline"/>
        <w:rPr>
          <w:rFonts w:ascii="黑体" w:hAnsi="黑体" w:eastAsia="黑体" w:cs="仿宋_GB2312"/>
          <w:snapToGrid w:val="0"/>
          <w:color w:val="000000"/>
          <w:spacing w:val="-6"/>
          <w:kern w:val="0"/>
          <w:sz w:val="32"/>
          <w:szCs w:val="32"/>
          <w:lang w:eastAsia="zh-CN"/>
        </w:rPr>
      </w:pPr>
    </w:p>
    <w:p>
      <w:pPr>
        <w:pStyle w:val="10"/>
        <w:widowControl w:val="0"/>
        <w:spacing w:beforeAutospacing="0" w:afterAutospacing="0" w:line="540" w:lineRule="atLeast"/>
        <w:ind w:firstLine="0" w:firstLineChars="0"/>
        <w:jc w:val="center"/>
        <w:rPr>
          <w:rFonts w:ascii="方正小标宋简体" w:hAnsi="方正小标宋简体" w:eastAsia="方正小标宋简体" w:cs="方正小标宋简体"/>
          <w:kern w:val="0"/>
          <w:sz w:val="36"/>
          <w:szCs w:val="36"/>
          <w:shd w:val="clear" w:color="auto" w:fill="FFFFFF"/>
        </w:rPr>
      </w:pPr>
      <w:r>
        <w:rPr>
          <w:rFonts w:ascii="方正小标宋简体" w:hAnsi="方正小标宋简体" w:eastAsia="方正小标宋简体" w:cs="方正小标宋简体"/>
          <w:kern w:val="0"/>
          <w:sz w:val="36"/>
          <w:szCs w:val="36"/>
          <w:shd w:val="clear" w:color="auto" w:fill="FFFFFF"/>
        </w:rPr>
        <w:t>存量</w:t>
      </w:r>
      <w:r>
        <w:rPr>
          <w:rFonts w:hint="eastAsia" w:ascii="方正小标宋简体" w:hAnsi="方正小标宋简体" w:eastAsia="方正小标宋简体" w:cs="方正小标宋简体"/>
          <w:kern w:val="0"/>
          <w:sz w:val="36"/>
          <w:szCs w:val="36"/>
          <w:shd w:val="clear" w:color="auto" w:fill="FFFFFF"/>
          <w:lang w:val="en-US" w:eastAsia="zh-CN"/>
        </w:rPr>
        <w:t>产业</w:t>
      </w:r>
      <w:r>
        <w:rPr>
          <w:rFonts w:ascii="方正小标宋简体" w:hAnsi="方正小标宋简体" w:eastAsia="方正小标宋简体" w:cs="方正小标宋简体"/>
          <w:kern w:val="0"/>
          <w:sz w:val="36"/>
          <w:szCs w:val="36"/>
          <w:shd w:val="clear" w:color="auto" w:fill="FFFFFF"/>
        </w:rPr>
        <w:t>用地用途转换</w:t>
      </w:r>
      <w:r>
        <w:rPr>
          <w:rFonts w:hint="eastAsia" w:ascii="方正小标宋简体" w:hAnsi="方正小标宋简体" w:eastAsia="方正小标宋简体" w:cs="方正小标宋简体"/>
          <w:kern w:val="0"/>
          <w:sz w:val="36"/>
          <w:szCs w:val="36"/>
          <w:shd w:val="clear" w:color="auto" w:fill="FFFFFF"/>
          <w:lang w:val="en-US" w:eastAsia="zh-CN"/>
        </w:rPr>
        <w:t>正</w:t>
      </w:r>
      <w:r>
        <w:rPr>
          <w:rFonts w:hint="eastAsia" w:ascii="方正小标宋简体" w:hAnsi="方正小标宋简体" w:eastAsia="方正小标宋简体" w:cs="方正小标宋简体"/>
          <w:kern w:val="0"/>
          <w:sz w:val="36"/>
          <w:szCs w:val="36"/>
          <w:shd w:val="clear" w:color="auto" w:fill="FFFFFF"/>
          <w:lang w:eastAsia="zh-CN"/>
        </w:rPr>
        <w:t>负面清单</w:t>
      </w:r>
      <w:r>
        <w:rPr>
          <w:rFonts w:ascii="方正小标宋简体" w:hAnsi="方正小标宋简体" w:eastAsia="方正小标宋简体" w:cs="方正小标宋简体"/>
          <w:kern w:val="0"/>
          <w:sz w:val="36"/>
          <w:szCs w:val="36"/>
          <w:shd w:val="clear" w:color="auto" w:fill="FFFFFF"/>
        </w:rPr>
        <w:t>（试行）</w:t>
      </w:r>
    </w:p>
    <w:p>
      <w:pPr>
        <w:widowControl/>
        <w:kinsoku w:val="0"/>
        <w:autoSpaceDE w:val="0"/>
        <w:autoSpaceDN w:val="0"/>
        <w:adjustRightInd w:val="0"/>
        <w:snapToGrid w:val="0"/>
        <w:spacing w:line="268" w:lineRule="auto"/>
        <w:ind w:firstLine="420" w:firstLineChars="200"/>
        <w:jc w:val="left"/>
        <w:textAlignment w:val="baseline"/>
        <w:rPr>
          <w:rFonts w:ascii="Times New Roman" w:hAnsi="Times New Roman" w:eastAsia="仿宋_GB2312" w:cs="Times New Roman"/>
          <w:snapToGrid w:val="0"/>
          <w:color w:val="000000"/>
          <w:kern w:val="0"/>
          <w:sz w:val="21"/>
          <w:szCs w:val="21"/>
          <w:lang w:eastAsia="zh-CN"/>
        </w:rPr>
      </w:pPr>
    </w:p>
    <w:p>
      <w:pPr>
        <w:widowControl/>
        <w:kinsoku w:val="0"/>
        <w:autoSpaceDE w:val="0"/>
        <w:autoSpaceDN w:val="0"/>
        <w:adjustRightInd w:val="0"/>
        <w:snapToGrid w:val="0"/>
        <w:spacing w:line="269" w:lineRule="auto"/>
        <w:ind w:firstLine="420" w:firstLineChars="200"/>
        <w:jc w:val="left"/>
        <w:textAlignment w:val="baseline"/>
        <w:rPr>
          <w:rFonts w:ascii="Times New Roman" w:hAnsi="Times New Roman" w:eastAsia="仿宋_GB2312" w:cs="Times New Roman"/>
          <w:snapToGrid w:val="0"/>
          <w:color w:val="000000"/>
          <w:kern w:val="0"/>
          <w:sz w:val="21"/>
          <w:szCs w:val="21"/>
          <w:lang w:eastAsia="zh-CN"/>
        </w:rPr>
      </w:pP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leftChars="0" w:firstLine="640" w:firstLineChars="200"/>
        <w:textAlignment w:val="baseline"/>
        <w:rPr>
          <w:rFonts w:hint="eastAsia" w:ascii="黑体" w:hAnsi="黑体" w:eastAsia="黑体" w:cs="黑体"/>
          <w:snapToGrid w:val="0"/>
          <w:color w:val="000000"/>
          <w:kern w:val="0"/>
          <w:sz w:val="32"/>
          <w:szCs w:val="32"/>
          <w:shd w:val="clear" w:color="auto" w:fill="FFFFFF"/>
          <w:lang w:val="en-US" w:eastAsia="zh-CN"/>
        </w:rPr>
      </w:pPr>
      <w:r>
        <w:rPr>
          <w:rFonts w:hint="eastAsia" w:ascii="黑体" w:hAnsi="黑体" w:eastAsia="黑体" w:cs="黑体"/>
          <w:snapToGrid w:val="0"/>
          <w:color w:val="000000"/>
          <w:kern w:val="0"/>
          <w:sz w:val="32"/>
          <w:szCs w:val="32"/>
          <w:shd w:val="clear" w:color="auto" w:fill="FFFFFF"/>
          <w:lang w:val="en-US" w:eastAsia="zh-CN"/>
        </w:rPr>
        <w:t>一、正面清单</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leftChars="0" w:firstLine="640" w:firstLineChars="200"/>
        <w:textAlignment w:val="baseline"/>
        <w:rPr>
          <w:rFonts w:ascii="Times New Roman" w:hAnsi="Times New Roman" w:eastAsia="仿宋_GB2312" w:cs="Times New Roman"/>
          <w:snapToGrid w:val="0"/>
          <w:color w:val="000000"/>
          <w:kern w:val="0"/>
          <w:sz w:val="32"/>
          <w:szCs w:val="32"/>
          <w:shd w:val="clear" w:color="auto" w:fill="FFFFFF"/>
        </w:rPr>
      </w:pPr>
      <w:r>
        <w:rPr>
          <w:rFonts w:ascii="Times New Roman" w:hAnsi="Times New Roman" w:eastAsia="仿宋_GB2312" w:cs="Times New Roman"/>
          <w:snapToGrid w:val="0"/>
          <w:color w:val="000000"/>
          <w:kern w:val="0"/>
          <w:sz w:val="32"/>
          <w:szCs w:val="32"/>
          <w:shd w:val="clear" w:color="auto" w:fill="FFFFFF"/>
          <w:lang w:eastAsia="zh-CN"/>
        </w:rPr>
        <w:t>1．</w:t>
      </w:r>
      <w:r>
        <w:rPr>
          <w:rFonts w:ascii="Times New Roman" w:hAnsi="Times New Roman" w:eastAsia="仿宋_GB2312" w:cs="Times New Roman"/>
          <w:snapToGrid w:val="0"/>
          <w:color w:val="000000"/>
          <w:kern w:val="0"/>
          <w:sz w:val="32"/>
          <w:szCs w:val="32"/>
          <w:shd w:val="clear" w:color="auto" w:fill="FFFFFF"/>
        </w:rPr>
        <w:t>用于发展国家《产业结构调整指导目录》鼓励类产业项目。</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firstLine="640" w:firstLineChars="200"/>
        <w:textAlignment w:val="baseline"/>
        <w:rPr>
          <w:rFonts w:ascii="Times New Roman" w:hAnsi="Times New Roman" w:eastAsia="仿宋_GB2312" w:cs="Times New Roman"/>
          <w:snapToGrid w:val="0"/>
          <w:color w:val="000000"/>
          <w:kern w:val="0"/>
          <w:sz w:val="32"/>
          <w:szCs w:val="32"/>
          <w:shd w:val="clear" w:color="auto" w:fill="FFFFFF"/>
        </w:rPr>
      </w:pPr>
      <w:r>
        <w:rPr>
          <w:rFonts w:hint="eastAsia" w:ascii="Times New Roman" w:hAnsi="Times New Roman" w:eastAsia="仿宋_GB2312" w:cs="Times New Roman"/>
          <w:snapToGrid w:val="0"/>
          <w:color w:val="000000"/>
          <w:kern w:val="0"/>
          <w:sz w:val="32"/>
          <w:szCs w:val="32"/>
          <w:shd w:val="clear" w:color="auto" w:fill="FFFFFF"/>
          <w:lang w:val="en-US" w:eastAsia="zh-CN"/>
        </w:rPr>
        <w:t>2</w:t>
      </w:r>
      <w:r>
        <w:rPr>
          <w:rFonts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rPr>
        <w:t>用于发展《自然资源要素支撑产业高质量发展指导目录》鼓励类产业及新产业新业态项目。</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firstLine="640" w:firstLineChars="200"/>
        <w:textAlignment w:val="baseline"/>
        <w:rPr>
          <w:rFonts w:ascii="Times New Roman" w:hAnsi="Times New Roman" w:eastAsia="仿宋_GB2312" w:cs="Times New Roman"/>
          <w:snapToGrid w:val="0"/>
          <w:color w:val="000000"/>
          <w:kern w:val="0"/>
          <w:sz w:val="32"/>
          <w:szCs w:val="32"/>
          <w:shd w:val="clear" w:color="auto" w:fill="FFFFFF"/>
        </w:rPr>
      </w:pPr>
      <w:r>
        <w:rPr>
          <w:rFonts w:hint="eastAsia" w:ascii="Times New Roman" w:hAnsi="Times New Roman" w:eastAsia="仿宋_GB2312" w:cs="Times New Roman"/>
          <w:snapToGrid w:val="0"/>
          <w:color w:val="000000"/>
          <w:kern w:val="0"/>
          <w:sz w:val="32"/>
          <w:szCs w:val="32"/>
          <w:shd w:val="clear" w:color="auto" w:fill="FFFFFF"/>
          <w:lang w:val="en-US" w:eastAsia="zh-CN"/>
        </w:rPr>
        <w:t>3</w:t>
      </w:r>
      <w:r>
        <w:rPr>
          <w:rFonts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rPr>
        <w:t>用于符合园区产业定位的产业项目。</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firstLine="640" w:firstLineChars="200"/>
        <w:textAlignment w:val="baseline"/>
        <w:rPr>
          <w:rFonts w:ascii="Times New Roman" w:hAnsi="Times New Roman" w:eastAsia="仿宋_GB2312" w:cs="Times New Roman"/>
          <w:snapToGrid w:val="0"/>
          <w:color w:val="000000"/>
          <w:kern w:val="0"/>
          <w:sz w:val="32"/>
          <w:szCs w:val="32"/>
          <w:shd w:val="clear" w:color="auto" w:fill="FFFFFF"/>
        </w:rPr>
      </w:pPr>
      <w:r>
        <w:rPr>
          <w:rFonts w:hint="eastAsia" w:ascii="Times New Roman" w:hAnsi="Times New Roman" w:eastAsia="仿宋_GB2312" w:cs="Times New Roman"/>
          <w:snapToGrid w:val="0"/>
          <w:color w:val="000000"/>
          <w:kern w:val="0"/>
          <w:sz w:val="32"/>
          <w:szCs w:val="32"/>
          <w:shd w:val="clear" w:color="auto" w:fill="FFFFFF"/>
          <w:lang w:val="en-US" w:eastAsia="zh-CN"/>
        </w:rPr>
        <w:t>4</w:t>
      </w:r>
      <w:r>
        <w:rPr>
          <w:rFonts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rPr>
        <w:t>用于旧厂房改造利用、科创孵化、生产性服务配套等产业转型项目。</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firstLine="640" w:firstLineChars="200"/>
        <w:textAlignment w:val="baseline"/>
        <w:rPr>
          <w:rFonts w:ascii="Times New Roman" w:hAnsi="Times New Roman" w:eastAsia="仿宋_GB2312" w:cs="Times New Roman"/>
          <w:snapToGrid w:val="0"/>
          <w:color w:val="000000"/>
          <w:kern w:val="0"/>
          <w:sz w:val="32"/>
          <w:szCs w:val="32"/>
          <w:shd w:val="clear" w:color="auto" w:fill="FFFFFF"/>
        </w:rPr>
      </w:pPr>
      <w:r>
        <w:rPr>
          <w:rFonts w:hint="eastAsia" w:ascii="Times New Roman" w:hAnsi="Times New Roman" w:eastAsia="仿宋_GB2312" w:cs="Times New Roman"/>
          <w:snapToGrid w:val="0"/>
          <w:color w:val="000000"/>
          <w:kern w:val="0"/>
          <w:sz w:val="32"/>
          <w:szCs w:val="32"/>
          <w:shd w:val="clear" w:color="auto" w:fill="FFFFFF"/>
          <w:lang w:val="en-US" w:eastAsia="zh-CN"/>
        </w:rPr>
        <w:t>5</w:t>
      </w:r>
      <w:r>
        <w:rPr>
          <w:rFonts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rPr>
        <w:t>用于建设市政基础设施、社区公共服务等民生配套项目。</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firstLine="640" w:firstLineChars="200"/>
        <w:textAlignment w:val="baseline"/>
        <w:rPr>
          <w:rFonts w:ascii="Times New Roman" w:hAnsi="Times New Roman" w:eastAsia="仿宋_GB2312" w:cs="Times New Roman"/>
          <w:snapToGrid w:val="0"/>
          <w:color w:val="000000"/>
          <w:kern w:val="0"/>
          <w:sz w:val="32"/>
          <w:szCs w:val="32"/>
          <w:shd w:val="clear" w:color="auto" w:fill="FFFFFF"/>
        </w:rPr>
      </w:pPr>
      <w:r>
        <w:rPr>
          <w:rFonts w:hint="eastAsia" w:ascii="Times New Roman" w:hAnsi="Times New Roman" w:eastAsia="仿宋_GB2312" w:cs="Times New Roman"/>
          <w:snapToGrid w:val="0"/>
          <w:color w:val="000000"/>
          <w:kern w:val="0"/>
          <w:sz w:val="32"/>
          <w:szCs w:val="32"/>
          <w:shd w:val="clear" w:color="auto" w:fill="FFFFFF"/>
          <w:lang w:val="en-US" w:eastAsia="zh-CN"/>
        </w:rPr>
        <w:t>6</w:t>
      </w:r>
      <w:r>
        <w:rPr>
          <w:rFonts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rPr>
        <w:t>其他符合法律法规、国家及我省政策导向的用途转换项目。</w:t>
      </w:r>
    </w:p>
    <w:p>
      <w:pPr>
        <w:keepNext w:val="0"/>
        <w:keepLines w:val="0"/>
        <w:widowControl w:val="0"/>
        <w:numPr>
          <w:ilvl w:val="-1"/>
          <w:numId w:val="0"/>
        </w:numPr>
        <w:suppressLineNumbers w:val="0"/>
        <w:kinsoku w:val="0"/>
        <w:autoSpaceDE w:val="0"/>
        <w:autoSpaceDN w:val="0"/>
        <w:adjustRightInd w:val="0"/>
        <w:snapToGrid w:val="0"/>
        <w:spacing w:before="0" w:beforeAutospacing="0" w:after="0" w:afterAutospacing="0" w:line="560" w:lineRule="exact"/>
        <w:ind w:left="0" w:leftChars="0" w:firstLine="640" w:firstLineChars="200"/>
        <w:textAlignment w:val="baseline"/>
        <w:rPr>
          <w:rFonts w:hint="eastAsia" w:ascii="黑体" w:hAnsi="黑体" w:eastAsia="黑体" w:cs="黑体"/>
          <w:snapToGrid w:val="0"/>
          <w:color w:val="000000"/>
          <w:kern w:val="0"/>
          <w:sz w:val="32"/>
          <w:szCs w:val="32"/>
          <w:shd w:val="clear" w:color="auto" w:fill="FFFFFF"/>
          <w:lang w:val="en-US" w:eastAsia="zh-CN"/>
        </w:rPr>
      </w:pPr>
      <w:r>
        <w:rPr>
          <w:rFonts w:hint="eastAsia" w:ascii="黑体" w:hAnsi="黑体" w:eastAsia="黑体" w:cs="黑体"/>
          <w:snapToGrid w:val="0"/>
          <w:color w:val="000000"/>
          <w:kern w:val="0"/>
          <w:sz w:val="32"/>
          <w:szCs w:val="32"/>
          <w:shd w:val="clear" w:color="auto" w:fill="FFFFFF"/>
          <w:lang w:val="en-US" w:eastAsia="zh-CN"/>
        </w:rPr>
        <w:t>二、负面清单</w:t>
      </w:r>
    </w:p>
    <w:p>
      <w:pPr>
        <w:widowControl w:val="0"/>
        <w:kinsoku w:val="0"/>
        <w:autoSpaceDE w:val="0"/>
        <w:autoSpaceDN w:val="0"/>
        <w:adjustRightInd w:val="0"/>
        <w:snapToGrid w:val="0"/>
        <w:spacing w:line="56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1．列入国家《产业结构调整指导目录》</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限制类</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或</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淘汰类</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的。</w:t>
      </w:r>
    </w:p>
    <w:p>
      <w:pPr>
        <w:widowControl w:val="0"/>
        <w:kinsoku w:val="0"/>
        <w:autoSpaceDE w:val="0"/>
        <w:autoSpaceDN w:val="0"/>
        <w:adjustRightInd w:val="0"/>
        <w:snapToGrid w:val="0"/>
        <w:spacing w:line="56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2．列入国家《市场准入负面清单》的。</w:t>
      </w:r>
    </w:p>
    <w:p>
      <w:pPr>
        <w:widowControl w:val="0"/>
        <w:kinsoku w:val="0"/>
        <w:autoSpaceDE w:val="0"/>
        <w:autoSpaceDN w:val="0"/>
        <w:adjustRightInd w:val="0"/>
        <w:snapToGrid w:val="0"/>
        <w:spacing w:line="56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3．列入《自然资源要素支撑产业高质量发展指导目录》</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限制类</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或</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淘汰类</w:t>
      </w:r>
      <w:r>
        <w:rPr>
          <w:rFonts w:hint="eastAsia" w:ascii="Times New Roman" w:hAnsi="Times New Roman" w:eastAsia="仿宋_GB2312" w:cs="Times New Roman"/>
          <w:snapToGrid w:val="0"/>
          <w:color w:val="000000"/>
          <w:kern w:val="0"/>
          <w:sz w:val="32"/>
          <w:szCs w:val="32"/>
          <w:shd w:val="clear" w:color="auto" w:fill="FFFFFF"/>
          <w:lang w:eastAsia="zh-CN"/>
        </w:rPr>
        <w:t>”</w:t>
      </w:r>
      <w:r>
        <w:rPr>
          <w:rFonts w:ascii="Times New Roman" w:hAnsi="Times New Roman" w:eastAsia="仿宋_GB2312" w:cs="Times New Roman"/>
          <w:snapToGrid w:val="0"/>
          <w:color w:val="000000"/>
          <w:kern w:val="0"/>
          <w:sz w:val="32"/>
          <w:szCs w:val="32"/>
          <w:shd w:val="clear" w:color="auto" w:fill="FFFFFF"/>
          <w:lang w:eastAsia="zh-CN"/>
        </w:rPr>
        <w:t>的。</w:t>
      </w:r>
    </w:p>
    <w:p>
      <w:pPr>
        <w:widowControl w:val="0"/>
        <w:kinsoku w:val="0"/>
        <w:autoSpaceDE w:val="0"/>
        <w:autoSpaceDN w:val="0"/>
        <w:adjustRightInd w:val="0"/>
        <w:snapToGrid w:val="0"/>
        <w:spacing w:line="56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4．不符合生态环境准入清单要求的。</w:t>
      </w:r>
    </w:p>
    <w:p>
      <w:pPr>
        <w:widowControl w:val="0"/>
        <w:kinsoku w:val="0"/>
        <w:autoSpaceDE w:val="0"/>
        <w:autoSpaceDN w:val="0"/>
        <w:adjustRightInd w:val="0"/>
        <w:snapToGrid w:val="0"/>
        <w:spacing w:line="56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ascii="Times New Roman" w:hAnsi="Times New Roman" w:eastAsia="仿宋_GB2312" w:cs="Times New Roman"/>
          <w:snapToGrid w:val="0"/>
          <w:color w:val="000000"/>
          <w:kern w:val="0"/>
          <w:sz w:val="32"/>
          <w:szCs w:val="32"/>
          <w:shd w:val="clear" w:color="auto" w:fill="FFFFFF"/>
          <w:lang w:eastAsia="zh-CN"/>
        </w:rPr>
        <w:t>5．不符合国土空间规划用途管制要求的。</w:t>
      </w:r>
    </w:p>
    <w:p>
      <w:pPr>
        <w:widowControl w:val="0"/>
        <w:kinsoku w:val="0"/>
        <w:autoSpaceDE w:val="0"/>
        <w:autoSpaceDN w:val="0"/>
        <w:adjustRightInd w:val="0"/>
        <w:snapToGrid w:val="0"/>
        <w:spacing w:line="560" w:lineRule="exact"/>
        <w:ind w:firstLine="640" w:firstLineChars="200"/>
        <w:jc w:val="both"/>
        <w:textAlignment w:val="baseline"/>
        <w:rPr>
          <w:rFonts w:ascii="Times New Roman" w:hAnsi="Times New Roman" w:eastAsia="仿宋_GB2312" w:cs="Times New Roman"/>
          <w:snapToGrid w:val="0"/>
          <w:color w:val="000000"/>
          <w:kern w:val="0"/>
          <w:sz w:val="32"/>
          <w:szCs w:val="32"/>
          <w:shd w:val="clear" w:color="auto" w:fill="FFFFFF"/>
          <w:lang w:eastAsia="zh-CN"/>
        </w:rPr>
      </w:pPr>
      <w:r>
        <w:rPr>
          <w:rFonts w:hint="eastAsia" w:ascii="Times New Roman" w:hAnsi="Times New Roman" w:eastAsia="仿宋_GB2312" w:cs="Times New Roman"/>
          <w:snapToGrid w:val="0"/>
          <w:color w:val="000000"/>
          <w:kern w:val="0"/>
          <w:sz w:val="32"/>
          <w:szCs w:val="32"/>
          <w:shd w:val="clear" w:color="auto" w:fill="FFFFFF"/>
          <w:lang w:val="en-US" w:eastAsia="zh-CN"/>
        </w:rPr>
        <w:t>6</w:t>
      </w:r>
      <w:r>
        <w:rPr>
          <w:rFonts w:ascii="Times New Roman" w:hAnsi="Times New Roman" w:eastAsia="仿宋_GB2312" w:cs="Times New Roman"/>
          <w:snapToGrid w:val="0"/>
          <w:color w:val="000000"/>
          <w:kern w:val="0"/>
          <w:sz w:val="32"/>
          <w:szCs w:val="32"/>
          <w:shd w:val="clear" w:color="auto" w:fill="FFFFFF"/>
          <w:lang w:eastAsia="zh-CN"/>
        </w:rPr>
        <w:t>．属于涉法涉诉、设立抵押权未撤销等权利不清晰的。</w:t>
      </w:r>
    </w:p>
    <w:p>
      <w:pPr>
        <w:widowControl w:val="0"/>
        <w:kinsoku w:val="0"/>
        <w:autoSpaceDE w:val="0"/>
        <w:autoSpaceDN w:val="0"/>
        <w:adjustRightInd w:val="0"/>
        <w:snapToGrid w:val="0"/>
        <w:spacing w:line="560" w:lineRule="exact"/>
        <w:ind w:firstLine="640" w:firstLineChars="200"/>
        <w:jc w:val="both"/>
        <w:textAlignment w:val="baseline"/>
        <w:rPr>
          <w:rFonts w:hint="eastAsia"/>
        </w:rPr>
      </w:pPr>
      <w:r>
        <w:rPr>
          <w:rFonts w:hint="eastAsia" w:ascii="Times New Roman" w:hAnsi="Times New Roman" w:eastAsia="仿宋_GB2312" w:cs="Times New Roman"/>
          <w:snapToGrid w:val="0"/>
          <w:color w:val="000000"/>
          <w:kern w:val="0"/>
          <w:sz w:val="32"/>
          <w:szCs w:val="32"/>
          <w:shd w:val="clear" w:color="auto" w:fill="FFFFFF"/>
          <w:lang w:val="en-US" w:eastAsia="zh-CN"/>
        </w:rPr>
        <w:t>7</w:t>
      </w:r>
      <w:r>
        <w:rPr>
          <w:rFonts w:ascii="Times New Roman" w:hAnsi="Times New Roman" w:eastAsia="仿宋_GB2312" w:cs="Times New Roman"/>
          <w:snapToGrid w:val="0"/>
          <w:color w:val="000000"/>
          <w:kern w:val="0"/>
          <w:sz w:val="32"/>
          <w:szCs w:val="32"/>
          <w:shd w:val="clear" w:color="auto" w:fill="FFFFFF"/>
          <w:lang w:eastAsia="zh-CN"/>
        </w:rPr>
        <w:t>．其他不符合法定规划、环境保护、安全生产、消防安全等法律法规情形的。</w:t>
      </w:r>
      <w:bookmarkStart w:id="0" w:name="_GoBack"/>
      <w:bookmarkEnd w:id="0"/>
    </w:p>
    <w:sectPr>
      <w:pgSz w:w="11906" w:h="16838"/>
      <w:pgMar w:top="1247" w:right="1247" w:bottom="1474" w:left="1587" w:header="851" w:footer="1134"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公文小标宋">
    <w:altName w:val="方正小标宋_GBK"/>
    <w:panose1 w:val="02000500000000000000"/>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spacing w:line="14" w:lineRule="auto"/>
      <w:ind w:firstLine="360"/>
      <w:jc w:val="left"/>
      <w:rPr>
        <w:kern w:val="0"/>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kinsoku w:val="0"/>
      <w:autoSpaceDE w:val="0"/>
      <w:autoSpaceDN w:val="0"/>
      <w:adjustRightInd w:val="0"/>
      <w:snapToGrid w:val="0"/>
      <w:spacing w:line="588" w:lineRule="exact"/>
      <w:ind w:firstLine="360" w:firstLineChars="200"/>
      <w:jc w:val="left"/>
      <w:textAlignment w:val="baseline"/>
      <w:rPr>
        <w:rFonts w:ascii="Arial" w:hAnsi="Arial" w:eastAsia="仿宋_GB2312" w:cs="Arial"/>
        <w:snapToGrid w:val="0"/>
        <w:color w:val="000000"/>
        <w:kern w:val="0"/>
        <w:sz w:val="18"/>
        <w:szCs w:val="21"/>
        <w:lang w:eastAsia="en-US"/>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- 15 -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false"/>
  <w:bordersDoNotSurroundFooter w:val="false"/>
  <w:documentProtection w:enforcement="0"/>
  <w:defaultTabStop w:val="420"/>
  <w:drawingGridVerticalSpacing w:val="158"/>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C1F"/>
    <w:rsid w:val="00005402"/>
    <w:rsid w:val="000651BC"/>
    <w:rsid w:val="003A4386"/>
    <w:rsid w:val="00553110"/>
    <w:rsid w:val="00721AE0"/>
    <w:rsid w:val="00743404"/>
    <w:rsid w:val="007A3406"/>
    <w:rsid w:val="00AF0C1F"/>
    <w:rsid w:val="00BB1CAD"/>
    <w:rsid w:val="00C45085"/>
    <w:rsid w:val="00DB3080"/>
    <w:rsid w:val="00DE6CCD"/>
    <w:rsid w:val="01CC0ECA"/>
    <w:rsid w:val="029307AF"/>
    <w:rsid w:val="02BE10CC"/>
    <w:rsid w:val="03630182"/>
    <w:rsid w:val="03A61840"/>
    <w:rsid w:val="047125F7"/>
    <w:rsid w:val="04B644EE"/>
    <w:rsid w:val="04C2758F"/>
    <w:rsid w:val="0519257E"/>
    <w:rsid w:val="05235E1B"/>
    <w:rsid w:val="0563355D"/>
    <w:rsid w:val="061532DA"/>
    <w:rsid w:val="0618718B"/>
    <w:rsid w:val="065D35AE"/>
    <w:rsid w:val="08036BC5"/>
    <w:rsid w:val="086F18EA"/>
    <w:rsid w:val="08962DA7"/>
    <w:rsid w:val="08E65ADD"/>
    <w:rsid w:val="08F24482"/>
    <w:rsid w:val="08FF6B9F"/>
    <w:rsid w:val="09191807"/>
    <w:rsid w:val="0954755C"/>
    <w:rsid w:val="09571F11"/>
    <w:rsid w:val="09815806"/>
    <w:rsid w:val="09E85885"/>
    <w:rsid w:val="0A2F7010"/>
    <w:rsid w:val="0A524886"/>
    <w:rsid w:val="0AB3379D"/>
    <w:rsid w:val="0AFD0EBC"/>
    <w:rsid w:val="0B4254BB"/>
    <w:rsid w:val="0C1A3E99"/>
    <w:rsid w:val="0C5A15B7"/>
    <w:rsid w:val="0D2027B6"/>
    <w:rsid w:val="0D2A797E"/>
    <w:rsid w:val="0D354CC5"/>
    <w:rsid w:val="0D8C3380"/>
    <w:rsid w:val="0D976274"/>
    <w:rsid w:val="0F9A4F2B"/>
    <w:rsid w:val="0FC401FA"/>
    <w:rsid w:val="10D40911"/>
    <w:rsid w:val="12654941"/>
    <w:rsid w:val="13CE7899"/>
    <w:rsid w:val="145D29CB"/>
    <w:rsid w:val="149503B7"/>
    <w:rsid w:val="149B1F36"/>
    <w:rsid w:val="15155054"/>
    <w:rsid w:val="15193728"/>
    <w:rsid w:val="151946CE"/>
    <w:rsid w:val="15486AB7"/>
    <w:rsid w:val="156A7E8B"/>
    <w:rsid w:val="15B66837"/>
    <w:rsid w:val="15E46145"/>
    <w:rsid w:val="164E7166"/>
    <w:rsid w:val="167750C5"/>
    <w:rsid w:val="16897DE8"/>
    <w:rsid w:val="16B34897"/>
    <w:rsid w:val="16FC296F"/>
    <w:rsid w:val="170A508C"/>
    <w:rsid w:val="174345F6"/>
    <w:rsid w:val="18673C62"/>
    <w:rsid w:val="18826EA4"/>
    <w:rsid w:val="18837F57"/>
    <w:rsid w:val="18980476"/>
    <w:rsid w:val="190D2C12"/>
    <w:rsid w:val="19520625"/>
    <w:rsid w:val="195D5E4E"/>
    <w:rsid w:val="197131A1"/>
    <w:rsid w:val="199F0B7E"/>
    <w:rsid w:val="1A366198"/>
    <w:rsid w:val="1A637E8D"/>
    <w:rsid w:val="1A654388"/>
    <w:rsid w:val="1AE654C9"/>
    <w:rsid w:val="1B0F31A9"/>
    <w:rsid w:val="1B656DD1"/>
    <w:rsid w:val="1C146065"/>
    <w:rsid w:val="1C4251FD"/>
    <w:rsid w:val="1C631B94"/>
    <w:rsid w:val="1C8127B9"/>
    <w:rsid w:val="1CAB4C1C"/>
    <w:rsid w:val="1D401758"/>
    <w:rsid w:val="1E0068A1"/>
    <w:rsid w:val="1E0D0FBE"/>
    <w:rsid w:val="1E210866"/>
    <w:rsid w:val="1E2B39E2"/>
    <w:rsid w:val="1EC57632"/>
    <w:rsid w:val="1FD95179"/>
    <w:rsid w:val="1FEF3071"/>
    <w:rsid w:val="20340AD2"/>
    <w:rsid w:val="20AA18A2"/>
    <w:rsid w:val="20D44015"/>
    <w:rsid w:val="20DE2847"/>
    <w:rsid w:val="20FB5A46"/>
    <w:rsid w:val="21075521"/>
    <w:rsid w:val="211B3C32"/>
    <w:rsid w:val="218872DA"/>
    <w:rsid w:val="21A410C8"/>
    <w:rsid w:val="21C67E02"/>
    <w:rsid w:val="22F4274D"/>
    <w:rsid w:val="239A7798"/>
    <w:rsid w:val="24D171E9"/>
    <w:rsid w:val="251315B0"/>
    <w:rsid w:val="253E7464"/>
    <w:rsid w:val="2551032A"/>
    <w:rsid w:val="25545725"/>
    <w:rsid w:val="25C62619"/>
    <w:rsid w:val="25CD79B1"/>
    <w:rsid w:val="26C74FDC"/>
    <w:rsid w:val="27653C19"/>
    <w:rsid w:val="27C84853"/>
    <w:rsid w:val="28116CB0"/>
    <w:rsid w:val="28160FDF"/>
    <w:rsid w:val="287F0D0A"/>
    <w:rsid w:val="298B0566"/>
    <w:rsid w:val="29B11398"/>
    <w:rsid w:val="2A571F3F"/>
    <w:rsid w:val="2A7F2026"/>
    <w:rsid w:val="2A891B18"/>
    <w:rsid w:val="2A903BA0"/>
    <w:rsid w:val="2ADF3CE2"/>
    <w:rsid w:val="2AE32B2F"/>
    <w:rsid w:val="2BC81C75"/>
    <w:rsid w:val="2C9F76B9"/>
    <w:rsid w:val="2CC3566A"/>
    <w:rsid w:val="2CE95750"/>
    <w:rsid w:val="2DE0229E"/>
    <w:rsid w:val="2E054AFF"/>
    <w:rsid w:val="2E186556"/>
    <w:rsid w:val="2E2C36E3"/>
    <w:rsid w:val="2E2D1176"/>
    <w:rsid w:val="2E6966E5"/>
    <w:rsid w:val="2EA8720D"/>
    <w:rsid w:val="2EBA5A83"/>
    <w:rsid w:val="2EF17094"/>
    <w:rsid w:val="2F065CE2"/>
    <w:rsid w:val="2F596506"/>
    <w:rsid w:val="2FF23F86"/>
    <w:rsid w:val="302E54F0"/>
    <w:rsid w:val="3037393F"/>
    <w:rsid w:val="3087366B"/>
    <w:rsid w:val="30883021"/>
    <w:rsid w:val="30BE4F00"/>
    <w:rsid w:val="314D5E4A"/>
    <w:rsid w:val="31905300"/>
    <w:rsid w:val="31AC269D"/>
    <w:rsid w:val="31DD71CE"/>
    <w:rsid w:val="31F12C79"/>
    <w:rsid w:val="32621481"/>
    <w:rsid w:val="32B270A1"/>
    <w:rsid w:val="32BA750F"/>
    <w:rsid w:val="330F2D35"/>
    <w:rsid w:val="34967B08"/>
    <w:rsid w:val="34A22009"/>
    <w:rsid w:val="34EF1396"/>
    <w:rsid w:val="35447564"/>
    <w:rsid w:val="35584DBD"/>
    <w:rsid w:val="35E328D9"/>
    <w:rsid w:val="3636296F"/>
    <w:rsid w:val="364F61C0"/>
    <w:rsid w:val="365E4655"/>
    <w:rsid w:val="36817D43"/>
    <w:rsid w:val="36C46BAE"/>
    <w:rsid w:val="37060F75"/>
    <w:rsid w:val="37152F66"/>
    <w:rsid w:val="377A54BF"/>
    <w:rsid w:val="37AF4433"/>
    <w:rsid w:val="37E56889"/>
    <w:rsid w:val="3801708D"/>
    <w:rsid w:val="38C84008"/>
    <w:rsid w:val="38EF3C8A"/>
    <w:rsid w:val="38FA1D7C"/>
    <w:rsid w:val="38FB262F"/>
    <w:rsid w:val="39123281"/>
    <w:rsid w:val="393B0C7E"/>
    <w:rsid w:val="393C461B"/>
    <w:rsid w:val="39CB06CB"/>
    <w:rsid w:val="39F2758E"/>
    <w:rsid w:val="3AC30F2B"/>
    <w:rsid w:val="3B255741"/>
    <w:rsid w:val="3B443E1A"/>
    <w:rsid w:val="3BA64245"/>
    <w:rsid w:val="3BAA3D8F"/>
    <w:rsid w:val="3BD34118"/>
    <w:rsid w:val="3BDD3312"/>
    <w:rsid w:val="3BED6EE9"/>
    <w:rsid w:val="3BFA625C"/>
    <w:rsid w:val="3C481416"/>
    <w:rsid w:val="3C487939"/>
    <w:rsid w:val="3C4B7EA6"/>
    <w:rsid w:val="3C672EBE"/>
    <w:rsid w:val="3C6A5B02"/>
    <w:rsid w:val="3CFE26EE"/>
    <w:rsid w:val="3D080568"/>
    <w:rsid w:val="3D4C1EC5"/>
    <w:rsid w:val="3DD41D08"/>
    <w:rsid w:val="3DFD5A83"/>
    <w:rsid w:val="3E3E7D38"/>
    <w:rsid w:val="3E622809"/>
    <w:rsid w:val="3E7E7642"/>
    <w:rsid w:val="3EC86B10"/>
    <w:rsid w:val="3EC92D96"/>
    <w:rsid w:val="3FC27A03"/>
    <w:rsid w:val="3FCD78AA"/>
    <w:rsid w:val="3FE94F8F"/>
    <w:rsid w:val="3FF35E0E"/>
    <w:rsid w:val="401529FB"/>
    <w:rsid w:val="407A652F"/>
    <w:rsid w:val="40B10629"/>
    <w:rsid w:val="411424E0"/>
    <w:rsid w:val="412D1B33"/>
    <w:rsid w:val="41314E40"/>
    <w:rsid w:val="41732A36"/>
    <w:rsid w:val="417C4F1D"/>
    <w:rsid w:val="41BD66D4"/>
    <w:rsid w:val="42071C03"/>
    <w:rsid w:val="422F5B28"/>
    <w:rsid w:val="42A16A79"/>
    <w:rsid w:val="42DE4B54"/>
    <w:rsid w:val="431E7D88"/>
    <w:rsid w:val="436D237B"/>
    <w:rsid w:val="436E31AC"/>
    <w:rsid w:val="438A4CDB"/>
    <w:rsid w:val="43CD6976"/>
    <w:rsid w:val="44267C9C"/>
    <w:rsid w:val="448B43F0"/>
    <w:rsid w:val="44CD1324"/>
    <w:rsid w:val="452B30BD"/>
    <w:rsid w:val="458327DA"/>
    <w:rsid w:val="458552CC"/>
    <w:rsid w:val="45AA6F6F"/>
    <w:rsid w:val="468C2B19"/>
    <w:rsid w:val="47D77DC3"/>
    <w:rsid w:val="48435459"/>
    <w:rsid w:val="48684EBF"/>
    <w:rsid w:val="48AB34DE"/>
    <w:rsid w:val="48C93BB0"/>
    <w:rsid w:val="490E3CB9"/>
    <w:rsid w:val="4939096D"/>
    <w:rsid w:val="49744970"/>
    <w:rsid w:val="4A7162AD"/>
    <w:rsid w:val="4A896DE9"/>
    <w:rsid w:val="4AB55D69"/>
    <w:rsid w:val="4BE31F81"/>
    <w:rsid w:val="4C9C56C8"/>
    <w:rsid w:val="4C9E5354"/>
    <w:rsid w:val="4CD749EB"/>
    <w:rsid w:val="4CE4545C"/>
    <w:rsid w:val="4D4B00F7"/>
    <w:rsid w:val="4D5F0F87"/>
    <w:rsid w:val="4D922EDC"/>
    <w:rsid w:val="4E7C3473"/>
    <w:rsid w:val="4E8642F1"/>
    <w:rsid w:val="4E9C4B18"/>
    <w:rsid w:val="4EB33338"/>
    <w:rsid w:val="4F361E22"/>
    <w:rsid w:val="50BD5AD5"/>
    <w:rsid w:val="51114346"/>
    <w:rsid w:val="516A1CA8"/>
    <w:rsid w:val="51EE4DE9"/>
    <w:rsid w:val="51FC6DA4"/>
    <w:rsid w:val="51FE6E1F"/>
    <w:rsid w:val="520304EB"/>
    <w:rsid w:val="5246071B"/>
    <w:rsid w:val="52B14716"/>
    <w:rsid w:val="53267992"/>
    <w:rsid w:val="533B387E"/>
    <w:rsid w:val="534A1D91"/>
    <w:rsid w:val="541479EE"/>
    <w:rsid w:val="541D74A6"/>
    <w:rsid w:val="54E17162"/>
    <w:rsid w:val="551F0D2D"/>
    <w:rsid w:val="55452810"/>
    <w:rsid w:val="55AE2AAB"/>
    <w:rsid w:val="55DF26E1"/>
    <w:rsid w:val="55E05C45"/>
    <w:rsid w:val="5619241D"/>
    <w:rsid w:val="565151E5"/>
    <w:rsid w:val="56692E0F"/>
    <w:rsid w:val="569A4DDE"/>
    <w:rsid w:val="56C836F9"/>
    <w:rsid w:val="56CF59E9"/>
    <w:rsid w:val="575952E3"/>
    <w:rsid w:val="580E6F63"/>
    <w:rsid w:val="582E4EE5"/>
    <w:rsid w:val="5846521D"/>
    <w:rsid w:val="58553929"/>
    <w:rsid w:val="58A84D8E"/>
    <w:rsid w:val="5900361E"/>
    <w:rsid w:val="59253085"/>
    <w:rsid w:val="59E92304"/>
    <w:rsid w:val="5A68259C"/>
    <w:rsid w:val="5A6C03B5"/>
    <w:rsid w:val="5B5C1A1A"/>
    <w:rsid w:val="5B773BAA"/>
    <w:rsid w:val="5BB1300A"/>
    <w:rsid w:val="5C1C34B6"/>
    <w:rsid w:val="5C5C6D93"/>
    <w:rsid w:val="5CCB475A"/>
    <w:rsid w:val="5CD01559"/>
    <w:rsid w:val="5D0905C7"/>
    <w:rsid w:val="5D314C3E"/>
    <w:rsid w:val="5D40143C"/>
    <w:rsid w:val="5D6B10E0"/>
    <w:rsid w:val="5D752454"/>
    <w:rsid w:val="5E745F14"/>
    <w:rsid w:val="5E79177D"/>
    <w:rsid w:val="5EB822A5"/>
    <w:rsid w:val="5ECA2FFC"/>
    <w:rsid w:val="5F0B6879"/>
    <w:rsid w:val="5F4955F3"/>
    <w:rsid w:val="5F944AC0"/>
    <w:rsid w:val="5FA30636"/>
    <w:rsid w:val="60067040"/>
    <w:rsid w:val="606E5831"/>
    <w:rsid w:val="60762F21"/>
    <w:rsid w:val="614C1A98"/>
    <w:rsid w:val="61754000"/>
    <w:rsid w:val="62296E10"/>
    <w:rsid w:val="62393078"/>
    <w:rsid w:val="62614A02"/>
    <w:rsid w:val="62894DB2"/>
    <w:rsid w:val="62AF39BF"/>
    <w:rsid w:val="62B5138F"/>
    <w:rsid w:val="62FC32A9"/>
    <w:rsid w:val="63DD630A"/>
    <w:rsid w:val="64613472"/>
    <w:rsid w:val="64BB3087"/>
    <w:rsid w:val="64DC105E"/>
    <w:rsid w:val="6524497B"/>
    <w:rsid w:val="65851C10"/>
    <w:rsid w:val="65D379C4"/>
    <w:rsid w:val="67191D4F"/>
    <w:rsid w:val="67472418"/>
    <w:rsid w:val="674E48DA"/>
    <w:rsid w:val="67505C4C"/>
    <w:rsid w:val="67650AF0"/>
    <w:rsid w:val="676B07FC"/>
    <w:rsid w:val="677F7E04"/>
    <w:rsid w:val="681B22EF"/>
    <w:rsid w:val="698F62F8"/>
    <w:rsid w:val="69D3011C"/>
    <w:rsid w:val="6A107439"/>
    <w:rsid w:val="6A2922A9"/>
    <w:rsid w:val="6A425119"/>
    <w:rsid w:val="6A7213EB"/>
    <w:rsid w:val="6B2C5D36"/>
    <w:rsid w:val="6B4530B6"/>
    <w:rsid w:val="6B572E46"/>
    <w:rsid w:val="6BB42046"/>
    <w:rsid w:val="6BBD6B4D"/>
    <w:rsid w:val="6BF90233"/>
    <w:rsid w:val="6D3E05E2"/>
    <w:rsid w:val="6D4E0B06"/>
    <w:rsid w:val="6D910891"/>
    <w:rsid w:val="6DE55CBF"/>
    <w:rsid w:val="6DE75249"/>
    <w:rsid w:val="6E184573"/>
    <w:rsid w:val="6F1572A0"/>
    <w:rsid w:val="6F6A1399"/>
    <w:rsid w:val="6F6E6B8A"/>
    <w:rsid w:val="6F94661F"/>
    <w:rsid w:val="6FAC0F8C"/>
    <w:rsid w:val="6FC50CC6"/>
    <w:rsid w:val="703B2D36"/>
    <w:rsid w:val="70590E1E"/>
    <w:rsid w:val="70BF5715"/>
    <w:rsid w:val="71445C1A"/>
    <w:rsid w:val="71A34878"/>
    <w:rsid w:val="71AC3EEB"/>
    <w:rsid w:val="71D84C2B"/>
    <w:rsid w:val="72207EB6"/>
    <w:rsid w:val="724203AC"/>
    <w:rsid w:val="73192E58"/>
    <w:rsid w:val="74324450"/>
    <w:rsid w:val="743D52C6"/>
    <w:rsid w:val="7481180E"/>
    <w:rsid w:val="759058D2"/>
    <w:rsid w:val="76051E1C"/>
    <w:rsid w:val="766065FC"/>
    <w:rsid w:val="769431A0"/>
    <w:rsid w:val="774E77F3"/>
    <w:rsid w:val="77730B67"/>
    <w:rsid w:val="77E15F71"/>
    <w:rsid w:val="78342545"/>
    <w:rsid w:val="787A3D0F"/>
    <w:rsid w:val="78C315EA"/>
    <w:rsid w:val="78F90F24"/>
    <w:rsid w:val="79B24958"/>
    <w:rsid w:val="7A637111"/>
    <w:rsid w:val="7A9C0875"/>
    <w:rsid w:val="7AA17300"/>
    <w:rsid w:val="7B162434"/>
    <w:rsid w:val="7C8F0691"/>
    <w:rsid w:val="7CED0EE5"/>
    <w:rsid w:val="7DBA0247"/>
    <w:rsid w:val="7DE40569"/>
    <w:rsid w:val="7E4139C6"/>
    <w:rsid w:val="7E437985"/>
    <w:rsid w:val="7E8E2654"/>
    <w:rsid w:val="7EC604DB"/>
    <w:rsid w:val="7EEA1BAF"/>
    <w:rsid w:val="7F914720"/>
    <w:rsid w:val="7FA97BC5"/>
    <w:rsid w:val="7FD8219D"/>
    <w:rsid w:val="AFBD227B"/>
    <w:rsid w:val="C1994C66"/>
    <w:rsid w:val="DE4DC00B"/>
    <w:rsid w:val="EF9C8A27"/>
    <w:rsid w:val="F3FD4BBC"/>
    <w:rsid w:val="FBFD275E"/>
    <w:rsid w:val="FCFF2EFA"/>
    <w:rsid w:val="FFC7940D"/>
    <w:rsid w:val="FFED3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qFormat/>
    <w:uiPriority w:val="0"/>
    <w:pPr>
      <w:kinsoku w:val="0"/>
      <w:autoSpaceDE w:val="0"/>
      <w:autoSpaceDN w:val="0"/>
      <w:adjustRightInd w:val="0"/>
      <w:snapToGrid w:val="0"/>
      <w:spacing w:line="590" w:lineRule="exact"/>
      <w:ind w:firstLine="880" w:firstLineChars="200"/>
      <w:textAlignment w:val="baseline"/>
    </w:pPr>
    <w:rPr>
      <w:rFonts w:ascii="仿宋" w:hAnsi="仿宋" w:eastAsia="仿宋" w:cs="Times New Roman"/>
      <w:snapToGrid w:val="0"/>
      <w:color w:val="000000"/>
      <w:sz w:val="32"/>
      <w:szCs w:val="22"/>
      <w:lang w:val="en-US" w:eastAsia="en-US" w:bidi="ar-SA"/>
    </w:rPr>
  </w:style>
  <w:style w:type="paragraph" w:styleId="7">
    <w:name w:val="Balloon Text"/>
    <w:basedOn w:val="1"/>
    <w:link w:val="18"/>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kinsoku w:val="0"/>
      <w:autoSpaceDE w:val="0"/>
      <w:autoSpaceDN w:val="0"/>
      <w:adjustRightInd w:val="0"/>
      <w:snapToGrid w:val="0"/>
      <w:spacing w:beforeAutospacing="1" w:afterAutospacing="1" w:line="588" w:lineRule="exact"/>
      <w:ind w:firstLine="420" w:firstLineChars="200"/>
      <w:textAlignment w:val="baseline"/>
    </w:pPr>
    <w:rPr>
      <w:rFonts w:ascii="Arial" w:hAnsi="Arial" w:eastAsia="仿宋_GB2312" w:cs="Times New Roman"/>
      <w:snapToGrid w:val="0"/>
      <w:color w:val="000000"/>
      <w:sz w:val="24"/>
      <w:szCs w:val="21"/>
      <w:lang w:val="en-US" w:eastAsia="zh-CN" w:bidi="ar-SA"/>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FollowedHyperlink"/>
    <w:basedOn w:val="13"/>
    <w:qFormat/>
    <w:uiPriority w:val="0"/>
    <w:rPr>
      <w:color w:val="800080"/>
      <w:u w:val="single"/>
    </w:rPr>
  </w:style>
  <w:style w:type="paragraph" w:customStyle="1" w:styleId="16">
    <w:name w:val="煤炭资源普查报告格式"/>
    <w:qFormat/>
    <w:uiPriority w:val="0"/>
    <w:pPr>
      <w:widowControl w:val="0"/>
      <w:spacing w:line="500" w:lineRule="exact"/>
      <w:ind w:firstLine="640" w:firstLineChars="200"/>
    </w:pPr>
    <w:rPr>
      <w:rFonts w:ascii="Calibri" w:hAnsi="Calibri" w:eastAsia="宋体" w:cs="Times New Roman"/>
      <w:kern w:val="2"/>
      <w:sz w:val="24"/>
      <w:szCs w:val="22"/>
      <w:lang w:val="en-US" w:eastAsia="zh-CN" w:bidi="ar-SA"/>
    </w:rPr>
  </w:style>
  <w:style w:type="paragraph" w:customStyle="1" w:styleId="17">
    <w:name w:val="正文 2"/>
    <w:qFormat/>
    <w:uiPriority w:val="0"/>
    <w:pPr>
      <w:widowControl w:val="0"/>
      <w:ind w:firstLine="200" w:firstLineChars="200"/>
      <w:jc w:val="both"/>
    </w:pPr>
    <w:rPr>
      <w:rFonts w:ascii="Times New Roman" w:hAnsi="Times New Roman" w:eastAsia="仿宋_GB2312" w:cs="Times New Roman"/>
      <w:kern w:val="2"/>
      <w:sz w:val="24"/>
      <w:szCs w:val="24"/>
      <w:lang w:val="en-US" w:eastAsia="zh-CN" w:bidi="ar-SA"/>
    </w:rPr>
  </w:style>
  <w:style w:type="character" w:customStyle="1" w:styleId="18">
    <w:name w:val="批注框文本 Char"/>
    <w:basedOn w:val="13"/>
    <w:link w:val="7"/>
    <w:qFormat/>
    <w:uiPriority w:val="0"/>
    <w:rPr>
      <w:rFonts w:asciiTheme="minorHAnsi" w:hAnsiTheme="minorHAnsi" w:eastAsiaTheme="minorEastAsia" w:cstheme="minorBidi"/>
      <w:kern w:val="2"/>
      <w:sz w:val="18"/>
      <w:szCs w:val="18"/>
    </w:rPr>
  </w:style>
  <w:style w:type="character" w:customStyle="1" w:styleId="19">
    <w:name w:val="font31"/>
    <w:qFormat/>
    <w:uiPriority w:val="0"/>
    <w:rPr>
      <w:rFonts w:hint="eastAsia" w:ascii="宋体" w:hAnsi="宋体" w:eastAsia="宋体" w:cs="宋体"/>
      <w:color w:val="000000"/>
      <w:sz w:val="20"/>
      <w:szCs w:val="20"/>
      <w:u w:val="none"/>
    </w:rPr>
  </w:style>
  <w:style w:type="character" w:customStyle="1" w:styleId="20">
    <w:name w:val="font21"/>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3260</Words>
  <Characters>3346</Characters>
  <Lines>41</Lines>
  <Paragraphs>11</Paragraphs>
  <TotalTime>39</TotalTime>
  <ScaleCrop>false</ScaleCrop>
  <LinksUpToDate>false</LinksUpToDate>
  <CharactersWithSpaces>3354</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2025-06-30T15:02:00Z</dcterms:created>
  <dc:creator>Administrator</dc:creator>
  <cp:lastModifiedBy>thtf</cp:lastModifiedBy>
  <cp:lastPrinted>2026-10-12T09:53:00Z</cp:lastPrinted>
  <dcterms:modified xsi:type="dcterms:W3CDTF">2026-10-12T15:05:40Z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TemplateDocerSaveRecord">
    <vt:lpwstr>eyJoZGlkIjoiZWE0ZGY5Y2E0ODcwMGZjOGFjYjI2YTk5MDE5ODYzOTYiLCJ1c2VySWQiOiI1NTc3MjA1NDUifQ==</vt:lpwstr>
  </property>
  <property fmtid="{D5CDD505-2E9C-101B-9397-08002B2CF9AE}" pid="4" name="ICV">
    <vt:lpwstr>30DEF27D82284ED3AFEB99EC6B3593BC_13</vt:lpwstr>
  </property>
</Properties>
</file>