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napToGrid w:val="0"/>
        <w:spacing w:before="3400" w:line="240" w:lineRule="auto"/>
        <w:ind w:firstLine="0"/>
        <w:jc w:val="center"/>
        <w:rPr>
          <w:rFonts w:ascii="宋体"/>
          <w:b/>
          <w:bCs/>
          <w:sz w:val="52"/>
          <w:szCs w:val="52"/>
        </w:rPr>
      </w:pPr>
      <w:bookmarkStart w:id="0" w:name="_Toc530390369"/>
      <w:bookmarkStart w:id="134" w:name="_GoBack"/>
      <w:bookmarkEnd w:id="134"/>
      <w:r>
        <w:rPr>
          <w:rFonts w:hint="eastAsia" w:ascii="宋体"/>
          <w:b/>
          <w:bCs/>
          <w:sz w:val="52"/>
          <w:szCs w:val="52"/>
        </w:rPr>
        <w:t>湖北省</w:t>
      </w:r>
      <w:r>
        <w:rPr>
          <w:rFonts w:ascii="宋体"/>
          <w:b/>
          <w:bCs/>
          <w:sz w:val="52"/>
          <w:szCs w:val="52"/>
        </w:rPr>
        <w:t>地质灾害防治项目</w:t>
      </w:r>
    </w:p>
    <w:p>
      <w:pPr>
        <w:widowControl w:val="0"/>
        <w:adjustRightInd w:val="0"/>
        <w:snapToGrid w:val="0"/>
        <w:spacing w:line="240" w:lineRule="auto"/>
        <w:ind w:firstLine="0"/>
        <w:jc w:val="center"/>
        <w:rPr>
          <w:rFonts w:ascii="宋体" w:cs="Times New Roman"/>
          <w:b/>
          <w:bCs/>
          <w:sz w:val="52"/>
          <w:szCs w:val="52"/>
        </w:rPr>
      </w:pPr>
      <w:r>
        <w:rPr>
          <w:rFonts w:ascii="宋体"/>
          <w:b/>
          <w:bCs/>
          <w:sz w:val="52"/>
          <w:szCs w:val="52"/>
        </w:rPr>
        <w:t>概预算编制</w:t>
      </w:r>
      <w:r>
        <w:rPr>
          <w:rFonts w:hint="eastAsia" w:ascii="宋体"/>
          <w:b/>
          <w:bCs/>
          <w:sz w:val="52"/>
          <w:szCs w:val="52"/>
        </w:rPr>
        <w:t>要求</w:t>
      </w:r>
    </w:p>
    <w:p>
      <w:pPr>
        <w:widowControl w:val="0"/>
        <w:adjustRightInd w:val="0"/>
        <w:snapToGrid w:val="0"/>
        <w:spacing w:line="240" w:lineRule="auto"/>
        <w:ind w:firstLine="0"/>
        <w:jc w:val="center"/>
        <w:rPr>
          <w:rFonts w:ascii="宋体"/>
          <w:b/>
          <w:bCs/>
          <w:sz w:val="52"/>
          <w:szCs w:val="52"/>
        </w:rPr>
      </w:pPr>
      <w:r>
        <w:rPr>
          <w:rFonts w:hint="eastAsia" w:ascii="宋体" w:cs="Times New Roman"/>
          <w:b/>
          <w:bCs/>
          <w:sz w:val="52"/>
          <w:szCs w:val="52"/>
        </w:rPr>
        <w:t>（试行）</w:t>
      </w:r>
    </w:p>
    <w:p>
      <w:pPr>
        <w:widowControl w:val="0"/>
        <w:adjustRightInd w:val="0"/>
        <w:snapToGrid w:val="0"/>
        <w:spacing w:line="600" w:lineRule="auto"/>
        <w:ind w:firstLine="0"/>
        <w:jc w:val="center"/>
        <w:rPr>
          <w:rFonts w:ascii="Times New Roman" w:hAnsi="Times New Roman" w:cs="Times New Roman"/>
          <w:sz w:val="48"/>
          <w:szCs w:val="48"/>
        </w:rPr>
      </w:pPr>
    </w:p>
    <w:p>
      <w:pPr>
        <w:widowControl w:val="0"/>
        <w:adjustRightInd w:val="0"/>
        <w:snapToGrid w:val="0"/>
        <w:spacing w:line="600" w:lineRule="auto"/>
        <w:ind w:firstLine="0"/>
        <w:jc w:val="center"/>
        <w:rPr>
          <w:rFonts w:ascii="Times New Roman" w:hAnsi="Times New Roman" w:cs="Times New Roman"/>
          <w:sz w:val="48"/>
          <w:szCs w:val="48"/>
        </w:rPr>
      </w:pPr>
    </w:p>
    <w:p>
      <w:pPr>
        <w:widowControl w:val="0"/>
        <w:adjustRightInd w:val="0"/>
        <w:snapToGrid w:val="0"/>
        <w:ind w:firstLine="0"/>
        <w:jc w:val="center"/>
        <w:rPr>
          <w:rFonts w:ascii="Times New Roman" w:hAnsi="Times New Roman" w:cs="Times New Roman"/>
          <w:sz w:val="48"/>
          <w:szCs w:val="48"/>
        </w:rPr>
      </w:pPr>
    </w:p>
    <w:p>
      <w:pPr>
        <w:widowControl w:val="0"/>
        <w:adjustRightInd w:val="0"/>
        <w:snapToGrid w:val="0"/>
        <w:ind w:firstLine="0"/>
        <w:jc w:val="center"/>
        <w:rPr>
          <w:rFonts w:ascii="Times New Roman" w:hAnsi="Times New Roman" w:cs="Times New Roman"/>
          <w:sz w:val="48"/>
          <w:szCs w:val="48"/>
        </w:rPr>
      </w:pPr>
    </w:p>
    <w:p>
      <w:pPr>
        <w:widowControl w:val="0"/>
        <w:adjustRightInd w:val="0"/>
        <w:snapToGrid w:val="0"/>
        <w:ind w:firstLine="0"/>
        <w:jc w:val="center"/>
        <w:rPr>
          <w:rFonts w:ascii="Times New Roman" w:hAnsi="Times New Roman" w:cs="Times New Roman"/>
          <w:sz w:val="48"/>
          <w:szCs w:val="48"/>
        </w:rPr>
      </w:pPr>
    </w:p>
    <w:p>
      <w:pPr>
        <w:widowControl w:val="0"/>
        <w:adjustRightInd w:val="0"/>
        <w:snapToGrid w:val="0"/>
        <w:ind w:firstLine="0"/>
        <w:jc w:val="center"/>
        <w:rPr>
          <w:rFonts w:ascii="Times New Roman" w:hAnsi="Times New Roman" w:cs="Times New Roman"/>
          <w:sz w:val="48"/>
          <w:szCs w:val="48"/>
        </w:rPr>
      </w:pPr>
    </w:p>
    <w:p>
      <w:pPr>
        <w:widowControl w:val="0"/>
        <w:adjustRightInd w:val="0"/>
        <w:snapToGrid w:val="0"/>
        <w:ind w:firstLine="0"/>
        <w:jc w:val="center"/>
        <w:rPr>
          <w:rFonts w:ascii="Times New Roman" w:hAnsi="Times New Roman" w:cs="Times New Roman"/>
          <w:sz w:val="48"/>
          <w:szCs w:val="48"/>
        </w:rPr>
      </w:pPr>
    </w:p>
    <w:p>
      <w:pPr>
        <w:widowControl w:val="0"/>
        <w:adjustRightInd w:val="0"/>
        <w:snapToGrid w:val="0"/>
        <w:ind w:firstLine="0"/>
        <w:jc w:val="center"/>
        <w:rPr>
          <w:rFonts w:ascii="Times New Roman" w:hAnsi="Times New Roman" w:cs="Times New Roman"/>
          <w:sz w:val="48"/>
          <w:szCs w:val="48"/>
        </w:rPr>
      </w:pPr>
    </w:p>
    <w:p>
      <w:pPr>
        <w:widowControl w:val="0"/>
        <w:adjustRightInd w:val="0"/>
        <w:snapToGrid w:val="0"/>
        <w:ind w:firstLine="0"/>
        <w:jc w:val="center"/>
        <w:rPr>
          <w:rFonts w:ascii="Times New Roman" w:hAnsi="Times New Roman" w:cs="Times New Roman"/>
        </w:rPr>
      </w:pPr>
      <w:r>
        <w:rPr>
          <w:rFonts w:hint="eastAsia" w:ascii="仿宋" w:eastAsia="仿宋" w:cs="Times New Roman"/>
          <w:b/>
          <w:bCs/>
          <w:sz w:val="32"/>
          <w:szCs w:val="32"/>
        </w:rPr>
        <w:t>湖北省自然资源厅   发布</w:t>
      </w:r>
    </w:p>
    <w:p>
      <w:pPr>
        <w:adjustRightInd w:val="0"/>
        <w:snapToGrid w:val="0"/>
        <w:ind w:firstLine="0"/>
        <w:jc w:val="center"/>
        <w:rPr>
          <w:rFonts w:ascii="Times New Roman" w:hAnsi="Times New Roman"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1418" w:right="1134" w:bottom="1134" w:left="1418" w:header="851" w:footer="992" w:gutter="0"/>
          <w:cols w:space="720" w:num="1"/>
          <w:docGrid w:type="lines" w:linePitch="312" w:charSpace="0"/>
        </w:sectPr>
      </w:pPr>
    </w:p>
    <w:p>
      <w:pPr>
        <w:spacing w:before="851" w:after="680" w:line="240" w:lineRule="auto"/>
        <w:ind w:firstLine="0"/>
        <w:jc w:val="center"/>
        <w:rPr>
          <w:rFonts w:ascii="Times New Roman" w:hAnsi="Times New Roman" w:eastAsia="黑体" w:cs="Times New Roman"/>
          <w:sz w:val="32"/>
          <w:szCs w:val="32"/>
        </w:rPr>
      </w:pPr>
      <w:r>
        <w:rPr>
          <w:rFonts w:ascii="Times New Roman" w:hAnsi="Times New Roman" w:eastAsia="黑体" w:cs="Times New Roman"/>
          <w:sz w:val="32"/>
          <w:szCs w:val="32"/>
        </w:rPr>
        <w:t>目  次</w:t>
      </w:r>
    </w:p>
    <w:p>
      <w:pPr>
        <w:pStyle w:val="25"/>
        <w:ind w:left="0" w:leftChars="0" w:firstLine="0"/>
        <w:rPr>
          <w:rFonts w:eastAsiaTheme="minorEastAsia"/>
          <w:kern w:val="2"/>
          <w:sz w:val="21"/>
          <w:szCs w:val="21"/>
        </w:rPr>
      </w:pPr>
      <w:r>
        <w:rPr>
          <w:rFonts w:eastAsiaTheme="minorEastAsia"/>
          <w:sz w:val="21"/>
          <w:szCs w:val="21"/>
        </w:rPr>
        <w:fldChar w:fldCharType="begin"/>
      </w:r>
      <w:r>
        <w:rPr>
          <w:rFonts w:eastAsiaTheme="minorEastAsia"/>
          <w:sz w:val="21"/>
          <w:szCs w:val="21"/>
        </w:rPr>
        <w:instrText xml:space="preserve"> TOC \o "1 - 3" \h \z \u" |</w:instrText>
      </w:r>
      <w:r>
        <w:fldChar w:fldCharType="begin"/>
      </w:r>
      <w:r>
        <w:instrText xml:space="preserve"> HYPERLINK \l "_Toc26909314" </w:instrText>
      </w:r>
      <w:r>
        <w:fldChar w:fldCharType="separate"/>
      </w:r>
      <w:r>
        <w:rPr>
          <w:rFonts w:eastAsiaTheme="minorEastAsia"/>
          <w:sz w:val="21"/>
          <w:szCs w:val="21"/>
        </w:rPr>
        <w:instrText xml:space="preserve">前  言</w:instrText>
      </w:r>
      <w:r>
        <w:rPr>
          <w:rFonts w:eastAsiaTheme="minorEastAsia"/>
          <w:sz w:val="21"/>
          <w:szCs w:val="21"/>
        </w:rPr>
        <w:tab/>
      </w:r>
      <w:r>
        <w:rPr>
          <w:rFonts w:eastAsiaTheme="minorEastAsia"/>
          <w:sz w:val="21"/>
          <w:szCs w:val="21"/>
        </w:rPr>
        <w:fldChar w:fldCharType="end"/>
      </w:r>
      <w:r>
        <w:rPr>
          <w:rFonts w:eastAsiaTheme="minorEastAsia"/>
          <w:sz w:val="21"/>
          <w:szCs w:val="21"/>
        </w:rPr>
        <w:instrText xml:space="preserve"> </w:instrText>
      </w:r>
      <w:r>
        <w:rPr>
          <w:rFonts w:eastAsiaTheme="minorEastAsia"/>
          <w:sz w:val="21"/>
          <w:szCs w:val="21"/>
        </w:rPr>
        <w:fldChar w:fldCharType="separate"/>
      </w:r>
      <w:r>
        <w:fldChar w:fldCharType="begin"/>
      </w:r>
      <w:r>
        <w:instrText xml:space="preserve"> HYPERLINK \l "_Toc36634184" </w:instrText>
      </w:r>
      <w:r>
        <w:fldChar w:fldCharType="separate"/>
      </w:r>
      <w:r>
        <w:rPr>
          <w:rStyle w:val="42"/>
          <w:rFonts w:eastAsiaTheme="minorEastAsia"/>
          <w:sz w:val="21"/>
          <w:szCs w:val="21"/>
        </w:rPr>
        <w:t>前  言</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_Toc36634184 \h </w:instrText>
      </w:r>
      <w:r>
        <w:rPr>
          <w:rFonts w:eastAsiaTheme="minorEastAsia"/>
          <w:sz w:val="21"/>
          <w:szCs w:val="21"/>
        </w:rPr>
        <w:fldChar w:fldCharType="separate"/>
      </w:r>
      <w:r>
        <w:rPr>
          <w:rFonts w:eastAsiaTheme="minorEastAsia"/>
          <w:sz w:val="21"/>
          <w:szCs w:val="21"/>
        </w:rPr>
        <w:t>III</w:t>
      </w:r>
      <w:r>
        <w:rPr>
          <w:rFonts w:eastAsiaTheme="minorEastAsia"/>
          <w:sz w:val="21"/>
          <w:szCs w:val="21"/>
        </w:rPr>
        <w:fldChar w:fldCharType="end"/>
      </w:r>
      <w:r>
        <w:rPr>
          <w:rFonts w:eastAsiaTheme="minorEastAsia"/>
          <w:sz w:val="21"/>
          <w:szCs w:val="21"/>
        </w:rPr>
        <w:fldChar w:fldCharType="end"/>
      </w:r>
    </w:p>
    <w:p>
      <w:pPr>
        <w:pStyle w:val="25"/>
        <w:ind w:left="0" w:leftChars="0" w:firstLine="0"/>
        <w:rPr>
          <w:rFonts w:eastAsiaTheme="minorEastAsia"/>
          <w:kern w:val="2"/>
          <w:sz w:val="21"/>
          <w:szCs w:val="21"/>
        </w:rPr>
      </w:pPr>
      <w:r>
        <w:fldChar w:fldCharType="begin"/>
      </w:r>
      <w:r>
        <w:instrText xml:space="preserve"> HYPERLINK \l "_Toc36634185" </w:instrText>
      </w:r>
      <w:r>
        <w:fldChar w:fldCharType="separate"/>
      </w:r>
      <w:r>
        <w:rPr>
          <w:rStyle w:val="42"/>
          <w:rFonts w:eastAsiaTheme="minorEastAsia"/>
          <w:sz w:val="21"/>
          <w:szCs w:val="21"/>
        </w:rPr>
        <w:t>引  言</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_Toc36634185 \h </w:instrText>
      </w:r>
      <w:r>
        <w:rPr>
          <w:rFonts w:eastAsiaTheme="minorEastAsia"/>
          <w:sz w:val="21"/>
          <w:szCs w:val="21"/>
        </w:rPr>
        <w:fldChar w:fldCharType="separate"/>
      </w:r>
      <w:r>
        <w:rPr>
          <w:rFonts w:eastAsiaTheme="minorEastAsia"/>
          <w:sz w:val="21"/>
          <w:szCs w:val="21"/>
        </w:rPr>
        <w:t>IV</w:t>
      </w:r>
      <w:r>
        <w:rPr>
          <w:rFonts w:eastAsiaTheme="minorEastAsia"/>
          <w:sz w:val="21"/>
          <w:szCs w:val="21"/>
        </w:rPr>
        <w:fldChar w:fldCharType="end"/>
      </w:r>
      <w:r>
        <w:rPr>
          <w:rFonts w:eastAsiaTheme="minorEastAsia"/>
          <w:sz w:val="21"/>
          <w:szCs w:val="21"/>
        </w:rPr>
        <w:fldChar w:fldCharType="end"/>
      </w:r>
    </w:p>
    <w:p>
      <w:pPr>
        <w:pStyle w:val="30"/>
        <w:ind w:firstLine="0"/>
        <w:rPr>
          <w:rFonts w:eastAsiaTheme="minorEastAsia"/>
          <w:kern w:val="2"/>
          <w:sz w:val="21"/>
          <w:szCs w:val="21"/>
        </w:rPr>
      </w:pPr>
      <w:r>
        <w:fldChar w:fldCharType="begin"/>
      </w:r>
      <w:r>
        <w:instrText xml:space="preserve"> HYPERLINK \l "_Toc36634186" </w:instrText>
      </w:r>
      <w:r>
        <w:fldChar w:fldCharType="separate"/>
      </w:r>
      <w:r>
        <w:rPr>
          <w:rStyle w:val="42"/>
          <w:rFonts w:eastAsiaTheme="minorEastAsia"/>
          <w:sz w:val="21"/>
          <w:szCs w:val="21"/>
        </w:rPr>
        <w:t>1  范围</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_Toc36634186 \h </w:instrText>
      </w:r>
      <w:r>
        <w:rPr>
          <w:rFonts w:eastAsiaTheme="minorEastAsia"/>
          <w:sz w:val="21"/>
          <w:szCs w:val="21"/>
        </w:rPr>
        <w:fldChar w:fldCharType="separate"/>
      </w:r>
      <w:r>
        <w:rPr>
          <w:rFonts w:eastAsiaTheme="minorEastAsia"/>
          <w:sz w:val="21"/>
          <w:szCs w:val="21"/>
        </w:rPr>
        <w:t>1</w:t>
      </w:r>
      <w:r>
        <w:rPr>
          <w:rFonts w:eastAsiaTheme="minorEastAsia"/>
          <w:sz w:val="21"/>
          <w:szCs w:val="21"/>
        </w:rPr>
        <w:fldChar w:fldCharType="end"/>
      </w:r>
      <w:r>
        <w:rPr>
          <w:rFonts w:eastAsiaTheme="minorEastAsia"/>
          <w:sz w:val="21"/>
          <w:szCs w:val="21"/>
        </w:rPr>
        <w:fldChar w:fldCharType="end"/>
      </w:r>
    </w:p>
    <w:p>
      <w:pPr>
        <w:pStyle w:val="30"/>
        <w:ind w:firstLine="0"/>
        <w:rPr>
          <w:rFonts w:eastAsiaTheme="minorEastAsia"/>
          <w:kern w:val="2"/>
          <w:sz w:val="21"/>
          <w:szCs w:val="21"/>
        </w:rPr>
      </w:pPr>
      <w:r>
        <w:fldChar w:fldCharType="begin"/>
      </w:r>
      <w:r>
        <w:instrText xml:space="preserve"> HYPERLINK \l "_Toc36634187" </w:instrText>
      </w:r>
      <w:r>
        <w:fldChar w:fldCharType="separate"/>
      </w:r>
      <w:r>
        <w:rPr>
          <w:rStyle w:val="42"/>
          <w:rFonts w:eastAsiaTheme="minorEastAsia"/>
          <w:sz w:val="21"/>
          <w:szCs w:val="21"/>
        </w:rPr>
        <w:t>2  规范性引用文件</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_Toc36634187 \h </w:instrText>
      </w:r>
      <w:r>
        <w:rPr>
          <w:rFonts w:eastAsiaTheme="minorEastAsia"/>
          <w:sz w:val="21"/>
          <w:szCs w:val="21"/>
        </w:rPr>
        <w:fldChar w:fldCharType="separate"/>
      </w:r>
      <w:r>
        <w:rPr>
          <w:rFonts w:eastAsiaTheme="minorEastAsia"/>
          <w:sz w:val="21"/>
          <w:szCs w:val="21"/>
        </w:rPr>
        <w:t>1</w:t>
      </w:r>
      <w:r>
        <w:rPr>
          <w:rFonts w:eastAsiaTheme="minorEastAsia"/>
          <w:sz w:val="21"/>
          <w:szCs w:val="21"/>
        </w:rPr>
        <w:fldChar w:fldCharType="end"/>
      </w:r>
      <w:r>
        <w:rPr>
          <w:rFonts w:eastAsiaTheme="minorEastAsia"/>
          <w:sz w:val="21"/>
          <w:szCs w:val="21"/>
        </w:rPr>
        <w:fldChar w:fldCharType="end"/>
      </w:r>
    </w:p>
    <w:p>
      <w:pPr>
        <w:pStyle w:val="30"/>
        <w:ind w:firstLine="0"/>
        <w:rPr>
          <w:rFonts w:eastAsiaTheme="minorEastAsia"/>
          <w:kern w:val="2"/>
          <w:sz w:val="21"/>
          <w:szCs w:val="21"/>
        </w:rPr>
      </w:pPr>
      <w:r>
        <w:fldChar w:fldCharType="begin"/>
      </w:r>
      <w:r>
        <w:instrText xml:space="preserve"> HYPERLINK \l "_Toc36634188" </w:instrText>
      </w:r>
      <w:r>
        <w:fldChar w:fldCharType="separate"/>
      </w:r>
      <w:r>
        <w:rPr>
          <w:rStyle w:val="42"/>
          <w:rFonts w:eastAsiaTheme="minorEastAsia"/>
          <w:sz w:val="21"/>
          <w:szCs w:val="21"/>
        </w:rPr>
        <w:t>3  术语与定义</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_Toc36634188 \h </w:instrText>
      </w:r>
      <w:r>
        <w:rPr>
          <w:rFonts w:eastAsiaTheme="minorEastAsia"/>
          <w:sz w:val="21"/>
          <w:szCs w:val="21"/>
        </w:rPr>
        <w:fldChar w:fldCharType="separate"/>
      </w:r>
      <w:r>
        <w:rPr>
          <w:rFonts w:eastAsiaTheme="minorEastAsia"/>
          <w:sz w:val="21"/>
          <w:szCs w:val="21"/>
        </w:rPr>
        <w:t>3</w:t>
      </w:r>
      <w:r>
        <w:rPr>
          <w:rFonts w:eastAsiaTheme="minorEastAsia"/>
          <w:sz w:val="21"/>
          <w:szCs w:val="21"/>
        </w:rPr>
        <w:fldChar w:fldCharType="end"/>
      </w:r>
      <w:r>
        <w:rPr>
          <w:rFonts w:eastAsiaTheme="minorEastAsia"/>
          <w:sz w:val="21"/>
          <w:szCs w:val="21"/>
        </w:rPr>
        <w:fldChar w:fldCharType="end"/>
      </w:r>
    </w:p>
    <w:p>
      <w:pPr>
        <w:pStyle w:val="30"/>
        <w:ind w:firstLine="0"/>
        <w:rPr>
          <w:rStyle w:val="42"/>
        </w:rPr>
      </w:pPr>
      <w:r>
        <w:fldChar w:fldCharType="begin"/>
      </w:r>
      <w:r>
        <w:instrText xml:space="preserve"> HYPERLINK \l "_Toc36634205" </w:instrText>
      </w:r>
      <w:r>
        <w:fldChar w:fldCharType="separate"/>
      </w:r>
      <w:r>
        <w:rPr>
          <w:rStyle w:val="42"/>
          <w:rFonts w:eastAsiaTheme="minorEastAsia"/>
          <w:sz w:val="21"/>
          <w:szCs w:val="21"/>
        </w:rPr>
        <w:t>4  总则</w:t>
      </w:r>
      <w:r>
        <w:rPr>
          <w:rStyle w:val="42"/>
        </w:rPr>
        <w:tab/>
      </w:r>
      <w:r>
        <w:rPr>
          <w:rStyle w:val="42"/>
        </w:rPr>
        <w:fldChar w:fldCharType="begin"/>
      </w:r>
      <w:r>
        <w:rPr>
          <w:rStyle w:val="42"/>
        </w:rPr>
        <w:instrText xml:space="preserve"> PAGEREF _Toc36634205 \h </w:instrText>
      </w:r>
      <w:r>
        <w:rPr>
          <w:rStyle w:val="42"/>
        </w:rPr>
        <w:fldChar w:fldCharType="separate"/>
      </w:r>
      <w:r>
        <w:rPr>
          <w:rStyle w:val="42"/>
        </w:rPr>
        <w:t>5</w:t>
      </w:r>
      <w:r>
        <w:rPr>
          <w:rStyle w:val="42"/>
        </w:rPr>
        <w:fldChar w:fldCharType="end"/>
      </w:r>
      <w:r>
        <w:rPr>
          <w:rStyle w:val="42"/>
        </w:rPr>
        <w:fldChar w:fldCharType="end"/>
      </w:r>
    </w:p>
    <w:p>
      <w:pPr>
        <w:pStyle w:val="17"/>
        <w:ind w:firstLine="240" w:firstLineChars="100"/>
        <w:rPr>
          <w:rFonts w:eastAsiaTheme="minorEastAsia"/>
          <w:kern w:val="2"/>
          <w:sz w:val="21"/>
          <w:szCs w:val="21"/>
        </w:rPr>
      </w:pPr>
      <w:r>
        <w:fldChar w:fldCharType="begin"/>
      </w:r>
      <w:r>
        <w:instrText xml:space="preserve"> HYPERLINK \l "_Toc36634206" </w:instrText>
      </w:r>
      <w:r>
        <w:fldChar w:fldCharType="separate"/>
      </w:r>
      <w:r>
        <w:rPr>
          <w:rStyle w:val="42"/>
          <w:rFonts w:eastAsiaTheme="minorEastAsia"/>
          <w:sz w:val="21"/>
          <w:szCs w:val="21"/>
        </w:rPr>
        <w:t>4.1  目的</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_Toc36634206 \h </w:instrText>
      </w:r>
      <w:r>
        <w:rPr>
          <w:rFonts w:eastAsiaTheme="minorEastAsia"/>
          <w:sz w:val="21"/>
          <w:szCs w:val="21"/>
        </w:rPr>
        <w:fldChar w:fldCharType="separate"/>
      </w:r>
      <w:r>
        <w:rPr>
          <w:rFonts w:eastAsiaTheme="minorEastAsia"/>
          <w:sz w:val="21"/>
          <w:szCs w:val="21"/>
        </w:rPr>
        <w:t>5</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"_Toc36634207" </w:instrText>
      </w:r>
      <w:r>
        <w:fldChar w:fldCharType="separate"/>
      </w:r>
      <w:r>
        <w:rPr>
          <w:rStyle w:val="42"/>
          <w:rFonts w:eastAsiaTheme="minorEastAsia"/>
          <w:sz w:val="21"/>
          <w:szCs w:val="21"/>
        </w:rPr>
        <w:t>4.2  任务</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_Toc36634207 \h </w:instrText>
      </w:r>
      <w:r>
        <w:rPr>
          <w:rFonts w:eastAsiaTheme="minorEastAsia"/>
          <w:sz w:val="21"/>
          <w:szCs w:val="21"/>
        </w:rPr>
        <w:fldChar w:fldCharType="separate"/>
      </w:r>
      <w:r>
        <w:rPr>
          <w:rFonts w:eastAsiaTheme="minorEastAsia"/>
          <w:sz w:val="21"/>
          <w:szCs w:val="21"/>
        </w:rPr>
        <w:t>5</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"_Toc36634208" </w:instrText>
      </w:r>
      <w:r>
        <w:fldChar w:fldCharType="separate"/>
      </w:r>
      <w:r>
        <w:rPr>
          <w:rStyle w:val="42"/>
          <w:rFonts w:eastAsiaTheme="minorEastAsia"/>
          <w:sz w:val="21"/>
          <w:szCs w:val="21"/>
        </w:rPr>
        <w:t>4.3  指导思想和原则</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_Toc36634208 \h </w:instrText>
      </w:r>
      <w:r>
        <w:rPr>
          <w:rFonts w:eastAsiaTheme="minorEastAsia"/>
          <w:sz w:val="21"/>
          <w:szCs w:val="21"/>
        </w:rPr>
        <w:fldChar w:fldCharType="separate"/>
      </w:r>
      <w:r>
        <w:rPr>
          <w:rFonts w:eastAsiaTheme="minorEastAsia"/>
          <w:sz w:val="21"/>
          <w:szCs w:val="21"/>
        </w:rPr>
        <w:t>5</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"_Toc36634209" </w:instrText>
      </w:r>
      <w:r>
        <w:fldChar w:fldCharType="separate"/>
      </w:r>
      <w:r>
        <w:rPr>
          <w:rStyle w:val="42"/>
          <w:rFonts w:eastAsiaTheme="minorEastAsia"/>
          <w:sz w:val="21"/>
          <w:szCs w:val="21"/>
        </w:rPr>
        <w:t>4.4  概预算基本构成</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_Toc36634209 \h </w:instrText>
      </w:r>
      <w:r>
        <w:rPr>
          <w:rFonts w:eastAsiaTheme="minorEastAsia"/>
          <w:sz w:val="21"/>
          <w:szCs w:val="21"/>
        </w:rPr>
        <w:fldChar w:fldCharType="separate"/>
      </w:r>
      <w:r>
        <w:rPr>
          <w:rFonts w:eastAsiaTheme="minorEastAsia"/>
          <w:sz w:val="21"/>
          <w:szCs w:val="21"/>
        </w:rPr>
        <w:t>5</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"_Toc36634210" </w:instrText>
      </w:r>
      <w:r>
        <w:fldChar w:fldCharType="separate"/>
      </w:r>
      <w:r>
        <w:rPr>
          <w:rStyle w:val="42"/>
          <w:rFonts w:eastAsiaTheme="minorEastAsia"/>
          <w:sz w:val="21"/>
          <w:szCs w:val="21"/>
        </w:rPr>
        <w:t>4.5  概预算基本程序</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_Toc36634210 \h </w:instrText>
      </w:r>
      <w:r>
        <w:rPr>
          <w:rFonts w:eastAsiaTheme="minorEastAsia"/>
          <w:sz w:val="21"/>
          <w:szCs w:val="21"/>
        </w:rPr>
        <w:fldChar w:fldCharType="separate"/>
      </w:r>
      <w:r>
        <w:rPr>
          <w:rFonts w:eastAsiaTheme="minorEastAsia"/>
          <w:sz w:val="21"/>
          <w:szCs w:val="21"/>
        </w:rPr>
        <w:t>5</w:t>
      </w:r>
      <w:r>
        <w:rPr>
          <w:rFonts w:eastAsiaTheme="minorEastAsia"/>
          <w:sz w:val="21"/>
          <w:szCs w:val="21"/>
        </w:rPr>
        <w:fldChar w:fldCharType="end"/>
      </w:r>
      <w:r>
        <w:rPr>
          <w:rFonts w:eastAsiaTheme="minorEastAsia"/>
          <w:sz w:val="21"/>
          <w:szCs w:val="21"/>
        </w:rPr>
        <w:fldChar w:fldCharType="end"/>
      </w:r>
    </w:p>
    <w:p>
      <w:pPr>
        <w:pStyle w:val="30"/>
        <w:ind w:firstLine="0"/>
        <w:rPr>
          <w:rFonts w:eastAsiaTheme="minorEastAsia"/>
          <w:kern w:val="2"/>
          <w:sz w:val="21"/>
          <w:szCs w:val="21"/>
        </w:rPr>
      </w:pPr>
      <w:r>
        <w:fldChar w:fldCharType="begin"/>
      </w:r>
      <w:r>
        <w:instrText xml:space="preserve"> HYPERLINK \l "_Toc36634211" </w:instrText>
      </w:r>
      <w:r>
        <w:fldChar w:fldCharType="separate"/>
      </w:r>
      <w:r>
        <w:rPr>
          <w:rStyle w:val="42"/>
          <w:rFonts w:eastAsiaTheme="minorEastAsia"/>
          <w:sz w:val="21"/>
          <w:szCs w:val="21"/>
        </w:rPr>
        <w:t>5  调查评价项目预算编制要求</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_Toc36634211 \h </w:instrText>
      </w:r>
      <w:r>
        <w:rPr>
          <w:rFonts w:eastAsiaTheme="minorEastAsia"/>
          <w:sz w:val="21"/>
          <w:szCs w:val="21"/>
        </w:rPr>
        <w:fldChar w:fldCharType="separate"/>
      </w:r>
      <w:r>
        <w:rPr>
          <w:rFonts w:eastAsiaTheme="minorEastAsia"/>
          <w:sz w:val="21"/>
          <w:szCs w:val="21"/>
        </w:rPr>
        <w:t>6</w:t>
      </w:r>
      <w:r>
        <w:rPr>
          <w:rFonts w:eastAsiaTheme="minorEastAsia"/>
          <w:sz w:val="21"/>
          <w:szCs w:val="21"/>
        </w:rPr>
        <w:fldChar w:fldCharType="end"/>
      </w:r>
      <w:r>
        <w:rPr>
          <w:rFonts w:eastAsiaTheme="minorEastAsia"/>
          <w:sz w:val="21"/>
          <w:szCs w:val="21"/>
        </w:rPr>
        <w:fldChar w:fldCharType="end"/>
      </w:r>
    </w:p>
    <w:p>
      <w:pPr>
        <w:pStyle w:val="17"/>
        <w:ind w:firstLine="240" w:firstLineChars="100"/>
        <w:rPr>
          <w:rStyle w:val="42"/>
        </w:rPr>
      </w:pPr>
      <w:r>
        <w:fldChar w:fldCharType="begin"/>
      </w:r>
      <w:r>
        <w:instrText xml:space="preserve"> HYPERLINK \l "_Toc36634212" </w:instrText>
      </w:r>
      <w:r>
        <w:fldChar w:fldCharType="separate"/>
      </w:r>
      <w:r>
        <w:rPr>
          <w:rStyle w:val="42"/>
          <w:rFonts w:eastAsiaTheme="minorEastAsia"/>
          <w:sz w:val="21"/>
          <w:szCs w:val="21"/>
        </w:rPr>
        <w:t>5.1  基本内容</w:t>
      </w:r>
      <w:r>
        <w:rPr>
          <w:rStyle w:val="42"/>
        </w:rPr>
        <w:tab/>
      </w:r>
      <w:r>
        <w:rPr>
          <w:rStyle w:val="42"/>
        </w:rPr>
        <w:fldChar w:fldCharType="begin"/>
      </w:r>
      <w:r>
        <w:rPr>
          <w:rStyle w:val="42"/>
        </w:rPr>
        <w:instrText xml:space="preserve"> PAGEREF _Toc36634212 \h </w:instrText>
      </w:r>
      <w:r>
        <w:rPr>
          <w:rStyle w:val="42"/>
        </w:rPr>
        <w:fldChar w:fldCharType="separate"/>
      </w:r>
      <w:r>
        <w:rPr>
          <w:rStyle w:val="42"/>
        </w:rPr>
        <w:t>6</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"_Toc36634213" </w:instrText>
      </w:r>
      <w:r>
        <w:fldChar w:fldCharType="separate"/>
      </w:r>
      <w:r>
        <w:rPr>
          <w:rStyle w:val="42"/>
          <w:rFonts w:eastAsiaTheme="minorEastAsia"/>
          <w:sz w:val="21"/>
          <w:szCs w:val="21"/>
        </w:rPr>
        <w:t>5.2  主要编制依据</w:t>
      </w:r>
      <w:r>
        <w:rPr>
          <w:rStyle w:val="42"/>
        </w:rPr>
        <w:tab/>
      </w:r>
      <w:r>
        <w:rPr>
          <w:rStyle w:val="42"/>
        </w:rPr>
        <w:fldChar w:fldCharType="begin"/>
      </w:r>
      <w:r>
        <w:rPr>
          <w:rStyle w:val="42"/>
        </w:rPr>
        <w:instrText xml:space="preserve"> PAGEREF _Toc36634213 \h </w:instrText>
      </w:r>
      <w:r>
        <w:rPr>
          <w:rStyle w:val="42"/>
        </w:rPr>
        <w:fldChar w:fldCharType="separate"/>
      </w:r>
      <w:r>
        <w:rPr>
          <w:rStyle w:val="42"/>
        </w:rPr>
        <w:t>6</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"_Toc36634214" </w:instrText>
      </w:r>
      <w:r>
        <w:fldChar w:fldCharType="separate"/>
      </w:r>
      <w:r>
        <w:rPr>
          <w:rStyle w:val="42"/>
          <w:rFonts w:eastAsiaTheme="minorEastAsia"/>
          <w:sz w:val="21"/>
          <w:szCs w:val="21"/>
        </w:rPr>
        <w:t>5.3  基本构成</w:t>
      </w:r>
      <w:r>
        <w:rPr>
          <w:rStyle w:val="42"/>
        </w:rPr>
        <w:tab/>
      </w:r>
      <w:r>
        <w:rPr>
          <w:rStyle w:val="42"/>
        </w:rPr>
        <w:fldChar w:fldCharType="begin"/>
      </w:r>
      <w:r>
        <w:rPr>
          <w:rStyle w:val="42"/>
        </w:rPr>
        <w:instrText xml:space="preserve"> PAGEREF _Toc36634214 \h </w:instrText>
      </w:r>
      <w:r>
        <w:rPr>
          <w:rStyle w:val="42"/>
        </w:rPr>
        <w:fldChar w:fldCharType="separate"/>
      </w:r>
      <w:r>
        <w:rPr>
          <w:rStyle w:val="42"/>
        </w:rPr>
        <w:t>6</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"_Toc36634215" </w:instrText>
      </w:r>
      <w:r>
        <w:fldChar w:fldCharType="separate"/>
      </w:r>
      <w:r>
        <w:rPr>
          <w:rStyle w:val="42"/>
          <w:rFonts w:eastAsiaTheme="minorEastAsia"/>
          <w:sz w:val="21"/>
          <w:szCs w:val="21"/>
        </w:rPr>
        <w:t>5.4  编制方法</w:t>
      </w:r>
      <w:r>
        <w:rPr>
          <w:rStyle w:val="42"/>
        </w:rPr>
        <w:tab/>
      </w:r>
      <w:r>
        <w:rPr>
          <w:rStyle w:val="42"/>
        </w:rPr>
        <w:fldChar w:fldCharType="begin"/>
      </w:r>
      <w:r>
        <w:rPr>
          <w:rStyle w:val="42"/>
        </w:rPr>
        <w:instrText xml:space="preserve"> PAGEREF _Toc36634215 \h </w:instrText>
      </w:r>
      <w:r>
        <w:rPr>
          <w:rStyle w:val="42"/>
        </w:rPr>
        <w:fldChar w:fldCharType="separate"/>
      </w:r>
      <w:r>
        <w:rPr>
          <w:rStyle w:val="42"/>
        </w:rPr>
        <w:t>6</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"_Toc36634216" </w:instrText>
      </w:r>
      <w:r>
        <w:fldChar w:fldCharType="separate"/>
      </w:r>
      <w:r>
        <w:rPr>
          <w:rStyle w:val="42"/>
          <w:rFonts w:eastAsiaTheme="minorEastAsia"/>
          <w:sz w:val="21"/>
          <w:szCs w:val="21"/>
        </w:rPr>
        <w:t>5.5  取费标准</w:t>
      </w:r>
      <w:r>
        <w:rPr>
          <w:rStyle w:val="42"/>
        </w:rPr>
        <w:tab/>
      </w:r>
      <w:r>
        <w:rPr>
          <w:rStyle w:val="42"/>
        </w:rPr>
        <w:fldChar w:fldCharType="begin"/>
      </w:r>
      <w:r>
        <w:rPr>
          <w:rStyle w:val="42"/>
        </w:rPr>
        <w:instrText xml:space="preserve"> PAGEREF _Toc36634216 \h </w:instrText>
      </w:r>
      <w:r>
        <w:rPr>
          <w:rStyle w:val="42"/>
        </w:rPr>
        <w:fldChar w:fldCharType="separate"/>
      </w:r>
      <w:r>
        <w:rPr>
          <w:rStyle w:val="42"/>
        </w:rPr>
        <w:t>11</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"_Toc36634217" </w:instrText>
      </w:r>
      <w:r>
        <w:fldChar w:fldCharType="separate"/>
      </w:r>
      <w:r>
        <w:rPr>
          <w:rStyle w:val="42"/>
          <w:rFonts w:eastAsiaTheme="minorEastAsia"/>
          <w:sz w:val="21"/>
          <w:szCs w:val="21"/>
        </w:rPr>
        <w:t>5.6  编制格式</w:t>
      </w:r>
      <w:r>
        <w:rPr>
          <w:rStyle w:val="42"/>
        </w:rPr>
        <w:tab/>
      </w:r>
      <w:r>
        <w:rPr>
          <w:rStyle w:val="42"/>
        </w:rPr>
        <w:fldChar w:fldCharType="begin"/>
      </w:r>
      <w:r>
        <w:rPr>
          <w:rStyle w:val="42"/>
        </w:rPr>
        <w:instrText xml:space="preserve"> PAGEREF _Toc36634217 \h </w:instrText>
      </w:r>
      <w:r>
        <w:rPr>
          <w:rStyle w:val="42"/>
        </w:rPr>
        <w:fldChar w:fldCharType="separate"/>
      </w:r>
      <w:r>
        <w:rPr>
          <w:rStyle w:val="42"/>
        </w:rPr>
        <w:t>12</w:t>
      </w:r>
      <w:r>
        <w:rPr>
          <w:rStyle w:val="42"/>
        </w:rPr>
        <w:fldChar w:fldCharType="end"/>
      </w:r>
      <w:r>
        <w:rPr>
          <w:rStyle w:val="42"/>
        </w:rPr>
        <w:fldChar w:fldCharType="end"/>
      </w:r>
    </w:p>
    <w:p>
      <w:pPr>
        <w:pStyle w:val="30"/>
        <w:ind w:firstLine="0"/>
        <w:rPr>
          <w:rFonts w:eastAsiaTheme="minorEastAsia"/>
          <w:kern w:val="2"/>
          <w:sz w:val="21"/>
          <w:szCs w:val="21"/>
        </w:rPr>
      </w:pPr>
      <w:r>
        <w:fldChar w:fldCharType="begin"/>
      </w:r>
      <w:r>
        <w:instrText xml:space="preserve"> HYPERLINK \l "_Toc36634218" </w:instrText>
      </w:r>
      <w:r>
        <w:fldChar w:fldCharType="separate"/>
      </w:r>
      <w:r>
        <w:rPr>
          <w:rStyle w:val="42"/>
          <w:rFonts w:eastAsiaTheme="minorEastAsia"/>
          <w:sz w:val="21"/>
          <w:szCs w:val="21"/>
        </w:rPr>
        <w:t>6  监测预警项目预算编制要求</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_Toc36634218 \h </w:instrText>
      </w:r>
      <w:r>
        <w:rPr>
          <w:rFonts w:eastAsiaTheme="minorEastAsia"/>
          <w:sz w:val="21"/>
          <w:szCs w:val="21"/>
        </w:rPr>
        <w:fldChar w:fldCharType="separate"/>
      </w:r>
      <w:r>
        <w:rPr>
          <w:rFonts w:eastAsiaTheme="minorEastAsia"/>
          <w:sz w:val="21"/>
          <w:szCs w:val="21"/>
        </w:rPr>
        <w:t>13</w:t>
      </w:r>
      <w:r>
        <w:rPr>
          <w:rFonts w:eastAsiaTheme="minorEastAsia"/>
          <w:sz w:val="21"/>
          <w:szCs w:val="21"/>
        </w:rPr>
        <w:fldChar w:fldCharType="end"/>
      </w:r>
      <w:r>
        <w:rPr>
          <w:rFonts w:eastAsiaTheme="minorEastAsia"/>
          <w:sz w:val="21"/>
          <w:szCs w:val="21"/>
        </w:rPr>
        <w:fldChar w:fldCharType="end"/>
      </w:r>
    </w:p>
    <w:p>
      <w:pPr>
        <w:pStyle w:val="17"/>
        <w:ind w:firstLine="240" w:firstLineChars="100"/>
        <w:rPr>
          <w:rStyle w:val="42"/>
        </w:rPr>
      </w:pPr>
      <w:r>
        <w:fldChar w:fldCharType="begin"/>
      </w:r>
      <w:r>
        <w:instrText xml:space="preserve"> HYPERLINK \l "_Toc36634219" </w:instrText>
      </w:r>
      <w:r>
        <w:fldChar w:fldCharType="separate"/>
      </w:r>
      <w:r>
        <w:rPr>
          <w:rStyle w:val="42"/>
          <w:rFonts w:eastAsiaTheme="minorEastAsia"/>
          <w:sz w:val="21"/>
          <w:szCs w:val="21"/>
        </w:rPr>
        <w:t>6.1  基本内容</w:t>
      </w:r>
      <w:r>
        <w:rPr>
          <w:rStyle w:val="42"/>
        </w:rPr>
        <w:tab/>
      </w:r>
      <w:r>
        <w:rPr>
          <w:rStyle w:val="42"/>
        </w:rPr>
        <w:fldChar w:fldCharType="begin"/>
      </w:r>
      <w:r>
        <w:rPr>
          <w:rStyle w:val="42"/>
        </w:rPr>
        <w:instrText xml:space="preserve"> PAGEREF _Toc36634219 \h </w:instrText>
      </w:r>
      <w:r>
        <w:rPr>
          <w:rStyle w:val="42"/>
        </w:rPr>
        <w:fldChar w:fldCharType="separate"/>
      </w:r>
      <w:r>
        <w:rPr>
          <w:rStyle w:val="42"/>
        </w:rPr>
        <w:t>13</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"_Toc36634220" </w:instrText>
      </w:r>
      <w:r>
        <w:fldChar w:fldCharType="separate"/>
      </w:r>
      <w:r>
        <w:rPr>
          <w:rStyle w:val="42"/>
          <w:rFonts w:eastAsiaTheme="minorEastAsia"/>
          <w:sz w:val="21"/>
          <w:szCs w:val="21"/>
        </w:rPr>
        <w:t>6.2  主要编制依据</w:t>
      </w:r>
      <w:r>
        <w:rPr>
          <w:rStyle w:val="42"/>
        </w:rPr>
        <w:tab/>
      </w:r>
      <w:r>
        <w:rPr>
          <w:rStyle w:val="42"/>
        </w:rPr>
        <w:fldChar w:fldCharType="begin"/>
      </w:r>
      <w:r>
        <w:rPr>
          <w:rStyle w:val="42"/>
        </w:rPr>
        <w:instrText xml:space="preserve"> PAGEREF _Toc36634220 \h </w:instrText>
      </w:r>
      <w:r>
        <w:rPr>
          <w:rStyle w:val="42"/>
        </w:rPr>
        <w:fldChar w:fldCharType="separate"/>
      </w:r>
      <w:r>
        <w:rPr>
          <w:rStyle w:val="42"/>
        </w:rPr>
        <w:t>14</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"_Toc36634221" </w:instrText>
      </w:r>
      <w:r>
        <w:fldChar w:fldCharType="separate"/>
      </w:r>
      <w:r>
        <w:rPr>
          <w:rStyle w:val="42"/>
          <w:rFonts w:eastAsiaTheme="minorEastAsia"/>
          <w:sz w:val="21"/>
          <w:szCs w:val="21"/>
        </w:rPr>
        <w:t>6.3  基本构成</w:t>
      </w:r>
      <w:r>
        <w:rPr>
          <w:rStyle w:val="42"/>
        </w:rPr>
        <w:tab/>
      </w:r>
      <w:r>
        <w:rPr>
          <w:rStyle w:val="42"/>
        </w:rPr>
        <w:fldChar w:fldCharType="begin"/>
      </w:r>
      <w:r>
        <w:rPr>
          <w:rStyle w:val="42"/>
        </w:rPr>
        <w:instrText xml:space="preserve"> PAGEREF _Toc36634221 \h </w:instrText>
      </w:r>
      <w:r>
        <w:rPr>
          <w:rStyle w:val="42"/>
        </w:rPr>
        <w:fldChar w:fldCharType="separate"/>
      </w:r>
      <w:r>
        <w:rPr>
          <w:rStyle w:val="42"/>
        </w:rPr>
        <w:t>14</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"_Toc36634222" </w:instrText>
      </w:r>
      <w:r>
        <w:fldChar w:fldCharType="separate"/>
      </w:r>
      <w:r>
        <w:rPr>
          <w:rStyle w:val="42"/>
          <w:rFonts w:eastAsiaTheme="minorEastAsia"/>
          <w:sz w:val="21"/>
          <w:szCs w:val="21"/>
        </w:rPr>
        <w:t>6.4  编制方法和取费标准</w:t>
      </w:r>
      <w:r>
        <w:rPr>
          <w:rStyle w:val="42"/>
        </w:rPr>
        <w:tab/>
      </w:r>
      <w:r>
        <w:rPr>
          <w:rStyle w:val="42"/>
        </w:rPr>
        <w:fldChar w:fldCharType="begin"/>
      </w:r>
      <w:r>
        <w:rPr>
          <w:rStyle w:val="42"/>
        </w:rPr>
        <w:instrText xml:space="preserve"> PAGEREF _Toc36634222 \h </w:instrText>
      </w:r>
      <w:r>
        <w:rPr>
          <w:rStyle w:val="42"/>
        </w:rPr>
        <w:fldChar w:fldCharType="separate"/>
      </w:r>
      <w:r>
        <w:rPr>
          <w:rStyle w:val="42"/>
        </w:rPr>
        <w:t>14</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"_Toc36634223" </w:instrText>
      </w:r>
      <w:r>
        <w:fldChar w:fldCharType="separate"/>
      </w:r>
      <w:r>
        <w:rPr>
          <w:rStyle w:val="42"/>
          <w:rFonts w:eastAsiaTheme="minorEastAsia"/>
          <w:sz w:val="21"/>
          <w:szCs w:val="21"/>
        </w:rPr>
        <w:t>6.5  编制格式</w:t>
      </w:r>
      <w:r>
        <w:rPr>
          <w:rStyle w:val="42"/>
        </w:rPr>
        <w:tab/>
      </w:r>
      <w:r>
        <w:rPr>
          <w:rStyle w:val="42"/>
        </w:rPr>
        <w:fldChar w:fldCharType="begin"/>
      </w:r>
      <w:r>
        <w:rPr>
          <w:rStyle w:val="42"/>
        </w:rPr>
        <w:instrText xml:space="preserve"> PAGEREF _Toc36634223 \h </w:instrText>
      </w:r>
      <w:r>
        <w:rPr>
          <w:rStyle w:val="42"/>
        </w:rPr>
        <w:fldChar w:fldCharType="separate"/>
      </w:r>
      <w:r>
        <w:rPr>
          <w:rStyle w:val="42"/>
        </w:rPr>
        <w:t>15</w:t>
      </w:r>
      <w:r>
        <w:rPr>
          <w:rStyle w:val="42"/>
        </w:rPr>
        <w:fldChar w:fldCharType="end"/>
      </w:r>
      <w:r>
        <w:rPr>
          <w:rStyle w:val="42"/>
        </w:rPr>
        <w:fldChar w:fldCharType="end"/>
      </w:r>
    </w:p>
    <w:p>
      <w:pPr>
        <w:pStyle w:val="30"/>
        <w:ind w:firstLine="0"/>
        <w:rPr>
          <w:rFonts w:eastAsiaTheme="minorEastAsia"/>
          <w:kern w:val="2"/>
          <w:sz w:val="21"/>
          <w:szCs w:val="21"/>
        </w:rPr>
      </w:pPr>
      <w:r>
        <w:fldChar w:fldCharType="begin"/>
      </w:r>
      <w:r>
        <w:instrText xml:space="preserve"> HYPERLINK \l "_Toc36634224" </w:instrText>
      </w:r>
      <w:r>
        <w:fldChar w:fldCharType="separate"/>
      </w:r>
      <w:r>
        <w:rPr>
          <w:rStyle w:val="42"/>
          <w:rFonts w:eastAsiaTheme="minorEastAsia"/>
          <w:sz w:val="21"/>
          <w:szCs w:val="21"/>
        </w:rPr>
        <w:t>7  治理与搬迁避让项目概预算编制要求</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_Toc36634224 \h </w:instrText>
      </w:r>
      <w:r>
        <w:rPr>
          <w:rFonts w:eastAsiaTheme="minorEastAsia"/>
          <w:sz w:val="21"/>
          <w:szCs w:val="21"/>
        </w:rPr>
        <w:fldChar w:fldCharType="separate"/>
      </w:r>
      <w:r>
        <w:rPr>
          <w:rFonts w:eastAsiaTheme="minorEastAsia"/>
          <w:sz w:val="21"/>
          <w:szCs w:val="21"/>
        </w:rPr>
        <w:t>16</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"_Toc36634225" </w:instrText>
      </w:r>
      <w:r>
        <w:fldChar w:fldCharType="separate"/>
      </w:r>
      <w:r>
        <w:rPr>
          <w:rStyle w:val="42"/>
          <w:rFonts w:eastAsiaTheme="minorEastAsia"/>
          <w:sz w:val="21"/>
          <w:szCs w:val="21"/>
        </w:rPr>
        <w:t>7.1  基本内容</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_Toc36634225 \h </w:instrText>
      </w:r>
      <w:r>
        <w:rPr>
          <w:rFonts w:eastAsiaTheme="minorEastAsia"/>
          <w:sz w:val="21"/>
          <w:szCs w:val="21"/>
        </w:rPr>
        <w:fldChar w:fldCharType="separate"/>
      </w:r>
      <w:r>
        <w:rPr>
          <w:rFonts w:eastAsiaTheme="minorEastAsia"/>
          <w:sz w:val="21"/>
          <w:szCs w:val="21"/>
        </w:rPr>
        <w:t>16</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"_Toc36634226" </w:instrText>
      </w:r>
      <w:r>
        <w:fldChar w:fldCharType="separate"/>
      </w:r>
      <w:r>
        <w:rPr>
          <w:rStyle w:val="42"/>
          <w:rFonts w:eastAsiaTheme="minorEastAsia"/>
          <w:sz w:val="21"/>
          <w:szCs w:val="21"/>
        </w:rPr>
        <w:t>7.2  主要编制依据</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_Toc36634226 \h </w:instrText>
      </w:r>
      <w:r>
        <w:rPr>
          <w:rFonts w:eastAsiaTheme="minorEastAsia"/>
          <w:sz w:val="21"/>
          <w:szCs w:val="21"/>
        </w:rPr>
        <w:fldChar w:fldCharType="separate"/>
      </w:r>
      <w:r>
        <w:rPr>
          <w:rFonts w:eastAsiaTheme="minorEastAsia"/>
          <w:sz w:val="21"/>
          <w:szCs w:val="21"/>
        </w:rPr>
        <w:t>16</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"_Toc36634227" </w:instrText>
      </w:r>
      <w:r>
        <w:fldChar w:fldCharType="separate"/>
      </w:r>
      <w:r>
        <w:rPr>
          <w:rStyle w:val="42"/>
          <w:rFonts w:eastAsiaTheme="minorEastAsia"/>
          <w:sz w:val="21"/>
          <w:szCs w:val="21"/>
        </w:rPr>
        <w:t>7.3  治理项目基本构成</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_Toc36634227 \h </w:instrText>
      </w:r>
      <w:r>
        <w:rPr>
          <w:rFonts w:eastAsiaTheme="minorEastAsia"/>
          <w:sz w:val="21"/>
          <w:szCs w:val="21"/>
        </w:rPr>
        <w:fldChar w:fldCharType="separate"/>
      </w:r>
      <w:r>
        <w:rPr>
          <w:rFonts w:eastAsiaTheme="minorEastAsia"/>
          <w:sz w:val="21"/>
          <w:szCs w:val="21"/>
        </w:rPr>
        <w:t>16</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"_Toc36634228" </w:instrText>
      </w:r>
      <w:r>
        <w:fldChar w:fldCharType="separate"/>
      </w:r>
      <w:r>
        <w:rPr>
          <w:rStyle w:val="42"/>
          <w:rFonts w:eastAsiaTheme="minorEastAsia"/>
          <w:sz w:val="21"/>
          <w:szCs w:val="21"/>
        </w:rPr>
        <w:t>7.4  治理项目编制方法</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_Toc36634228 \h </w:instrText>
      </w:r>
      <w:r>
        <w:rPr>
          <w:rFonts w:eastAsiaTheme="minorEastAsia"/>
          <w:sz w:val="21"/>
          <w:szCs w:val="21"/>
        </w:rPr>
        <w:fldChar w:fldCharType="separate"/>
      </w:r>
      <w:r>
        <w:rPr>
          <w:rFonts w:eastAsiaTheme="minorEastAsia"/>
          <w:sz w:val="21"/>
          <w:szCs w:val="21"/>
        </w:rPr>
        <w:t>18</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"_Toc36634229" </w:instrText>
      </w:r>
      <w:r>
        <w:fldChar w:fldCharType="separate"/>
      </w:r>
      <w:r>
        <w:rPr>
          <w:rStyle w:val="42"/>
          <w:rFonts w:eastAsiaTheme="minorEastAsia"/>
          <w:sz w:val="21"/>
          <w:szCs w:val="21"/>
        </w:rPr>
        <w:t>7.5  取费标准</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_Toc36634229 \h </w:instrText>
      </w:r>
      <w:r>
        <w:rPr>
          <w:rFonts w:eastAsiaTheme="minorEastAsia"/>
          <w:sz w:val="21"/>
          <w:szCs w:val="21"/>
        </w:rPr>
        <w:fldChar w:fldCharType="separate"/>
      </w:r>
      <w:r>
        <w:rPr>
          <w:rFonts w:eastAsiaTheme="minorEastAsia"/>
          <w:sz w:val="21"/>
          <w:szCs w:val="21"/>
        </w:rPr>
        <w:t>21</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"_Toc36634231" </w:instrText>
      </w:r>
      <w:r>
        <w:fldChar w:fldCharType="separate"/>
      </w:r>
      <w:r>
        <w:rPr>
          <w:rStyle w:val="42"/>
          <w:rFonts w:eastAsiaTheme="minorEastAsia"/>
          <w:sz w:val="21"/>
          <w:szCs w:val="21"/>
        </w:rPr>
        <w:t>7.6  编制格式</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_Toc36634231 \h </w:instrText>
      </w:r>
      <w:r>
        <w:rPr>
          <w:rFonts w:eastAsiaTheme="minorEastAsia"/>
          <w:sz w:val="21"/>
          <w:szCs w:val="21"/>
        </w:rPr>
        <w:fldChar w:fldCharType="separate"/>
      </w:r>
      <w:r>
        <w:rPr>
          <w:rFonts w:eastAsiaTheme="minorEastAsia"/>
          <w:sz w:val="21"/>
          <w:szCs w:val="21"/>
        </w:rPr>
        <w:t>26</w:t>
      </w:r>
      <w:r>
        <w:rPr>
          <w:rFonts w:eastAsiaTheme="minorEastAsia"/>
          <w:sz w:val="21"/>
          <w:szCs w:val="21"/>
        </w:rPr>
        <w:fldChar w:fldCharType="end"/>
      </w:r>
      <w:r>
        <w:rPr>
          <w:rFonts w:eastAsiaTheme="minorEastAsia"/>
          <w:sz w:val="21"/>
          <w:szCs w:val="21"/>
        </w:rPr>
        <w:fldChar w:fldCharType="end"/>
      </w:r>
    </w:p>
    <w:p>
      <w:pPr>
        <w:pStyle w:val="17"/>
        <w:ind w:firstLine="240" w:firstLineChars="100"/>
        <w:rPr>
          <w:rFonts w:eastAsiaTheme="minorEastAsia"/>
          <w:kern w:val="2"/>
          <w:sz w:val="21"/>
          <w:szCs w:val="21"/>
        </w:rPr>
      </w:pPr>
      <w:r>
        <w:fldChar w:fldCharType="begin"/>
      </w:r>
      <w:r>
        <w:instrText xml:space="preserve"> HYPERLINK \l "_Toc36634232" </w:instrText>
      </w:r>
      <w:r>
        <w:fldChar w:fldCharType="separate"/>
      </w:r>
      <w:r>
        <w:rPr>
          <w:rStyle w:val="42"/>
          <w:rFonts w:eastAsiaTheme="minorEastAsia"/>
          <w:sz w:val="21"/>
          <w:szCs w:val="21"/>
        </w:rPr>
        <w:t>7.7  搬迁避让项目</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_Toc36634232 \h </w:instrText>
      </w:r>
      <w:r>
        <w:rPr>
          <w:rFonts w:eastAsiaTheme="minorEastAsia"/>
          <w:sz w:val="21"/>
          <w:szCs w:val="21"/>
        </w:rPr>
        <w:fldChar w:fldCharType="separate"/>
      </w:r>
      <w:r>
        <w:rPr>
          <w:rFonts w:eastAsiaTheme="minorEastAsia"/>
          <w:sz w:val="21"/>
          <w:szCs w:val="21"/>
        </w:rPr>
        <w:t>26</w:t>
      </w:r>
      <w:r>
        <w:rPr>
          <w:rFonts w:eastAsiaTheme="minorEastAsia"/>
          <w:sz w:val="21"/>
          <w:szCs w:val="21"/>
        </w:rPr>
        <w:fldChar w:fldCharType="end"/>
      </w:r>
      <w:r>
        <w:rPr>
          <w:rFonts w:eastAsiaTheme="minorEastAsia"/>
          <w:sz w:val="21"/>
          <w:szCs w:val="21"/>
        </w:rPr>
        <w:fldChar w:fldCharType="end"/>
      </w:r>
    </w:p>
    <w:p>
      <w:pPr>
        <w:pStyle w:val="30"/>
        <w:ind w:firstLine="0"/>
        <w:rPr>
          <w:rFonts w:eastAsiaTheme="minorEastAsia"/>
          <w:kern w:val="2"/>
          <w:sz w:val="21"/>
          <w:szCs w:val="21"/>
        </w:rPr>
      </w:pPr>
      <w:r>
        <w:fldChar w:fldCharType="begin"/>
      </w:r>
      <w:r>
        <w:instrText xml:space="preserve"> HYPERLINK \l "_Toc36634233" </w:instrText>
      </w:r>
      <w:r>
        <w:fldChar w:fldCharType="separate"/>
      </w:r>
      <w:r>
        <w:rPr>
          <w:rStyle w:val="42"/>
          <w:rFonts w:eastAsiaTheme="minorEastAsia"/>
          <w:sz w:val="21"/>
          <w:szCs w:val="21"/>
        </w:rPr>
        <w:t>8  能力建设预算编制要求</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_Toc36634233 \h </w:instrText>
      </w:r>
      <w:r>
        <w:rPr>
          <w:rFonts w:eastAsiaTheme="minorEastAsia"/>
          <w:sz w:val="21"/>
          <w:szCs w:val="21"/>
        </w:rPr>
        <w:fldChar w:fldCharType="separate"/>
      </w:r>
      <w:r>
        <w:rPr>
          <w:rFonts w:eastAsiaTheme="minorEastAsia"/>
          <w:sz w:val="21"/>
          <w:szCs w:val="21"/>
        </w:rPr>
        <w:t>26</w:t>
      </w:r>
      <w:r>
        <w:rPr>
          <w:rFonts w:eastAsiaTheme="minorEastAsia"/>
          <w:sz w:val="21"/>
          <w:szCs w:val="21"/>
        </w:rPr>
        <w:fldChar w:fldCharType="end"/>
      </w:r>
      <w:r>
        <w:rPr>
          <w:rFonts w:eastAsiaTheme="minorEastAsia"/>
          <w:sz w:val="21"/>
          <w:szCs w:val="21"/>
        </w:rPr>
        <w:fldChar w:fldCharType="end"/>
      </w:r>
    </w:p>
    <w:p>
      <w:pPr>
        <w:pStyle w:val="17"/>
        <w:ind w:firstLine="240" w:firstLineChars="100"/>
        <w:rPr>
          <w:rStyle w:val="42"/>
        </w:rPr>
      </w:pPr>
      <w:r>
        <w:fldChar w:fldCharType="begin"/>
      </w:r>
      <w:r>
        <w:instrText xml:space="preserve"> HYPERLINK \l "_Toc36634234" </w:instrText>
      </w:r>
      <w:r>
        <w:fldChar w:fldCharType="separate"/>
      </w:r>
      <w:r>
        <w:rPr>
          <w:rStyle w:val="42"/>
          <w:rFonts w:eastAsiaTheme="minorEastAsia"/>
          <w:sz w:val="21"/>
          <w:szCs w:val="21"/>
        </w:rPr>
        <w:t>8.1  基本内容</w:t>
      </w:r>
      <w:r>
        <w:rPr>
          <w:rStyle w:val="42"/>
        </w:rPr>
        <w:tab/>
      </w:r>
      <w:r>
        <w:rPr>
          <w:rStyle w:val="42"/>
        </w:rPr>
        <w:fldChar w:fldCharType="begin"/>
      </w:r>
      <w:r>
        <w:rPr>
          <w:rStyle w:val="42"/>
        </w:rPr>
        <w:instrText xml:space="preserve"> PAGEREF _Toc36634234 \h </w:instrText>
      </w:r>
      <w:r>
        <w:rPr>
          <w:rStyle w:val="42"/>
        </w:rPr>
        <w:fldChar w:fldCharType="separate"/>
      </w:r>
      <w:r>
        <w:rPr>
          <w:rStyle w:val="42"/>
        </w:rPr>
        <w:t>26</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"_Toc36634235" </w:instrText>
      </w:r>
      <w:r>
        <w:fldChar w:fldCharType="separate"/>
      </w:r>
      <w:r>
        <w:rPr>
          <w:rStyle w:val="42"/>
          <w:rFonts w:eastAsiaTheme="minorEastAsia"/>
          <w:sz w:val="21"/>
          <w:szCs w:val="21"/>
        </w:rPr>
        <w:t>8.2  基本构成</w:t>
      </w:r>
      <w:r>
        <w:rPr>
          <w:rStyle w:val="42"/>
        </w:rPr>
        <w:tab/>
      </w:r>
      <w:r>
        <w:rPr>
          <w:rStyle w:val="42"/>
        </w:rPr>
        <w:fldChar w:fldCharType="begin"/>
      </w:r>
      <w:r>
        <w:rPr>
          <w:rStyle w:val="42"/>
        </w:rPr>
        <w:instrText xml:space="preserve"> PAGEREF _Toc36634235 \h </w:instrText>
      </w:r>
      <w:r>
        <w:rPr>
          <w:rStyle w:val="42"/>
        </w:rPr>
        <w:fldChar w:fldCharType="separate"/>
      </w:r>
      <w:r>
        <w:rPr>
          <w:rStyle w:val="42"/>
        </w:rPr>
        <w:t>26</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"_Toc36634236" </w:instrText>
      </w:r>
      <w:r>
        <w:fldChar w:fldCharType="separate"/>
      </w:r>
      <w:r>
        <w:rPr>
          <w:rStyle w:val="42"/>
          <w:rFonts w:eastAsiaTheme="minorEastAsia"/>
          <w:sz w:val="21"/>
          <w:szCs w:val="21"/>
        </w:rPr>
        <w:t>8.3  编制方法</w:t>
      </w:r>
      <w:r>
        <w:rPr>
          <w:rStyle w:val="42"/>
        </w:rPr>
        <w:tab/>
      </w:r>
      <w:r>
        <w:rPr>
          <w:rStyle w:val="42"/>
        </w:rPr>
        <w:fldChar w:fldCharType="begin"/>
      </w:r>
      <w:r>
        <w:rPr>
          <w:rStyle w:val="42"/>
        </w:rPr>
        <w:instrText xml:space="preserve"> PAGEREF _Toc36634236 \h </w:instrText>
      </w:r>
      <w:r>
        <w:rPr>
          <w:rStyle w:val="42"/>
        </w:rPr>
        <w:fldChar w:fldCharType="separate"/>
      </w:r>
      <w:r>
        <w:rPr>
          <w:rStyle w:val="42"/>
        </w:rPr>
        <w:t>26</w:t>
      </w:r>
      <w:r>
        <w:rPr>
          <w:rStyle w:val="42"/>
        </w:rPr>
        <w:fldChar w:fldCharType="end"/>
      </w:r>
      <w:r>
        <w:rPr>
          <w:rStyle w:val="42"/>
        </w:rPr>
        <w:fldChar w:fldCharType="end"/>
      </w:r>
    </w:p>
    <w:p>
      <w:pPr>
        <w:pStyle w:val="30"/>
        <w:ind w:firstLine="0"/>
        <w:rPr>
          <w:rStyle w:val="42"/>
        </w:rPr>
      </w:pPr>
      <w:r>
        <w:fldChar w:fldCharType="begin"/>
      </w:r>
      <w:r>
        <w:instrText xml:space="preserve"> HYPERLINK \l "_Toc36634237" </w:instrText>
      </w:r>
      <w:r>
        <w:fldChar w:fldCharType="separate"/>
      </w:r>
      <w:r>
        <w:rPr>
          <w:rStyle w:val="42"/>
          <w:rFonts w:eastAsiaTheme="minorEastAsia"/>
          <w:sz w:val="21"/>
          <w:szCs w:val="21"/>
        </w:rPr>
        <w:t>9  信息化建设预算编制要求</w:t>
      </w:r>
      <w:r>
        <w:rPr>
          <w:rStyle w:val="42"/>
        </w:rPr>
        <w:tab/>
      </w:r>
      <w:r>
        <w:rPr>
          <w:rStyle w:val="42"/>
        </w:rPr>
        <w:fldChar w:fldCharType="begin"/>
      </w:r>
      <w:r>
        <w:rPr>
          <w:rStyle w:val="42"/>
        </w:rPr>
        <w:instrText xml:space="preserve"> PAGEREF _Toc36634237 \h </w:instrText>
      </w:r>
      <w:r>
        <w:rPr>
          <w:rStyle w:val="42"/>
        </w:rPr>
        <w:fldChar w:fldCharType="separate"/>
      </w:r>
      <w:r>
        <w:rPr>
          <w:rStyle w:val="42"/>
        </w:rPr>
        <w:t>27</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"_Toc36634238" </w:instrText>
      </w:r>
      <w:r>
        <w:fldChar w:fldCharType="separate"/>
      </w:r>
      <w:r>
        <w:rPr>
          <w:rStyle w:val="42"/>
          <w:rFonts w:eastAsiaTheme="minorEastAsia"/>
          <w:sz w:val="21"/>
          <w:szCs w:val="21"/>
        </w:rPr>
        <w:t>9.1  基本内容</w:t>
      </w:r>
      <w:r>
        <w:rPr>
          <w:rStyle w:val="42"/>
        </w:rPr>
        <w:tab/>
      </w:r>
      <w:r>
        <w:rPr>
          <w:rStyle w:val="42"/>
        </w:rPr>
        <w:fldChar w:fldCharType="begin"/>
      </w:r>
      <w:r>
        <w:rPr>
          <w:rStyle w:val="42"/>
        </w:rPr>
        <w:instrText xml:space="preserve"> PAGEREF _Toc36634238 \h </w:instrText>
      </w:r>
      <w:r>
        <w:rPr>
          <w:rStyle w:val="42"/>
        </w:rPr>
        <w:fldChar w:fldCharType="separate"/>
      </w:r>
      <w:r>
        <w:rPr>
          <w:rStyle w:val="42"/>
        </w:rPr>
        <w:t>27</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"_Toc36634239" </w:instrText>
      </w:r>
      <w:r>
        <w:fldChar w:fldCharType="separate"/>
      </w:r>
      <w:r>
        <w:rPr>
          <w:rStyle w:val="42"/>
          <w:rFonts w:eastAsiaTheme="minorEastAsia"/>
          <w:sz w:val="21"/>
          <w:szCs w:val="21"/>
        </w:rPr>
        <w:t>9.2  主要编制依据</w:t>
      </w:r>
      <w:r>
        <w:rPr>
          <w:rStyle w:val="42"/>
        </w:rPr>
        <w:tab/>
      </w:r>
      <w:r>
        <w:rPr>
          <w:rStyle w:val="42"/>
        </w:rPr>
        <w:fldChar w:fldCharType="begin"/>
      </w:r>
      <w:r>
        <w:rPr>
          <w:rStyle w:val="42"/>
        </w:rPr>
        <w:instrText xml:space="preserve"> PAGEREF _Toc36634239 \h </w:instrText>
      </w:r>
      <w:r>
        <w:rPr>
          <w:rStyle w:val="42"/>
        </w:rPr>
        <w:fldChar w:fldCharType="separate"/>
      </w:r>
      <w:r>
        <w:rPr>
          <w:rStyle w:val="42"/>
        </w:rPr>
        <w:t>27</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"_Toc36634240" </w:instrText>
      </w:r>
      <w:r>
        <w:fldChar w:fldCharType="separate"/>
      </w:r>
      <w:r>
        <w:rPr>
          <w:rStyle w:val="42"/>
          <w:rFonts w:eastAsiaTheme="minorEastAsia"/>
          <w:sz w:val="21"/>
          <w:szCs w:val="21"/>
        </w:rPr>
        <w:t>9.3  基本构成</w:t>
      </w:r>
      <w:r>
        <w:rPr>
          <w:rStyle w:val="42"/>
        </w:rPr>
        <w:tab/>
      </w:r>
      <w:r>
        <w:rPr>
          <w:rStyle w:val="42"/>
        </w:rPr>
        <w:fldChar w:fldCharType="begin"/>
      </w:r>
      <w:r>
        <w:rPr>
          <w:rStyle w:val="42"/>
        </w:rPr>
        <w:instrText xml:space="preserve"> PAGEREF _Toc36634240 \h </w:instrText>
      </w:r>
      <w:r>
        <w:rPr>
          <w:rStyle w:val="42"/>
        </w:rPr>
        <w:fldChar w:fldCharType="separate"/>
      </w:r>
      <w:r>
        <w:rPr>
          <w:rStyle w:val="42"/>
        </w:rPr>
        <w:t>27</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"_Toc36634241" </w:instrText>
      </w:r>
      <w:r>
        <w:fldChar w:fldCharType="separate"/>
      </w:r>
      <w:r>
        <w:rPr>
          <w:rStyle w:val="42"/>
          <w:rFonts w:eastAsiaTheme="minorEastAsia"/>
          <w:sz w:val="21"/>
          <w:szCs w:val="21"/>
        </w:rPr>
        <w:t>9.4  编制方法</w:t>
      </w:r>
      <w:r>
        <w:rPr>
          <w:rStyle w:val="42"/>
        </w:rPr>
        <w:tab/>
      </w:r>
      <w:r>
        <w:rPr>
          <w:rStyle w:val="42"/>
        </w:rPr>
        <w:fldChar w:fldCharType="begin"/>
      </w:r>
      <w:r>
        <w:rPr>
          <w:rStyle w:val="42"/>
        </w:rPr>
        <w:instrText xml:space="preserve"> PAGEREF _Toc36634241 \h </w:instrText>
      </w:r>
      <w:r>
        <w:rPr>
          <w:rStyle w:val="42"/>
        </w:rPr>
        <w:fldChar w:fldCharType="separate"/>
      </w:r>
      <w:r>
        <w:rPr>
          <w:rStyle w:val="42"/>
        </w:rPr>
        <w:t>27</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"_Toc36634242" </w:instrText>
      </w:r>
      <w:r>
        <w:fldChar w:fldCharType="separate"/>
      </w:r>
      <w:r>
        <w:rPr>
          <w:rStyle w:val="42"/>
          <w:rFonts w:eastAsiaTheme="minorEastAsia"/>
          <w:sz w:val="21"/>
          <w:szCs w:val="21"/>
        </w:rPr>
        <w:t>9.5  取费标准</w:t>
      </w:r>
      <w:r>
        <w:rPr>
          <w:rStyle w:val="42"/>
        </w:rPr>
        <w:tab/>
      </w:r>
      <w:r>
        <w:rPr>
          <w:rStyle w:val="42"/>
        </w:rPr>
        <w:fldChar w:fldCharType="begin"/>
      </w:r>
      <w:r>
        <w:rPr>
          <w:rStyle w:val="42"/>
        </w:rPr>
        <w:instrText xml:space="preserve"> PAGEREF _Toc36634242 \h </w:instrText>
      </w:r>
      <w:r>
        <w:rPr>
          <w:rStyle w:val="42"/>
        </w:rPr>
        <w:fldChar w:fldCharType="separate"/>
      </w:r>
      <w:r>
        <w:rPr>
          <w:rStyle w:val="42"/>
        </w:rPr>
        <w:t>29</w:t>
      </w:r>
      <w:r>
        <w:rPr>
          <w:rStyle w:val="42"/>
        </w:rPr>
        <w:fldChar w:fldCharType="end"/>
      </w:r>
      <w:r>
        <w:rPr>
          <w:rStyle w:val="42"/>
        </w:rPr>
        <w:fldChar w:fldCharType="end"/>
      </w:r>
    </w:p>
    <w:p>
      <w:pPr>
        <w:pStyle w:val="17"/>
        <w:ind w:firstLine="240" w:firstLineChars="100"/>
        <w:rPr>
          <w:rStyle w:val="42"/>
        </w:rPr>
      </w:pPr>
      <w:r>
        <w:fldChar w:fldCharType="begin"/>
      </w:r>
      <w:r>
        <w:instrText xml:space="preserve"> HYPERLINK \l "_Toc36634243" </w:instrText>
      </w:r>
      <w:r>
        <w:fldChar w:fldCharType="separate"/>
      </w:r>
      <w:r>
        <w:rPr>
          <w:rStyle w:val="42"/>
          <w:rFonts w:eastAsiaTheme="minorEastAsia"/>
          <w:sz w:val="21"/>
          <w:szCs w:val="21"/>
        </w:rPr>
        <w:t>9.6  编制格式</w:t>
      </w:r>
      <w:r>
        <w:rPr>
          <w:rStyle w:val="42"/>
        </w:rPr>
        <w:tab/>
      </w:r>
      <w:r>
        <w:rPr>
          <w:rStyle w:val="42"/>
        </w:rPr>
        <w:fldChar w:fldCharType="begin"/>
      </w:r>
      <w:r>
        <w:rPr>
          <w:rStyle w:val="42"/>
        </w:rPr>
        <w:instrText xml:space="preserve"> PAGEREF _Toc36634243 \h </w:instrText>
      </w:r>
      <w:r>
        <w:rPr>
          <w:rStyle w:val="42"/>
        </w:rPr>
        <w:fldChar w:fldCharType="separate"/>
      </w:r>
      <w:r>
        <w:rPr>
          <w:rStyle w:val="42"/>
        </w:rPr>
        <w:t>34</w:t>
      </w:r>
      <w:r>
        <w:rPr>
          <w:rStyle w:val="42"/>
        </w:rPr>
        <w:fldChar w:fldCharType="end"/>
      </w:r>
      <w:r>
        <w:rPr>
          <w:rStyle w:val="42"/>
        </w:rPr>
        <w:fldChar w:fldCharType="end"/>
      </w:r>
    </w:p>
    <w:p>
      <w:pPr>
        <w:pStyle w:val="25"/>
        <w:ind w:left="0" w:leftChars="0" w:firstLine="0"/>
        <w:rPr>
          <w:rFonts w:eastAsiaTheme="minorEastAsia"/>
          <w:kern w:val="2"/>
          <w:sz w:val="21"/>
          <w:szCs w:val="21"/>
        </w:rPr>
      </w:pPr>
      <w:r>
        <w:fldChar w:fldCharType="begin"/>
      </w:r>
      <w:r>
        <w:instrText xml:space="preserve"> HYPERLINK \l "_Toc36634244" </w:instrText>
      </w:r>
      <w:r>
        <w:fldChar w:fldCharType="separate"/>
      </w:r>
      <w:r>
        <w:rPr>
          <w:rStyle w:val="42"/>
          <w:rFonts w:eastAsiaTheme="minorEastAsia"/>
          <w:sz w:val="21"/>
          <w:szCs w:val="21"/>
        </w:rPr>
        <w:t>附录A（规范性附录） 费用归集汇总预算目录</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_Toc36634244 \h </w:instrText>
      </w:r>
      <w:r>
        <w:rPr>
          <w:rFonts w:eastAsiaTheme="minorEastAsia"/>
          <w:sz w:val="21"/>
          <w:szCs w:val="21"/>
        </w:rPr>
        <w:fldChar w:fldCharType="separate"/>
      </w:r>
      <w:r>
        <w:rPr>
          <w:rFonts w:eastAsiaTheme="minorEastAsia"/>
          <w:sz w:val="21"/>
          <w:szCs w:val="21"/>
        </w:rPr>
        <w:t>35</w:t>
      </w:r>
      <w:r>
        <w:rPr>
          <w:rFonts w:eastAsiaTheme="minorEastAsia"/>
          <w:sz w:val="21"/>
          <w:szCs w:val="21"/>
        </w:rPr>
        <w:fldChar w:fldCharType="end"/>
      </w:r>
      <w:r>
        <w:rPr>
          <w:rFonts w:eastAsiaTheme="minorEastAsia"/>
          <w:sz w:val="21"/>
          <w:szCs w:val="21"/>
        </w:rPr>
        <w:fldChar w:fldCharType="end"/>
      </w:r>
    </w:p>
    <w:p>
      <w:pPr>
        <w:pStyle w:val="25"/>
        <w:ind w:left="0" w:leftChars="0" w:firstLine="0"/>
        <w:rPr>
          <w:rFonts w:eastAsiaTheme="minorEastAsia"/>
          <w:kern w:val="2"/>
          <w:sz w:val="21"/>
          <w:szCs w:val="21"/>
        </w:rPr>
      </w:pPr>
      <w:r>
        <w:fldChar w:fldCharType="begin"/>
      </w:r>
      <w:r>
        <w:instrText xml:space="preserve"> HYPERLINK \l "_Toc36634245" </w:instrText>
      </w:r>
      <w:r>
        <w:fldChar w:fldCharType="separate"/>
      </w:r>
      <w:r>
        <w:rPr>
          <w:rStyle w:val="42"/>
          <w:rFonts w:eastAsiaTheme="minorEastAsia"/>
          <w:sz w:val="21"/>
          <w:szCs w:val="21"/>
        </w:rPr>
        <w:t>附录B（规范性附录）</w:t>
      </w:r>
      <w:r>
        <w:rPr>
          <w:rStyle w:val="42"/>
          <w:rFonts w:eastAsiaTheme="minorEastAsia"/>
          <w:kern w:val="32"/>
          <w:sz w:val="21"/>
          <w:szCs w:val="21"/>
          <w:lang w:bidi="en-US"/>
        </w:rPr>
        <w:t xml:space="preserve"> </w:t>
      </w:r>
      <w:r>
        <w:rPr>
          <w:rStyle w:val="42"/>
          <w:rFonts w:eastAsiaTheme="minorEastAsia"/>
          <w:sz w:val="21"/>
          <w:szCs w:val="21"/>
        </w:rPr>
        <w:t>费用归集汇总预算表及其附表样式</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_Toc36634245 \h </w:instrText>
      </w:r>
      <w:r>
        <w:rPr>
          <w:rFonts w:eastAsiaTheme="minorEastAsia"/>
          <w:sz w:val="21"/>
          <w:szCs w:val="21"/>
        </w:rPr>
        <w:fldChar w:fldCharType="separate"/>
      </w:r>
      <w:r>
        <w:rPr>
          <w:rFonts w:eastAsiaTheme="minorEastAsia"/>
          <w:sz w:val="21"/>
          <w:szCs w:val="21"/>
        </w:rPr>
        <w:t>38</w:t>
      </w:r>
      <w:r>
        <w:rPr>
          <w:rFonts w:eastAsiaTheme="minorEastAsia"/>
          <w:sz w:val="21"/>
          <w:szCs w:val="21"/>
        </w:rPr>
        <w:fldChar w:fldCharType="end"/>
      </w:r>
      <w:r>
        <w:rPr>
          <w:rFonts w:eastAsiaTheme="minorEastAsia"/>
          <w:sz w:val="21"/>
          <w:szCs w:val="21"/>
        </w:rPr>
        <w:fldChar w:fldCharType="end"/>
      </w:r>
    </w:p>
    <w:p>
      <w:pPr>
        <w:pStyle w:val="25"/>
        <w:ind w:left="0" w:leftChars="0" w:firstLine="0"/>
        <w:rPr>
          <w:rFonts w:eastAsiaTheme="minorEastAsia"/>
          <w:kern w:val="2"/>
          <w:sz w:val="21"/>
          <w:szCs w:val="21"/>
        </w:rPr>
      </w:pPr>
      <w:r>
        <w:fldChar w:fldCharType="begin"/>
      </w:r>
      <w:r>
        <w:instrText xml:space="preserve"> HYPERLINK \l "_Toc36634246" </w:instrText>
      </w:r>
      <w:r>
        <w:fldChar w:fldCharType="separate"/>
      </w:r>
      <w:r>
        <w:rPr>
          <w:rStyle w:val="42"/>
          <w:rFonts w:eastAsiaTheme="minorEastAsia"/>
          <w:sz w:val="21"/>
          <w:szCs w:val="21"/>
        </w:rPr>
        <w:t>附录C（规范性附录）</w:t>
      </w:r>
      <w:r>
        <w:rPr>
          <w:rStyle w:val="42"/>
          <w:rFonts w:eastAsiaTheme="minorEastAsia"/>
          <w:kern w:val="32"/>
          <w:sz w:val="21"/>
          <w:szCs w:val="21"/>
          <w:lang w:bidi="en-US"/>
        </w:rPr>
        <w:t xml:space="preserve"> </w:t>
      </w:r>
      <w:r>
        <w:rPr>
          <w:rStyle w:val="42"/>
          <w:rFonts w:eastAsiaTheme="minorEastAsia"/>
          <w:sz w:val="21"/>
          <w:szCs w:val="21"/>
        </w:rPr>
        <w:t>工作手段目录</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_Toc36634246 \h </w:instrText>
      </w:r>
      <w:r>
        <w:rPr>
          <w:rFonts w:eastAsiaTheme="minorEastAsia"/>
          <w:sz w:val="21"/>
          <w:szCs w:val="21"/>
        </w:rPr>
        <w:fldChar w:fldCharType="separate"/>
      </w:r>
      <w:r>
        <w:rPr>
          <w:rFonts w:eastAsiaTheme="minorEastAsia"/>
          <w:sz w:val="21"/>
          <w:szCs w:val="21"/>
        </w:rPr>
        <w:t>59</w:t>
      </w:r>
      <w:r>
        <w:rPr>
          <w:rFonts w:eastAsiaTheme="minorEastAsia"/>
          <w:sz w:val="21"/>
          <w:szCs w:val="21"/>
        </w:rPr>
        <w:fldChar w:fldCharType="end"/>
      </w:r>
      <w:r>
        <w:rPr>
          <w:rFonts w:eastAsiaTheme="minorEastAsia"/>
          <w:sz w:val="21"/>
          <w:szCs w:val="21"/>
        </w:rPr>
        <w:fldChar w:fldCharType="end"/>
      </w:r>
    </w:p>
    <w:p>
      <w:pPr>
        <w:pStyle w:val="25"/>
        <w:ind w:left="0" w:leftChars="0" w:firstLine="0"/>
        <w:rPr>
          <w:rFonts w:eastAsiaTheme="minorEastAsia"/>
          <w:kern w:val="2"/>
          <w:sz w:val="21"/>
          <w:szCs w:val="21"/>
        </w:rPr>
      </w:pPr>
      <w:r>
        <w:fldChar w:fldCharType="begin"/>
      </w:r>
      <w:r>
        <w:instrText xml:space="preserve"> HYPERLINK \l "_Toc36634247" </w:instrText>
      </w:r>
      <w:r>
        <w:fldChar w:fldCharType="separate"/>
      </w:r>
      <w:r>
        <w:rPr>
          <w:rStyle w:val="42"/>
          <w:rFonts w:eastAsiaTheme="minorEastAsia"/>
          <w:sz w:val="21"/>
          <w:szCs w:val="21"/>
        </w:rPr>
        <w:t>附录D（规范性附录） 按工作手段预算表样式</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_Toc36634247 \h </w:instrText>
      </w:r>
      <w:r>
        <w:rPr>
          <w:rFonts w:eastAsiaTheme="minorEastAsia"/>
          <w:sz w:val="21"/>
          <w:szCs w:val="21"/>
        </w:rPr>
        <w:fldChar w:fldCharType="separate"/>
      </w:r>
      <w:r>
        <w:rPr>
          <w:rFonts w:eastAsiaTheme="minorEastAsia"/>
          <w:sz w:val="21"/>
          <w:szCs w:val="21"/>
        </w:rPr>
        <w:t>65</w:t>
      </w:r>
      <w:r>
        <w:rPr>
          <w:rFonts w:eastAsiaTheme="minorEastAsia"/>
          <w:sz w:val="21"/>
          <w:szCs w:val="21"/>
        </w:rPr>
        <w:fldChar w:fldCharType="end"/>
      </w:r>
      <w:r>
        <w:rPr>
          <w:rFonts w:eastAsiaTheme="minorEastAsia"/>
          <w:sz w:val="21"/>
          <w:szCs w:val="21"/>
        </w:rPr>
        <w:fldChar w:fldCharType="end"/>
      </w:r>
    </w:p>
    <w:p>
      <w:pPr>
        <w:pStyle w:val="25"/>
        <w:ind w:left="0" w:leftChars="0" w:firstLine="0"/>
        <w:rPr>
          <w:rFonts w:eastAsiaTheme="minorEastAsia"/>
          <w:kern w:val="2"/>
          <w:sz w:val="21"/>
          <w:szCs w:val="21"/>
        </w:rPr>
      </w:pPr>
      <w:r>
        <w:fldChar w:fldCharType="begin"/>
      </w:r>
      <w:r>
        <w:instrText xml:space="preserve"> HYPERLINK \l "_Toc36634248" </w:instrText>
      </w:r>
      <w:r>
        <w:fldChar w:fldCharType="separate"/>
      </w:r>
      <w:r>
        <w:rPr>
          <w:rStyle w:val="42"/>
          <w:rFonts w:eastAsiaTheme="minorEastAsia"/>
          <w:sz w:val="21"/>
          <w:szCs w:val="21"/>
        </w:rPr>
        <w:t>附录E（规范性附录）</w:t>
      </w:r>
      <w:r>
        <w:rPr>
          <w:rStyle w:val="42"/>
          <w:rFonts w:eastAsiaTheme="minorEastAsia"/>
          <w:kern w:val="32"/>
          <w:sz w:val="21"/>
          <w:szCs w:val="21"/>
          <w:lang w:bidi="en-US"/>
        </w:rPr>
        <w:t xml:space="preserve"> </w:t>
      </w:r>
      <w:r>
        <w:rPr>
          <w:rStyle w:val="42"/>
          <w:rFonts w:eastAsiaTheme="minorEastAsia"/>
          <w:sz w:val="21"/>
          <w:szCs w:val="21"/>
        </w:rPr>
        <w:t>地质灾害治理工程概（预）算表样式</w:t>
      </w:r>
      <w:r>
        <w:rPr>
          <w:rFonts w:eastAsiaTheme="minorEastAsia"/>
          <w:sz w:val="21"/>
          <w:szCs w:val="21"/>
        </w:rPr>
        <w:tab/>
      </w:r>
      <w:r>
        <w:rPr>
          <w:rFonts w:eastAsiaTheme="minorEastAsia"/>
          <w:sz w:val="21"/>
          <w:szCs w:val="21"/>
        </w:rPr>
        <w:fldChar w:fldCharType="begin"/>
      </w:r>
      <w:r>
        <w:rPr>
          <w:rFonts w:eastAsiaTheme="minorEastAsia"/>
          <w:sz w:val="21"/>
          <w:szCs w:val="21"/>
        </w:rPr>
        <w:instrText xml:space="preserve"> PAGEREF _Toc36634248 \h </w:instrText>
      </w:r>
      <w:r>
        <w:rPr>
          <w:rFonts w:eastAsiaTheme="minorEastAsia"/>
          <w:sz w:val="21"/>
          <w:szCs w:val="21"/>
        </w:rPr>
        <w:fldChar w:fldCharType="separate"/>
      </w:r>
      <w:r>
        <w:rPr>
          <w:rFonts w:eastAsiaTheme="minorEastAsia"/>
          <w:sz w:val="21"/>
          <w:szCs w:val="21"/>
        </w:rPr>
        <w:t>66</w:t>
      </w:r>
      <w:r>
        <w:rPr>
          <w:rFonts w:eastAsiaTheme="minorEastAsia"/>
          <w:sz w:val="21"/>
          <w:szCs w:val="21"/>
        </w:rPr>
        <w:fldChar w:fldCharType="end"/>
      </w:r>
      <w:r>
        <w:rPr>
          <w:rFonts w:eastAsiaTheme="minorEastAsia"/>
          <w:sz w:val="21"/>
          <w:szCs w:val="21"/>
        </w:rPr>
        <w:fldChar w:fldCharType="end"/>
      </w:r>
    </w:p>
    <w:p>
      <w:pPr>
        <w:ind w:firstLine="0"/>
        <w:jc w:val="both"/>
        <w:rPr>
          <w:rFonts w:ascii="Times New Roman" w:hAnsi="Times New Roman" w:cs="Times New Roman"/>
        </w:rPr>
      </w:pPr>
      <w:r>
        <w:rPr>
          <w:rFonts w:ascii="Times New Roman" w:hAnsi="Times New Roman" w:cs="Times New Roman" w:eastAsiaTheme="minorEastAsia"/>
          <w:lang w:val="zh-CN"/>
        </w:rPr>
        <w:fldChar w:fldCharType="end"/>
      </w:r>
    </w:p>
    <w:p>
      <w:pPr>
        <w:ind w:firstLine="420"/>
        <w:rPr>
          <w:rFonts w:ascii="Times New Roman" w:hAnsi="Times New Roman" w:cs="Times New Roman"/>
        </w:rPr>
      </w:pPr>
    </w:p>
    <w:p>
      <w:pPr>
        <w:ind w:firstLine="420"/>
        <w:rPr>
          <w:rFonts w:ascii="Times New Roman" w:hAnsi="Times New Roman" w:cs="Times New Roman"/>
        </w:rPr>
        <w:sectPr>
          <w:footerReference r:id="rId11" w:type="default"/>
          <w:footerReference r:id="rId12" w:type="even"/>
          <w:pgSz w:w="11906" w:h="16838"/>
          <w:pgMar w:top="1418" w:right="1134" w:bottom="1134" w:left="1418" w:header="851" w:footer="992" w:gutter="0"/>
          <w:pgNumType w:fmt="upperRoman" w:start="1"/>
          <w:cols w:space="720" w:num="1"/>
          <w:docGrid w:type="lines" w:linePitch="312" w:charSpace="0"/>
        </w:sectPr>
      </w:pPr>
    </w:p>
    <w:p>
      <w:pPr>
        <w:spacing w:before="851" w:after="680" w:line="240" w:lineRule="auto"/>
        <w:ind w:firstLine="0"/>
        <w:jc w:val="center"/>
        <w:outlineLvl w:val="0"/>
        <w:rPr>
          <w:rFonts w:ascii="Times New Roman" w:hAnsi="Times New Roman" w:eastAsia="黑体" w:cs="Times New Roman"/>
          <w:sz w:val="32"/>
          <w:szCs w:val="32"/>
        </w:rPr>
      </w:pPr>
      <w:bookmarkStart w:id="1" w:name="_Toc26909314"/>
      <w:bookmarkStart w:id="2" w:name="_Toc36634184"/>
      <w:bookmarkStart w:id="3" w:name="_Toc16760262"/>
      <w:r>
        <w:rPr>
          <w:rFonts w:ascii="Times New Roman" w:hAnsi="Times New Roman" w:eastAsia="黑体" w:cs="Times New Roman"/>
          <w:sz w:val="32"/>
          <w:szCs w:val="32"/>
        </w:rPr>
        <w:t>前  言</w:t>
      </w:r>
      <w:bookmarkEnd w:id="1"/>
      <w:bookmarkEnd w:id="2"/>
      <w:bookmarkEnd w:id="3"/>
    </w:p>
    <w:p>
      <w:pPr>
        <w:ind w:firstLine="420" w:firstLineChars="200"/>
        <w:jc w:val="both"/>
        <w:rPr>
          <w:rFonts w:ascii="Times New Roman" w:hAnsi="Times New Roman" w:cs="Times New Roman"/>
        </w:rPr>
      </w:pPr>
      <w:r>
        <w:rPr>
          <w:rFonts w:ascii="Times New Roman" w:hAnsi="Times New Roman" w:cs="Times New Roman"/>
        </w:rPr>
        <w:t>本编制要求按照GB/T 1.1</w:t>
      </w:r>
      <w:r>
        <w:rPr>
          <w:rFonts w:hint="eastAsia" w:ascii="宋体" w:cs="Times New Roman"/>
        </w:rPr>
        <w:t>―</w:t>
      </w:r>
      <w:r>
        <w:rPr>
          <w:rFonts w:ascii="Times New Roman" w:hAnsi="Times New Roman" w:cs="Times New Roman"/>
        </w:rPr>
        <w:t>2009《标准化工作导则</w:t>
      </w:r>
      <w:r>
        <w:rPr>
          <w:rFonts w:hint="eastAsia" w:ascii="Times New Roman" w:hAnsi="Times New Roman" w:cs="Times New Roman"/>
        </w:rPr>
        <w:t xml:space="preserve"> </w:t>
      </w:r>
      <w:r>
        <w:rPr>
          <w:rFonts w:ascii="Times New Roman" w:hAnsi="Times New Roman" w:cs="Times New Roman"/>
        </w:rPr>
        <w:t>第1部分：标准的结构和编写》给出的规则起草。</w:t>
      </w:r>
    </w:p>
    <w:p>
      <w:pPr>
        <w:ind w:firstLine="420" w:firstLineChars="200"/>
        <w:jc w:val="both"/>
        <w:rPr>
          <w:rFonts w:ascii="Times New Roman" w:hAnsi="Times New Roman" w:cs="Times New Roman"/>
        </w:rPr>
      </w:pPr>
      <w:r>
        <w:rPr>
          <w:rFonts w:ascii="Times New Roman" w:hAnsi="Times New Roman" w:cs="Times New Roman"/>
        </w:rPr>
        <w:t>本编制要求由湖北省自然资源厅提出和归口管理。</w:t>
      </w:r>
    </w:p>
    <w:p>
      <w:pPr>
        <w:ind w:firstLine="420" w:firstLineChars="200"/>
        <w:jc w:val="both"/>
        <w:rPr>
          <w:rFonts w:ascii="Times New Roman" w:hAnsi="Times New Roman" w:cs="Times New Roman"/>
        </w:rPr>
      </w:pPr>
      <w:r>
        <w:rPr>
          <w:rFonts w:ascii="Times New Roman" w:hAnsi="Times New Roman" w:cs="Times New Roman"/>
        </w:rPr>
        <w:t>本编制要求起草单位：湖北省地质环境总站、湖北省地质局水文地质工程地质大队。</w:t>
      </w:r>
    </w:p>
    <w:p>
      <w:pPr>
        <w:ind w:firstLine="420" w:firstLineChars="200"/>
        <w:jc w:val="both"/>
        <w:rPr>
          <w:rFonts w:ascii="Times New Roman" w:hAnsi="Times New Roman" w:cs="Times New Roman"/>
        </w:rPr>
      </w:pPr>
      <w:r>
        <w:rPr>
          <w:rFonts w:ascii="Times New Roman" w:hAnsi="Times New Roman" w:cs="Times New Roman"/>
        </w:rPr>
        <w:t>本技术要求由湖北省自然资源厅负责解释。</w:t>
      </w:r>
    </w:p>
    <w:p>
      <w:pPr>
        <w:ind w:firstLine="420"/>
        <w:jc w:val="both"/>
        <w:rPr>
          <w:rFonts w:ascii="Times New Roman" w:hAnsi="Times New Roman" w:cs="Times New Roman"/>
        </w:rPr>
      </w:pPr>
    </w:p>
    <w:p>
      <w:pPr>
        <w:ind w:firstLine="420"/>
        <w:rPr>
          <w:rFonts w:ascii="Times New Roman" w:hAnsi="Times New Roman" w:cs="Times New Roman"/>
        </w:rPr>
      </w:pPr>
    </w:p>
    <w:p>
      <w:pPr>
        <w:ind w:firstLine="420"/>
        <w:rPr>
          <w:rFonts w:ascii="Times New Roman" w:hAnsi="Times New Roman" w:cs="Times New Roman"/>
        </w:rPr>
      </w:pPr>
    </w:p>
    <w:p>
      <w:pPr>
        <w:ind w:firstLine="420"/>
        <w:rPr>
          <w:rFonts w:ascii="Times New Roman" w:hAnsi="Times New Roman" w:cs="Times New Roman"/>
        </w:rPr>
      </w:pPr>
    </w:p>
    <w:p>
      <w:pPr>
        <w:ind w:firstLine="420"/>
        <w:rPr>
          <w:rFonts w:ascii="Times New Roman" w:hAnsi="Times New Roman" w:cs="Times New Roman"/>
        </w:rPr>
        <w:sectPr>
          <w:pgSz w:w="11906" w:h="16838"/>
          <w:pgMar w:top="1418" w:right="1134" w:bottom="1134" w:left="1418" w:header="851" w:footer="992" w:gutter="0"/>
          <w:pgNumType w:fmt="upperRoman"/>
          <w:cols w:space="720" w:num="1"/>
          <w:docGrid w:type="lines" w:linePitch="312" w:charSpace="0"/>
        </w:sectPr>
      </w:pPr>
    </w:p>
    <w:p>
      <w:pPr>
        <w:spacing w:before="851" w:after="680" w:line="240" w:lineRule="auto"/>
        <w:ind w:firstLine="0"/>
        <w:jc w:val="center"/>
        <w:outlineLvl w:val="0"/>
        <w:rPr>
          <w:rFonts w:ascii="Times New Roman" w:hAnsi="Times New Roman" w:eastAsia="黑体" w:cs="Times New Roman"/>
          <w:sz w:val="32"/>
          <w:szCs w:val="32"/>
        </w:rPr>
      </w:pPr>
      <w:bookmarkStart w:id="4" w:name="_Toc36634185"/>
      <w:bookmarkStart w:id="5" w:name="_Toc16760263"/>
      <w:r>
        <w:rPr>
          <w:rFonts w:ascii="Times New Roman" w:hAnsi="Times New Roman" w:eastAsia="黑体" w:cs="Times New Roman"/>
          <w:sz w:val="32"/>
          <w:szCs w:val="32"/>
        </w:rPr>
        <w:t>引  言</w:t>
      </w:r>
      <w:bookmarkEnd w:id="4"/>
      <w:bookmarkEnd w:id="5"/>
    </w:p>
    <w:p>
      <w:pPr>
        <w:ind w:firstLine="420" w:firstLineChars="200"/>
        <w:rPr>
          <w:rFonts w:ascii="Times New Roman" w:hAnsi="Times New Roman" w:cs="Times New Roman"/>
        </w:rPr>
      </w:pPr>
      <w:r>
        <w:rPr>
          <w:rFonts w:ascii="Times New Roman" w:hAnsi="Times New Roman" w:cs="Times New Roman"/>
        </w:rPr>
        <w:t>为了深入贯彻落实党的十九大精神和习近平生态文明思想，全面落实湖北省地质灾害综合防治体系建设，规范地质灾害防治项目运行和管理，提高项目质量水平和管理效率，确保项目的顺利实施，依据省财政厅、省自然资源厅有关要求，编制</w:t>
      </w:r>
      <w:r>
        <w:rPr>
          <w:rFonts w:hint="eastAsia" w:ascii="Times New Roman" w:hAnsi="Times New Roman" w:cs="Times New Roman"/>
        </w:rPr>
        <w:t>湖北省</w:t>
      </w:r>
      <w:r>
        <w:rPr>
          <w:rFonts w:ascii="Times New Roman" w:hAnsi="Times New Roman" w:cs="Times New Roman"/>
        </w:rPr>
        <w:t>地质灾害防治项目概预算编制要求，为湖北省地质灾害防治项目提供统一规范的概预算编制依据。</w:t>
      </w:r>
    </w:p>
    <w:p>
      <w:pPr>
        <w:ind w:firstLine="420"/>
        <w:rPr>
          <w:rFonts w:ascii="Times New Roman" w:hAnsi="Times New Roman" w:cs="Times New Roman"/>
        </w:rPr>
      </w:pPr>
    </w:p>
    <w:p>
      <w:pPr>
        <w:ind w:firstLine="420"/>
        <w:rPr>
          <w:rFonts w:ascii="Times New Roman" w:hAnsi="Times New Roman" w:cs="Times New Roman"/>
        </w:rPr>
      </w:pPr>
    </w:p>
    <w:p>
      <w:pPr>
        <w:ind w:firstLine="420"/>
        <w:rPr>
          <w:rFonts w:ascii="Times New Roman" w:hAnsi="Times New Roman" w:cs="Times New Roman"/>
        </w:rPr>
        <w:sectPr>
          <w:pgSz w:w="11906" w:h="16838"/>
          <w:pgMar w:top="1418" w:right="1134" w:bottom="1134" w:left="1418" w:header="851" w:footer="992" w:gutter="0"/>
          <w:pgNumType w:fmt="upperRoman"/>
          <w:cols w:space="720" w:num="1"/>
          <w:docGrid w:type="lines" w:linePitch="312" w:charSpace="0"/>
        </w:sectPr>
      </w:pPr>
    </w:p>
    <w:p>
      <w:pPr>
        <w:pStyle w:val="3"/>
        <w:spacing w:before="240" w:beforeLines="100" w:after="240" w:afterLines="100"/>
        <w:rPr>
          <w:rFonts w:ascii="黑体" w:cs="黑体"/>
        </w:rPr>
      </w:pPr>
      <w:bookmarkStart w:id="6" w:name="_Toc36634186"/>
      <w:bookmarkStart w:id="7" w:name="_Toc16760264"/>
      <w:r>
        <w:rPr>
          <w:rFonts w:ascii="黑体" w:cs="黑体"/>
        </w:rPr>
        <w:t>1  范围</w:t>
      </w:r>
      <w:bookmarkEnd w:id="6"/>
      <w:bookmarkEnd w:id="7"/>
    </w:p>
    <w:p>
      <w:pPr>
        <w:ind w:firstLine="420" w:firstLineChars="200"/>
        <w:jc w:val="both"/>
        <w:rPr>
          <w:rFonts w:ascii="Times New Roman" w:hAnsi="Times New Roman" w:cs="Times New Roman"/>
        </w:rPr>
      </w:pPr>
      <w:r>
        <w:rPr>
          <w:rFonts w:ascii="Times New Roman" w:hAnsi="Times New Roman" w:cs="Times New Roman"/>
        </w:rPr>
        <w:t>本编制要求适用于湖北省地质灾害防治项目概预算编制工作，包括地质灾害调查评价项目、监测预警项目、治理与搬迁避让项目、能力建设项目和信息化项目等。</w:t>
      </w:r>
    </w:p>
    <w:p>
      <w:pPr>
        <w:pStyle w:val="3"/>
        <w:spacing w:before="240" w:beforeLines="100" w:after="240" w:afterLines="100"/>
        <w:rPr>
          <w:rFonts w:ascii="黑体" w:cs="黑体"/>
        </w:rPr>
      </w:pPr>
      <w:bookmarkStart w:id="8" w:name="_Toc16760265"/>
      <w:bookmarkStart w:id="9" w:name="_Toc36634187"/>
      <w:r>
        <w:rPr>
          <w:rFonts w:ascii="黑体" w:cs="黑体"/>
        </w:rPr>
        <w:t>2  规范</w:t>
      </w:r>
      <w:bookmarkEnd w:id="0"/>
      <w:bookmarkEnd w:id="8"/>
      <w:r>
        <w:rPr>
          <w:rFonts w:ascii="黑体" w:cs="黑体"/>
        </w:rPr>
        <w:t>性引用文件</w:t>
      </w:r>
      <w:bookmarkEnd w:id="9"/>
    </w:p>
    <w:p>
      <w:pPr>
        <w:ind w:firstLine="420" w:firstLineChars="200"/>
        <w:jc w:val="both"/>
        <w:rPr>
          <w:rFonts w:ascii="Times New Roman" w:hAnsi="Times New Roman" w:cs="Times New Roman"/>
        </w:rPr>
      </w:pPr>
      <w:r>
        <w:rPr>
          <w:rFonts w:ascii="Times New Roman" w:hAnsi="Times New Roman" w:cs="Times New Roman"/>
        </w:rPr>
        <w:t>下列文件对于本文件的应用是必不可少的。凡是注日期的引用文件，仅注日期的版本适用于本文件。凡是不注日期的引用文件，其最新版本（包括所有的修改单）适用于本文件。</w:t>
      </w:r>
    </w:p>
    <w:p>
      <w:pPr>
        <w:topLinePunct/>
        <w:autoSpaceDN w:val="0"/>
        <w:ind w:firstLine="420" w:firstLineChars="200"/>
        <w:jc w:val="both"/>
        <w:rPr>
          <w:rFonts w:ascii="Times New Roman" w:hAnsi="Times New Roman" w:cs="Times New Roman"/>
        </w:rPr>
      </w:pPr>
      <w:r>
        <w:rPr>
          <w:rFonts w:ascii="Times New Roman" w:hAnsi="Times New Roman" w:cs="Times New Roman"/>
        </w:rPr>
        <w:t>水利部《水利工程设计概（估）算编制规定》</w:t>
      </w:r>
      <w:r>
        <w:rPr>
          <w:rFonts w:hint="eastAsia" w:ascii="Times New Roman" w:hAnsi="Times New Roman" w:cs="Times New Roman"/>
        </w:rPr>
        <w:t>（</w:t>
      </w:r>
      <w:r>
        <w:rPr>
          <w:rFonts w:ascii="Times New Roman" w:hAnsi="Times New Roman" w:cs="Times New Roman"/>
        </w:rPr>
        <w:t>水总〔201</w:t>
      </w:r>
      <w:r>
        <w:rPr>
          <w:rFonts w:hint="eastAsia" w:ascii="Times New Roman" w:hAnsi="Times New Roman" w:cs="Times New Roman"/>
        </w:rPr>
        <w:t>4</w:t>
      </w:r>
      <w:r>
        <w:rPr>
          <w:rFonts w:ascii="Times New Roman" w:hAnsi="Times New Roman" w:cs="Times New Roman"/>
        </w:rPr>
        <w:t>〕429号</w:t>
      </w:r>
      <w:r>
        <w:rPr>
          <w:rFonts w:hint="eastAsia" w:ascii="Times New Roman" w:hAnsi="Times New Roman" w:cs="Times New Roman"/>
        </w:rPr>
        <w:t>）</w:t>
      </w:r>
    </w:p>
    <w:p>
      <w:pPr>
        <w:topLinePunct/>
        <w:autoSpaceDN w:val="0"/>
        <w:ind w:firstLine="420" w:firstLineChars="200"/>
        <w:jc w:val="both"/>
        <w:rPr>
          <w:rFonts w:ascii="Times New Roman" w:hAnsi="Times New Roman" w:cs="Times New Roman"/>
        </w:rPr>
      </w:pPr>
      <w:r>
        <w:rPr>
          <w:rFonts w:ascii="Times New Roman" w:hAnsi="Times New Roman" w:cs="Times New Roman"/>
        </w:rPr>
        <w:t>水利部《水利建筑工程概算定额》《水利建筑工程预算定额》《水利工程施工机械台时费定额》</w:t>
      </w:r>
      <w:r>
        <w:rPr>
          <w:rFonts w:hint="eastAsia" w:ascii="Times New Roman" w:hAnsi="Times New Roman" w:cs="Times New Roman"/>
        </w:rPr>
        <w:t>（</w:t>
      </w:r>
      <w:r>
        <w:rPr>
          <w:rFonts w:ascii="Times New Roman" w:hAnsi="Times New Roman" w:cs="Times New Roman"/>
        </w:rPr>
        <w:t>水总</w:t>
      </w:r>
      <w:r>
        <w:rPr>
          <w:rFonts w:hint="eastAsia" w:ascii="Times New Roman" w:hAnsi="Times New Roman" w:cs="Times New Roman"/>
        </w:rPr>
        <w:t>〔</w:t>
      </w:r>
      <w:r>
        <w:rPr>
          <w:rFonts w:ascii="Times New Roman" w:hAnsi="Times New Roman" w:cs="Times New Roman"/>
        </w:rPr>
        <w:t>2002</w:t>
      </w:r>
      <w:r>
        <w:rPr>
          <w:rFonts w:hint="eastAsia" w:ascii="Times New Roman" w:hAnsi="Times New Roman" w:cs="Times New Roman"/>
        </w:rPr>
        <w:t>〕</w:t>
      </w:r>
      <w:r>
        <w:rPr>
          <w:rFonts w:ascii="Times New Roman" w:hAnsi="Times New Roman" w:cs="Times New Roman"/>
        </w:rPr>
        <w:t>116号</w:t>
      </w:r>
      <w:r>
        <w:rPr>
          <w:rFonts w:hint="eastAsia" w:ascii="Times New Roman" w:hAnsi="Times New Roman" w:cs="Times New Roman"/>
        </w:rPr>
        <w:t>）</w:t>
      </w:r>
    </w:p>
    <w:p>
      <w:pPr>
        <w:topLinePunct/>
        <w:autoSpaceDN w:val="0"/>
        <w:ind w:firstLine="420" w:firstLineChars="200"/>
        <w:jc w:val="both"/>
        <w:rPr>
          <w:rFonts w:ascii="Times New Roman" w:hAnsi="Times New Roman" w:cs="Times New Roman"/>
        </w:rPr>
      </w:pPr>
      <w:r>
        <w:rPr>
          <w:rFonts w:ascii="Times New Roman" w:hAnsi="Times New Roman" w:cs="Times New Roman"/>
        </w:rPr>
        <w:t>水利部《水利建筑工程概预算补充定额》</w:t>
      </w:r>
      <w:r>
        <w:rPr>
          <w:rFonts w:hint="eastAsia" w:ascii="Times New Roman" w:hAnsi="Times New Roman" w:cs="Times New Roman"/>
        </w:rPr>
        <w:t>（</w:t>
      </w:r>
      <w:r>
        <w:rPr>
          <w:rFonts w:ascii="Times New Roman" w:hAnsi="Times New Roman" w:cs="Times New Roman"/>
        </w:rPr>
        <w:t>水总〔20</w:t>
      </w:r>
      <w:r>
        <w:rPr>
          <w:rFonts w:hint="eastAsia" w:ascii="Times New Roman" w:hAnsi="Times New Roman" w:cs="Times New Roman"/>
        </w:rPr>
        <w:t>05</w:t>
      </w:r>
      <w:r>
        <w:rPr>
          <w:rFonts w:ascii="Times New Roman" w:hAnsi="Times New Roman" w:cs="Times New Roman"/>
        </w:rPr>
        <w:t>〕389号</w:t>
      </w:r>
      <w:r>
        <w:rPr>
          <w:rFonts w:hint="eastAsia" w:ascii="Times New Roman" w:hAnsi="Times New Roman" w:cs="Times New Roman"/>
        </w:rPr>
        <w:t>）</w:t>
      </w:r>
    </w:p>
    <w:p>
      <w:pPr>
        <w:topLinePunct/>
        <w:autoSpaceDN w:val="0"/>
        <w:ind w:firstLine="420" w:firstLineChars="200"/>
        <w:jc w:val="both"/>
        <w:rPr>
          <w:rFonts w:ascii="Times New Roman" w:hAnsi="Times New Roman" w:cs="Times New Roman"/>
        </w:rPr>
      </w:pPr>
      <w:r>
        <w:rPr>
          <w:rFonts w:ascii="Times New Roman" w:hAnsi="Times New Roman" w:cs="Times New Roman"/>
        </w:rPr>
        <w:t>水利部《水利工程概算补充定额（水文设施工程专项）》</w:t>
      </w:r>
      <w:r>
        <w:rPr>
          <w:rFonts w:hint="eastAsia" w:ascii="Times New Roman" w:hAnsi="Times New Roman" w:cs="Times New Roman"/>
        </w:rPr>
        <w:t>（</w:t>
      </w:r>
      <w:r>
        <w:rPr>
          <w:rFonts w:ascii="Times New Roman" w:hAnsi="Times New Roman" w:cs="Times New Roman"/>
        </w:rPr>
        <w:t>水总〔20</w:t>
      </w:r>
      <w:r>
        <w:rPr>
          <w:rFonts w:hint="eastAsia" w:ascii="Times New Roman" w:hAnsi="Times New Roman" w:cs="Times New Roman"/>
        </w:rPr>
        <w:t>0</w:t>
      </w:r>
      <w:r>
        <w:rPr>
          <w:rFonts w:ascii="Times New Roman" w:hAnsi="Times New Roman" w:cs="Times New Roman"/>
        </w:rPr>
        <w:t>6〕140号</w:t>
      </w:r>
      <w:r>
        <w:rPr>
          <w:rFonts w:hint="eastAsia" w:ascii="Times New Roman" w:hAnsi="Times New Roman" w:cs="Times New Roman"/>
        </w:rPr>
        <w:t>）</w:t>
      </w:r>
    </w:p>
    <w:p>
      <w:pPr>
        <w:topLinePunct/>
        <w:autoSpaceDN w:val="0"/>
        <w:ind w:firstLine="420" w:firstLineChars="200"/>
        <w:jc w:val="both"/>
        <w:rPr>
          <w:rFonts w:ascii="Times New Roman" w:hAnsi="Times New Roman" w:cs="Times New Roman"/>
        </w:rPr>
      </w:pPr>
      <w:r>
        <w:rPr>
          <w:rFonts w:ascii="Times New Roman" w:hAnsi="Times New Roman" w:cs="Times New Roman"/>
        </w:rPr>
        <w:t>水利部《水利工程营业税改征增值税计价依据调整办法》</w:t>
      </w:r>
      <w:r>
        <w:rPr>
          <w:rFonts w:hint="eastAsia" w:ascii="Times New Roman" w:hAnsi="Times New Roman" w:cs="Times New Roman"/>
        </w:rPr>
        <w:t>（</w:t>
      </w:r>
      <w:r>
        <w:rPr>
          <w:rFonts w:ascii="Times New Roman" w:hAnsi="Times New Roman" w:cs="Times New Roman"/>
        </w:rPr>
        <w:t>办水总〔2016〕132号</w:t>
      </w:r>
      <w:r>
        <w:rPr>
          <w:rFonts w:hint="eastAsia" w:ascii="Times New Roman" w:hAnsi="Times New Roman" w:cs="Times New Roman"/>
        </w:rPr>
        <w:t>）</w:t>
      </w:r>
    </w:p>
    <w:p>
      <w:pPr>
        <w:topLinePunct/>
        <w:autoSpaceDN w:val="0"/>
        <w:ind w:firstLine="420" w:firstLineChars="200"/>
        <w:jc w:val="both"/>
        <w:rPr>
          <w:rFonts w:ascii="Times New Roman" w:hAnsi="Times New Roman" w:cs="Times New Roman"/>
        </w:rPr>
      </w:pPr>
      <w:r>
        <w:rPr>
          <w:rFonts w:ascii="Times New Roman" w:hAnsi="Times New Roman" w:cs="Times New Roman"/>
        </w:rPr>
        <w:t>水利部办公厅《关于调整水利工程计价依据增值税计算标准的通知》（办财务函〔2019〕448号）</w:t>
      </w:r>
    </w:p>
    <w:p>
      <w:pPr>
        <w:topLinePunct/>
        <w:autoSpaceDN w:val="0"/>
        <w:ind w:firstLine="420" w:firstLineChars="200"/>
        <w:jc w:val="both"/>
        <w:rPr>
          <w:rFonts w:ascii="Times New Roman" w:hAnsi="Times New Roman" w:cs="Times New Roman"/>
        </w:rPr>
      </w:pPr>
      <w:r>
        <w:rPr>
          <w:rFonts w:ascii="Times New Roman" w:hAnsi="Times New Roman" w:cs="Times New Roman"/>
        </w:rPr>
        <w:t>国家计委、建设部</w:t>
      </w:r>
      <w:r>
        <w:rPr>
          <w:rFonts w:hint="eastAsia" w:ascii="Times New Roman" w:hAnsi="Times New Roman" w:cs="Times New Roman"/>
        </w:rPr>
        <w:t>《</w:t>
      </w:r>
      <w:r>
        <w:rPr>
          <w:rFonts w:ascii="Times New Roman" w:hAnsi="Times New Roman" w:cs="Times New Roman"/>
        </w:rPr>
        <w:t>关于发布</w:t>
      </w:r>
      <w:r>
        <w:rPr>
          <w:rFonts w:hint="eastAsia" w:ascii="Times New Roman" w:hAnsi="Times New Roman" w:cs="Times New Roman"/>
        </w:rPr>
        <w:t>〈</w:t>
      </w:r>
      <w:r>
        <w:rPr>
          <w:rFonts w:ascii="Times New Roman" w:hAnsi="Times New Roman" w:cs="Times New Roman"/>
        </w:rPr>
        <w:t>工程勘察设计收费标准</w:t>
      </w:r>
      <w:r>
        <w:rPr>
          <w:rFonts w:hint="eastAsia" w:ascii="Times New Roman" w:hAnsi="Times New Roman" w:cs="Times New Roman"/>
        </w:rPr>
        <w:t>〉</w:t>
      </w:r>
      <w:r>
        <w:rPr>
          <w:rFonts w:ascii="Times New Roman" w:hAnsi="Times New Roman" w:cs="Times New Roman"/>
        </w:rPr>
        <w:t>的通知及附件</w:t>
      </w:r>
      <w:r>
        <w:rPr>
          <w:rFonts w:hint="eastAsia" w:ascii="Times New Roman" w:hAnsi="Times New Roman" w:cs="Times New Roman"/>
        </w:rPr>
        <w:t>》（</w:t>
      </w:r>
      <w:r>
        <w:rPr>
          <w:rFonts w:ascii="Times New Roman" w:hAnsi="Times New Roman" w:cs="Times New Roman"/>
        </w:rPr>
        <w:t>计价格〔20</w:t>
      </w:r>
      <w:r>
        <w:rPr>
          <w:rFonts w:hint="eastAsia" w:ascii="Times New Roman" w:hAnsi="Times New Roman" w:cs="Times New Roman"/>
        </w:rPr>
        <w:t>02</w:t>
      </w:r>
      <w:r>
        <w:rPr>
          <w:rFonts w:ascii="Times New Roman" w:hAnsi="Times New Roman" w:cs="Times New Roman"/>
        </w:rPr>
        <w:t>〕10号</w:t>
      </w:r>
      <w:r>
        <w:rPr>
          <w:rFonts w:hint="eastAsia" w:ascii="Times New Roman" w:hAnsi="Times New Roman" w:cs="Times New Roman"/>
        </w:rPr>
        <w:t>）</w:t>
      </w:r>
    </w:p>
    <w:p>
      <w:pPr>
        <w:topLinePunct/>
        <w:autoSpaceDE w:val="0"/>
        <w:ind w:firstLine="420" w:firstLineChars="200"/>
        <w:jc w:val="both"/>
        <w:rPr>
          <w:rFonts w:ascii="Times New Roman" w:hAnsi="Times New Roman" w:cs="Times New Roman"/>
        </w:rPr>
      </w:pPr>
      <w:r>
        <w:rPr>
          <w:rFonts w:ascii="Times New Roman" w:hAnsi="Times New Roman" w:cs="Times New Roman"/>
        </w:rPr>
        <w:t>国家发展和改革委员会、建设部《建设工程监理与相关服务收费管理规定》（发改价格〔2007〕      670号）</w:t>
      </w:r>
    </w:p>
    <w:p>
      <w:pPr>
        <w:topLinePunct/>
        <w:autoSpaceDN w:val="0"/>
        <w:ind w:firstLine="420" w:firstLineChars="200"/>
        <w:jc w:val="both"/>
        <w:rPr>
          <w:rFonts w:ascii="Times New Roman" w:hAnsi="Times New Roman" w:cs="Times New Roman"/>
        </w:rPr>
      </w:pPr>
      <w:r>
        <w:rPr>
          <w:rFonts w:ascii="Times New Roman" w:hAnsi="Times New Roman" w:cs="Times New Roman"/>
        </w:rPr>
        <w:t>财政部《2020年政府收支分类科目》（财预〔2019〕142号）</w:t>
      </w:r>
    </w:p>
    <w:p>
      <w:pPr>
        <w:topLinePunct/>
        <w:autoSpaceDN w:val="0"/>
        <w:ind w:firstLine="420" w:firstLineChars="200"/>
        <w:jc w:val="both"/>
        <w:rPr>
          <w:rFonts w:ascii="Times New Roman" w:hAnsi="Times New Roman" w:cs="Times New Roman"/>
        </w:rPr>
      </w:pPr>
      <w:r>
        <w:rPr>
          <w:rFonts w:ascii="Times New Roman" w:hAnsi="Times New Roman" w:cs="Times New Roman"/>
        </w:rPr>
        <w:t>财政部《基本建设项目建设成本管理规定》（财建〔2016〕504号）</w:t>
      </w:r>
    </w:p>
    <w:p>
      <w:pPr>
        <w:topLinePunct/>
        <w:autoSpaceDN w:val="0"/>
        <w:ind w:firstLine="420" w:firstLineChars="200"/>
        <w:jc w:val="both"/>
        <w:rPr>
          <w:rFonts w:ascii="Times New Roman" w:hAnsi="Times New Roman" w:cs="Times New Roman"/>
        </w:rPr>
      </w:pPr>
      <w:r>
        <w:rPr>
          <w:rFonts w:ascii="Times New Roman" w:hAnsi="Times New Roman" w:cs="Times New Roman"/>
        </w:rPr>
        <w:t>财政部</w:t>
      </w:r>
      <w:r>
        <w:rPr>
          <w:rFonts w:hint="eastAsia" w:ascii="Times New Roman" w:hAnsi="Times New Roman" w:cs="Times New Roman"/>
        </w:rPr>
        <w:t>、</w:t>
      </w:r>
      <w:r>
        <w:rPr>
          <w:rFonts w:ascii="Times New Roman" w:hAnsi="Times New Roman" w:cs="Times New Roman"/>
        </w:rPr>
        <w:t>监察部《关于印发〈关于党政机关及事业单位用公款为个人购买商业保险若干问题的规定〉的通知》（财金〔20</w:t>
      </w:r>
      <w:r>
        <w:rPr>
          <w:rFonts w:hint="eastAsia" w:ascii="Times New Roman" w:hAnsi="Times New Roman" w:cs="Times New Roman"/>
        </w:rPr>
        <w:t>04</w:t>
      </w:r>
      <w:r>
        <w:rPr>
          <w:rFonts w:ascii="Times New Roman" w:hAnsi="Times New Roman" w:cs="Times New Roman"/>
        </w:rPr>
        <w:t>〕88号）</w:t>
      </w:r>
    </w:p>
    <w:p>
      <w:pPr>
        <w:topLinePunct/>
        <w:autoSpaceDN w:val="0"/>
        <w:ind w:firstLine="420" w:firstLineChars="200"/>
        <w:jc w:val="both"/>
        <w:rPr>
          <w:rFonts w:ascii="Times New Roman" w:hAnsi="Times New Roman" w:cs="Times New Roman"/>
        </w:rPr>
      </w:pPr>
      <w:r>
        <w:rPr>
          <w:rFonts w:ascii="Times New Roman" w:hAnsi="Times New Roman" w:cs="Times New Roman"/>
        </w:rPr>
        <w:t>财政部、国家测绘局《测绘生产成本费用定额》（财建〔20</w:t>
      </w:r>
      <w:r>
        <w:rPr>
          <w:rFonts w:hint="eastAsia" w:ascii="Times New Roman" w:hAnsi="Times New Roman" w:cs="Times New Roman"/>
        </w:rPr>
        <w:t>09</w:t>
      </w:r>
      <w:r>
        <w:rPr>
          <w:rFonts w:ascii="Times New Roman" w:hAnsi="Times New Roman" w:cs="Times New Roman"/>
        </w:rPr>
        <w:t>〕17号）</w:t>
      </w:r>
    </w:p>
    <w:p>
      <w:pPr>
        <w:topLinePunct/>
        <w:autoSpaceDN w:val="0"/>
        <w:ind w:firstLine="420" w:firstLineChars="200"/>
        <w:jc w:val="both"/>
        <w:rPr>
          <w:rFonts w:ascii="Times New Roman" w:hAnsi="Times New Roman" w:cs="Times New Roman"/>
        </w:rPr>
      </w:pPr>
      <w:r>
        <w:rPr>
          <w:rFonts w:hint="eastAsia" w:ascii="Times New Roman" w:hAnsi="Times New Roman" w:cs="Times New Roman"/>
          <w:lang w:eastAsia="zh-CN"/>
        </w:rPr>
        <w:t>住房和城乡建设部</w:t>
      </w:r>
      <w:r>
        <w:rPr>
          <w:rFonts w:ascii="Times New Roman" w:hAnsi="Times New Roman" w:cs="Times New Roman"/>
        </w:rPr>
        <w:t>、财政部《建筑安装工程费用项目组成》（建标〔2013〕44号）</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湖北省国土资源厅、财政厅《关于印发〈湖北省三峡库区后续地质灾害工程治理项目投资概（预）算编制要求（暂行）〉的通知》</w:t>
      </w:r>
      <w:r>
        <w:rPr>
          <w:rFonts w:hint="eastAsia" w:ascii="Times New Roman" w:hAnsi="Times New Roman" w:cs="Times New Roman"/>
        </w:rPr>
        <w:t>（</w:t>
      </w:r>
      <w:r>
        <w:rPr>
          <w:rFonts w:ascii="Times New Roman" w:hAnsi="Times New Roman" w:cs="Times New Roman"/>
        </w:rPr>
        <w:t>鄂土资函〔2016〕1401号</w:t>
      </w:r>
      <w:r>
        <w:rPr>
          <w:rFonts w:hint="eastAsia" w:ascii="Times New Roman" w:hAnsi="Times New Roman" w:cs="Times New Roman"/>
        </w:rPr>
        <w:t>）</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国土资源厅、财政厅《关于印发〈湖北省三峡库区后续地质灾害工程治理项目投资概（预）算编制要求（试行）〉等三个文件的通知》的附件2《湖北省三峡库区后续地质灾害监测预警项目工程建设投资概（预）算编制要求（试行）》</w:t>
      </w:r>
      <w:r>
        <w:rPr>
          <w:rFonts w:hint="eastAsia" w:ascii="Times New Roman" w:hAnsi="Times New Roman" w:cs="Times New Roman"/>
        </w:rPr>
        <w:t>（</w:t>
      </w:r>
      <w:r>
        <w:rPr>
          <w:rFonts w:ascii="Times New Roman" w:hAnsi="Times New Roman" w:cs="Times New Roman"/>
        </w:rPr>
        <w:t>鄂土资函〔2014〕111号</w:t>
      </w:r>
      <w:r>
        <w:rPr>
          <w:rFonts w:hint="eastAsia" w:ascii="Times New Roman" w:hAnsi="Times New Roman" w:cs="Times New Roman"/>
        </w:rPr>
        <w:t>）</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湖北省自然资源厅《关于印发〈湖北省地质灾害综合防治体系建设项目申报指南（试行）〉的函》</w:t>
      </w:r>
      <w:r>
        <w:rPr>
          <w:rFonts w:hint="eastAsia" w:ascii="Times New Roman" w:hAnsi="Times New Roman" w:cs="Times New Roman"/>
        </w:rPr>
        <w:t>（</w:t>
      </w:r>
      <w:r>
        <w:rPr>
          <w:rFonts w:ascii="Times New Roman" w:hAnsi="Times New Roman" w:cs="Times New Roman"/>
        </w:rPr>
        <w:t>鄂自然资函〔2019〕165号</w:t>
      </w:r>
      <w:r>
        <w:rPr>
          <w:rFonts w:hint="eastAsia" w:ascii="Times New Roman" w:hAnsi="Times New Roman" w:cs="Times New Roman"/>
        </w:rPr>
        <w:t>）</w:t>
      </w:r>
    </w:p>
    <w:p>
      <w:pPr>
        <w:topLinePunct/>
        <w:ind w:firstLine="420" w:firstLineChars="200"/>
        <w:jc w:val="both"/>
        <w:rPr>
          <w:rFonts w:ascii="Times New Roman" w:hAnsi="Times New Roman" w:cs="Times New Roman"/>
        </w:rPr>
      </w:pPr>
      <w:r>
        <w:rPr>
          <w:rFonts w:ascii="Times New Roman" w:hAnsi="Times New Roman" w:cs="Times New Roman"/>
        </w:rPr>
        <w:t>湖北省人民政府《关于公布实施湖北省征地区片综合地价标准的通知》（鄂政发〔2019〕22号）</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湖北省人民政府《湖北省征地统一年产值标准和区片综合地价》（鄂政发〔2014〕12号）</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湖北省物价局、湖北省住房和城乡建设厅《湖北省建设工程造价咨询服务收费标准》（鄂价工服规〔2012〕149号）</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湖北省物价局、湖北省财政厅《湖北省会计师事务所服务收费管理实施办法》（鄂价规〔2010〕      265号）</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湖北省财政厅《湖北省省级党政机关评审费管理暂行办法》</w:t>
      </w:r>
      <w:r>
        <w:rPr>
          <w:rFonts w:hint="eastAsia" w:ascii="Times New Roman" w:hAnsi="Times New Roman" w:cs="Times New Roman"/>
        </w:rPr>
        <w:t>（</w:t>
      </w:r>
      <w:r>
        <w:rPr>
          <w:rFonts w:ascii="Times New Roman" w:hAnsi="Times New Roman" w:cs="Times New Roman"/>
        </w:rPr>
        <w:t>鄂财行发〔20</w:t>
      </w:r>
      <w:r>
        <w:rPr>
          <w:rFonts w:hint="eastAsia" w:ascii="Times New Roman" w:hAnsi="Times New Roman" w:cs="Times New Roman"/>
        </w:rPr>
        <w:t>18</w:t>
      </w:r>
      <w:r>
        <w:rPr>
          <w:rFonts w:ascii="Times New Roman" w:hAnsi="Times New Roman" w:cs="Times New Roman"/>
        </w:rPr>
        <w:t>〕31号</w:t>
      </w:r>
      <w:r>
        <w:rPr>
          <w:rFonts w:hint="eastAsia" w:ascii="Times New Roman" w:hAnsi="Times New Roman" w:cs="Times New Roman"/>
        </w:rPr>
        <w:t>）</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湖北省财政厅《关于印发〈湖北省省级党政机关差旅费管理办法〉的通知》（鄂财行发〔2014〕11号）</w:t>
      </w:r>
    </w:p>
    <w:p>
      <w:pPr>
        <w:topLinePunct/>
        <w:ind w:firstLine="420" w:firstLineChars="200"/>
        <w:jc w:val="both"/>
        <w:rPr>
          <w:rFonts w:ascii="Times New Roman" w:hAnsi="Times New Roman" w:cs="Times New Roman"/>
        </w:rPr>
      </w:pPr>
      <w:r>
        <w:rPr>
          <w:rFonts w:ascii="Times New Roman" w:hAnsi="Times New Roman" w:cs="Times New Roman"/>
        </w:rPr>
        <w:t>湖北省财政厅《关于调整省级党政机关差旅住宿费标准等有关问题的通知》（鄂财行发〔2015〕     90号）</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湖北省财政厅《关于明确省级党政机关省外差旅住宿费标准的通知》（鄂财行发〔2016〕17号）</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湖北省财政厅《关于印发〈湖北省省级党政机关会议费管理办法〉的通知》（鄂财行发〔201</w:t>
      </w:r>
      <w:r>
        <w:rPr>
          <w:rFonts w:hint="eastAsia" w:ascii="Times New Roman" w:hAnsi="Times New Roman" w:cs="Times New Roman"/>
        </w:rPr>
        <w:t>8</w:t>
      </w:r>
      <w:r>
        <w:rPr>
          <w:rFonts w:ascii="Times New Roman" w:hAnsi="Times New Roman" w:cs="Times New Roman"/>
        </w:rPr>
        <w:t>〕14号）</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湖北省财政厅、中共湖北省委组织部、湖北省公务员局《关于印发〈湖北省省级党政机关培训费管理办法〉的通知》（鄂财行发〔201</w:t>
      </w:r>
      <w:r>
        <w:rPr>
          <w:rFonts w:hint="eastAsia" w:ascii="Times New Roman" w:hAnsi="Times New Roman" w:cs="Times New Roman"/>
        </w:rPr>
        <w:t>7</w:t>
      </w:r>
      <w:r>
        <w:rPr>
          <w:rFonts w:ascii="Times New Roman" w:hAnsi="Times New Roman" w:cs="Times New Roman"/>
        </w:rPr>
        <w:t>〕20号）</w:t>
      </w:r>
    </w:p>
    <w:p>
      <w:pPr>
        <w:topLinePunct/>
        <w:autoSpaceDN w:val="0"/>
        <w:ind w:firstLine="420" w:firstLineChars="200"/>
        <w:jc w:val="both"/>
        <w:rPr>
          <w:rFonts w:ascii="Times New Roman" w:hAnsi="Times New Roman" w:cs="Times New Roman"/>
        </w:rPr>
      </w:pPr>
      <w:r>
        <w:rPr>
          <w:rFonts w:ascii="Times New Roman" w:hAnsi="Times New Roman" w:cs="Times New Roman"/>
        </w:rPr>
        <w:t>湖北省建设工程标准定额管理总站《湖北省房屋建筑与装饰工程消耗量定额及全费用基价表》    （2018版）</w:t>
      </w:r>
    </w:p>
    <w:p>
      <w:pPr>
        <w:topLinePunct/>
        <w:autoSpaceDN w:val="0"/>
        <w:ind w:firstLine="420" w:firstLineChars="200"/>
        <w:jc w:val="both"/>
        <w:rPr>
          <w:rFonts w:ascii="Times New Roman" w:hAnsi="Times New Roman" w:cs="Times New Roman"/>
        </w:rPr>
      </w:pPr>
      <w:r>
        <w:rPr>
          <w:rFonts w:ascii="Times New Roman" w:hAnsi="Times New Roman" w:cs="Times New Roman"/>
        </w:rPr>
        <w:t>中国地质调查局《地质调查项目预算标准（2010年试用）》</w:t>
      </w:r>
    </w:p>
    <w:p>
      <w:pPr>
        <w:topLinePunct/>
        <w:autoSpaceDN w:val="0"/>
        <w:ind w:firstLine="420" w:firstLineChars="200"/>
        <w:jc w:val="both"/>
        <w:rPr>
          <w:rFonts w:ascii="Times New Roman" w:hAnsi="Times New Roman" w:cs="Times New Roman"/>
        </w:rPr>
      </w:pPr>
      <w:r>
        <w:rPr>
          <w:rFonts w:ascii="Times New Roman" w:hAnsi="Times New Roman" w:cs="Times New Roman"/>
        </w:rPr>
        <w:t>中国地质调查局《关于开展2019</w:t>
      </w:r>
      <w:r>
        <w:rPr>
          <w:rFonts w:hint="eastAsia" w:ascii="宋体" w:cs="Times New Roman"/>
        </w:rPr>
        <w:t>―</w:t>
      </w:r>
      <w:r>
        <w:rPr>
          <w:rFonts w:ascii="Times New Roman" w:hAnsi="Times New Roman" w:cs="Times New Roman"/>
        </w:rPr>
        <w:t>2021年地质调查项目立项论证（延续评估）及储备入库工作的通知》（中地调函〔201</w:t>
      </w:r>
      <w:r>
        <w:rPr>
          <w:rFonts w:hint="eastAsia" w:ascii="Times New Roman" w:hAnsi="Times New Roman" w:cs="Times New Roman"/>
        </w:rPr>
        <w:t>8</w:t>
      </w:r>
      <w:r>
        <w:rPr>
          <w:rFonts w:ascii="Times New Roman" w:hAnsi="Times New Roman" w:cs="Times New Roman"/>
        </w:rPr>
        <w:t>〕220号）</w:t>
      </w:r>
    </w:p>
    <w:p>
      <w:pPr>
        <w:topLinePunct/>
        <w:autoSpaceDN w:val="0"/>
        <w:ind w:firstLine="420" w:firstLineChars="200"/>
        <w:jc w:val="both"/>
        <w:rPr>
          <w:rFonts w:ascii="Times New Roman" w:hAnsi="Times New Roman" w:cs="Times New Roman"/>
        </w:rPr>
      </w:pPr>
      <w:r>
        <w:rPr>
          <w:rFonts w:ascii="Times New Roman" w:hAnsi="Times New Roman" w:cs="Times New Roman"/>
        </w:rPr>
        <w:t>中国地质调查局《地质调查项目立项论证（续作评估）预算编制与审查工作指南》（2019年6月）</w:t>
      </w:r>
    </w:p>
    <w:p>
      <w:pPr>
        <w:topLinePunct/>
        <w:autoSpaceDN w:val="0"/>
        <w:ind w:firstLine="420" w:firstLineChars="200"/>
        <w:jc w:val="both"/>
        <w:rPr>
          <w:rFonts w:ascii="Times New Roman" w:hAnsi="Times New Roman" w:cs="Times New Roman"/>
        </w:rPr>
      </w:pPr>
      <w:r>
        <w:rPr>
          <w:rFonts w:ascii="Times New Roman" w:hAnsi="Times New Roman" w:cs="Times New Roman"/>
        </w:rPr>
        <w:t>中国地质调查局《关于地质矿产调查评价项目预算编制和审查要求（试行）的通知》</w:t>
      </w:r>
      <w:r>
        <w:rPr>
          <w:rFonts w:hint="eastAsia" w:ascii="Times New Roman" w:hAnsi="Times New Roman" w:cs="Times New Roman"/>
        </w:rPr>
        <w:t>（</w:t>
      </w:r>
      <w:r>
        <w:rPr>
          <w:rFonts w:ascii="Times New Roman" w:hAnsi="Times New Roman" w:cs="Times New Roman"/>
        </w:rPr>
        <w:t>中地调函〔2010〕88号）</w:t>
      </w:r>
    </w:p>
    <w:p>
      <w:pPr>
        <w:topLinePunct/>
        <w:ind w:firstLine="420" w:firstLineChars="200"/>
        <w:jc w:val="both"/>
        <w:rPr>
          <w:rFonts w:ascii="Times New Roman" w:hAnsi="Times New Roman" w:cs="Times New Roman"/>
        </w:rPr>
      </w:pPr>
      <w:r>
        <w:rPr>
          <w:rFonts w:ascii="Times New Roman" w:hAnsi="Times New Roman" w:cs="Times New Roman"/>
        </w:rPr>
        <w:t>中国地质调查局《关于地质矿产调查评价项目预算编制与审查补充要求的通知》（中地调函      〔2010〕255号）</w:t>
      </w:r>
    </w:p>
    <w:p>
      <w:pPr>
        <w:topLinePunct/>
        <w:autoSpaceDN w:val="0"/>
        <w:ind w:firstLine="420" w:firstLineChars="200"/>
        <w:jc w:val="both"/>
        <w:rPr>
          <w:rFonts w:ascii="Times New Roman" w:hAnsi="Times New Roman" w:cs="Times New Roman"/>
        </w:rPr>
      </w:pPr>
      <w:r>
        <w:rPr>
          <w:rFonts w:ascii="Times New Roman" w:hAnsi="Times New Roman" w:cs="Times New Roman"/>
        </w:rPr>
        <w:t>中国地质调查局《关于做好2015年地质矿产调查评价专项项目设计审查工作的通知》（中地调函〔2015〕170号）及其附件《2015年度地质调查项目预算审查工作手册》</w:t>
      </w:r>
    </w:p>
    <w:p>
      <w:pPr>
        <w:overflowPunct w:val="0"/>
        <w:topLinePunct/>
        <w:ind w:firstLine="420" w:firstLineChars="200"/>
        <w:jc w:val="both"/>
        <w:rPr>
          <w:rFonts w:ascii="Times New Roman" w:hAnsi="Times New Roman" w:cs="Times New Roman"/>
        </w:rPr>
      </w:pPr>
      <w:r>
        <w:rPr>
          <w:rFonts w:ascii="Times New Roman" w:hAnsi="Times New Roman" w:cs="Times New Roman"/>
        </w:rPr>
        <w:t>中国地质调查局《关于印发区域地质调查技术要求（1:50</w:t>
      </w:r>
      <w:r>
        <w:rPr>
          <w:rFonts w:hint="eastAsia" w:ascii="Times New Roman" w:hAnsi="Times New Roman" w:cs="Times New Roman"/>
        </w:rPr>
        <w:t xml:space="preserve"> </w:t>
      </w:r>
      <w:r>
        <w:rPr>
          <w:rFonts w:ascii="Times New Roman" w:hAnsi="Times New Roman" w:cs="Times New Roman"/>
        </w:rPr>
        <w:t>000）等9项标准的通知》（中地调发 〔2019〕20号）及其附件《地质灾害调查技术要求（1:50</w:t>
      </w:r>
      <w:r>
        <w:rPr>
          <w:rFonts w:hint="eastAsia" w:ascii="Times New Roman" w:hAnsi="Times New Roman" w:cs="Times New Roman"/>
        </w:rPr>
        <w:t xml:space="preserve"> </w:t>
      </w:r>
      <w:r>
        <w:rPr>
          <w:rFonts w:ascii="Times New Roman" w:hAnsi="Times New Roman" w:cs="Times New Roman"/>
        </w:rPr>
        <w:t>000）》</w:t>
      </w:r>
    </w:p>
    <w:p>
      <w:pPr>
        <w:wordWrap w:val="0"/>
        <w:topLinePunct/>
        <w:ind w:firstLine="420" w:firstLineChars="200"/>
        <w:jc w:val="both"/>
        <w:rPr>
          <w:rFonts w:ascii="Times New Roman" w:hAnsi="Times New Roman" w:cs="Times New Roman"/>
        </w:rPr>
      </w:pPr>
      <w:r>
        <w:rPr>
          <w:rFonts w:ascii="Times New Roman" w:hAnsi="Times New Roman" w:cs="Times New Roman"/>
        </w:rPr>
        <w:t>中国地质灾害防治工程行业协会《地质灾害防治工程概（估）算编制规范（试行）》</w:t>
      </w:r>
      <w:r>
        <w:rPr>
          <w:rFonts w:hint="eastAsia" w:ascii="Times New Roman" w:hAnsi="Times New Roman" w:cs="Times New Roman"/>
        </w:rPr>
        <w:t>（</w:t>
      </w:r>
      <w:r>
        <w:rPr>
          <w:rFonts w:ascii="Times New Roman" w:hAnsi="Times New Roman" w:cs="Times New Roman"/>
        </w:rPr>
        <w:t>T/CAGHP065.1</w:t>
      </w:r>
      <w:r>
        <w:rPr>
          <w:rFonts w:hint="eastAsia" w:ascii="宋体" w:cs="Times New Roman"/>
        </w:rPr>
        <w:t>―</w:t>
      </w:r>
      <w:r>
        <w:rPr>
          <w:rFonts w:ascii="Times New Roman" w:hAnsi="Times New Roman" w:cs="Times New Roman"/>
        </w:rPr>
        <w:t>2019</w:t>
      </w:r>
      <w:r>
        <w:rPr>
          <w:rFonts w:hint="eastAsia" w:ascii="Times New Roman" w:hAnsi="Times New Roman" w:cs="Times New Roman"/>
        </w:rPr>
        <w:t>）</w:t>
      </w:r>
    </w:p>
    <w:p>
      <w:pPr>
        <w:wordWrap w:val="0"/>
        <w:topLinePunct/>
        <w:ind w:firstLine="420" w:firstLineChars="200"/>
        <w:jc w:val="both"/>
        <w:rPr>
          <w:rFonts w:ascii="Times New Roman" w:hAnsi="Times New Roman" w:cs="Times New Roman"/>
        </w:rPr>
      </w:pPr>
      <w:r>
        <w:rPr>
          <w:rFonts w:ascii="Times New Roman" w:hAnsi="Times New Roman" w:cs="Times New Roman"/>
        </w:rPr>
        <w:t>中国地质灾害防治工程行业协会《地质灾害防治工程工程量清单计价规范（试行）》</w:t>
      </w:r>
      <w:r>
        <w:rPr>
          <w:rFonts w:hint="eastAsia" w:ascii="Times New Roman" w:hAnsi="Times New Roman" w:cs="Times New Roman"/>
        </w:rPr>
        <w:t>（</w:t>
      </w:r>
      <w:r>
        <w:rPr>
          <w:rFonts w:ascii="Times New Roman" w:hAnsi="Times New Roman" w:cs="Times New Roman"/>
        </w:rPr>
        <w:t>T/CAGHP065.2</w:t>
      </w:r>
      <w:r>
        <w:rPr>
          <w:rFonts w:hint="eastAsia" w:ascii="宋体" w:cs="Times New Roman"/>
        </w:rPr>
        <w:t>―</w:t>
      </w:r>
      <w:r>
        <w:rPr>
          <w:rFonts w:ascii="Times New Roman" w:hAnsi="Times New Roman" w:cs="Times New Roman"/>
        </w:rPr>
        <w:t>2019</w:t>
      </w:r>
      <w:r>
        <w:rPr>
          <w:rFonts w:hint="eastAsia" w:ascii="Times New Roman" w:hAnsi="Times New Roman" w:cs="Times New Roman"/>
        </w:rPr>
        <w:t>）</w:t>
      </w:r>
    </w:p>
    <w:p>
      <w:pPr>
        <w:topLinePunct/>
        <w:autoSpaceDE w:val="0"/>
        <w:ind w:firstLine="420" w:firstLineChars="200"/>
        <w:jc w:val="both"/>
        <w:rPr>
          <w:rFonts w:ascii="Times New Roman" w:hAnsi="Times New Roman" w:cs="Times New Roman"/>
        </w:rPr>
      </w:pPr>
      <w:r>
        <w:rPr>
          <w:rFonts w:ascii="Times New Roman" w:hAnsi="Times New Roman" w:cs="Times New Roman"/>
        </w:rPr>
        <w:t>中国地质灾害防治工程行业协会《地质灾害防治工程预算定额（试行）》</w:t>
      </w:r>
      <w:r>
        <w:rPr>
          <w:rFonts w:hint="eastAsia" w:ascii="Times New Roman" w:hAnsi="Times New Roman" w:cs="Times New Roman"/>
        </w:rPr>
        <w:t>（</w:t>
      </w:r>
      <w:r>
        <w:rPr>
          <w:rFonts w:ascii="Times New Roman" w:hAnsi="Times New Roman" w:cs="Times New Roman"/>
        </w:rPr>
        <w:t>T/CAGHP065.3</w:t>
      </w:r>
      <w:r>
        <w:rPr>
          <w:rFonts w:hint="eastAsia" w:ascii="宋体" w:cs="Times New Roman"/>
        </w:rPr>
        <w:t>―</w:t>
      </w:r>
      <w:r>
        <w:rPr>
          <w:rFonts w:ascii="Times New Roman" w:hAnsi="Times New Roman" w:cs="Times New Roman"/>
        </w:rPr>
        <w:t>2019</w:t>
      </w:r>
      <w:r>
        <w:rPr>
          <w:rFonts w:hint="eastAsia" w:ascii="Times New Roman" w:hAnsi="Times New Roman" w:cs="Times New Roman"/>
        </w:rPr>
        <w:t>）</w:t>
      </w:r>
    </w:p>
    <w:p>
      <w:pPr>
        <w:topLinePunct/>
        <w:ind w:firstLine="420" w:firstLineChars="200"/>
        <w:jc w:val="both"/>
        <w:rPr>
          <w:rFonts w:ascii="Times New Roman" w:hAnsi="Times New Roman" w:cs="Times New Roman"/>
        </w:rPr>
      </w:pPr>
      <w:r>
        <w:rPr>
          <w:rFonts w:ascii="Times New Roman" w:hAnsi="Times New Roman" w:cs="Times New Roman"/>
        </w:rPr>
        <w:t>中国地质灾害防治工程行业协会《地质灾害InSAR监测技术指南（试行）》</w:t>
      </w:r>
      <w:r>
        <w:rPr>
          <w:rFonts w:hint="eastAsia" w:ascii="Times New Roman" w:hAnsi="Times New Roman" w:cs="Times New Roman"/>
        </w:rPr>
        <w:t>（</w:t>
      </w:r>
      <w:r>
        <w:rPr>
          <w:rFonts w:ascii="Times New Roman" w:hAnsi="Times New Roman" w:cs="Times New Roman"/>
        </w:rPr>
        <w:t>T/CAGHP013</w:t>
      </w:r>
      <w:r>
        <w:rPr>
          <w:rFonts w:hint="eastAsia" w:ascii="Times New Roman" w:hAnsi="Times New Roman" w:cs="Times New Roman"/>
        </w:rPr>
        <w:t>―</w:t>
      </w:r>
      <w:r>
        <w:rPr>
          <w:rFonts w:ascii="Times New Roman" w:hAnsi="Times New Roman" w:cs="Times New Roman"/>
        </w:rPr>
        <w:t>2019</w:t>
      </w:r>
      <w:r>
        <w:rPr>
          <w:rFonts w:hint="eastAsia" w:ascii="Times New Roman" w:hAnsi="Times New Roman" w:cs="Times New Roman"/>
        </w:rPr>
        <w:t>）</w:t>
      </w:r>
    </w:p>
    <w:p>
      <w:pPr>
        <w:ind w:firstLine="420" w:firstLineChars="200"/>
        <w:jc w:val="both"/>
        <w:rPr>
          <w:rFonts w:ascii="Times New Roman" w:hAnsi="Times New Roman" w:cs="Times New Roman"/>
        </w:rPr>
      </w:pPr>
      <w:r>
        <w:rPr>
          <w:rFonts w:ascii="Times New Roman" w:hAnsi="Times New Roman" w:cs="Times New Roman"/>
        </w:rPr>
        <w:t>《地质灾害防治项目预算编制与审查实用手册》（中国地质科学院探矿工艺研究所主编、四川省地质环境监测总站、四川锦瑞青山科技有限公司参编，2019年4月西南交通大学出版社出版）</w:t>
      </w:r>
    </w:p>
    <w:p>
      <w:pPr>
        <w:pStyle w:val="3"/>
        <w:spacing w:before="240" w:beforeLines="100" w:after="240" w:afterLines="100"/>
        <w:rPr>
          <w:rFonts w:ascii="黑体" w:cs="黑体"/>
        </w:rPr>
      </w:pPr>
      <w:bookmarkStart w:id="10" w:name="_Toc5971915"/>
      <w:bookmarkStart w:id="11" w:name="_Toc16760266"/>
      <w:bookmarkStart w:id="12" w:name="_Toc36634188"/>
      <w:bookmarkStart w:id="13" w:name="_Toc530390370"/>
      <w:r>
        <w:rPr>
          <w:rFonts w:ascii="黑体" w:cs="黑体"/>
        </w:rPr>
        <w:t>3  术语与定义</w:t>
      </w:r>
      <w:bookmarkEnd w:id="10"/>
      <w:bookmarkEnd w:id="11"/>
      <w:bookmarkEnd w:id="12"/>
      <w:bookmarkEnd w:id="13"/>
    </w:p>
    <w:p>
      <w:pPr>
        <w:ind w:firstLine="420" w:firstLineChars="200"/>
        <w:rPr>
          <w:rFonts w:ascii="Times New Roman" w:hAnsi="Times New Roman" w:cs="Times New Roman"/>
        </w:rPr>
      </w:pPr>
      <w:r>
        <w:rPr>
          <w:rFonts w:ascii="Times New Roman" w:hAnsi="Times New Roman" w:cs="Times New Roman"/>
        </w:rPr>
        <w:t>下列术语和定义适用于本文件。</w:t>
      </w:r>
    </w:p>
    <w:p>
      <w:pPr>
        <w:pStyle w:val="4"/>
        <w:rPr>
          <w:rFonts w:cs="黑体"/>
        </w:rPr>
      </w:pPr>
      <w:bookmarkStart w:id="14" w:name="_Toc36634189"/>
      <w:bookmarkStart w:id="15" w:name="_Toc26909319"/>
      <w:bookmarkStart w:id="16" w:name="_Toc24417849"/>
      <w:r>
        <w:rPr>
          <w:rFonts w:cs="黑体"/>
        </w:rPr>
        <w:t>3.1</w:t>
      </w:r>
      <w:bookmarkEnd w:id="14"/>
    </w:p>
    <w:p>
      <w:pPr>
        <w:ind w:firstLine="420" w:firstLineChars="200"/>
        <w:jc w:val="both"/>
        <w:rPr>
          <w:rFonts w:ascii="黑体" w:eastAsia="黑体" w:cs="黑体"/>
        </w:rPr>
      </w:pPr>
      <w:r>
        <w:rPr>
          <w:rFonts w:ascii="黑体" w:eastAsia="黑体" w:cs="黑体"/>
        </w:rPr>
        <w:t>概算</w:t>
      </w:r>
      <w:bookmarkEnd w:id="15"/>
      <w:bookmarkEnd w:id="16"/>
      <w:r>
        <w:rPr>
          <w:rFonts w:ascii="黑体" w:eastAsia="黑体" w:cs="黑体"/>
        </w:rPr>
        <w:t xml:space="preserve"> budget estimate</w:t>
      </w:r>
    </w:p>
    <w:p>
      <w:pPr>
        <w:ind w:firstLine="420" w:firstLineChars="200"/>
        <w:rPr>
          <w:rFonts w:ascii="Times New Roman" w:hAnsi="Times New Roman" w:cs="Times New Roman"/>
        </w:rPr>
      </w:pPr>
      <w:r>
        <w:rPr>
          <w:rFonts w:ascii="Times New Roman" w:hAnsi="Times New Roman" w:cs="Times New Roman"/>
        </w:rPr>
        <w:t>指地质灾害防治项目概算，主要包括治理与搬迁避让项目概算。概算是在项目申报的初步设计阶段，根据初步设计报告、图纸、概算定额、设备和材料预算价格等资料编制的技术经济文件。</w:t>
      </w:r>
    </w:p>
    <w:p>
      <w:pPr>
        <w:pStyle w:val="4"/>
        <w:rPr>
          <w:rFonts w:cs="黑体"/>
        </w:rPr>
      </w:pPr>
      <w:bookmarkStart w:id="17" w:name="_Toc36634190"/>
      <w:bookmarkStart w:id="18" w:name="_Toc26909320"/>
      <w:bookmarkStart w:id="19" w:name="_Toc24417850"/>
      <w:r>
        <w:rPr>
          <w:rFonts w:hint="eastAsia" w:cs="黑体"/>
        </w:rPr>
        <w:t>3.2</w:t>
      </w:r>
      <w:bookmarkEnd w:id="17"/>
    </w:p>
    <w:p>
      <w:pPr>
        <w:ind w:firstLine="420" w:firstLineChars="200"/>
        <w:jc w:val="both"/>
        <w:rPr>
          <w:rFonts w:ascii="黑体" w:eastAsia="黑体" w:cs="Times New Roman"/>
        </w:rPr>
      </w:pPr>
      <w:r>
        <w:rPr>
          <w:rFonts w:hint="eastAsia" w:ascii="黑体" w:eastAsia="黑体" w:cs="Times New Roman"/>
        </w:rPr>
        <w:t>预算</w:t>
      </w:r>
      <w:bookmarkEnd w:id="18"/>
      <w:bookmarkEnd w:id="19"/>
      <w:r>
        <w:rPr>
          <w:rFonts w:hint="eastAsia" w:ascii="黑体" w:eastAsia="黑体" w:cs="Times New Roman"/>
        </w:rPr>
        <w:t xml:space="preserve"> </w:t>
      </w:r>
      <w:r>
        <w:rPr>
          <w:rFonts w:hint="eastAsia" w:ascii="黑体" w:eastAsia="黑体"/>
        </w:rPr>
        <w:t>budget</w:t>
      </w:r>
    </w:p>
    <w:p>
      <w:pPr>
        <w:ind w:firstLine="420" w:firstLineChars="200"/>
        <w:rPr>
          <w:rFonts w:ascii="Times New Roman" w:hAnsi="Times New Roman" w:cs="Times New Roman"/>
        </w:rPr>
      </w:pPr>
      <w:r>
        <w:rPr>
          <w:rFonts w:ascii="Times New Roman" w:hAnsi="Times New Roman" w:cs="Times New Roman"/>
        </w:rPr>
        <w:t>指地质灾害防治项目预算，包括调查评价项目、监测预警项目、治理与搬迁避让项目、能力建设项目、信息化建设项目预算。预算是根据设计报告、图纸、预算定额、费用定额、设备和材料预算价格、工资标准等资料编制的技术经济文件。预算比概算更为细致和精确。</w:t>
      </w:r>
    </w:p>
    <w:p>
      <w:pPr>
        <w:pStyle w:val="4"/>
        <w:rPr>
          <w:rFonts w:cs="黑体"/>
        </w:rPr>
      </w:pPr>
      <w:bookmarkStart w:id="20" w:name="_Toc36634191"/>
      <w:bookmarkStart w:id="21" w:name="_Toc26909321"/>
      <w:bookmarkStart w:id="22" w:name="_Toc24417851"/>
      <w:r>
        <w:rPr>
          <w:rFonts w:hint="eastAsia" w:cs="黑体"/>
        </w:rPr>
        <w:t>3.3</w:t>
      </w:r>
      <w:bookmarkEnd w:id="20"/>
    </w:p>
    <w:p>
      <w:pPr>
        <w:ind w:firstLine="420" w:firstLineChars="200"/>
        <w:jc w:val="both"/>
        <w:rPr>
          <w:rFonts w:ascii="黑体" w:eastAsia="黑体" w:cs="Times New Roman"/>
        </w:rPr>
      </w:pPr>
      <w:r>
        <w:rPr>
          <w:rFonts w:hint="eastAsia" w:ascii="黑体" w:eastAsia="黑体" w:cs="Times New Roman"/>
        </w:rPr>
        <w:t>“量价费”预算</w:t>
      </w:r>
      <w:bookmarkEnd w:id="21"/>
      <w:bookmarkEnd w:id="22"/>
      <w:r>
        <w:rPr>
          <w:rFonts w:hint="eastAsia" w:ascii="黑体" w:eastAsia="黑体" w:cs="Times New Roman"/>
        </w:rPr>
        <w:t xml:space="preserve"> "volume price fee" budget</w:t>
      </w:r>
    </w:p>
    <w:p>
      <w:pPr>
        <w:ind w:firstLine="420" w:firstLineChars="20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量</w:t>
      </w:r>
      <w:r>
        <w:rPr>
          <w:rFonts w:hint="eastAsia" w:ascii="Times New Roman" w:hAnsi="Times New Roman" w:cs="Times New Roman"/>
        </w:rPr>
        <w:t>”</w:t>
      </w:r>
      <w:r>
        <w:rPr>
          <w:rFonts w:ascii="Times New Roman" w:hAnsi="Times New Roman" w:cs="Times New Roman"/>
        </w:rPr>
        <w:t>是工程量，</w:t>
      </w:r>
      <w:r>
        <w:rPr>
          <w:rFonts w:hint="eastAsia" w:ascii="Times New Roman" w:hAnsi="Times New Roman" w:cs="Times New Roman"/>
        </w:rPr>
        <w:t>“</w:t>
      </w:r>
      <w:r>
        <w:rPr>
          <w:rFonts w:ascii="Times New Roman" w:hAnsi="Times New Roman" w:cs="Times New Roman"/>
        </w:rPr>
        <w:t>价</w:t>
      </w:r>
      <w:r>
        <w:rPr>
          <w:rFonts w:hint="eastAsia" w:ascii="Times New Roman" w:hAnsi="Times New Roman" w:cs="Times New Roman"/>
        </w:rPr>
        <w:t>”</w:t>
      </w:r>
      <w:r>
        <w:rPr>
          <w:rFonts w:ascii="Times New Roman" w:hAnsi="Times New Roman" w:cs="Times New Roman"/>
        </w:rPr>
        <w:t>是单价，</w:t>
      </w:r>
      <w:r>
        <w:rPr>
          <w:rFonts w:hint="eastAsia" w:ascii="Times New Roman" w:hAnsi="Times New Roman" w:cs="Times New Roman"/>
        </w:rPr>
        <w:t>“</w:t>
      </w:r>
      <w:r>
        <w:rPr>
          <w:rFonts w:ascii="Times New Roman" w:hAnsi="Times New Roman" w:cs="Times New Roman"/>
        </w:rPr>
        <w:t>费</w:t>
      </w:r>
      <w:r>
        <w:rPr>
          <w:rFonts w:hint="eastAsia" w:ascii="Times New Roman" w:hAnsi="Times New Roman" w:cs="Times New Roman"/>
        </w:rPr>
        <w:t>”</w:t>
      </w:r>
      <w:r>
        <w:rPr>
          <w:rFonts w:ascii="Times New Roman" w:hAnsi="Times New Roman" w:cs="Times New Roman"/>
        </w:rPr>
        <w:t>是取费标准；</w:t>
      </w:r>
      <w:r>
        <w:rPr>
          <w:rFonts w:hint="eastAsia" w:ascii="Times New Roman" w:hAnsi="Times New Roman" w:cs="Times New Roman"/>
        </w:rPr>
        <w:t>“</w:t>
      </w:r>
      <w:r>
        <w:rPr>
          <w:rFonts w:ascii="Times New Roman" w:hAnsi="Times New Roman" w:cs="Times New Roman"/>
        </w:rPr>
        <w:t>量价费</w:t>
      </w:r>
      <w:r>
        <w:rPr>
          <w:rFonts w:hint="eastAsia" w:ascii="Times New Roman" w:hAnsi="Times New Roman" w:cs="Times New Roman"/>
        </w:rPr>
        <w:t>”</w:t>
      </w:r>
      <w:r>
        <w:rPr>
          <w:rFonts w:ascii="Times New Roman" w:hAnsi="Times New Roman" w:cs="Times New Roman"/>
        </w:rPr>
        <w:t>预算</w:t>
      </w:r>
      <w:r>
        <w:rPr>
          <w:rFonts w:hint="eastAsia" w:ascii="Times New Roman" w:hAnsi="Times New Roman" w:cs="Times New Roman"/>
        </w:rPr>
        <w:t>是</w:t>
      </w:r>
      <w:r>
        <w:rPr>
          <w:rFonts w:ascii="Times New Roman" w:hAnsi="Times New Roman" w:cs="Times New Roman"/>
        </w:rPr>
        <w:t>指按照规定的取费标准，采用设计的工程量和选取适当的定额单价或市场调查价计算而出的预算。</w:t>
      </w:r>
    </w:p>
    <w:p>
      <w:pPr>
        <w:pStyle w:val="4"/>
        <w:rPr>
          <w:rFonts w:cs="黑体"/>
        </w:rPr>
      </w:pPr>
      <w:bookmarkStart w:id="23" w:name="_Toc36634192"/>
      <w:bookmarkStart w:id="24" w:name="_Toc24417852"/>
      <w:bookmarkStart w:id="25" w:name="_Toc26909322"/>
      <w:r>
        <w:rPr>
          <w:rFonts w:cs="黑体"/>
        </w:rPr>
        <w:t>3.4</w:t>
      </w:r>
      <w:bookmarkEnd w:id="23"/>
    </w:p>
    <w:p>
      <w:pPr>
        <w:ind w:firstLine="420" w:firstLineChars="200"/>
        <w:jc w:val="both"/>
        <w:rPr>
          <w:rFonts w:ascii="黑体" w:eastAsia="黑体" w:cs="Times New Roman"/>
        </w:rPr>
      </w:pPr>
      <w:r>
        <w:rPr>
          <w:rFonts w:hint="eastAsia" w:ascii="黑体" w:eastAsia="黑体" w:cs="Times New Roman"/>
        </w:rPr>
        <w:t>“经济科目”预算</w:t>
      </w:r>
      <w:bookmarkEnd w:id="24"/>
      <w:bookmarkEnd w:id="25"/>
      <w:r>
        <w:rPr>
          <w:rFonts w:hint="eastAsia" w:ascii="黑体" w:eastAsia="黑体" w:cs="Times New Roman"/>
        </w:rPr>
        <w:t xml:space="preserve"> "economic subject" budget</w:t>
      </w:r>
    </w:p>
    <w:p>
      <w:pPr>
        <w:ind w:firstLine="420" w:firstLineChars="200"/>
        <w:rPr>
          <w:rFonts w:ascii="Times New Roman" w:hAnsi="Times New Roman" w:cs="Times New Roman"/>
        </w:rPr>
      </w:pPr>
      <w:r>
        <w:rPr>
          <w:rFonts w:ascii="Times New Roman" w:hAnsi="Times New Roman" w:cs="Times New Roman"/>
        </w:rPr>
        <w:t>指根据计划投入的人员、设备、材料等测算出项目的绩效工资、办公费、印刷费、水费、电费、邮电费、差旅费、维修（护）费、租赁费、会议费、培训费、专用材料费、专用燃料费、劳务费、委托业务费、设备购置费、其他商品和服务支出、利润、税金及附加费用等支出经济科目费用后汇总而得的预算。</w:t>
      </w:r>
    </w:p>
    <w:p>
      <w:pPr>
        <w:pStyle w:val="4"/>
        <w:rPr>
          <w:rFonts w:cs="黑体"/>
        </w:rPr>
      </w:pPr>
      <w:bookmarkStart w:id="26" w:name="_Toc36634193"/>
      <w:bookmarkStart w:id="27" w:name="_Toc26909323"/>
      <w:bookmarkStart w:id="28" w:name="_Toc24417853"/>
      <w:r>
        <w:rPr>
          <w:rFonts w:hint="eastAsia" w:cs="黑体"/>
        </w:rPr>
        <w:t>3.5</w:t>
      </w:r>
      <w:bookmarkEnd w:id="26"/>
    </w:p>
    <w:p>
      <w:pPr>
        <w:ind w:firstLine="420" w:firstLineChars="200"/>
        <w:jc w:val="both"/>
        <w:rPr>
          <w:rFonts w:ascii="黑体" w:eastAsia="黑体" w:cs="Times New Roman"/>
        </w:rPr>
      </w:pPr>
      <w:r>
        <w:rPr>
          <w:rFonts w:hint="eastAsia" w:ascii="黑体" w:eastAsia="黑体" w:cs="Times New Roman"/>
        </w:rPr>
        <w:t>定额</w:t>
      </w:r>
      <w:bookmarkEnd w:id="27"/>
      <w:bookmarkEnd w:id="28"/>
      <w:r>
        <w:rPr>
          <w:rFonts w:hint="eastAsia" w:ascii="黑体" w:eastAsia="黑体" w:cs="Times New Roman"/>
        </w:rPr>
        <w:t xml:space="preserve"> </w:t>
      </w:r>
      <w:r>
        <w:rPr>
          <w:rFonts w:hint="eastAsia" w:ascii="黑体" w:eastAsia="黑体"/>
        </w:rPr>
        <w:t>quota</w:t>
      </w:r>
    </w:p>
    <w:p>
      <w:pPr>
        <w:ind w:firstLine="420" w:firstLineChars="200"/>
        <w:rPr>
          <w:rFonts w:ascii="Times New Roman" w:hAnsi="Times New Roman" w:cs="Times New Roman"/>
        </w:rPr>
      </w:pPr>
      <w:r>
        <w:rPr>
          <w:rFonts w:ascii="Times New Roman" w:hAnsi="Times New Roman" w:cs="Times New Roman"/>
        </w:rPr>
        <w:t>有关部门从总体的地质灾害防治工作过程来考查，规定出项目工作平均必需的消耗数量标准，这种标准就称之为定额。</w:t>
      </w:r>
    </w:p>
    <w:p>
      <w:pPr>
        <w:pStyle w:val="4"/>
        <w:rPr>
          <w:rFonts w:cs="黑体"/>
        </w:rPr>
      </w:pPr>
      <w:bookmarkStart w:id="29" w:name="_Toc36634194"/>
      <w:bookmarkStart w:id="30" w:name="_Toc24417854"/>
      <w:bookmarkStart w:id="31" w:name="_Toc26909324"/>
      <w:r>
        <w:rPr>
          <w:rFonts w:hint="eastAsia" w:cs="黑体"/>
        </w:rPr>
        <w:t>3.6</w:t>
      </w:r>
      <w:bookmarkEnd w:id="29"/>
    </w:p>
    <w:p>
      <w:pPr>
        <w:ind w:firstLine="420" w:firstLineChars="200"/>
        <w:jc w:val="both"/>
        <w:rPr>
          <w:rFonts w:ascii="黑体" w:eastAsia="黑体" w:cs="Times New Roman"/>
        </w:rPr>
      </w:pPr>
      <w:r>
        <w:rPr>
          <w:rFonts w:hint="eastAsia" w:ascii="黑体" w:eastAsia="黑体" w:cs="Times New Roman"/>
        </w:rPr>
        <w:t>单价</w:t>
      </w:r>
      <w:bookmarkEnd w:id="30"/>
      <w:bookmarkEnd w:id="31"/>
      <w:r>
        <w:rPr>
          <w:rFonts w:hint="eastAsia" w:ascii="黑体" w:eastAsia="黑体" w:cs="Times New Roman"/>
        </w:rPr>
        <w:t xml:space="preserve"> </w:t>
      </w:r>
      <w:r>
        <w:rPr>
          <w:rFonts w:hint="eastAsia" w:ascii="黑体" w:eastAsia="黑体"/>
          <w:color w:val="333333"/>
          <w:shd w:val="clear" w:color="auto" w:fill="FFFFFF"/>
        </w:rPr>
        <w:t>unit price</w:t>
      </w:r>
    </w:p>
    <w:p>
      <w:pPr>
        <w:ind w:firstLine="420" w:firstLineChars="200"/>
        <w:rPr>
          <w:rFonts w:ascii="Times New Roman" w:hAnsi="Times New Roman" w:cs="Times New Roman"/>
        </w:rPr>
      </w:pPr>
      <w:r>
        <w:rPr>
          <w:rFonts w:ascii="Times New Roman" w:hAnsi="Times New Roman" w:cs="Times New Roman"/>
        </w:rPr>
        <w:t>指地质灾害防治工作的一个单位数量的价值量，也指项目工作的最小计价单位。</w:t>
      </w:r>
    </w:p>
    <w:p>
      <w:pPr>
        <w:pStyle w:val="4"/>
        <w:rPr>
          <w:rFonts w:cs="黑体"/>
        </w:rPr>
      </w:pPr>
      <w:bookmarkStart w:id="32" w:name="_Toc36634195"/>
      <w:bookmarkStart w:id="33" w:name="_Toc26909325"/>
      <w:bookmarkStart w:id="34" w:name="_Toc24417855"/>
      <w:r>
        <w:rPr>
          <w:rFonts w:cs="黑体"/>
        </w:rPr>
        <w:t>3.7</w:t>
      </w:r>
      <w:bookmarkEnd w:id="32"/>
    </w:p>
    <w:p>
      <w:pPr>
        <w:ind w:firstLine="420" w:firstLineChars="200"/>
        <w:jc w:val="both"/>
        <w:rPr>
          <w:rFonts w:ascii="黑体" w:eastAsia="黑体" w:cs="Times New Roman"/>
        </w:rPr>
      </w:pPr>
      <w:r>
        <w:rPr>
          <w:rFonts w:hint="eastAsia" w:ascii="黑体" w:eastAsia="黑体" w:cs="Times New Roman"/>
        </w:rPr>
        <w:t>建安工程费</w:t>
      </w:r>
      <w:bookmarkEnd w:id="33"/>
      <w:bookmarkEnd w:id="34"/>
      <w:r>
        <w:rPr>
          <w:rFonts w:hint="eastAsia" w:ascii="黑体" w:eastAsia="黑体" w:cs="Times New Roman"/>
        </w:rPr>
        <w:t xml:space="preserve"> construction and installation fee</w:t>
      </w:r>
    </w:p>
    <w:p>
      <w:pPr>
        <w:ind w:firstLine="420" w:firstLineChars="200"/>
        <w:rPr>
          <w:rFonts w:ascii="Times New Roman" w:hAnsi="Times New Roman" w:cs="Times New Roman"/>
        </w:rPr>
      </w:pPr>
      <w:r>
        <w:rPr>
          <w:rFonts w:ascii="Times New Roman" w:hAnsi="Times New Roman" w:cs="Times New Roman"/>
        </w:rPr>
        <w:t>为控制或者减轻地质灾害所采取的专项地质工程措施和临时工程措施的费用，包含建筑工程费、安装工程费和临时工程费。</w:t>
      </w:r>
    </w:p>
    <w:p>
      <w:pPr>
        <w:pStyle w:val="4"/>
        <w:rPr>
          <w:rFonts w:cs="黑体"/>
        </w:rPr>
      </w:pPr>
      <w:bookmarkStart w:id="35" w:name="_Toc36634196"/>
      <w:bookmarkStart w:id="36" w:name="_Toc24417856"/>
      <w:bookmarkStart w:id="37" w:name="_Toc26909326"/>
      <w:r>
        <w:rPr>
          <w:rFonts w:hint="eastAsia" w:cs="黑体"/>
        </w:rPr>
        <w:t>3.8</w:t>
      </w:r>
      <w:bookmarkEnd w:id="35"/>
    </w:p>
    <w:p>
      <w:pPr>
        <w:ind w:firstLine="420" w:firstLineChars="200"/>
        <w:jc w:val="both"/>
        <w:rPr>
          <w:rFonts w:ascii="黑体" w:eastAsia="黑体" w:cs="Times New Roman"/>
        </w:rPr>
      </w:pPr>
      <w:r>
        <w:rPr>
          <w:rFonts w:hint="eastAsia" w:ascii="黑体" w:eastAsia="黑体" w:cs="Times New Roman"/>
        </w:rPr>
        <w:t>临时工程费</w:t>
      </w:r>
      <w:bookmarkEnd w:id="36"/>
      <w:bookmarkEnd w:id="37"/>
      <w:r>
        <w:rPr>
          <w:rFonts w:hint="eastAsia" w:ascii="黑体" w:eastAsia="黑体" w:cs="Times New Roman"/>
        </w:rPr>
        <w:t xml:space="preserve"> </w:t>
      </w:r>
      <w:r>
        <w:rPr>
          <w:rFonts w:hint="eastAsia" w:ascii="黑体" w:eastAsia="黑体"/>
        </w:rPr>
        <w:t xml:space="preserve">temporary construction </w:t>
      </w:r>
      <w:r>
        <w:rPr>
          <w:rFonts w:hint="eastAsia" w:ascii="黑体" w:eastAsia="黑体"/>
          <w:color w:val="333333"/>
          <w:shd w:val="clear" w:color="auto" w:fill="FFFFFF"/>
        </w:rPr>
        <w:t>fee</w:t>
      </w:r>
    </w:p>
    <w:p>
      <w:pPr>
        <w:ind w:firstLine="420" w:firstLineChars="200"/>
        <w:rPr>
          <w:rFonts w:ascii="Times New Roman" w:hAnsi="Times New Roman" w:cs="Times New Roman"/>
        </w:rPr>
      </w:pPr>
      <w:r>
        <w:rPr>
          <w:rFonts w:ascii="Times New Roman" w:hAnsi="Times New Roman" w:cs="Times New Roman"/>
        </w:rPr>
        <w:t>为辅助主体工程所必须修建的生产和生活用临时性工程的费用。</w:t>
      </w:r>
    </w:p>
    <w:p>
      <w:pPr>
        <w:pStyle w:val="4"/>
        <w:rPr>
          <w:rFonts w:cs="黑体"/>
        </w:rPr>
      </w:pPr>
      <w:bookmarkStart w:id="38" w:name="_Toc36634197"/>
      <w:bookmarkStart w:id="39" w:name="_Toc26909327"/>
      <w:bookmarkStart w:id="40" w:name="_Toc24417857"/>
      <w:r>
        <w:rPr>
          <w:rFonts w:hint="eastAsia" w:cs="黑体"/>
        </w:rPr>
        <w:t>3.9</w:t>
      </w:r>
      <w:bookmarkEnd w:id="38"/>
    </w:p>
    <w:p>
      <w:pPr>
        <w:ind w:firstLine="420" w:firstLineChars="200"/>
        <w:jc w:val="both"/>
        <w:rPr>
          <w:rFonts w:ascii="黑体" w:eastAsia="黑体" w:cs="Times New Roman"/>
        </w:rPr>
      </w:pPr>
      <w:r>
        <w:rPr>
          <w:rFonts w:hint="eastAsia" w:ascii="黑体" w:eastAsia="黑体" w:cs="Times New Roman"/>
        </w:rPr>
        <w:t>直接费</w:t>
      </w:r>
      <w:bookmarkEnd w:id="39"/>
      <w:bookmarkEnd w:id="40"/>
      <w:r>
        <w:rPr>
          <w:rFonts w:hint="eastAsia" w:ascii="黑体" w:eastAsia="黑体" w:cs="Times New Roman"/>
        </w:rPr>
        <w:t xml:space="preserve"> </w:t>
      </w:r>
      <w:r>
        <w:rPr>
          <w:rFonts w:hint="eastAsia" w:ascii="黑体" w:eastAsia="黑体"/>
        </w:rPr>
        <w:t xml:space="preserve">direct </w:t>
      </w:r>
      <w:r>
        <w:rPr>
          <w:rFonts w:hint="eastAsia" w:ascii="黑体" w:eastAsia="黑体"/>
          <w:color w:val="333333"/>
          <w:shd w:val="clear" w:color="auto" w:fill="FFFFFF"/>
        </w:rPr>
        <w:t>fee</w:t>
      </w:r>
    </w:p>
    <w:p>
      <w:pPr>
        <w:ind w:firstLine="420" w:firstLineChars="200"/>
        <w:rPr>
          <w:rFonts w:ascii="Times New Roman" w:hAnsi="Times New Roman" w:cs="Times New Roman"/>
        </w:rPr>
      </w:pPr>
      <w:r>
        <w:rPr>
          <w:rFonts w:ascii="Times New Roman" w:hAnsi="Times New Roman" w:cs="Times New Roman"/>
        </w:rPr>
        <w:t>地质灾害防治工程施工过程中直接消耗在工程项目上的活劳动和物化劳动。直接费由基本直接费和其他直接费构成。基本直接费由人工费、材料费和机械使用费构成。</w:t>
      </w:r>
    </w:p>
    <w:p>
      <w:pPr>
        <w:pStyle w:val="4"/>
        <w:rPr>
          <w:rFonts w:cs="黑体"/>
        </w:rPr>
      </w:pPr>
      <w:bookmarkStart w:id="41" w:name="_Toc36634198"/>
      <w:bookmarkStart w:id="42" w:name="_Toc24417858"/>
      <w:bookmarkStart w:id="43" w:name="_Toc26909328"/>
      <w:r>
        <w:rPr>
          <w:rFonts w:hint="eastAsia" w:cs="黑体"/>
        </w:rPr>
        <w:t>3.10</w:t>
      </w:r>
      <w:bookmarkEnd w:id="41"/>
    </w:p>
    <w:p>
      <w:pPr>
        <w:ind w:firstLine="420" w:firstLineChars="200"/>
        <w:jc w:val="both"/>
        <w:rPr>
          <w:rFonts w:ascii="黑体" w:eastAsia="黑体" w:cs="Times New Roman"/>
        </w:rPr>
      </w:pPr>
      <w:r>
        <w:rPr>
          <w:rFonts w:hint="eastAsia" w:ascii="黑体" w:eastAsia="黑体" w:cs="Times New Roman"/>
        </w:rPr>
        <w:t>间接费</w:t>
      </w:r>
      <w:bookmarkEnd w:id="42"/>
      <w:bookmarkEnd w:id="43"/>
      <w:r>
        <w:rPr>
          <w:rFonts w:hint="eastAsia" w:ascii="黑体" w:eastAsia="黑体" w:cs="Times New Roman"/>
        </w:rPr>
        <w:t xml:space="preserve"> </w:t>
      </w:r>
      <w:r>
        <w:rPr>
          <w:rFonts w:hint="eastAsia" w:ascii="黑体" w:eastAsia="黑体"/>
        </w:rPr>
        <w:t xml:space="preserve">indirect </w:t>
      </w:r>
      <w:r>
        <w:rPr>
          <w:rFonts w:hint="eastAsia" w:ascii="黑体" w:eastAsia="黑体"/>
          <w:color w:val="333333"/>
          <w:shd w:val="clear" w:color="auto" w:fill="FFFFFF"/>
        </w:rPr>
        <w:t>fee</w:t>
      </w:r>
    </w:p>
    <w:p>
      <w:pPr>
        <w:ind w:firstLine="420" w:firstLineChars="200"/>
        <w:rPr>
          <w:rFonts w:ascii="Times New Roman" w:hAnsi="Times New Roman" w:cs="Times New Roman"/>
        </w:rPr>
      </w:pPr>
      <w:r>
        <w:rPr>
          <w:rFonts w:ascii="Times New Roman" w:hAnsi="Times New Roman" w:cs="Times New Roman"/>
        </w:rPr>
        <w:t>指地质灾害防治施工企业为工程施工而进行组织、经营管理所发生的各项费用。间接费包含企业管理费和规费。</w:t>
      </w:r>
    </w:p>
    <w:p>
      <w:pPr>
        <w:pStyle w:val="4"/>
        <w:rPr>
          <w:rFonts w:cs="黑体"/>
        </w:rPr>
      </w:pPr>
      <w:bookmarkStart w:id="44" w:name="_Toc36634199"/>
      <w:bookmarkStart w:id="45" w:name="_Toc24417859"/>
      <w:bookmarkStart w:id="46" w:name="_Toc26909329"/>
      <w:r>
        <w:rPr>
          <w:rFonts w:hint="eastAsia" w:cs="黑体"/>
        </w:rPr>
        <w:t>3.11</w:t>
      </w:r>
      <w:bookmarkEnd w:id="44"/>
    </w:p>
    <w:p>
      <w:pPr>
        <w:ind w:firstLine="420" w:firstLineChars="200"/>
        <w:jc w:val="both"/>
        <w:rPr>
          <w:rFonts w:ascii="黑体" w:eastAsia="黑体" w:cs="Times New Roman"/>
        </w:rPr>
      </w:pPr>
      <w:r>
        <w:rPr>
          <w:rFonts w:hint="eastAsia" w:ascii="黑体" w:eastAsia="黑体" w:cs="Times New Roman"/>
        </w:rPr>
        <w:t>利润</w:t>
      </w:r>
      <w:bookmarkEnd w:id="45"/>
      <w:bookmarkEnd w:id="46"/>
      <w:r>
        <w:rPr>
          <w:rFonts w:hint="eastAsia" w:ascii="黑体" w:eastAsia="黑体" w:cs="Times New Roman"/>
        </w:rPr>
        <w:t xml:space="preserve"> </w:t>
      </w:r>
      <w:r>
        <w:rPr>
          <w:rFonts w:hint="eastAsia" w:ascii="黑体" w:eastAsia="黑体"/>
        </w:rPr>
        <w:t>profits</w:t>
      </w:r>
    </w:p>
    <w:p>
      <w:pPr>
        <w:ind w:firstLine="420" w:firstLineChars="200"/>
        <w:rPr>
          <w:rFonts w:ascii="Times New Roman" w:hAnsi="Times New Roman" w:cs="Times New Roman"/>
        </w:rPr>
      </w:pPr>
      <w:r>
        <w:rPr>
          <w:rFonts w:ascii="Times New Roman" w:hAnsi="Times New Roman" w:cs="Times New Roman"/>
        </w:rPr>
        <w:t>指施工企业完成所承包工程应取得的盈利。</w:t>
      </w:r>
    </w:p>
    <w:p>
      <w:pPr>
        <w:pStyle w:val="4"/>
        <w:rPr>
          <w:rFonts w:cs="Times New Roman"/>
        </w:rPr>
      </w:pPr>
      <w:bookmarkStart w:id="47" w:name="_Toc36634200"/>
      <w:bookmarkStart w:id="48" w:name="_Toc24417860"/>
      <w:bookmarkStart w:id="49" w:name="_Toc26909330"/>
      <w:r>
        <w:rPr>
          <w:rFonts w:hint="eastAsia" w:cs="Times New Roman"/>
        </w:rPr>
        <w:t>3.12</w:t>
      </w:r>
      <w:bookmarkEnd w:id="47"/>
    </w:p>
    <w:p>
      <w:pPr>
        <w:ind w:firstLine="420" w:firstLineChars="200"/>
        <w:jc w:val="both"/>
        <w:rPr>
          <w:rFonts w:ascii="黑体" w:eastAsia="黑体" w:cs="Times New Roman"/>
        </w:rPr>
      </w:pPr>
      <w:r>
        <w:rPr>
          <w:rFonts w:hint="eastAsia" w:ascii="黑体" w:eastAsia="黑体" w:cs="Times New Roman"/>
        </w:rPr>
        <w:t>税金</w:t>
      </w:r>
      <w:bookmarkEnd w:id="48"/>
      <w:bookmarkEnd w:id="49"/>
      <w:r>
        <w:rPr>
          <w:rFonts w:hint="eastAsia" w:ascii="黑体" w:eastAsia="黑体" w:cs="Times New Roman"/>
        </w:rPr>
        <w:t xml:space="preserve"> </w:t>
      </w:r>
      <w:r>
        <w:rPr>
          <w:rFonts w:hint="eastAsia" w:ascii="黑体" w:eastAsia="黑体"/>
        </w:rPr>
        <w:t>tax</w:t>
      </w:r>
    </w:p>
    <w:p>
      <w:pPr>
        <w:ind w:firstLine="420" w:firstLineChars="200"/>
        <w:rPr>
          <w:rFonts w:ascii="Times New Roman" w:hAnsi="Times New Roman" w:cs="Times New Roman"/>
        </w:rPr>
      </w:pPr>
      <w:r>
        <w:rPr>
          <w:rFonts w:ascii="Times New Roman" w:hAnsi="Times New Roman" w:cs="Times New Roman"/>
        </w:rPr>
        <w:t>国家税法规定的应计入工程造价内的增值税、城市维护建设税、教育费附加和地方教育附加。</w:t>
      </w:r>
    </w:p>
    <w:p>
      <w:pPr>
        <w:pStyle w:val="4"/>
        <w:rPr>
          <w:rFonts w:cs="黑体"/>
        </w:rPr>
      </w:pPr>
      <w:bookmarkStart w:id="50" w:name="_Toc36634201"/>
      <w:bookmarkStart w:id="51" w:name="_Toc24417861"/>
      <w:bookmarkStart w:id="52" w:name="_Toc26909331"/>
      <w:r>
        <w:rPr>
          <w:rFonts w:hint="eastAsia" w:cs="黑体"/>
        </w:rPr>
        <w:t>3.13</w:t>
      </w:r>
      <w:bookmarkEnd w:id="50"/>
    </w:p>
    <w:p>
      <w:pPr>
        <w:ind w:firstLine="420" w:firstLineChars="200"/>
        <w:jc w:val="both"/>
        <w:rPr>
          <w:rFonts w:ascii="黑体" w:eastAsia="黑体" w:cs="Times New Roman"/>
        </w:rPr>
      </w:pPr>
      <w:r>
        <w:rPr>
          <w:rFonts w:hint="eastAsia" w:ascii="黑体" w:eastAsia="黑体" w:cs="Times New Roman"/>
        </w:rPr>
        <w:t>独立费</w:t>
      </w:r>
      <w:bookmarkEnd w:id="51"/>
      <w:bookmarkEnd w:id="52"/>
      <w:r>
        <w:rPr>
          <w:rFonts w:hint="eastAsia" w:ascii="黑体" w:eastAsia="黑体" w:cs="Times New Roman"/>
        </w:rPr>
        <w:t xml:space="preserve"> </w:t>
      </w:r>
      <w:r>
        <w:rPr>
          <w:rFonts w:hint="eastAsia" w:ascii="黑体" w:eastAsia="黑体"/>
        </w:rPr>
        <w:t>independent fee</w:t>
      </w:r>
    </w:p>
    <w:p>
      <w:pPr>
        <w:ind w:firstLine="420" w:firstLineChars="200"/>
        <w:rPr>
          <w:rFonts w:ascii="Times New Roman" w:hAnsi="Times New Roman" w:cs="Times New Roman"/>
        </w:rPr>
      </w:pPr>
      <w:r>
        <w:rPr>
          <w:rFonts w:ascii="Times New Roman" w:hAnsi="Times New Roman" w:cs="Times New Roman"/>
        </w:rPr>
        <w:t>治理与搬迁避让项目概预算中的建设管理费、工程监理费、工程勘查设计费、建设及施工场地征用费、监测费、工程检测费、工程保险费、竣工决算费等。</w:t>
      </w:r>
    </w:p>
    <w:p>
      <w:pPr>
        <w:pStyle w:val="4"/>
        <w:rPr>
          <w:rFonts w:cs="黑体"/>
        </w:rPr>
      </w:pPr>
      <w:bookmarkStart w:id="53" w:name="_Toc36634202"/>
      <w:bookmarkStart w:id="54" w:name="_Toc24417862"/>
      <w:bookmarkStart w:id="55" w:name="_Toc26909332"/>
      <w:r>
        <w:rPr>
          <w:rFonts w:hint="eastAsia" w:cs="黑体"/>
        </w:rPr>
        <w:t>3.14</w:t>
      </w:r>
      <w:bookmarkEnd w:id="53"/>
    </w:p>
    <w:p>
      <w:pPr>
        <w:ind w:firstLine="420" w:firstLineChars="200"/>
        <w:jc w:val="both"/>
        <w:rPr>
          <w:rFonts w:ascii="黑体" w:eastAsia="黑体" w:cs="Times New Roman"/>
        </w:rPr>
      </w:pPr>
      <w:r>
        <w:rPr>
          <w:rFonts w:hint="eastAsia" w:ascii="黑体" w:eastAsia="黑体" w:cs="Times New Roman"/>
        </w:rPr>
        <w:t>基本预备费</w:t>
      </w:r>
      <w:bookmarkEnd w:id="54"/>
      <w:bookmarkEnd w:id="55"/>
      <w:r>
        <w:rPr>
          <w:rFonts w:hint="eastAsia" w:ascii="黑体" w:eastAsia="黑体" w:cs="Times New Roman"/>
        </w:rPr>
        <w:t xml:space="preserve"> </w:t>
      </w:r>
      <w:r>
        <w:rPr>
          <w:rFonts w:hint="eastAsia" w:ascii="黑体" w:eastAsia="黑体"/>
          <w:color w:val="333333"/>
          <w:shd w:val="clear" w:color="auto" w:fill="FFFFFF"/>
        </w:rPr>
        <w:t xml:space="preserve">basic </w:t>
      </w:r>
      <w:r>
        <w:rPr>
          <w:rFonts w:ascii="黑体" w:eastAsia="黑体"/>
          <w:color w:val="333333"/>
          <w:shd w:val="clear" w:color="auto" w:fill="FFFFFF"/>
        </w:rPr>
        <w:t>r</w:t>
      </w:r>
      <w:r>
        <w:rPr>
          <w:rFonts w:hint="eastAsia" w:ascii="黑体" w:eastAsia="黑体"/>
          <w:color w:val="333333"/>
          <w:shd w:val="clear" w:color="auto" w:fill="FFFFFF"/>
        </w:rPr>
        <w:t>eserve fee</w:t>
      </w:r>
    </w:p>
    <w:p>
      <w:pPr>
        <w:ind w:firstLine="420" w:firstLineChars="200"/>
        <w:rPr>
          <w:rFonts w:ascii="Times New Roman" w:hAnsi="Times New Roman" w:cs="Times New Roman"/>
        </w:rPr>
      </w:pPr>
      <w:r>
        <w:rPr>
          <w:rFonts w:ascii="Times New Roman" w:hAnsi="Times New Roman" w:cs="Times New Roman"/>
        </w:rPr>
        <w:t xml:space="preserve">是指治理与搬迁避让项目概预算中难以预料的工程费用，其主要为解决在施工过程中，经批准的设计变更和国家政策性调整所增加的投资以及为解决意外事故而采取措施所增加的工程项目和费用。 </w:t>
      </w:r>
    </w:p>
    <w:p>
      <w:pPr>
        <w:pStyle w:val="4"/>
        <w:rPr>
          <w:rFonts w:cs="黑体"/>
        </w:rPr>
      </w:pPr>
      <w:bookmarkStart w:id="56" w:name="_Toc22834242"/>
      <w:bookmarkStart w:id="57" w:name="_Toc22826349"/>
      <w:bookmarkStart w:id="58" w:name="_Toc20085709"/>
      <w:bookmarkStart w:id="59" w:name="_Toc36634203"/>
      <w:bookmarkStart w:id="60" w:name="_Toc26909333"/>
      <w:bookmarkStart w:id="61" w:name="_Toc24417863"/>
      <w:r>
        <w:rPr>
          <w:rFonts w:hint="eastAsia" w:cs="黑体"/>
        </w:rPr>
        <w:t>3.</w:t>
      </w:r>
      <w:bookmarkEnd w:id="56"/>
      <w:bookmarkEnd w:id="57"/>
      <w:bookmarkEnd w:id="58"/>
      <w:r>
        <w:rPr>
          <w:rFonts w:hint="eastAsia" w:cs="黑体"/>
        </w:rPr>
        <w:t>15</w:t>
      </w:r>
      <w:bookmarkEnd w:id="59"/>
    </w:p>
    <w:p>
      <w:pPr>
        <w:ind w:firstLine="420" w:firstLineChars="200"/>
        <w:jc w:val="both"/>
        <w:rPr>
          <w:rFonts w:ascii="黑体" w:eastAsia="黑体" w:cs="Times New Roman"/>
        </w:rPr>
      </w:pPr>
      <w:r>
        <w:rPr>
          <w:rFonts w:hint="eastAsia" w:ascii="黑体" w:eastAsia="黑体" w:cs="Times New Roman"/>
        </w:rPr>
        <w:t>装置性材料</w:t>
      </w:r>
      <w:bookmarkEnd w:id="60"/>
      <w:bookmarkEnd w:id="61"/>
      <w:r>
        <w:rPr>
          <w:rFonts w:hint="eastAsia" w:ascii="黑体" w:eastAsia="黑体" w:cs="Times New Roman"/>
        </w:rPr>
        <w:t xml:space="preserve"> </w:t>
      </w:r>
      <w:r>
        <w:rPr>
          <w:rFonts w:hint="eastAsia" w:ascii="黑体" w:eastAsia="黑体"/>
        </w:rPr>
        <w:t>installation materials</w:t>
      </w:r>
    </w:p>
    <w:p>
      <w:pPr>
        <w:ind w:firstLine="420" w:firstLineChars="200"/>
        <w:rPr>
          <w:rFonts w:ascii="Times New Roman" w:hAnsi="Times New Roman" w:cs="Times New Roman"/>
        </w:rPr>
      </w:pPr>
      <w:r>
        <w:rPr>
          <w:rFonts w:ascii="Times New Roman" w:hAnsi="Times New Roman" w:cs="Times New Roman"/>
        </w:rPr>
        <w:t>是指本身属于材料，但又是被安装对象，安装后构成工程实体的材料。在定额中分为计价的装置性材料和未计价的装置性材料。</w:t>
      </w:r>
    </w:p>
    <w:p>
      <w:pPr>
        <w:pStyle w:val="4"/>
        <w:rPr>
          <w:rFonts w:cs="黑体"/>
        </w:rPr>
      </w:pPr>
      <w:bookmarkStart w:id="62" w:name="_Toc36634204"/>
      <w:bookmarkStart w:id="63" w:name="_Toc26909334"/>
      <w:r>
        <w:rPr>
          <w:rFonts w:cs="黑体"/>
        </w:rPr>
        <w:t>3.16</w:t>
      </w:r>
      <w:bookmarkEnd w:id="62"/>
    </w:p>
    <w:p>
      <w:pPr>
        <w:ind w:firstLine="420" w:firstLineChars="200"/>
        <w:jc w:val="both"/>
        <w:rPr>
          <w:rFonts w:ascii="黑体" w:eastAsia="黑体" w:cs="Times New Roman"/>
        </w:rPr>
      </w:pPr>
      <w:r>
        <w:rPr>
          <w:rFonts w:hint="eastAsia" w:ascii="黑体" w:eastAsia="黑体" w:cs="Times New Roman"/>
        </w:rPr>
        <w:t>InSAR技术</w:t>
      </w:r>
      <w:bookmarkEnd w:id="63"/>
      <w:r>
        <w:rPr>
          <w:rFonts w:hint="eastAsia" w:ascii="黑体" w:eastAsia="黑体" w:cs="Times New Roman"/>
        </w:rPr>
        <w:t xml:space="preserve"> </w:t>
      </w:r>
      <w:r>
        <w:rPr>
          <w:rFonts w:hint="eastAsia" w:ascii="黑体" w:eastAsia="黑体"/>
          <w:color w:val="333333"/>
          <w:shd w:val="clear" w:color="auto" w:fill="FFFFFF"/>
        </w:rPr>
        <w:t xml:space="preserve">InSAR </w:t>
      </w:r>
      <w:r>
        <w:rPr>
          <w:rFonts w:ascii="黑体" w:eastAsia="黑体"/>
          <w:color w:val="333333"/>
          <w:shd w:val="clear" w:color="auto" w:fill="FFFFFF"/>
        </w:rPr>
        <w:t>t</w:t>
      </w:r>
      <w:r>
        <w:rPr>
          <w:rFonts w:hint="eastAsia" w:ascii="黑体" w:eastAsia="黑体"/>
          <w:color w:val="333333"/>
          <w:shd w:val="clear" w:color="auto" w:fill="FFFFFF"/>
        </w:rPr>
        <w:t>echnology</w:t>
      </w:r>
    </w:p>
    <w:p>
      <w:pPr>
        <w:ind w:firstLine="420" w:firstLineChars="200"/>
        <w:rPr>
          <w:rFonts w:ascii="Times New Roman" w:hAnsi="Times New Roman" w:cs="Times New Roman"/>
        </w:rPr>
      </w:pPr>
      <w:r>
        <w:rPr>
          <w:rFonts w:ascii="Times New Roman" w:hAnsi="Times New Roman" w:cs="Times New Roman"/>
        </w:rPr>
        <w:t>SAR指合成孔径雷达，InSAR即合成孔径干涉雷达测量，是利用卫星发射微波（1-1</w:t>
      </w:r>
      <w:r>
        <w:rPr>
          <w:rFonts w:hint="eastAsia" w:ascii="Times New Roman" w:hAnsi="Times New Roman" w:cs="Times New Roman"/>
        </w:rPr>
        <w:t xml:space="preserve"> </w:t>
      </w:r>
      <w:r>
        <w:rPr>
          <w:rFonts w:ascii="Times New Roman" w:hAnsi="Times New Roman" w:cs="Times New Roman"/>
        </w:rPr>
        <w:t>000 mm波长）在地面的反射波进行相位差分，计算地表微小变形的地球物理技术简称。这里特指利用SAR数据提取地质灾害体变形的技术，包括差分合成孔径雷达干涉测量（D-InSAR）、短基线集干涉测量（SBAS-InSAR）和永久散射体干涉测量（PS-InSAR）等。</w:t>
      </w:r>
    </w:p>
    <w:p>
      <w:pPr>
        <w:pStyle w:val="3"/>
        <w:spacing w:before="240" w:beforeLines="100" w:after="240" w:afterLines="100"/>
        <w:rPr>
          <w:rFonts w:ascii="黑体" w:cs="黑体"/>
        </w:rPr>
      </w:pPr>
      <w:bookmarkStart w:id="64" w:name="_Toc530390371"/>
      <w:bookmarkStart w:id="65" w:name="_Toc5971916"/>
      <w:bookmarkStart w:id="66" w:name="_Toc36634205"/>
      <w:bookmarkStart w:id="67" w:name="_Toc16760267"/>
      <w:r>
        <w:rPr>
          <w:rFonts w:hint="eastAsia" w:ascii="黑体" w:cs="黑体"/>
        </w:rPr>
        <w:t>4  总则</w:t>
      </w:r>
      <w:bookmarkEnd w:id="64"/>
      <w:bookmarkEnd w:id="65"/>
      <w:bookmarkEnd w:id="66"/>
      <w:bookmarkEnd w:id="67"/>
    </w:p>
    <w:p>
      <w:pPr>
        <w:pStyle w:val="4"/>
        <w:rPr>
          <w:rStyle w:val="44"/>
        </w:rPr>
      </w:pPr>
      <w:bookmarkStart w:id="68" w:name="_Toc530390372"/>
      <w:bookmarkStart w:id="69" w:name="_Toc5971917"/>
      <w:bookmarkStart w:id="70" w:name="_Toc36634206"/>
      <w:bookmarkStart w:id="71" w:name="_Toc16760268"/>
      <w:r>
        <w:rPr>
          <w:rStyle w:val="44"/>
          <w:rFonts w:hint="eastAsia"/>
        </w:rPr>
        <w:t>4.1  目的</w:t>
      </w:r>
      <w:bookmarkEnd w:id="68"/>
      <w:bookmarkEnd w:id="69"/>
      <w:bookmarkEnd w:id="70"/>
      <w:bookmarkEnd w:id="71"/>
    </w:p>
    <w:p>
      <w:pPr>
        <w:ind w:firstLine="420" w:firstLineChars="200"/>
        <w:rPr>
          <w:rFonts w:ascii="Times New Roman" w:hAnsi="Times New Roman" w:cs="Times New Roman"/>
        </w:rPr>
      </w:pPr>
      <w:r>
        <w:rPr>
          <w:rFonts w:ascii="Times New Roman" w:hAnsi="Times New Roman" w:cs="Times New Roman"/>
        </w:rPr>
        <w:t>统一各类地质灾害防治项目概预算编制方法和要求。按各类地质灾害防治项目设计方案，依据相关定额、标准和规定，进行投资概预算，确定概预算投资及基本构成。说明各类地质灾害防治项目概预算编制标准和依据、过程。编制规范的各类地质灾害防治项目概预算文件和表格等。</w:t>
      </w:r>
    </w:p>
    <w:p>
      <w:pPr>
        <w:pStyle w:val="4"/>
        <w:rPr>
          <w:rStyle w:val="44"/>
        </w:rPr>
      </w:pPr>
      <w:bookmarkStart w:id="72" w:name="_Toc5971918"/>
      <w:bookmarkStart w:id="73" w:name="_Toc530390373"/>
      <w:bookmarkStart w:id="74" w:name="_Toc16760269"/>
      <w:bookmarkStart w:id="75" w:name="_Toc36634207"/>
      <w:r>
        <w:rPr>
          <w:rStyle w:val="44"/>
        </w:rPr>
        <w:t>4.2  任务</w:t>
      </w:r>
      <w:bookmarkEnd w:id="72"/>
      <w:bookmarkEnd w:id="73"/>
      <w:bookmarkEnd w:id="74"/>
      <w:bookmarkEnd w:id="75"/>
    </w:p>
    <w:p>
      <w:pPr>
        <w:ind w:firstLine="420" w:firstLineChars="200"/>
        <w:rPr>
          <w:rFonts w:ascii="Times New Roman" w:hAnsi="Times New Roman" w:cs="Times New Roman"/>
        </w:rPr>
      </w:pPr>
      <w:r>
        <w:rPr>
          <w:rFonts w:ascii="Times New Roman" w:hAnsi="Times New Roman" w:cs="Times New Roman"/>
        </w:rPr>
        <w:t>正确采用以下项目的概预算编制方法和标准，编制各类地质灾害防治项目的概预算文本及表格。</w:t>
      </w:r>
    </w:p>
    <w:p>
      <w:pPr>
        <w:ind w:firstLine="420" w:firstLineChars="200"/>
        <w:rPr>
          <w:rFonts w:ascii="Times New Roman" w:hAnsi="Times New Roman" w:cs="Times New Roman"/>
        </w:rPr>
      </w:pPr>
      <w:r>
        <w:rPr>
          <w:rFonts w:ascii="Times New Roman" w:hAnsi="Times New Roman" w:cs="Times New Roman"/>
        </w:rPr>
        <w:t>a</w:t>
      </w:r>
      <w:r>
        <w:rPr>
          <w:rFonts w:hint="eastAsia" w:ascii="Times New Roman" w:hAnsi="Times New Roman" w:cs="Times New Roman"/>
        </w:rPr>
        <w:t>)</w:t>
      </w:r>
      <w:r>
        <w:rPr>
          <w:rFonts w:ascii="Times New Roman" w:hAnsi="Times New Roman" w:cs="Times New Roman"/>
        </w:rPr>
        <w:t xml:space="preserve">  调查评价项目。</w:t>
      </w:r>
    </w:p>
    <w:p>
      <w:pPr>
        <w:ind w:firstLine="420" w:firstLineChars="200"/>
        <w:rPr>
          <w:rFonts w:ascii="Times New Roman" w:hAnsi="Times New Roman" w:cs="Times New Roman"/>
        </w:rPr>
      </w:pPr>
      <w:r>
        <w:rPr>
          <w:rFonts w:ascii="Times New Roman" w:hAnsi="Times New Roman" w:cs="Times New Roman"/>
        </w:rPr>
        <w:t>b)  监测预警项目。</w:t>
      </w:r>
    </w:p>
    <w:p>
      <w:pPr>
        <w:ind w:firstLine="420" w:firstLineChars="200"/>
        <w:rPr>
          <w:rFonts w:ascii="Times New Roman" w:hAnsi="Times New Roman" w:cs="Times New Roman"/>
        </w:rPr>
      </w:pPr>
      <w:r>
        <w:rPr>
          <w:rFonts w:ascii="Times New Roman" w:hAnsi="Times New Roman" w:cs="Times New Roman"/>
        </w:rPr>
        <w:t>c)  治理与搬迁避让项目。</w:t>
      </w:r>
    </w:p>
    <w:p>
      <w:pPr>
        <w:ind w:firstLine="420" w:firstLineChars="200"/>
        <w:rPr>
          <w:rFonts w:ascii="Times New Roman" w:hAnsi="Times New Roman" w:cs="Times New Roman"/>
        </w:rPr>
      </w:pPr>
      <w:r>
        <w:rPr>
          <w:rFonts w:ascii="Times New Roman" w:hAnsi="Times New Roman" w:cs="Times New Roman"/>
        </w:rPr>
        <w:t>d)  能力建设项目。</w:t>
      </w:r>
    </w:p>
    <w:p>
      <w:pPr>
        <w:ind w:firstLine="420" w:firstLineChars="200"/>
        <w:rPr>
          <w:rFonts w:ascii="Times New Roman" w:hAnsi="Times New Roman" w:cs="Times New Roman"/>
        </w:rPr>
      </w:pPr>
      <w:r>
        <w:rPr>
          <w:rFonts w:ascii="Times New Roman" w:hAnsi="Times New Roman" w:cs="Times New Roman"/>
        </w:rPr>
        <w:t>e)  信息化建设项目。</w:t>
      </w:r>
    </w:p>
    <w:p>
      <w:pPr>
        <w:pStyle w:val="4"/>
        <w:rPr>
          <w:rFonts w:cs="黑体"/>
        </w:rPr>
      </w:pPr>
      <w:bookmarkStart w:id="76" w:name="_Toc530390374"/>
      <w:bookmarkStart w:id="77" w:name="_Toc5971919"/>
      <w:bookmarkStart w:id="78" w:name="_Toc16760270"/>
      <w:bookmarkStart w:id="79" w:name="_Toc36634208"/>
      <w:r>
        <w:rPr>
          <w:rFonts w:cs="黑体"/>
        </w:rPr>
        <w:t>4.3</w:t>
      </w:r>
      <w:bookmarkEnd w:id="76"/>
      <w:bookmarkEnd w:id="77"/>
      <w:r>
        <w:rPr>
          <w:rFonts w:cs="黑体"/>
        </w:rPr>
        <w:t xml:space="preserve">  指导思想和原则</w:t>
      </w:r>
      <w:bookmarkEnd w:id="78"/>
      <w:bookmarkEnd w:id="79"/>
    </w:p>
    <w:p>
      <w:pPr>
        <w:pStyle w:val="228"/>
        <w:spacing w:before="120" w:after="120"/>
        <w:rPr>
          <w:rFonts w:ascii="黑体" w:cs="黑体"/>
        </w:rPr>
      </w:pPr>
      <w:bookmarkStart w:id="80" w:name="_Toc5971920"/>
      <w:bookmarkStart w:id="81" w:name="_Toc530390375"/>
      <w:r>
        <w:rPr>
          <w:rFonts w:ascii="黑体" w:cs="黑体"/>
        </w:rPr>
        <w:t>4.3.1  指导思想</w:t>
      </w:r>
    </w:p>
    <w:p>
      <w:pPr>
        <w:ind w:firstLine="420" w:firstLineChars="200"/>
        <w:rPr>
          <w:rFonts w:ascii="Times New Roman" w:hAnsi="Times New Roman" w:cs="Times New Roman"/>
        </w:rPr>
      </w:pPr>
      <w:r>
        <w:rPr>
          <w:rFonts w:ascii="Times New Roman" w:hAnsi="Times New Roman" w:cs="Times New Roman"/>
        </w:rPr>
        <w:t>为贯彻落实湖北省地质灾害综合防治体系建设，规范地质灾害防治项目运行和管理，提高项目经费安排质量水平和使用效率，为湖北省地质灾害综合防治体系后续运行提供科学依据和技术支撑。</w:t>
      </w:r>
    </w:p>
    <w:p>
      <w:pPr>
        <w:pStyle w:val="228"/>
        <w:spacing w:before="120" w:after="120"/>
        <w:rPr>
          <w:rFonts w:ascii="黑体" w:cs="黑体"/>
        </w:rPr>
      </w:pPr>
      <w:bookmarkStart w:id="82" w:name="_Toc16760271"/>
      <w:r>
        <w:rPr>
          <w:rFonts w:ascii="黑体" w:cs="黑体"/>
        </w:rPr>
        <w:t>4.3.2  原则</w:t>
      </w:r>
    </w:p>
    <w:p>
      <w:pPr>
        <w:ind w:firstLine="420" w:firstLineChars="200"/>
        <w:rPr>
          <w:rFonts w:ascii="Times New Roman" w:hAnsi="Times New Roman" w:cs="Times New Roman"/>
        </w:rPr>
      </w:pPr>
      <w:r>
        <w:rPr>
          <w:rFonts w:ascii="Times New Roman" w:hAnsi="Times New Roman" w:cs="Times New Roman"/>
        </w:rPr>
        <w:t>充分搜集和分析工作区已有资料，详细调研地质灾害防治项目各种工作手段的适用性和必要性，综合分析编制不同类型项目概预算的共性和个性，准确掌握概预算编制的方法、定额、标准、格式、不同工程的调整系数等，规范编制项目概预算。</w:t>
      </w:r>
    </w:p>
    <w:p>
      <w:pPr>
        <w:pStyle w:val="4"/>
        <w:rPr>
          <w:rFonts w:cs="黑体"/>
        </w:rPr>
      </w:pPr>
      <w:bookmarkStart w:id="83" w:name="_Toc36634209"/>
      <w:r>
        <w:rPr>
          <w:rFonts w:cs="黑体"/>
        </w:rPr>
        <w:t>4.4  概预算基本构成</w:t>
      </w:r>
      <w:bookmarkEnd w:id="83"/>
    </w:p>
    <w:p>
      <w:pPr>
        <w:ind w:firstLine="420"/>
        <w:rPr>
          <w:rFonts w:ascii="Times New Roman" w:hAnsi="Times New Roman" w:cs="Times New Roman"/>
        </w:rPr>
      </w:pPr>
      <w:r>
        <w:rPr>
          <w:rFonts w:ascii="Times New Roman" w:hAnsi="Times New Roman" w:cs="Times New Roman"/>
        </w:rPr>
        <w:t>概预算由编制说明、总表和各明细表构成。</w:t>
      </w:r>
    </w:p>
    <w:p>
      <w:pPr>
        <w:pStyle w:val="4"/>
        <w:rPr>
          <w:rFonts w:cs="黑体"/>
        </w:rPr>
      </w:pPr>
      <w:bookmarkStart w:id="84" w:name="_Toc36634210"/>
      <w:r>
        <w:rPr>
          <w:rFonts w:cs="黑体"/>
        </w:rPr>
        <w:t>4.5  概预算基本程序</w:t>
      </w:r>
      <w:bookmarkEnd w:id="84"/>
    </w:p>
    <w:p>
      <w:pPr>
        <w:pStyle w:val="228"/>
        <w:spacing w:before="120" w:after="120"/>
        <w:rPr>
          <w:rFonts w:ascii="黑体" w:cs="黑体"/>
        </w:rPr>
      </w:pPr>
      <w:r>
        <w:rPr>
          <w:rFonts w:ascii="黑体" w:cs="黑体"/>
        </w:rPr>
        <w:t>4.5.1  项目申报阶段</w:t>
      </w:r>
    </w:p>
    <w:p>
      <w:pPr>
        <w:ind w:firstLine="420" w:firstLineChars="200"/>
        <w:rPr>
          <w:rFonts w:ascii="Times New Roman" w:hAnsi="Times New Roman" w:cs="Times New Roman"/>
        </w:rPr>
      </w:pPr>
      <w:r>
        <w:rPr>
          <w:rFonts w:ascii="Times New Roman" w:hAnsi="Times New Roman" w:cs="Times New Roman"/>
        </w:rPr>
        <w:t>治理与搬迁避让、监测预警（建筑和安装工程类）项目编制概算；调查评价、监测预警（非建筑和安装工程类）、能力建设、信息化建设项目编制预算。</w:t>
      </w:r>
    </w:p>
    <w:p>
      <w:pPr>
        <w:pStyle w:val="228"/>
        <w:spacing w:before="120" w:after="120"/>
        <w:rPr>
          <w:rFonts w:ascii="黑体" w:cs="黑体"/>
        </w:rPr>
      </w:pPr>
      <w:r>
        <w:rPr>
          <w:rFonts w:ascii="黑体" w:cs="黑体"/>
        </w:rPr>
        <w:t>4.5.2  项目实施阶段</w:t>
      </w:r>
    </w:p>
    <w:p>
      <w:pPr>
        <w:ind w:firstLine="420" w:firstLineChars="200"/>
        <w:rPr>
          <w:rFonts w:ascii="Times New Roman" w:hAnsi="Times New Roman" w:cs="Times New Roman"/>
        </w:rPr>
      </w:pPr>
      <w:r>
        <w:rPr>
          <w:rFonts w:ascii="Times New Roman" w:hAnsi="Times New Roman" w:cs="Times New Roman"/>
        </w:rPr>
        <w:t>调查评价、监测预警、治理与搬迁避让、能力建设、信息化建设等项目均需编制预算，该阶段的项目工程量和预算更为细致和精确。</w:t>
      </w:r>
    </w:p>
    <w:p>
      <w:pPr>
        <w:pStyle w:val="3"/>
        <w:spacing w:before="240" w:beforeLines="100" w:after="240" w:afterLines="100"/>
        <w:rPr>
          <w:rFonts w:ascii="黑体" w:cs="黑体"/>
        </w:rPr>
      </w:pPr>
      <w:bookmarkStart w:id="85" w:name="_Toc36634211"/>
      <w:r>
        <w:rPr>
          <w:rFonts w:ascii="黑体" w:cs="黑体"/>
        </w:rPr>
        <w:t>5  调查评价项目预算编制</w:t>
      </w:r>
      <w:bookmarkEnd w:id="82"/>
      <w:r>
        <w:rPr>
          <w:rFonts w:ascii="黑体" w:cs="黑体"/>
        </w:rPr>
        <w:t>要求</w:t>
      </w:r>
      <w:bookmarkEnd w:id="85"/>
    </w:p>
    <w:p>
      <w:pPr>
        <w:pStyle w:val="4"/>
        <w:rPr>
          <w:rFonts w:cs="黑体"/>
        </w:rPr>
      </w:pPr>
      <w:bookmarkStart w:id="86" w:name="_Toc36634212"/>
      <w:r>
        <w:rPr>
          <w:rFonts w:cs="黑体"/>
        </w:rPr>
        <w:t>5.1  基本内容</w:t>
      </w:r>
      <w:bookmarkEnd w:id="86"/>
    </w:p>
    <w:p>
      <w:pPr>
        <w:ind w:firstLine="0"/>
        <w:rPr>
          <w:rFonts w:ascii="Times New Roman" w:hAnsi="Times New Roman" w:cs="Times New Roman"/>
        </w:rPr>
      </w:pPr>
      <w:r>
        <w:rPr>
          <w:rFonts w:ascii="黑体" w:eastAsia="黑体" w:cs="黑体"/>
        </w:rPr>
        <w:t>5.1.1</w:t>
      </w:r>
      <w:r>
        <w:rPr>
          <w:rFonts w:ascii="Times New Roman" w:hAnsi="Times New Roman" w:cs="Times New Roman"/>
        </w:rPr>
        <w:t xml:space="preserve">  调查评价项目预算主要包含地质灾害风险调查评价，重点区域地质灾害详细调查等项目预算。</w:t>
      </w:r>
    </w:p>
    <w:p>
      <w:pPr>
        <w:ind w:firstLine="0"/>
        <w:rPr>
          <w:rFonts w:ascii="Times New Roman" w:hAnsi="Times New Roman" w:cs="Times New Roman"/>
        </w:rPr>
      </w:pPr>
      <w:r>
        <w:rPr>
          <w:rFonts w:ascii="黑体" w:eastAsia="黑体" w:cs="黑体"/>
        </w:rPr>
        <w:t>5.1.2</w:t>
      </w:r>
      <w:r>
        <w:rPr>
          <w:rFonts w:ascii="Times New Roman" w:hAnsi="Times New Roman" w:eastAsia="黑体" w:cs="Times New Roman"/>
        </w:rPr>
        <w:t xml:space="preserve"> </w:t>
      </w:r>
      <w:r>
        <w:rPr>
          <w:rFonts w:ascii="Times New Roman" w:hAnsi="Times New Roman" w:cs="Times New Roman"/>
        </w:rPr>
        <w:t xml:space="preserve"> 地质灾害风险调查评价项目一般是对单个县（市）进行地质灾害风险调查评价，其主要工程量为地形测绘、1:5</w:t>
      </w:r>
      <w:r>
        <w:rPr>
          <w:rFonts w:hint="eastAsia" w:ascii="Times New Roman" w:hAnsi="Times New Roman" w:cs="Times New Roman"/>
        </w:rPr>
        <w:t>0 000</w:t>
      </w:r>
      <w:r>
        <w:rPr>
          <w:rFonts w:ascii="Times New Roman" w:hAnsi="Times New Roman" w:cs="Times New Roman"/>
        </w:rPr>
        <w:t>地质灾害风险调查、1:1</w:t>
      </w:r>
      <w:r>
        <w:rPr>
          <w:rFonts w:hint="eastAsia" w:ascii="Times New Roman" w:hAnsi="Times New Roman" w:cs="Times New Roman"/>
        </w:rPr>
        <w:t>0 000</w:t>
      </w:r>
      <w:r>
        <w:rPr>
          <w:rFonts w:ascii="Times New Roman" w:hAnsi="Times New Roman" w:cs="Times New Roman"/>
        </w:rPr>
        <w:t>地质灾害风险调查、遥感、其他地质工作等。</w:t>
      </w:r>
    </w:p>
    <w:p>
      <w:pPr>
        <w:ind w:firstLine="0"/>
        <w:rPr>
          <w:rFonts w:ascii="Times New Roman" w:hAnsi="Times New Roman" w:cs="Times New Roman"/>
        </w:rPr>
      </w:pPr>
      <w:r>
        <w:rPr>
          <w:rFonts w:ascii="黑体" w:eastAsia="黑体" w:cs="黑体"/>
        </w:rPr>
        <w:t>5.1.3</w:t>
      </w:r>
      <w:r>
        <w:rPr>
          <w:rFonts w:ascii="Times New Roman" w:hAnsi="Times New Roman" w:cs="Times New Roman"/>
        </w:rPr>
        <w:t xml:space="preserve">  重点区域地质灾害详细调查项目包括重点县城集镇地质灾害调（勘）查、重点流域地质灾害详细调查、密集线性工程廊道地质灾害详细调查等项目。</w:t>
      </w:r>
    </w:p>
    <w:p>
      <w:pPr>
        <w:pStyle w:val="4"/>
        <w:rPr>
          <w:rFonts w:cs="Times New Roman"/>
        </w:rPr>
      </w:pPr>
      <w:bookmarkStart w:id="87" w:name="_Toc36634213"/>
      <w:r>
        <w:rPr>
          <w:rFonts w:hint="eastAsia" w:cs="Times New Roman"/>
        </w:rPr>
        <w:t>5.2  主要编制依据</w:t>
      </w:r>
      <w:bookmarkEnd w:id="87"/>
    </w:p>
    <w:p>
      <w:pPr>
        <w:ind w:firstLine="420" w:firstLineChars="200"/>
        <w:rPr>
          <w:rFonts w:ascii="Times New Roman" w:hAnsi="Times New Roman" w:cs="Times New Roman"/>
        </w:rPr>
      </w:pPr>
      <w:r>
        <w:rPr>
          <w:rFonts w:ascii="Times New Roman" w:hAnsi="Times New Roman" w:cs="Times New Roman"/>
        </w:rPr>
        <w:t>中国地质调查局《地质调查项目预算标准（2010年试用）》</w:t>
      </w:r>
    </w:p>
    <w:p>
      <w:pPr>
        <w:ind w:firstLine="420" w:firstLineChars="200"/>
        <w:rPr>
          <w:rFonts w:ascii="Times New Roman" w:hAnsi="Times New Roman" w:cs="Times New Roman"/>
        </w:rPr>
      </w:pPr>
      <w:r>
        <w:rPr>
          <w:rFonts w:ascii="Times New Roman" w:hAnsi="Times New Roman" w:cs="Times New Roman"/>
        </w:rPr>
        <w:t>中国地质调查局《地质调查项目立项论证（续作评估）预算编制与审查工作指南》（2019年6月）</w:t>
      </w:r>
    </w:p>
    <w:p>
      <w:pPr>
        <w:ind w:firstLine="420" w:firstLineChars="200"/>
        <w:rPr>
          <w:rFonts w:ascii="Times New Roman" w:hAnsi="Times New Roman" w:cs="Times New Roman"/>
        </w:rPr>
      </w:pPr>
      <w:r>
        <w:rPr>
          <w:rFonts w:ascii="Times New Roman" w:hAnsi="Times New Roman" w:cs="Times New Roman"/>
        </w:rPr>
        <w:t>中国地质调查局《关于地质矿产调查评价项目预算编制和审查要求（试行）的通知》（中地调函〔2010〕88号）</w:t>
      </w:r>
    </w:p>
    <w:p>
      <w:pPr>
        <w:pStyle w:val="4"/>
        <w:rPr>
          <w:rFonts w:cs="Times New Roman"/>
        </w:rPr>
      </w:pPr>
      <w:bookmarkStart w:id="88" w:name="_Toc36634214"/>
      <w:r>
        <w:rPr>
          <w:rFonts w:hint="eastAsia" w:cs="Times New Roman"/>
        </w:rPr>
        <w:t>5.3  基本构成</w:t>
      </w:r>
      <w:bookmarkEnd w:id="88"/>
    </w:p>
    <w:p>
      <w:pPr>
        <w:pStyle w:val="228"/>
        <w:spacing w:before="120" w:after="120"/>
        <w:rPr>
          <w:rFonts w:ascii="黑体" w:cs="Times New Roman"/>
        </w:rPr>
      </w:pPr>
      <w:r>
        <w:rPr>
          <w:rFonts w:hint="eastAsia" w:ascii="黑体" w:cs="Times New Roman"/>
        </w:rPr>
        <w:t>5.3.1  预算基本构成</w:t>
      </w:r>
    </w:p>
    <w:p>
      <w:pPr>
        <w:ind w:firstLine="420" w:firstLineChars="200"/>
        <w:rPr>
          <w:rFonts w:ascii="Times New Roman" w:hAnsi="Times New Roman" w:cs="Times New Roman"/>
        </w:rPr>
      </w:pPr>
      <w:r>
        <w:rPr>
          <w:rFonts w:ascii="Times New Roman" w:hAnsi="Times New Roman" w:cs="Times New Roman"/>
        </w:rPr>
        <w:t>预算由预算编制说明和预算表构成。</w:t>
      </w:r>
    </w:p>
    <w:p>
      <w:pPr>
        <w:pStyle w:val="228"/>
        <w:spacing w:before="120" w:after="120"/>
        <w:rPr>
          <w:rFonts w:ascii="黑体" w:cs="Times New Roman"/>
        </w:rPr>
      </w:pPr>
      <w:r>
        <w:rPr>
          <w:rFonts w:hint="eastAsia" w:ascii="黑体" w:cs="Times New Roman"/>
        </w:rPr>
        <w:t>5.3.2  调查评价项目预算构成</w:t>
      </w:r>
    </w:p>
    <w:p>
      <w:pPr>
        <w:ind w:firstLine="420" w:firstLineChars="200"/>
        <w:rPr>
          <w:rFonts w:ascii="Times New Roman" w:hAnsi="Times New Roman" w:cs="Times New Roman"/>
        </w:rPr>
      </w:pPr>
      <w:r>
        <w:rPr>
          <w:rFonts w:ascii="Times New Roman" w:hAnsi="Times New Roman" w:cs="Times New Roman"/>
        </w:rPr>
        <w:t>a)  预算编制说明。</w:t>
      </w:r>
    </w:p>
    <w:p>
      <w:pPr>
        <w:ind w:firstLine="420" w:firstLineChars="200"/>
        <w:rPr>
          <w:rFonts w:ascii="Times New Roman" w:hAnsi="Times New Roman" w:cs="Times New Roman"/>
        </w:rPr>
      </w:pPr>
      <w:r>
        <w:rPr>
          <w:rFonts w:ascii="Times New Roman" w:hAnsi="Times New Roman" w:cs="Times New Roman"/>
        </w:rPr>
        <w:t>b)  采用</w:t>
      </w:r>
      <w:r>
        <w:rPr>
          <w:rFonts w:hint="eastAsia" w:ascii="宋体" w:cs="Times New Roman"/>
        </w:rPr>
        <w:t>“</w:t>
      </w:r>
      <w:r>
        <w:rPr>
          <w:rFonts w:ascii="Times New Roman" w:hAnsi="Times New Roman" w:cs="Times New Roman"/>
        </w:rPr>
        <w:t>量价费</w:t>
      </w:r>
      <w:r>
        <w:rPr>
          <w:rFonts w:hint="eastAsia" w:ascii="Times New Roman" w:hAnsi="Times New Roman" w:cs="Times New Roman"/>
        </w:rPr>
        <w:t>”</w:t>
      </w:r>
      <w:r>
        <w:rPr>
          <w:rFonts w:ascii="Times New Roman" w:hAnsi="Times New Roman" w:cs="Times New Roman"/>
        </w:rPr>
        <w:t>预算得出的</w:t>
      </w:r>
      <w:r>
        <w:rPr>
          <w:rFonts w:hint="eastAsia" w:ascii="Times New Roman" w:hAnsi="Times New Roman" w:cs="Times New Roman"/>
        </w:rPr>
        <w:t>“</w:t>
      </w:r>
      <w:r>
        <w:rPr>
          <w:rFonts w:ascii="Times New Roman" w:hAnsi="Times New Roman" w:cs="Times New Roman"/>
        </w:rPr>
        <w:t>按工作手段预算表（预工-2）</w:t>
      </w:r>
      <w:r>
        <w:rPr>
          <w:rFonts w:hint="eastAsia" w:ascii="Times New Roman" w:hAnsi="Times New Roman" w:cs="Times New Roman"/>
        </w:rPr>
        <w:t>”</w:t>
      </w:r>
      <w:r>
        <w:rPr>
          <w:rFonts w:ascii="Times New Roman" w:hAnsi="Times New Roman" w:cs="Times New Roman"/>
        </w:rPr>
        <w:t>。</w:t>
      </w:r>
    </w:p>
    <w:p>
      <w:pPr>
        <w:pStyle w:val="4"/>
        <w:spacing w:beforeLines="50" w:afterLines="50"/>
        <w:rPr>
          <w:rFonts w:cs="Times New Roman"/>
        </w:rPr>
      </w:pPr>
      <w:bookmarkStart w:id="89" w:name="_Toc36634215"/>
      <w:r>
        <w:rPr>
          <w:rFonts w:hint="eastAsia" w:cs="Times New Roman"/>
        </w:rPr>
        <w:t>5.4  编制方法</w:t>
      </w:r>
      <w:bookmarkEnd w:id="89"/>
    </w:p>
    <w:p>
      <w:pPr>
        <w:pStyle w:val="228"/>
        <w:spacing w:before="120" w:beforeLines="50" w:after="120" w:afterLines="50"/>
        <w:rPr>
          <w:rFonts w:ascii="黑体" w:cs="Times New Roman"/>
        </w:rPr>
      </w:pPr>
      <w:r>
        <w:rPr>
          <w:rFonts w:hint="eastAsia" w:ascii="黑体" w:cs="Times New Roman"/>
        </w:rPr>
        <w:t>5.4.1  预算编制说明</w:t>
      </w:r>
    </w:p>
    <w:p>
      <w:pPr>
        <w:pStyle w:val="229"/>
        <w:spacing w:before="120" w:beforeLines="50" w:after="120" w:afterLines="50"/>
      </w:pPr>
      <w:r>
        <w:rPr>
          <w:rFonts w:hint="eastAsia"/>
        </w:rPr>
        <w:t>5.4.1.1  一般要求</w:t>
      </w:r>
    </w:p>
    <w:p>
      <w:pPr>
        <w:ind w:firstLine="0"/>
        <w:rPr>
          <w:rFonts w:ascii="Times New Roman" w:hAnsi="Times New Roman" w:cs="Times New Roman"/>
        </w:rPr>
      </w:pPr>
      <w:r>
        <w:rPr>
          <w:rFonts w:hint="eastAsia" w:ascii="黑体" w:eastAsia="黑体" w:cs="Times New Roman"/>
        </w:rPr>
        <w:t>5.4.1.1.1</w:t>
      </w:r>
      <w:r>
        <w:rPr>
          <w:rFonts w:ascii="Times New Roman" w:hAnsi="Times New Roman" w:cs="Times New Roman"/>
        </w:rPr>
        <w:t xml:space="preserve">  预算编制说明是项目预算文件的重要组成部分，是对项目支出预算的合规性、合理性、有效性及实施项目存在主要风险与不确定性的分析论证。</w:t>
      </w:r>
    </w:p>
    <w:p>
      <w:pPr>
        <w:ind w:firstLine="0"/>
        <w:rPr>
          <w:rFonts w:ascii="Times New Roman" w:hAnsi="Times New Roman" w:cs="Times New Roman"/>
        </w:rPr>
      </w:pPr>
      <w:r>
        <w:rPr>
          <w:rFonts w:hint="eastAsia" w:ascii="黑体" w:eastAsia="黑体" w:cs="Times New Roman"/>
        </w:rPr>
        <w:t>5.4.1.1.2</w:t>
      </w:r>
      <w:r>
        <w:rPr>
          <w:rFonts w:ascii="Times New Roman" w:hAnsi="Times New Roman" w:cs="Times New Roman"/>
        </w:rPr>
        <w:t xml:space="preserve">  预算编制说明是对项目预算表中不能直接表述内容的必要说明，应根据项目预算编制的实际情况</w:t>
      </w:r>
      <w:r>
        <w:rPr>
          <w:rFonts w:hint="eastAsia" w:ascii="Times New Roman" w:hAnsi="Times New Roman" w:cs="Times New Roman"/>
        </w:rPr>
        <w:t>、</w:t>
      </w:r>
      <w:r>
        <w:rPr>
          <w:rFonts w:ascii="Times New Roman" w:hAnsi="Times New Roman" w:cs="Times New Roman"/>
        </w:rPr>
        <w:t>预算表及预算编制结果编写，内容做到齐全完整，条理清晰，文字叙述与预算表要对应。</w:t>
      </w:r>
    </w:p>
    <w:p>
      <w:pPr>
        <w:ind w:firstLine="0"/>
        <w:rPr>
          <w:rFonts w:ascii="Times New Roman" w:hAnsi="Times New Roman" w:cs="Times New Roman"/>
        </w:rPr>
      </w:pPr>
      <w:r>
        <w:rPr>
          <w:rFonts w:hint="eastAsia" w:ascii="黑体" w:eastAsia="黑体" w:cs="Times New Roman"/>
        </w:rPr>
        <w:t>5.4.1.1.3</w:t>
      </w:r>
      <w:r>
        <w:rPr>
          <w:rFonts w:ascii="Times New Roman" w:hAnsi="Times New Roman" w:cs="Times New Roman"/>
        </w:rPr>
        <w:t xml:space="preserve">  预算编制说明</w:t>
      </w:r>
      <w:r>
        <w:rPr>
          <w:rFonts w:hint="eastAsia" w:ascii="Times New Roman" w:hAnsi="Times New Roman" w:cs="Times New Roman"/>
        </w:rPr>
        <w:t>是</w:t>
      </w:r>
      <w:r>
        <w:rPr>
          <w:rFonts w:ascii="Times New Roman" w:hAnsi="Times New Roman" w:cs="Times New Roman"/>
        </w:rPr>
        <w:t>对项目预算编制方法与编制过程中的普遍性问题进行规律性总结与归纳，对项目预算编制方法与编制过程的特殊性问题进行说明。</w:t>
      </w:r>
    </w:p>
    <w:p>
      <w:pPr>
        <w:pStyle w:val="229"/>
        <w:spacing w:before="120" w:beforeLines="50" w:after="120" w:afterLines="50"/>
        <w:rPr>
          <w:rFonts w:ascii="Times New Roman" w:hAnsi="Times New Roman"/>
        </w:rPr>
      </w:pPr>
      <w:r>
        <w:rPr>
          <w:rFonts w:hint="eastAsia"/>
        </w:rPr>
        <w:t>5.4.1.2</w:t>
      </w:r>
      <w:r>
        <w:rPr>
          <w:rFonts w:ascii="Times New Roman" w:hAnsi="Times New Roman"/>
        </w:rPr>
        <w:t xml:space="preserve">  主要内容</w:t>
      </w:r>
    </w:p>
    <w:p>
      <w:pPr>
        <w:ind w:firstLine="420"/>
        <w:rPr>
          <w:rFonts w:ascii="Times New Roman" w:hAnsi="Times New Roman" w:cs="Times New Roman"/>
        </w:rPr>
      </w:pPr>
      <w:r>
        <w:rPr>
          <w:rFonts w:ascii="Times New Roman" w:hAnsi="Times New Roman" w:cs="Times New Roman"/>
        </w:rPr>
        <w:t>预算编制说明的主要内容包括：项目概况，预算编制依据，采用的费用标准和测算依据，项目预算的合理性及可靠性分析，需要说明的问题等。项目预算的经费来源、委托业务费、设备费以及定额缺项的工程量和单价等应予以重点说明。</w:t>
      </w:r>
    </w:p>
    <w:p>
      <w:pPr>
        <w:pStyle w:val="229"/>
        <w:spacing w:before="120" w:beforeLines="50" w:after="120" w:afterLines="50"/>
      </w:pPr>
      <w:r>
        <w:rPr>
          <w:rFonts w:hint="eastAsia"/>
        </w:rPr>
        <w:t>5.4.1.3  编制要求</w:t>
      </w:r>
    </w:p>
    <w:p>
      <w:pPr>
        <w:spacing w:before="120" w:beforeLines="50" w:after="120" w:afterLines="50" w:line="240" w:lineRule="auto"/>
        <w:ind w:firstLine="0"/>
        <w:rPr>
          <w:rFonts w:ascii="黑体" w:eastAsia="黑体" w:cs="Times New Roman"/>
        </w:rPr>
      </w:pPr>
      <w:r>
        <w:rPr>
          <w:rFonts w:hint="eastAsia" w:ascii="黑体" w:eastAsia="黑体" w:cs="Times New Roman"/>
        </w:rPr>
        <w:t>5.4.1.3.1  项目概况</w:t>
      </w:r>
    </w:p>
    <w:p>
      <w:pPr>
        <w:ind w:firstLine="420" w:firstLineChars="200"/>
        <w:rPr>
          <w:rFonts w:ascii="Times New Roman" w:hAnsi="Times New Roman" w:cs="Times New Roman"/>
        </w:rPr>
      </w:pPr>
      <w:r>
        <w:rPr>
          <w:rFonts w:ascii="Times New Roman" w:hAnsi="Times New Roman" w:cs="Times New Roman"/>
        </w:rPr>
        <w:t>主要对项目的性质、类型、规模，目的和任务，项目工作区条件(包括工作区范围、地理情况、地质情况、交通情况等)，工作周期，资金来源渠道及额度，本年拟投入的主要工作量，以往投入的工作量及经费使用情况等内容进行详细说明。</w:t>
      </w:r>
    </w:p>
    <w:p>
      <w:pPr>
        <w:spacing w:before="120" w:beforeLines="50" w:after="120" w:afterLines="50" w:line="240" w:lineRule="auto"/>
        <w:ind w:firstLine="0"/>
        <w:rPr>
          <w:rFonts w:ascii="黑体" w:eastAsia="黑体" w:cs="Times New Roman"/>
        </w:rPr>
      </w:pPr>
      <w:r>
        <w:rPr>
          <w:rFonts w:hint="eastAsia" w:ascii="黑体" w:eastAsia="黑体" w:cs="Times New Roman"/>
        </w:rPr>
        <w:t>5.4.1.3.2  预算编制依据</w:t>
      </w:r>
    </w:p>
    <w:p>
      <w:pPr>
        <w:ind w:firstLine="420" w:firstLineChars="200"/>
        <w:rPr>
          <w:rFonts w:ascii="Times New Roman" w:hAnsi="Times New Roman" w:cs="Times New Roman"/>
        </w:rPr>
      </w:pPr>
      <w:r>
        <w:rPr>
          <w:rFonts w:ascii="Times New Roman" w:hAnsi="Times New Roman" w:cs="Times New Roman"/>
        </w:rPr>
        <w:t>主要对项目预算编制时采用的有关预算标准及技术经济指标的依据进行详细说明。包括所采用的定额、标准、规范、相关文件规定等。</w:t>
      </w:r>
    </w:p>
    <w:p>
      <w:pPr>
        <w:spacing w:before="120" w:beforeLines="50" w:after="120" w:afterLines="50" w:line="240" w:lineRule="auto"/>
        <w:ind w:firstLine="0"/>
        <w:rPr>
          <w:rFonts w:ascii="黑体" w:eastAsia="黑体" w:cs="Times New Roman"/>
        </w:rPr>
      </w:pPr>
      <w:r>
        <w:rPr>
          <w:rFonts w:hint="eastAsia" w:ascii="黑体" w:eastAsia="黑体" w:cs="Times New Roman"/>
        </w:rPr>
        <w:t>5.4.1.3.3  采用的费用标准和测算依据</w:t>
      </w:r>
    </w:p>
    <w:p>
      <w:pPr>
        <w:ind w:left="840" w:leftChars="200" w:hanging="420" w:hangingChars="200"/>
        <w:rPr>
          <w:rFonts w:ascii="Times New Roman" w:hAnsi="Times New Roman" w:cs="Times New Roman"/>
        </w:rPr>
      </w:pPr>
      <w:r>
        <w:rPr>
          <w:rFonts w:ascii="Times New Roman" w:hAnsi="Times New Roman" w:eastAsia="黑体" w:cs="Times New Roman"/>
        </w:rPr>
        <w:t>a)</w:t>
      </w:r>
      <w:r>
        <w:rPr>
          <w:rFonts w:ascii="Times New Roman" w:hAnsi="Times New Roman" w:cs="Times New Roman"/>
        </w:rPr>
        <w:t xml:space="preserve">  主要是对编制项目预算所采用的费用标准进行说明，例如地区调整系数、地质复杂程度、各工作手段采用的预算标准等，尤其是另选标准或增加的新方法所采用的预算标准必须详细说明。</w:t>
      </w:r>
    </w:p>
    <w:p>
      <w:pPr>
        <w:ind w:left="840" w:leftChars="200" w:hanging="420" w:hangingChars="200"/>
        <w:rPr>
          <w:rFonts w:ascii="Times New Roman" w:hAnsi="Times New Roman" w:cs="Times New Roman"/>
        </w:rPr>
      </w:pPr>
      <w:r>
        <w:rPr>
          <w:rFonts w:ascii="Times New Roman" w:hAnsi="Times New Roman" w:eastAsia="黑体" w:cs="Times New Roman"/>
        </w:rPr>
        <w:t>b)</w:t>
      </w:r>
      <w:r>
        <w:rPr>
          <w:rFonts w:ascii="Times New Roman" w:hAnsi="Times New Roman" w:cs="Times New Roman"/>
        </w:rPr>
        <w:t xml:space="preserve">  分析技术方案中工程手段、方法和工作量、技术条件等情况。说明各工作项目及其技术条件所采用的预算标准。描述地质复杂程度、地形等级、岩石级别等的选择依据。</w:t>
      </w:r>
    </w:p>
    <w:p>
      <w:pPr>
        <w:ind w:left="840" w:leftChars="200" w:hanging="420" w:hangingChars="200"/>
        <w:rPr>
          <w:rFonts w:ascii="Times New Roman" w:hAnsi="Times New Roman" w:cs="Times New Roman"/>
        </w:rPr>
      </w:pPr>
      <w:r>
        <w:rPr>
          <w:rFonts w:ascii="Times New Roman" w:hAnsi="Times New Roman" w:eastAsia="黑体" w:cs="Times New Roman"/>
        </w:rPr>
        <w:t>c)</w:t>
      </w:r>
      <w:r>
        <w:rPr>
          <w:rFonts w:ascii="Times New Roman" w:hAnsi="Times New Roman" w:cs="Times New Roman"/>
        </w:rPr>
        <w:t xml:space="preserve">  对于同一工作项目存在两种以上技术条件的，应分别说明不同技术条件下的相应工作量。</w:t>
      </w:r>
    </w:p>
    <w:p>
      <w:pPr>
        <w:ind w:left="840" w:leftChars="200" w:hanging="420" w:hangingChars="200"/>
        <w:rPr>
          <w:rFonts w:ascii="Times New Roman" w:hAnsi="Times New Roman" w:cs="Times New Roman"/>
        </w:rPr>
      </w:pPr>
      <w:r>
        <w:rPr>
          <w:rFonts w:ascii="Times New Roman" w:hAnsi="Times New Roman" w:eastAsia="黑体" w:cs="Times New Roman"/>
        </w:rPr>
        <w:t xml:space="preserve">d) </w:t>
      </w:r>
      <w:r>
        <w:rPr>
          <w:rFonts w:ascii="Times New Roman" w:hAnsi="Times New Roman" w:cs="Times New Roman"/>
        </w:rPr>
        <w:t xml:space="preserve"> 说明选用</w:t>
      </w:r>
      <w:r>
        <w:rPr>
          <w:rFonts w:hint="eastAsia" w:ascii="Times New Roman" w:hAnsi="Times New Roman" w:cs="Times New Roman"/>
        </w:rPr>
        <w:t>的</w:t>
      </w:r>
      <w:r>
        <w:rPr>
          <w:rFonts w:ascii="Times New Roman" w:hAnsi="Times New Roman" w:cs="Times New Roman"/>
        </w:rPr>
        <w:t>地区调整系数值及理由。</w:t>
      </w:r>
    </w:p>
    <w:p>
      <w:pPr>
        <w:ind w:left="840" w:leftChars="200" w:hanging="420" w:hangingChars="200"/>
        <w:rPr>
          <w:rFonts w:ascii="Times New Roman" w:hAnsi="Times New Roman" w:cs="Times New Roman"/>
        </w:rPr>
      </w:pPr>
      <w:r>
        <w:rPr>
          <w:rFonts w:ascii="Times New Roman" w:hAnsi="Times New Roman" w:eastAsia="黑体" w:cs="Times New Roman"/>
        </w:rPr>
        <w:t xml:space="preserve">e) </w:t>
      </w:r>
      <w:r>
        <w:rPr>
          <w:rFonts w:ascii="Times New Roman" w:hAnsi="Times New Roman" w:cs="Times New Roman"/>
        </w:rPr>
        <w:t xml:space="preserve"> 对于工作项目中采用的新手段、新方法，在《地质调查项目预算标准（2010年试用）》中查不到预算标准的，应详细说明单价依据。</w:t>
      </w:r>
    </w:p>
    <w:p>
      <w:pPr>
        <w:spacing w:before="120" w:beforeLines="50" w:after="120" w:afterLines="50" w:line="240" w:lineRule="auto"/>
        <w:ind w:firstLine="0"/>
        <w:rPr>
          <w:rFonts w:ascii="黑体" w:eastAsia="黑体" w:cs="Times New Roman"/>
        </w:rPr>
      </w:pPr>
      <w:r>
        <w:rPr>
          <w:rFonts w:hint="eastAsia" w:ascii="黑体" w:eastAsia="黑体" w:cs="Times New Roman"/>
        </w:rPr>
        <w:t>5.4.1.3.4  项目预算的合理性及可靠性分析</w:t>
      </w:r>
    </w:p>
    <w:p>
      <w:pPr>
        <w:ind w:firstLine="420" w:firstLineChars="200"/>
        <w:rPr>
          <w:rFonts w:ascii="Times New Roman" w:hAnsi="Times New Roman" w:cs="Times New Roman"/>
        </w:rPr>
      </w:pPr>
      <w:r>
        <w:rPr>
          <w:rFonts w:ascii="Times New Roman" w:hAnsi="Times New Roman" w:cs="Times New Roman"/>
        </w:rPr>
        <w:t>对项目预算与技术方案的协调性、一致性，各项预算费用占项目总费用比例及合理性，主要实物工作量部署的科学性，选取预算标准的可靠性等进行分析。</w:t>
      </w:r>
    </w:p>
    <w:p>
      <w:pPr>
        <w:spacing w:before="120" w:beforeLines="50" w:after="120" w:afterLines="50" w:line="240" w:lineRule="auto"/>
        <w:ind w:firstLine="0"/>
        <w:rPr>
          <w:rFonts w:ascii="黑体" w:eastAsia="黑体" w:cs="Times New Roman"/>
        </w:rPr>
      </w:pPr>
      <w:r>
        <w:rPr>
          <w:rFonts w:hint="eastAsia" w:ascii="黑体" w:eastAsia="黑体" w:cs="Times New Roman"/>
        </w:rPr>
        <w:t>5.4.1.3.5  需要说明的问题</w:t>
      </w:r>
    </w:p>
    <w:p>
      <w:pPr>
        <w:ind w:firstLine="420" w:firstLineChars="200"/>
        <w:rPr>
          <w:rFonts w:ascii="Times New Roman" w:hAnsi="Times New Roman" w:cs="Times New Roman"/>
        </w:rPr>
      </w:pPr>
      <w:r>
        <w:rPr>
          <w:rFonts w:ascii="Times New Roman" w:hAnsi="Times New Roman" w:cs="Times New Roman"/>
        </w:rPr>
        <w:t>主要对预算编制过程中一些需要说明，但又不包括在上述四项说明内容中的事项进行说明。</w:t>
      </w:r>
    </w:p>
    <w:p>
      <w:pPr>
        <w:pStyle w:val="228"/>
        <w:spacing w:before="120" w:beforeLines="50" w:after="120" w:afterLines="50"/>
        <w:rPr>
          <w:rFonts w:ascii="黑体" w:cs="Times New Roman"/>
        </w:rPr>
      </w:pPr>
      <w:r>
        <w:rPr>
          <w:rFonts w:hint="eastAsia" w:ascii="黑体" w:cs="Times New Roman"/>
        </w:rPr>
        <w:t>5.4.2  “量价费”预算表编制方法</w:t>
      </w:r>
    </w:p>
    <w:p>
      <w:pPr>
        <w:pStyle w:val="229"/>
        <w:spacing w:before="120" w:beforeLines="50" w:after="120" w:afterLines="50"/>
      </w:pPr>
      <w:r>
        <w:rPr>
          <w:rFonts w:hint="eastAsia"/>
        </w:rPr>
        <w:t>5.4.2.1  一般要求</w:t>
      </w:r>
    </w:p>
    <w:p>
      <w:pPr>
        <w:ind w:left="840" w:leftChars="200" w:hanging="420" w:hangingChars="200"/>
        <w:rPr>
          <w:rFonts w:ascii="Times New Roman" w:hAnsi="Times New Roman" w:cs="Times New Roman"/>
        </w:rPr>
      </w:pPr>
      <w:r>
        <w:rPr>
          <w:rFonts w:ascii="Times New Roman" w:hAnsi="Times New Roman" w:cs="Times New Roman"/>
        </w:rPr>
        <w:t>a)  预算金额=工程量×定额单价×地区调整系数。</w:t>
      </w:r>
    </w:p>
    <w:p>
      <w:pPr>
        <w:ind w:left="840" w:leftChars="200" w:hanging="420" w:hangingChars="200"/>
        <w:rPr>
          <w:rFonts w:ascii="Times New Roman" w:hAnsi="Times New Roman" w:cs="Times New Roman"/>
        </w:rPr>
      </w:pPr>
      <w:r>
        <w:rPr>
          <w:rFonts w:ascii="Times New Roman" w:hAnsi="Times New Roman" w:cs="Times New Roman"/>
        </w:rPr>
        <w:t>b)  工程量由项目设计文件确定。</w:t>
      </w:r>
    </w:p>
    <w:p>
      <w:pPr>
        <w:topLinePunct/>
        <w:ind w:left="420" w:leftChars="200" w:firstLine="0"/>
        <w:rPr>
          <w:rFonts w:ascii="Times New Roman" w:hAnsi="Times New Roman" w:cs="Times New Roman"/>
        </w:rPr>
      </w:pPr>
      <w:r>
        <w:rPr>
          <w:rFonts w:ascii="Times New Roman" w:hAnsi="Times New Roman" w:cs="Times New Roman"/>
        </w:rPr>
        <w:t>c)  定额单价根据项目工作内容、实际地质情况和工作困难级别选取《地质调查项目预算标准   （2010年试用）》相应单价。</w:t>
      </w:r>
    </w:p>
    <w:p>
      <w:pPr>
        <w:ind w:left="840" w:leftChars="200" w:hanging="420" w:hangingChars="200"/>
        <w:rPr>
          <w:rFonts w:ascii="Times New Roman" w:hAnsi="Times New Roman" w:cs="Times New Roman"/>
        </w:rPr>
      </w:pPr>
      <w:r>
        <w:rPr>
          <w:rFonts w:ascii="Times New Roman" w:hAnsi="Times New Roman" w:cs="Times New Roman"/>
        </w:rPr>
        <w:t>d)  地区调整系数根据项目工作区域确定。</w:t>
      </w:r>
    </w:p>
    <w:p>
      <w:pPr>
        <w:pStyle w:val="229"/>
        <w:spacing w:before="120" w:beforeLines="50" w:after="120" w:afterLines="50"/>
      </w:pPr>
      <w:r>
        <w:rPr>
          <w:rFonts w:hint="eastAsia"/>
        </w:rPr>
        <w:t>5.4.2.2  编制基本方法</w:t>
      </w:r>
    </w:p>
    <w:p>
      <w:pPr>
        <w:pStyle w:val="235"/>
        <w:spacing w:line="360" w:lineRule="auto"/>
        <w:outlineLvl w:val="9"/>
        <w:rPr>
          <w:rFonts w:ascii="Times New Roman" w:hAnsi="Times New Roman"/>
        </w:rPr>
      </w:pPr>
      <w:r>
        <w:rPr>
          <w:rFonts w:hint="eastAsia"/>
        </w:rPr>
        <w:t>5.4.2.2.1</w:t>
      </w:r>
      <w:r>
        <w:rPr>
          <w:rFonts w:ascii="Times New Roman" w:hAnsi="Times New Roman"/>
        </w:rPr>
        <w:t xml:space="preserve">  </w:t>
      </w:r>
      <w:r>
        <w:rPr>
          <w:rFonts w:ascii="Times New Roman" w:hAnsi="Times New Roman" w:eastAsia="宋体"/>
        </w:rPr>
        <w:t>根据附录C</w:t>
      </w:r>
      <w:r>
        <w:rPr>
          <w:rFonts w:hint="eastAsia" w:ascii="Times New Roman" w:hAnsi="Times New Roman" w:eastAsia="宋体"/>
        </w:rPr>
        <w:t>“</w:t>
      </w:r>
      <w:r>
        <w:rPr>
          <w:rFonts w:ascii="Times New Roman" w:hAnsi="Times New Roman" w:eastAsia="宋体"/>
        </w:rPr>
        <w:t>工作手段目录</w:t>
      </w:r>
      <w:r>
        <w:rPr>
          <w:rFonts w:hint="eastAsia" w:ascii="Times New Roman" w:hAnsi="Times New Roman" w:eastAsia="宋体"/>
        </w:rPr>
        <w:t>”</w:t>
      </w:r>
      <w:r>
        <w:rPr>
          <w:rFonts w:ascii="Times New Roman" w:hAnsi="Times New Roman" w:eastAsia="宋体"/>
        </w:rPr>
        <w:t>，结合项目工作区内实际情况和自然地理条件，按地形测绘、地质测量、物探、化探、遥感、钻探、坑探、浅井、槽探、岩矿测试、其他地质工作、工地建筑等投入的各项工作手段和工作量，确定各项工作手段的数量及其技术条件，在此基础上正确选择所对应的预算标准，并根据工作区所在地区选择对应的地区调整系数对预算标准进行调整，逐项测算各项工作手段预算，并按规定的顺序汇总编制</w:t>
      </w:r>
      <w:r>
        <w:rPr>
          <w:rFonts w:hint="eastAsia" w:ascii="Times New Roman" w:hAnsi="Times New Roman" w:eastAsia="宋体"/>
        </w:rPr>
        <w:t>“</w:t>
      </w:r>
      <w:r>
        <w:rPr>
          <w:rFonts w:ascii="Times New Roman" w:hAnsi="Times New Roman" w:eastAsia="宋体"/>
        </w:rPr>
        <w:t>按工作手段预算表（预工-2）</w:t>
      </w:r>
      <w:r>
        <w:rPr>
          <w:rFonts w:hint="eastAsia" w:ascii="Times New Roman" w:hAnsi="Times New Roman" w:eastAsia="宋体"/>
        </w:rPr>
        <w:t>”</w:t>
      </w:r>
      <w:r>
        <w:rPr>
          <w:rFonts w:ascii="Times New Roman" w:hAnsi="Times New Roman" w:eastAsia="宋体"/>
        </w:rPr>
        <w:t>。目录中缺项的可在同级项下据实补列，并在预算编制说明中详细说明。</w:t>
      </w:r>
    </w:p>
    <w:p>
      <w:pPr>
        <w:pStyle w:val="235"/>
        <w:spacing w:line="360" w:lineRule="auto"/>
        <w:outlineLvl w:val="9"/>
        <w:rPr>
          <w:rFonts w:ascii="Times New Roman" w:hAnsi="Times New Roman"/>
        </w:rPr>
      </w:pPr>
      <w:r>
        <w:rPr>
          <w:rFonts w:hint="eastAsia"/>
        </w:rPr>
        <w:t>5.4.2.2.2</w:t>
      </w:r>
      <w:r>
        <w:rPr>
          <w:rFonts w:ascii="Times New Roman" w:hAnsi="Times New Roman"/>
        </w:rPr>
        <w:t xml:space="preserve">  </w:t>
      </w:r>
      <w:r>
        <w:rPr>
          <w:rFonts w:hint="eastAsia" w:ascii="Times New Roman" w:hAnsi="Times New Roman"/>
        </w:rPr>
        <w:t>“</w:t>
      </w:r>
      <w:r>
        <w:rPr>
          <w:rFonts w:ascii="Times New Roman" w:hAnsi="Times New Roman" w:eastAsia="宋体"/>
        </w:rPr>
        <w:t>量价费</w:t>
      </w:r>
      <w:r>
        <w:rPr>
          <w:rFonts w:hint="eastAsia" w:ascii="Times New Roman" w:hAnsi="Times New Roman"/>
        </w:rPr>
        <w:t>”</w:t>
      </w:r>
      <w:r>
        <w:rPr>
          <w:rFonts w:ascii="Times New Roman" w:hAnsi="Times New Roman" w:eastAsia="宋体"/>
        </w:rPr>
        <w:t>预算的单价执行中国地质调查局《地质调查项目预算标准（2010年试用）》。地质调查预算标准中没有的工作手段，可参考使用相关行业预算标准；没有可参考的行业预算标准时，可按照工作成本费用构成，结合实际情况和以往支出资料测算确定。</w:t>
      </w:r>
    </w:p>
    <w:p>
      <w:pPr>
        <w:pStyle w:val="229"/>
        <w:spacing w:before="120" w:beforeLines="50" w:after="120" w:afterLines="50"/>
      </w:pPr>
      <w:r>
        <w:rPr>
          <w:rFonts w:hint="eastAsia"/>
        </w:rPr>
        <w:t>5.4.2.3  编制细节</w:t>
      </w:r>
    </w:p>
    <w:p>
      <w:pPr>
        <w:pStyle w:val="235"/>
        <w:spacing w:before="120" w:beforeLines="50" w:after="120" w:afterLines="50"/>
      </w:pPr>
      <w:r>
        <w:rPr>
          <w:rFonts w:hint="eastAsia"/>
        </w:rPr>
        <w:t>5.4.2.3.1  地形测绘</w:t>
      </w:r>
    </w:p>
    <w:p>
      <w:pPr>
        <w:ind w:left="840" w:leftChars="200" w:hanging="420" w:hangingChars="200"/>
        <w:rPr>
          <w:rFonts w:ascii="Times New Roman" w:hAnsi="Times New Roman" w:cs="Times New Roman"/>
        </w:rPr>
      </w:pPr>
      <w:r>
        <w:rPr>
          <w:rFonts w:ascii="Times New Roman" w:hAnsi="Times New Roman" w:eastAsia="黑体" w:cs="Times New Roman"/>
        </w:rPr>
        <w:t xml:space="preserve">a)  </w:t>
      </w:r>
      <w:r>
        <w:rPr>
          <w:rFonts w:ascii="Times New Roman" w:hAnsi="Times New Roman" w:cs="Times New Roman"/>
        </w:rPr>
        <w:t>数字化测图，按正测标准增加3</w:t>
      </w:r>
      <w:r>
        <w:rPr>
          <w:rFonts w:ascii="Times New Roman" w:hAnsi="Times New Roman" w:eastAsia="黑体" w:cs="Times New Roman"/>
        </w:rPr>
        <w:t>0%</w:t>
      </w:r>
      <w:r>
        <w:rPr>
          <w:rFonts w:ascii="Times New Roman" w:hAnsi="Times New Roman" w:cs="Times New Roman"/>
        </w:rPr>
        <w:t>计算。</w:t>
      </w:r>
    </w:p>
    <w:p>
      <w:pPr>
        <w:ind w:left="840" w:leftChars="200" w:hanging="420" w:hangingChars="200"/>
        <w:rPr>
          <w:rFonts w:ascii="Times New Roman" w:hAnsi="Times New Roman" w:cs="Times New Roman"/>
        </w:rPr>
      </w:pPr>
      <w:r>
        <w:rPr>
          <w:rFonts w:ascii="Times New Roman" w:hAnsi="Times New Roman" w:eastAsia="黑体" w:cs="Times New Roman"/>
        </w:rPr>
        <w:t xml:space="preserve">b)  </w:t>
      </w:r>
      <w:r>
        <w:rPr>
          <w:rFonts w:ascii="Times New Roman" w:hAnsi="Times New Roman" w:cs="Times New Roman"/>
        </w:rPr>
        <w:t>地形图草测，按正测标准的65%计算。</w:t>
      </w:r>
    </w:p>
    <w:p>
      <w:pPr>
        <w:ind w:left="840" w:leftChars="200" w:hanging="420" w:hangingChars="200"/>
        <w:rPr>
          <w:rFonts w:ascii="Times New Roman" w:hAnsi="Times New Roman" w:cs="Times New Roman"/>
        </w:rPr>
      </w:pPr>
      <w:r>
        <w:rPr>
          <w:rFonts w:ascii="Times New Roman" w:hAnsi="Times New Roman" w:eastAsia="黑体" w:cs="Times New Roman"/>
        </w:rPr>
        <w:t xml:space="preserve">c)  </w:t>
      </w:r>
      <w:r>
        <w:rPr>
          <w:rFonts w:ascii="Times New Roman" w:hAnsi="Times New Roman" w:cs="Times New Roman"/>
        </w:rPr>
        <w:t>已购置数字化地形图的，不再编制地形图数字化预算。</w:t>
      </w:r>
    </w:p>
    <w:p>
      <w:pPr>
        <w:pStyle w:val="235"/>
        <w:spacing w:before="120" w:beforeLines="50" w:after="120" w:afterLines="50"/>
      </w:pPr>
      <w:r>
        <w:rPr>
          <w:rFonts w:hint="eastAsia"/>
        </w:rPr>
        <w:t>5.4.2.3.2  地质测量</w:t>
      </w:r>
    </w:p>
    <w:p>
      <w:pPr>
        <w:ind w:left="840" w:leftChars="200" w:hanging="420" w:hangingChars="200"/>
        <w:rPr>
          <w:rFonts w:ascii="Times New Roman" w:hAnsi="Times New Roman" w:cs="Times New Roman"/>
        </w:rPr>
      </w:pPr>
      <w:r>
        <w:rPr>
          <w:rFonts w:ascii="Times New Roman" w:hAnsi="Times New Roman" w:eastAsia="黑体" w:cs="Times New Roman"/>
        </w:rPr>
        <w:t xml:space="preserve">a)  </w:t>
      </w:r>
      <w:r>
        <w:rPr>
          <w:rFonts w:ascii="Times New Roman" w:hAnsi="Times New Roman" w:cs="Times New Roman"/>
        </w:rPr>
        <w:t>简测按正测标准的77%计算，草测按正测标准的65%计算，编测按正测标准的50%计算。</w:t>
      </w:r>
    </w:p>
    <w:p>
      <w:pPr>
        <w:ind w:left="840" w:leftChars="200" w:hanging="420" w:hangingChars="200"/>
        <w:rPr>
          <w:rFonts w:ascii="Times New Roman" w:hAnsi="Times New Roman" w:cs="Times New Roman"/>
        </w:rPr>
      </w:pPr>
      <w:r>
        <w:rPr>
          <w:rFonts w:ascii="Times New Roman" w:hAnsi="Times New Roman" w:eastAsia="黑体" w:cs="Times New Roman"/>
        </w:rPr>
        <w:t xml:space="preserve">b)  </w:t>
      </w:r>
      <w:r>
        <w:rPr>
          <w:rFonts w:ascii="Times New Roman" w:hAnsi="Times New Roman" w:cs="Times New Roman"/>
        </w:rPr>
        <w:t>对于水文地质调查、环境地质调查、地质灾害调查在同一项目、同一地区、同时开展工作的，如其中两项共做的可按两项预算标准合计的80%计算，如三项共做的可按三项预算标准合计的65%计算。</w:t>
      </w:r>
    </w:p>
    <w:p>
      <w:pPr>
        <w:pStyle w:val="235"/>
        <w:spacing w:before="120" w:beforeLines="50" w:after="120" w:afterLines="50"/>
      </w:pPr>
      <w:r>
        <w:rPr>
          <w:rFonts w:hint="eastAsia"/>
        </w:rPr>
        <w:t>5.4.2.3.3  物化探</w:t>
      </w:r>
    </w:p>
    <w:p>
      <w:pPr>
        <w:ind w:left="840" w:leftChars="200" w:hanging="420" w:hangingChars="200"/>
        <w:rPr>
          <w:rFonts w:ascii="Times New Roman" w:hAnsi="Times New Roman" w:eastAsia="黑体" w:cs="Times New Roman"/>
        </w:rPr>
      </w:pPr>
      <w:r>
        <w:rPr>
          <w:rFonts w:ascii="Times New Roman" w:hAnsi="Times New Roman" w:eastAsia="黑体" w:cs="Times New Roman"/>
        </w:rPr>
        <w:t xml:space="preserve">a)  </w:t>
      </w:r>
      <w:r>
        <w:rPr>
          <w:rFonts w:ascii="Times New Roman" w:hAnsi="Times New Roman" w:cs="Times New Roman"/>
        </w:rPr>
        <w:t>物化探地形等级的使用：在物化探面积性工作中，物化探地形等级按1:50 000分幅地形等级执行。对点上工作，应按预算标准中所</w:t>
      </w:r>
      <w:r>
        <w:rPr>
          <w:rFonts w:hint="eastAsia" w:ascii="宋体" w:cs="Times New Roman"/>
        </w:rPr>
        <w:t>附“地形等级划分”方</w:t>
      </w:r>
      <w:r>
        <w:rPr>
          <w:rFonts w:ascii="Times New Roman" w:hAnsi="Times New Roman" w:cs="Times New Roman"/>
        </w:rPr>
        <w:t>法具体测定。采用内插法测算预算标准，内插法计算公式：B=A+（C-A）（N-INT（N）），其中：B为内插的预算标准，A为B的低端预算标准，C为B的高端预算标准，N为实际地形等级，INT（N）为实际地形等级取整。</w:t>
      </w:r>
    </w:p>
    <w:p>
      <w:pPr>
        <w:ind w:left="840" w:leftChars="200" w:hanging="420" w:hangingChars="200"/>
        <w:rPr>
          <w:rFonts w:ascii="Times New Roman" w:hAnsi="Times New Roman" w:cs="Times New Roman"/>
        </w:rPr>
      </w:pPr>
      <w:r>
        <w:rPr>
          <w:rFonts w:ascii="Times New Roman" w:hAnsi="Times New Roman" w:eastAsia="黑体" w:cs="Times New Roman"/>
        </w:rPr>
        <w:t xml:space="preserve">b)  </w:t>
      </w:r>
      <w:r>
        <w:rPr>
          <w:rFonts w:ascii="Times New Roman" w:hAnsi="Times New Roman" w:cs="Times New Roman"/>
        </w:rPr>
        <w:t>物化探异常查证不能简单估算，应按采用的具体方法手段逐项计算。</w:t>
      </w:r>
    </w:p>
    <w:p>
      <w:pPr>
        <w:ind w:left="840" w:leftChars="200" w:hanging="420" w:hangingChars="200"/>
        <w:rPr>
          <w:rFonts w:ascii="Times New Roman" w:hAnsi="Times New Roman" w:cs="Times New Roman"/>
        </w:rPr>
      </w:pPr>
      <w:r>
        <w:rPr>
          <w:rFonts w:ascii="Times New Roman" w:hAnsi="Times New Roman" w:eastAsia="黑体" w:cs="Times New Roman"/>
        </w:rPr>
        <w:t xml:space="preserve">c)  </w:t>
      </w:r>
      <w:r>
        <w:rPr>
          <w:rFonts w:ascii="Times New Roman" w:hAnsi="Times New Roman" w:cs="Times New Roman"/>
        </w:rPr>
        <w:t>物化探测网与剖面布设：在同一区域多种方法手段不得重复计算。比例尺小于1:25 000的物化探工作，相应预算标准中已经包含定点费用，不得再重复计算测网及剖面布设费用。除重力测量外，一般不使用</w:t>
      </w:r>
      <w:r>
        <w:rPr>
          <w:rFonts w:hint="eastAsia" w:ascii="Times New Roman" w:hAnsi="Times New Roman" w:cs="Times New Roman"/>
        </w:rPr>
        <w:t>“</w:t>
      </w:r>
      <w:r>
        <w:rPr>
          <w:rFonts w:ascii="Times New Roman" w:hAnsi="Times New Roman" w:cs="Times New Roman"/>
        </w:rPr>
        <w:t>测网等外水准测量</w:t>
      </w:r>
      <w:r>
        <w:rPr>
          <w:rFonts w:hint="eastAsia" w:ascii="Times New Roman" w:hAnsi="Times New Roman" w:cs="Times New Roman"/>
        </w:rPr>
        <w:t>”</w:t>
      </w:r>
      <w:r>
        <w:rPr>
          <w:rFonts w:ascii="Times New Roman" w:hAnsi="Times New Roman" w:cs="Times New Roman"/>
        </w:rPr>
        <w:t>预算标准。</w:t>
      </w:r>
    </w:p>
    <w:p>
      <w:pPr>
        <w:pStyle w:val="235"/>
        <w:spacing w:before="120" w:beforeLines="50" w:after="120" w:afterLines="50"/>
      </w:pPr>
      <w:r>
        <w:rPr>
          <w:rFonts w:hint="eastAsia"/>
        </w:rPr>
        <w:t>5.4.2.3.4  遥感地质解译</w:t>
      </w:r>
    </w:p>
    <w:p>
      <w:pPr>
        <w:ind w:firstLine="420" w:firstLineChars="200"/>
        <w:rPr>
          <w:rFonts w:ascii="Times New Roman" w:hAnsi="Times New Roman" w:cs="Times New Roman"/>
        </w:rPr>
      </w:pPr>
      <w:r>
        <w:rPr>
          <w:rFonts w:ascii="Times New Roman" w:hAnsi="Times New Roman" w:cs="Times New Roman"/>
        </w:rPr>
        <w:t>中国地质调查局《地质调查项目预算标准（2010年试用）》中遥感地质解译预算标准不含航片和遥感数据购置费，在遥感地质解译预算中可以列支航片和遥感数据购置费。</w:t>
      </w:r>
    </w:p>
    <w:p>
      <w:pPr>
        <w:pStyle w:val="235"/>
        <w:spacing w:before="120" w:beforeLines="50" w:after="120" w:afterLines="50"/>
      </w:pPr>
      <w:r>
        <w:rPr>
          <w:rFonts w:hint="eastAsia"/>
        </w:rPr>
        <w:t>5.4.2.3.5  钻探</w:t>
      </w:r>
    </w:p>
    <w:p>
      <w:pPr>
        <w:ind w:left="840" w:leftChars="200" w:hanging="420" w:hangingChars="200"/>
        <w:rPr>
          <w:rFonts w:ascii="Times New Roman" w:hAnsi="Times New Roman" w:cs="Times New Roman"/>
        </w:rPr>
      </w:pPr>
      <w:r>
        <w:rPr>
          <w:rFonts w:ascii="Times New Roman" w:hAnsi="Times New Roman" w:eastAsia="黑体" w:cs="Times New Roman"/>
        </w:rPr>
        <w:t>a</w:t>
      </w:r>
      <w:r>
        <w:rPr>
          <w:rFonts w:ascii="黑体" w:eastAsia="黑体" w:cs="Times New Roman"/>
        </w:rPr>
        <w:t>)</w:t>
      </w:r>
      <w:r>
        <w:rPr>
          <w:rFonts w:ascii="Times New Roman" w:hAnsi="Times New Roman" w:eastAsia="黑体" w:cs="Times New Roman"/>
        </w:rPr>
        <w:t xml:space="preserve">  </w:t>
      </w:r>
      <w:r>
        <w:rPr>
          <w:rFonts w:ascii="Times New Roman" w:hAnsi="Times New Roman" w:cs="Times New Roman"/>
        </w:rPr>
        <w:t>岩石级别的选取，以占主体的代表性岩石为准，各孔段岩性变化较大的可以分段选取或加权平均计算。</w:t>
      </w:r>
      <w:r>
        <w:rPr>
          <w:rFonts w:hint="eastAsia" w:ascii="Times New Roman" w:hAnsi="Times New Roman" w:cs="Times New Roman"/>
        </w:rPr>
        <w:t>“</w:t>
      </w:r>
      <w:r>
        <w:rPr>
          <w:rFonts w:ascii="Times New Roman" w:hAnsi="Times New Roman" w:cs="Times New Roman"/>
        </w:rPr>
        <w:t>分段计算法</w:t>
      </w:r>
      <w:r>
        <w:rPr>
          <w:rFonts w:hint="eastAsia" w:ascii="Times New Roman" w:hAnsi="Times New Roman" w:cs="Times New Roman"/>
        </w:rPr>
        <w:t>”</w:t>
      </w:r>
      <w:r>
        <w:rPr>
          <w:rFonts w:ascii="Times New Roman" w:hAnsi="Times New Roman" w:cs="Times New Roman"/>
        </w:rPr>
        <w:t>是根据施工方案的钻探柱状剖面图，分别确定不同岩石级别与厚度，进行费用计算；</w:t>
      </w:r>
      <w:r>
        <w:rPr>
          <w:rFonts w:hint="eastAsia" w:ascii="Times New Roman" w:hAnsi="Times New Roman" w:cs="Times New Roman"/>
        </w:rPr>
        <w:t>“</w:t>
      </w:r>
      <w:r>
        <w:rPr>
          <w:rFonts w:ascii="Times New Roman" w:hAnsi="Times New Roman" w:cs="Times New Roman"/>
        </w:rPr>
        <w:t>加权平均岩石级别法</w:t>
      </w:r>
      <w:r>
        <w:rPr>
          <w:rFonts w:hint="eastAsia" w:ascii="Times New Roman" w:hAnsi="Times New Roman" w:cs="Times New Roman"/>
        </w:rPr>
        <w:t>”</w:t>
      </w:r>
      <w:r>
        <w:rPr>
          <w:rFonts w:ascii="Times New Roman" w:hAnsi="Times New Roman" w:cs="Times New Roman"/>
        </w:rPr>
        <w:t>是根据不同岩石级别及其厚度，用加权平均法计算全孔的平均岩石级别，进行费用计算。若无钻探剖面图的钻探施工，可根据工作区围岩岩石级别计算。</w:t>
      </w:r>
    </w:p>
    <w:p>
      <w:pPr>
        <w:ind w:left="840" w:leftChars="200" w:hanging="420" w:hangingChars="200"/>
        <w:rPr>
          <w:rFonts w:ascii="Times New Roman" w:hAnsi="Times New Roman" w:cs="Times New Roman"/>
        </w:rPr>
      </w:pPr>
      <w:r>
        <w:rPr>
          <w:rFonts w:ascii="Times New Roman" w:hAnsi="Times New Roman" w:eastAsia="黑体" w:cs="Times New Roman"/>
        </w:rPr>
        <w:t>b</w:t>
      </w:r>
      <w:r>
        <w:rPr>
          <w:rFonts w:ascii="黑体" w:eastAsia="黑体" w:cs="Times New Roman"/>
        </w:rPr>
        <w:t>)</w:t>
      </w:r>
      <w:r>
        <w:rPr>
          <w:rFonts w:ascii="Times New Roman" w:hAnsi="Times New Roman" w:eastAsia="黑体" w:cs="Times New Roman"/>
        </w:rPr>
        <w:t xml:space="preserve">  </w:t>
      </w:r>
      <w:r>
        <w:rPr>
          <w:rFonts w:ascii="Times New Roman" w:hAnsi="Times New Roman" w:cs="Times New Roman"/>
        </w:rPr>
        <w:t>坑内钻探可按机械岩心钻探标准提高一定比例计算，孔深</w:t>
      </w:r>
      <w:r>
        <w:rPr>
          <w:rFonts w:hint="eastAsia" w:ascii="宋体" w:cs="Times New Roman"/>
        </w:rPr>
        <w:t>≤</w:t>
      </w:r>
      <w:r>
        <w:rPr>
          <w:rFonts w:ascii="Times New Roman" w:hAnsi="Times New Roman" w:cs="Times New Roman"/>
        </w:rPr>
        <w:t>200 m提高30%，孔深＞200 m提高25%。</w:t>
      </w:r>
    </w:p>
    <w:p>
      <w:pPr>
        <w:ind w:left="840" w:leftChars="200" w:hanging="420" w:hangingChars="200"/>
        <w:rPr>
          <w:rFonts w:ascii="Times New Roman" w:hAnsi="Times New Roman" w:cs="Times New Roman"/>
        </w:rPr>
      </w:pPr>
      <w:r>
        <w:rPr>
          <w:rFonts w:ascii="Times New Roman" w:hAnsi="Times New Roman" w:eastAsia="黑体" w:cs="Times New Roman"/>
        </w:rPr>
        <w:t>c</w:t>
      </w:r>
      <w:r>
        <w:rPr>
          <w:rFonts w:ascii="黑体" w:eastAsia="黑体" w:cs="Times New Roman"/>
        </w:rPr>
        <w:t>)</w:t>
      </w:r>
      <w:r>
        <w:rPr>
          <w:rFonts w:ascii="Times New Roman" w:hAnsi="Times New Roman" w:eastAsia="黑体" w:cs="Times New Roman"/>
        </w:rPr>
        <w:t xml:space="preserve">  </w:t>
      </w:r>
      <w:r>
        <w:rPr>
          <w:rFonts w:ascii="Times New Roman" w:hAnsi="Times New Roman" w:cs="Times New Roman"/>
        </w:rPr>
        <w:t>水文地质钻探口径按终孔口径计算。</w:t>
      </w:r>
    </w:p>
    <w:p>
      <w:pPr>
        <w:ind w:left="840" w:leftChars="200" w:hanging="420" w:hangingChars="200"/>
        <w:rPr>
          <w:rFonts w:ascii="Times New Roman" w:hAnsi="Times New Roman" w:cs="Times New Roman"/>
        </w:rPr>
      </w:pPr>
      <w:r>
        <w:rPr>
          <w:rFonts w:ascii="Times New Roman" w:hAnsi="Times New Roman" w:eastAsia="黑体" w:cs="Times New Roman"/>
        </w:rPr>
        <w:t>d</w:t>
      </w:r>
      <w:r>
        <w:rPr>
          <w:rFonts w:ascii="黑体" w:eastAsia="黑体" w:cs="Times New Roman"/>
        </w:rPr>
        <w:t>)</w:t>
      </w:r>
      <w:r>
        <w:rPr>
          <w:rFonts w:ascii="Times New Roman" w:hAnsi="Times New Roman" w:eastAsia="黑体" w:cs="Times New Roman"/>
        </w:rPr>
        <w:t xml:space="preserve">  </w:t>
      </w:r>
      <w:r>
        <w:rPr>
          <w:rFonts w:ascii="Times New Roman" w:hAnsi="Times New Roman" w:cs="Times New Roman"/>
        </w:rPr>
        <w:t>水文地质钻探预算标准中不包含成井材料费，预算中按照项目具体要求和市场价列支。</w:t>
      </w:r>
    </w:p>
    <w:p>
      <w:pPr>
        <w:pStyle w:val="235"/>
        <w:spacing w:before="120" w:beforeLines="50" w:after="120" w:afterLines="50"/>
      </w:pPr>
      <w:r>
        <w:rPr>
          <w:rFonts w:hint="eastAsia"/>
        </w:rPr>
        <w:t>5.4.2.3.6  浅井</w:t>
      </w:r>
    </w:p>
    <w:p>
      <w:pPr>
        <w:ind w:firstLine="420"/>
        <w:rPr>
          <w:rFonts w:ascii="Times New Roman" w:hAnsi="Times New Roman" w:cs="Times New Roman"/>
        </w:rPr>
      </w:pPr>
      <w:r>
        <w:rPr>
          <w:rFonts w:ascii="Times New Roman" w:hAnsi="Times New Roman" w:cs="Times New Roman"/>
        </w:rPr>
        <w:t>浅井预算标准中包含了完工后回填、踏实、埋设水泥标志费用，不得重复计算。</w:t>
      </w:r>
    </w:p>
    <w:p>
      <w:pPr>
        <w:pStyle w:val="235"/>
        <w:spacing w:before="120" w:beforeLines="50" w:after="120" w:afterLines="50"/>
      </w:pPr>
      <w:r>
        <w:rPr>
          <w:rFonts w:hint="eastAsia"/>
        </w:rPr>
        <w:t>5.4.2.3.7  槽探</w:t>
      </w:r>
    </w:p>
    <w:p>
      <w:pPr>
        <w:ind w:firstLine="420"/>
        <w:rPr>
          <w:rFonts w:ascii="Times New Roman" w:hAnsi="Times New Roman" w:cs="Times New Roman"/>
        </w:rPr>
      </w:pPr>
      <w:r>
        <w:rPr>
          <w:rFonts w:ascii="Times New Roman" w:hAnsi="Times New Roman" w:cs="Times New Roman"/>
        </w:rPr>
        <w:t>槽探预算标准中包含了完工后回填、踏实、埋设水泥标志费用，不得重复计算。</w:t>
      </w:r>
    </w:p>
    <w:p>
      <w:pPr>
        <w:pStyle w:val="235"/>
        <w:spacing w:before="120" w:beforeLines="50" w:after="120" w:afterLines="50"/>
      </w:pPr>
      <w:r>
        <w:rPr>
          <w:rFonts w:hint="eastAsia"/>
        </w:rPr>
        <w:t>5.4.2.3.8  岩矿测试</w:t>
      </w:r>
    </w:p>
    <w:p>
      <w:pPr>
        <w:ind w:left="840" w:leftChars="200" w:hanging="420" w:hangingChars="200"/>
        <w:rPr>
          <w:rFonts w:ascii="Times New Roman" w:hAnsi="Times New Roman" w:cs="Times New Roman"/>
        </w:rPr>
      </w:pPr>
      <w:r>
        <w:rPr>
          <w:rFonts w:ascii="Times New Roman" w:hAnsi="Times New Roman" w:eastAsia="黑体" w:cs="Times New Roman"/>
        </w:rPr>
        <w:t xml:space="preserve">a)  </w:t>
      </w:r>
      <w:r>
        <w:rPr>
          <w:rFonts w:ascii="Times New Roman" w:hAnsi="Times New Roman" w:cs="Times New Roman"/>
        </w:rPr>
        <w:t>岩矿测试根据设计工程量及相应的定额标准进行测算。</w:t>
      </w:r>
    </w:p>
    <w:p>
      <w:pPr>
        <w:ind w:left="840" w:leftChars="200" w:hanging="420" w:hangingChars="200"/>
        <w:rPr>
          <w:rFonts w:ascii="Times New Roman" w:hAnsi="Times New Roman" w:cs="Times New Roman"/>
        </w:rPr>
      </w:pPr>
      <w:r>
        <w:rPr>
          <w:rFonts w:ascii="Times New Roman" w:hAnsi="Times New Roman" w:eastAsia="黑体" w:cs="Times New Roman"/>
        </w:rPr>
        <w:t xml:space="preserve">b)  </w:t>
      </w:r>
      <w:r>
        <w:rPr>
          <w:rFonts w:ascii="Times New Roman" w:hAnsi="Times New Roman" w:cs="Times New Roman"/>
        </w:rPr>
        <w:t>无定额标准项根据市场调查价格进行测算。</w:t>
      </w:r>
    </w:p>
    <w:p>
      <w:pPr>
        <w:pStyle w:val="235"/>
        <w:spacing w:before="120" w:beforeLines="50" w:after="120" w:afterLines="50"/>
      </w:pPr>
      <w:r>
        <w:rPr>
          <w:rFonts w:hint="eastAsia"/>
        </w:rPr>
        <w:t>5.4.2.3.9  其他地质工作</w:t>
      </w:r>
    </w:p>
    <w:p>
      <w:pPr>
        <w:ind w:left="840" w:leftChars="200" w:hanging="420" w:hangingChars="200"/>
        <w:rPr>
          <w:rFonts w:ascii="Times New Roman" w:hAnsi="Times New Roman" w:cs="Times New Roman"/>
        </w:rPr>
      </w:pPr>
      <w:r>
        <w:rPr>
          <w:rFonts w:ascii="Times New Roman" w:hAnsi="Times New Roman" w:cs="Times New Roman"/>
        </w:rPr>
        <w:t>a)  地质勘查工作测量</w:t>
      </w:r>
    </w:p>
    <w:p>
      <w:pPr>
        <w:ind w:left="1260" w:leftChars="400" w:hanging="420" w:hangingChars="200"/>
        <w:rPr>
          <w:rFonts w:ascii="Times New Roman" w:hAnsi="Times New Roman" w:cs="Times New Roman"/>
        </w:rPr>
      </w:pPr>
      <w:r>
        <w:rPr>
          <w:rFonts w:ascii="Times New Roman" w:hAnsi="Times New Roman" w:cs="Times New Roman"/>
        </w:rPr>
        <w:t>工程点测量指钻探、坑探点的孔口测量，适用地区调整系数。</w:t>
      </w:r>
    </w:p>
    <w:p>
      <w:pPr>
        <w:pStyle w:val="235"/>
        <w:spacing w:line="360" w:lineRule="auto"/>
        <w:ind w:left="840" w:leftChars="200" w:hanging="420" w:hangingChars="200"/>
        <w:outlineLvl w:val="9"/>
        <w:rPr>
          <w:rFonts w:ascii="Times New Roman" w:hAnsi="Times New Roman" w:eastAsia="宋体"/>
        </w:rPr>
      </w:pPr>
      <w:r>
        <w:rPr>
          <w:rFonts w:ascii="Times New Roman" w:hAnsi="Times New Roman" w:eastAsia="宋体"/>
        </w:rPr>
        <w:t>b)  地质编录</w:t>
      </w:r>
    </w:p>
    <w:p>
      <w:pPr>
        <w:ind w:left="1260" w:leftChars="400" w:hanging="420" w:hangingChars="200"/>
        <w:rPr>
          <w:rFonts w:ascii="Times New Roman" w:hAnsi="Times New Roman" w:cs="Times New Roman"/>
        </w:rPr>
      </w:pPr>
      <w:r>
        <w:rPr>
          <w:rFonts w:ascii="Times New Roman" w:hAnsi="Times New Roman" w:cs="Times New Roman"/>
        </w:rPr>
        <w:t>1)  钻探地质编录预算工程量一般为钻探设计总深度。</w:t>
      </w:r>
    </w:p>
    <w:p>
      <w:pPr>
        <w:ind w:left="1260" w:leftChars="400" w:hanging="420" w:hangingChars="200"/>
        <w:rPr>
          <w:rFonts w:ascii="宋体" w:cs="Times New Roman"/>
        </w:rPr>
      </w:pPr>
      <w:r>
        <w:rPr>
          <w:rFonts w:ascii="Times New Roman" w:hAnsi="Times New Roman" w:cs="Times New Roman"/>
        </w:rPr>
        <w:t xml:space="preserve">2)  </w:t>
      </w:r>
      <w:r>
        <w:rPr>
          <w:rFonts w:hint="eastAsia" w:ascii="宋体" w:cs="Times New Roman"/>
        </w:rPr>
        <w:t>槽探地质编录计量单位为“</w:t>
      </w:r>
      <w:r>
        <w:rPr>
          <w:rFonts w:ascii="Times New Roman" w:hAnsi="Times New Roman" w:cs="Times New Roman"/>
        </w:rPr>
        <w:t>m</w:t>
      </w:r>
      <w:r>
        <w:rPr>
          <w:rFonts w:hint="eastAsia" w:ascii="宋体" w:cs="Times New Roman"/>
        </w:rPr>
        <w:t>”，应按槽探的设计长度计算，不应按槽探设计方量直接计算。</w:t>
      </w:r>
    </w:p>
    <w:p>
      <w:pPr>
        <w:ind w:left="840" w:leftChars="200" w:hanging="420" w:hangingChars="200"/>
        <w:rPr>
          <w:rFonts w:ascii="Times New Roman" w:hAnsi="Times New Roman" w:cs="Times New Roman"/>
        </w:rPr>
      </w:pPr>
      <w:r>
        <w:rPr>
          <w:rFonts w:ascii="Times New Roman" w:hAnsi="Times New Roman" w:cs="Times New Roman"/>
        </w:rPr>
        <w:t>c)  设计论证编写、综合研究及编写报告、报告印刷</w:t>
      </w:r>
    </w:p>
    <w:p>
      <w:pPr>
        <w:ind w:left="1260" w:leftChars="400" w:hanging="420" w:hangingChars="200"/>
        <w:rPr>
          <w:rFonts w:ascii="Times New Roman" w:hAnsi="Times New Roman" w:cs="Times New Roman"/>
        </w:rPr>
      </w:pPr>
      <w:r>
        <w:rPr>
          <w:rFonts w:ascii="Times New Roman" w:hAnsi="Times New Roman" w:cs="Times New Roman"/>
        </w:rPr>
        <w:t>1)  地质灾害风险调查评价项目的设计论证编写、综合研究及报告编写、报告印刷按照区域水工环调查的预算标准预算。</w:t>
      </w:r>
    </w:p>
    <w:p>
      <w:pPr>
        <w:ind w:left="1260" w:leftChars="400" w:hanging="420" w:hangingChars="200"/>
        <w:rPr>
          <w:rFonts w:ascii="Times New Roman" w:hAnsi="Times New Roman" w:cs="Times New Roman"/>
        </w:rPr>
      </w:pPr>
      <w:r>
        <w:rPr>
          <w:rFonts w:ascii="Times New Roman" w:hAnsi="Times New Roman" w:cs="Times New Roman"/>
        </w:rPr>
        <w:t>2)  重点地域地质灾害详细调查的设计论证编写、综合研究及报告编写、报告印刷按照水工环勘查的预算标准预算，分幅较多的地质灾害详细调查综合研究及报告编写按照区域地质调查分幅说明书的预算标准预算。</w:t>
      </w:r>
    </w:p>
    <w:p>
      <w:pPr>
        <w:ind w:left="1260" w:leftChars="400" w:hanging="420" w:hangingChars="200"/>
        <w:rPr>
          <w:rFonts w:ascii="Times New Roman" w:hAnsi="Times New Roman" w:cs="Times New Roman"/>
        </w:rPr>
      </w:pPr>
      <w:r>
        <w:rPr>
          <w:rFonts w:ascii="Times New Roman" w:hAnsi="Times New Roman" w:cs="Times New Roman"/>
        </w:rPr>
        <w:t>3)  重点地域地质灾害详细调查中安排的物探、化探工作任务，如需要单独形成物探、化探报告，每个项目中物探、化探报告</w:t>
      </w:r>
      <w:r>
        <w:rPr>
          <w:rFonts w:hint="eastAsia" w:ascii="宋体" w:cs="Times New Roman"/>
        </w:rPr>
        <w:t>的“设计论证编写”费</w:t>
      </w:r>
      <w:r>
        <w:rPr>
          <w:rFonts w:ascii="Times New Roman" w:hAnsi="Times New Roman" w:cs="Times New Roman"/>
        </w:rPr>
        <w:t>用按1万元预算、</w:t>
      </w:r>
      <w:r>
        <w:rPr>
          <w:rFonts w:hint="eastAsia" w:ascii="宋体" w:cs="Times New Roman"/>
        </w:rPr>
        <w:t>“综合研究及编写报告”费</w:t>
      </w:r>
      <w:r>
        <w:rPr>
          <w:rFonts w:ascii="Times New Roman" w:hAnsi="Times New Roman" w:cs="Times New Roman"/>
        </w:rPr>
        <w:t>用按1.5万元预算、</w:t>
      </w:r>
      <w:r>
        <w:rPr>
          <w:rFonts w:hint="eastAsia" w:ascii="宋体" w:cs="Times New Roman"/>
        </w:rPr>
        <w:t>“报告印刷”费</w:t>
      </w:r>
      <w:r>
        <w:rPr>
          <w:rFonts w:ascii="Times New Roman" w:hAnsi="Times New Roman" w:cs="Times New Roman"/>
        </w:rPr>
        <w:t>用按1万元预算。</w:t>
      </w:r>
    </w:p>
    <w:p>
      <w:pPr>
        <w:ind w:left="840" w:leftChars="200" w:hanging="420" w:hangingChars="200"/>
        <w:rPr>
          <w:rFonts w:ascii="Times New Roman" w:hAnsi="Times New Roman" w:cs="Times New Roman"/>
        </w:rPr>
      </w:pPr>
      <w:r>
        <w:rPr>
          <w:rFonts w:ascii="Times New Roman" w:hAnsi="Times New Roman" w:cs="Times New Roman"/>
        </w:rPr>
        <w:t>d)  数据库建设</w:t>
      </w:r>
    </w:p>
    <w:p>
      <w:pPr>
        <w:ind w:left="840" w:leftChars="400" w:firstLine="0"/>
        <w:rPr>
          <w:rFonts w:ascii="Times New Roman" w:hAnsi="Times New Roman" w:cs="Times New Roman"/>
        </w:rPr>
      </w:pPr>
      <w:r>
        <w:rPr>
          <w:rFonts w:ascii="Times New Roman" w:hAnsi="Times New Roman" w:cs="Times New Roman"/>
        </w:rPr>
        <w:t>地质灾害调查评价项目的数据库建设，一个图幅按照3万元预算，每增加一幅费用提高1万元。</w:t>
      </w:r>
    </w:p>
    <w:p>
      <w:pPr>
        <w:ind w:left="840" w:leftChars="200" w:hanging="420" w:hangingChars="200"/>
        <w:rPr>
          <w:rFonts w:ascii="Times New Roman" w:hAnsi="Times New Roman" w:cs="Times New Roman"/>
        </w:rPr>
      </w:pPr>
      <w:r>
        <w:rPr>
          <w:rFonts w:ascii="Times New Roman" w:hAnsi="Times New Roman" w:cs="Times New Roman"/>
        </w:rPr>
        <w:t>e)  连通试验</w:t>
      </w:r>
    </w:p>
    <w:p>
      <w:pPr>
        <w:ind w:left="840" w:leftChars="400" w:firstLine="0"/>
        <w:rPr>
          <w:rFonts w:ascii="Times New Roman" w:hAnsi="Times New Roman" w:cs="Times New Roman"/>
        </w:rPr>
      </w:pPr>
      <w:r>
        <w:rPr>
          <w:rFonts w:ascii="Times New Roman" w:hAnsi="Times New Roman" w:cs="Times New Roman"/>
        </w:rPr>
        <w:t>连通试验按照每组8万元预算。</w:t>
      </w:r>
    </w:p>
    <w:p>
      <w:pPr>
        <w:ind w:left="840" w:leftChars="200" w:hanging="420" w:hangingChars="200"/>
        <w:rPr>
          <w:rFonts w:ascii="Times New Roman" w:hAnsi="Times New Roman" w:cs="Times New Roman"/>
        </w:rPr>
      </w:pPr>
      <w:r>
        <w:rPr>
          <w:rFonts w:ascii="Times New Roman" w:hAnsi="Times New Roman" w:cs="Times New Roman"/>
        </w:rPr>
        <w:t>f)  三维激光扫描</w:t>
      </w:r>
    </w:p>
    <w:p>
      <w:pPr>
        <w:ind w:left="840" w:leftChars="400" w:firstLine="0"/>
        <w:rPr>
          <w:rFonts w:ascii="Times New Roman" w:hAnsi="Times New Roman" w:cs="Times New Roman"/>
        </w:rPr>
      </w:pPr>
      <w:r>
        <w:rPr>
          <w:rFonts w:ascii="Times New Roman" w:hAnsi="Times New Roman" w:cs="Times New Roman"/>
        </w:rPr>
        <w:t>三维激光扫描按照每个点4万元预算。</w:t>
      </w:r>
    </w:p>
    <w:p>
      <w:pPr>
        <w:ind w:left="840" w:leftChars="200" w:hanging="420" w:hangingChars="200"/>
        <w:rPr>
          <w:rFonts w:ascii="Times New Roman" w:hAnsi="Times New Roman" w:cs="Times New Roman"/>
        </w:rPr>
      </w:pPr>
      <w:r>
        <w:rPr>
          <w:rFonts w:ascii="Times New Roman" w:hAnsi="Times New Roman" w:cs="Times New Roman"/>
        </w:rPr>
        <w:t>g)  可视化三维地质模型建设</w:t>
      </w:r>
    </w:p>
    <w:p>
      <w:pPr>
        <w:ind w:left="840" w:leftChars="400" w:firstLine="0"/>
        <w:rPr>
          <w:rFonts w:ascii="Times New Roman" w:hAnsi="Times New Roman" w:cs="Times New Roman"/>
        </w:rPr>
      </w:pPr>
      <w:r>
        <w:rPr>
          <w:rFonts w:ascii="Times New Roman" w:hAnsi="Times New Roman" w:cs="Times New Roman"/>
        </w:rPr>
        <w:t>可视化三维地质模型建设按照每项20万元预算。</w:t>
      </w:r>
    </w:p>
    <w:p>
      <w:pPr>
        <w:ind w:left="840" w:leftChars="200" w:hanging="420" w:hangingChars="200"/>
        <w:rPr>
          <w:rFonts w:ascii="Times New Roman" w:hAnsi="Times New Roman" w:cs="Times New Roman"/>
        </w:rPr>
      </w:pPr>
      <w:r>
        <w:rPr>
          <w:rFonts w:ascii="Times New Roman" w:hAnsi="Times New Roman" w:cs="Times New Roman"/>
        </w:rPr>
        <w:t>h)  无人机</w:t>
      </w:r>
    </w:p>
    <w:p>
      <w:pPr>
        <w:ind w:left="840" w:leftChars="400" w:firstLine="0"/>
        <w:rPr>
          <w:rFonts w:ascii="Times New Roman" w:hAnsi="Times New Roman" w:cs="Times New Roman"/>
        </w:rPr>
      </w:pPr>
      <w:r>
        <w:rPr>
          <w:rFonts w:ascii="Times New Roman" w:hAnsi="Times New Roman" w:cs="Times New Roman"/>
        </w:rPr>
        <w:t>无人机控制点连测、地形图测绘、正射影像、航片数字高程模型（DEM）工作根据财政部、国家测绘局《测绘生产成本费用定额》（财建〔2009〕17号）中相应标准进行预算，无人机倾斜摄影测量、航拍影像按照无人机工作收费标准（表1）预算。</w:t>
      </w:r>
    </w:p>
    <w:p>
      <w:pPr>
        <w:ind w:left="840" w:leftChars="200" w:hanging="420" w:hangingChars="200"/>
        <w:rPr>
          <w:rFonts w:ascii="Times New Roman" w:hAnsi="Times New Roman" w:cs="Times New Roman"/>
        </w:rPr>
      </w:pPr>
      <w:r>
        <w:rPr>
          <w:rFonts w:ascii="Times New Roman" w:hAnsi="Times New Roman" w:cs="Times New Roman"/>
        </w:rPr>
        <w:t>i)  InSAR技术</w:t>
      </w:r>
    </w:p>
    <w:p>
      <w:pPr>
        <w:ind w:left="840" w:leftChars="400" w:firstLine="0"/>
        <w:rPr>
          <w:rFonts w:ascii="Times New Roman" w:hAnsi="Times New Roman" w:cs="Times New Roman"/>
        </w:rPr>
      </w:pPr>
      <w:r>
        <w:rPr>
          <w:rFonts w:ascii="Times New Roman" w:hAnsi="Times New Roman" w:cs="Times New Roman"/>
        </w:rPr>
        <w:t>根据中国地质灾害防治工程行业协会《地质灾害InSAR监测技术指南（试行）》（T/CAGHP 013</w:t>
      </w:r>
      <w:r>
        <w:rPr>
          <w:rFonts w:hint="eastAsia" w:ascii="宋体" w:cs="Times New Roman"/>
        </w:rPr>
        <w:t>―</w:t>
      </w:r>
      <w:r>
        <w:rPr>
          <w:rFonts w:ascii="Times New Roman" w:hAnsi="Times New Roman" w:cs="Times New Roman"/>
        </w:rPr>
        <w:t>2019）的附录B，即InSAR技术工作条件分类表（表2），并基于该表和InSAR成图比例尺设定了地质灾害InSAR技术工作收费标准（表3）。</w:t>
      </w:r>
    </w:p>
    <w:p>
      <w:pPr>
        <w:pStyle w:val="119"/>
        <w:spacing w:before="120" w:beforeLines="50" w:after="120" w:afterLines="50" w:line="240" w:lineRule="auto"/>
        <w:rPr>
          <w:rFonts w:ascii="黑体"/>
        </w:rPr>
      </w:pPr>
      <w:r>
        <w:rPr>
          <w:rFonts w:hint="eastAsia" w:ascii="黑体"/>
        </w:rPr>
        <w:t>表1  无人机工作收费标准</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4"/>
        <w:gridCol w:w="1512"/>
        <w:gridCol w:w="3013"/>
        <w:gridCol w:w="2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1188"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工作内容</w:t>
            </w:r>
          </w:p>
        </w:tc>
        <w:tc>
          <w:tcPr>
            <w:tcW w:w="79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计量单位</w:t>
            </w:r>
          </w:p>
        </w:tc>
        <w:tc>
          <w:tcPr>
            <w:tcW w:w="1588"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技术条件</w:t>
            </w:r>
          </w:p>
        </w:tc>
        <w:tc>
          <w:tcPr>
            <w:tcW w:w="142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费用标准</w:t>
            </w:r>
          </w:p>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pct"/>
            <w:shd w:val="clear" w:color="auto" w:fill="auto"/>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控制点连测</w:t>
            </w:r>
          </w:p>
        </w:tc>
        <w:tc>
          <w:tcPr>
            <w:tcW w:w="3811" w:type="pct"/>
            <w:gridSpan w:val="3"/>
            <w:vMerge w:val="restar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根据财政部、国家测绘局《测绘生产成本费用定额》（财建</w:t>
            </w:r>
            <w:r>
              <w:rPr>
                <w:rFonts w:hint="eastAsia" w:ascii="Times New Roman" w:hAnsi="Times New Roman" w:cs="Times New Roman"/>
                <w:sz w:val="18"/>
                <w:szCs w:val="18"/>
              </w:rPr>
              <w:t>〔</w:t>
            </w:r>
            <w:r>
              <w:rPr>
                <w:rFonts w:ascii="Times New Roman" w:hAnsi="Times New Roman" w:cs="Times New Roman"/>
                <w:sz w:val="18"/>
                <w:szCs w:val="18"/>
              </w:rPr>
              <w:t>2009</w:t>
            </w:r>
            <w:r>
              <w:rPr>
                <w:rFonts w:hint="eastAsia" w:ascii="Times New Roman" w:hAnsi="Times New Roman" w:cs="Times New Roman"/>
                <w:sz w:val="18"/>
                <w:szCs w:val="18"/>
              </w:rPr>
              <w:t>〕</w:t>
            </w:r>
            <w:r>
              <w:rPr>
                <w:rFonts w:ascii="Times New Roman" w:hAnsi="Times New Roman" w:cs="Times New Roman"/>
                <w:sz w:val="18"/>
                <w:szCs w:val="18"/>
              </w:rPr>
              <w:t>17号）中相应标准进行预算。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pct"/>
            <w:shd w:val="clear" w:color="auto" w:fill="auto"/>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地形图测绘</w:t>
            </w:r>
          </w:p>
        </w:tc>
        <w:tc>
          <w:tcPr>
            <w:tcW w:w="3811" w:type="pct"/>
            <w:gridSpan w:val="3"/>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pct"/>
            <w:shd w:val="clear" w:color="auto" w:fill="auto"/>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正射影像</w:t>
            </w:r>
          </w:p>
        </w:tc>
        <w:tc>
          <w:tcPr>
            <w:tcW w:w="3811" w:type="pct"/>
            <w:gridSpan w:val="3"/>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88" w:type="pct"/>
            <w:shd w:val="clear" w:color="auto" w:fill="auto"/>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DEM</w:t>
            </w:r>
          </w:p>
        </w:tc>
        <w:tc>
          <w:tcPr>
            <w:tcW w:w="3811" w:type="pct"/>
            <w:gridSpan w:val="3"/>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pct"/>
            <w:vMerge w:val="restart"/>
            <w:shd w:val="clear" w:color="auto" w:fill="auto"/>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倾斜摄影</w:t>
            </w:r>
          </w:p>
        </w:tc>
        <w:tc>
          <w:tcPr>
            <w:tcW w:w="797"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km</w:t>
            </w:r>
            <w:r>
              <w:rPr>
                <w:rFonts w:ascii="Times New Roman" w:hAnsi="Times New Roman" w:cs="Times New Roman"/>
                <w:sz w:val="18"/>
                <w:szCs w:val="18"/>
                <w:vertAlign w:val="superscript"/>
              </w:rPr>
              <w:t>2</w:t>
            </w:r>
          </w:p>
        </w:tc>
        <w:tc>
          <w:tcPr>
            <w:tcW w:w="1588"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像元大小：0.5 m</w:t>
            </w:r>
            <w:r>
              <w:rPr>
                <w:rFonts w:ascii="Times New Roman" w:hAnsi="Times New Roman" w:cs="Times New Roman"/>
                <w:sz w:val="18"/>
                <w:szCs w:val="18"/>
                <w:vertAlign w:val="superscript"/>
              </w:rPr>
              <w:t>2</w:t>
            </w:r>
            <w:r>
              <w:rPr>
                <w:rFonts w:ascii="Times New Roman" w:hAnsi="Times New Roman" w:cs="Times New Roman"/>
                <w:sz w:val="18"/>
                <w:szCs w:val="18"/>
              </w:rPr>
              <w:t>×0.5</w:t>
            </w:r>
            <w:r>
              <w:rPr>
                <w:rFonts w:hint="eastAsia" w:ascii="Times New Roman" w:hAnsi="Times New Roman" w:cs="Times New Roman"/>
                <w:sz w:val="18"/>
                <w:szCs w:val="18"/>
              </w:rPr>
              <w:t xml:space="preserve"> </w:t>
            </w:r>
            <w:r>
              <w:rPr>
                <w:rFonts w:ascii="Times New Roman" w:hAnsi="Times New Roman" w:cs="Times New Roman"/>
                <w:sz w:val="18"/>
                <w:szCs w:val="18"/>
              </w:rPr>
              <w:t>m</w:t>
            </w:r>
            <w:r>
              <w:rPr>
                <w:rFonts w:ascii="Times New Roman" w:hAnsi="Times New Roman" w:cs="Times New Roman"/>
                <w:sz w:val="18"/>
                <w:szCs w:val="18"/>
                <w:vertAlign w:val="superscript"/>
              </w:rPr>
              <w:t>2</w:t>
            </w:r>
          </w:p>
        </w:tc>
        <w:tc>
          <w:tcPr>
            <w:tcW w:w="142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50 000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pct"/>
            <w:vMerge w:val="continue"/>
            <w:shd w:val="clear" w:color="auto" w:fill="auto"/>
            <w:vAlign w:val="center"/>
          </w:tcPr>
          <w:p/>
        </w:tc>
        <w:tc>
          <w:tcPr>
            <w:tcW w:w="797" w:type="pct"/>
            <w:vMerge w:val="continue"/>
            <w:vAlign w:val="center"/>
          </w:tcPr>
          <w:p/>
        </w:tc>
        <w:tc>
          <w:tcPr>
            <w:tcW w:w="1588"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像元大小：1 m</w:t>
            </w:r>
            <w:r>
              <w:rPr>
                <w:rFonts w:ascii="Times New Roman" w:hAnsi="Times New Roman" w:cs="Times New Roman"/>
                <w:sz w:val="18"/>
                <w:szCs w:val="18"/>
                <w:vertAlign w:val="superscript"/>
              </w:rPr>
              <w:t>2</w:t>
            </w: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m</w:t>
            </w:r>
            <w:r>
              <w:rPr>
                <w:rFonts w:ascii="Times New Roman" w:hAnsi="Times New Roman" w:cs="Times New Roman"/>
                <w:sz w:val="18"/>
                <w:szCs w:val="18"/>
                <w:vertAlign w:val="superscript"/>
              </w:rPr>
              <w:t>2</w:t>
            </w:r>
          </w:p>
        </w:tc>
        <w:tc>
          <w:tcPr>
            <w:tcW w:w="142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40 000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pct"/>
            <w:vMerge w:val="continue"/>
            <w:shd w:val="clear" w:color="auto" w:fill="auto"/>
            <w:vAlign w:val="center"/>
          </w:tcPr>
          <w:p/>
        </w:tc>
        <w:tc>
          <w:tcPr>
            <w:tcW w:w="797" w:type="pct"/>
            <w:vMerge w:val="continue"/>
            <w:vAlign w:val="center"/>
          </w:tcPr>
          <w:p/>
        </w:tc>
        <w:tc>
          <w:tcPr>
            <w:tcW w:w="1588"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像元大小：2 m</w:t>
            </w:r>
            <w:r>
              <w:rPr>
                <w:rFonts w:ascii="Times New Roman" w:hAnsi="Times New Roman" w:cs="Times New Roman"/>
                <w:sz w:val="18"/>
                <w:szCs w:val="18"/>
                <w:vertAlign w:val="superscript"/>
              </w:rPr>
              <w:t>2</w:t>
            </w:r>
            <w:r>
              <w:rPr>
                <w:rFonts w:ascii="Times New Roman" w:hAnsi="Times New Roman" w:cs="Times New Roman"/>
                <w:sz w:val="18"/>
                <w:szCs w:val="18"/>
              </w:rPr>
              <w:t>×2</w:t>
            </w:r>
            <w:r>
              <w:rPr>
                <w:rFonts w:hint="eastAsia" w:ascii="Times New Roman" w:hAnsi="Times New Roman" w:cs="Times New Roman"/>
                <w:sz w:val="18"/>
                <w:szCs w:val="18"/>
              </w:rPr>
              <w:t xml:space="preserve"> </w:t>
            </w:r>
            <w:r>
              <w:rPr>
                <w:rFonts w:ascii="Times New Roman" w:hAnsi="Times New Roman" w:cs="Times New Roman"/>
                <w:sz w:val="18"/>
                <w:szCs w:val="18"/>
              </w:rPr>
              <w:t>m</w:t>
            </w:r>
            <w:r>
              <w:rPr>
                <w:rFonts w:ascii="Times New Roman" w:hAnsi="Times New Roman" w:cs="Times New Roman"/>
                <w:sz w:val="18"/>
                <w:szCs w:val="18"/>
                <w:vertAlign w:val="superscript"/>
              </w:rPr>
              <w:t>2</w:t>
            </w:r>
          </w:p>
        </w:tc>
        <w:tc>
          <w:tcPr>
            <w:tcW w:w="142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20 000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航拍影像</w:t>
            </w:r>
          </w:p>
        </w:tc>
        <w:tc>
          <w:tcPr>
            <w:tcW w:w="797"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km</w:t>
            </w:r>
            <w:r>
              <w:rPr>
                <w:rFonts w:ascii="Times New Roman" w:hAnsi="Times New Roman" w:cs="Times New Roman"/>
                <w:sz w:val="18"/>
                <w:szCs w:val="18"/>
                <w:vertAlign w:val="superscript"/>
              </w:rPr>
              <w:t>2</w:t>
            </w:r>
          </w:p>
        </w:tc>
        <w:tc>
          <w:tcPr>
            <w:tcW w:w="1588"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场地复杂程度：复杂</w:t>
            </w:r>
          </w:p>
        </w:tc>
        <w:tc>
          <w:tcPr>
            <w:tcW w:w="142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pct"/>
            <w:vMerge w:val="continue"/>
            <w:vAlign w:val="center"/>
          </w:tcPr>
          <w:p/>
        </w:tc>
        <w:tc>
          <w:tcPr>
            <w:tcW w:w="797" w:type="pct"/>
            <w:vMerge w:val="continue"/>
            <w:vAlign w:val="center"/>
          </w:tcPr>
          <w:p/>
        </w:tc>
        <w:tc>
          <w:tcPr>
            <w:tcW w:w="1588"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场地复杂程度：中等</w:t>
            </w:r>
          </w:p>
        </w:tc>
        <w:tc>
          <w:tcPr>
            <w:tcW w:w="142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88" w:type="pct"/>
            <w:vMerge w:val="continue"/>
            <w:vAlign w:val="center"/>
          </w:tcPr>
          <w:p/>
        </w:tc>
        <w:tc>
          <w:tcPr>
            <w:tcW w:w="797" w:type="pct"/>
            <w:vMerge w:val="continue"/>
            <w:vAlign w:val="center"/>
          </w:tcPr>
          <w:p/>
        </w:tc>
        <w:tc>
          <w:tcPr>
            <w:tcW w:w="1588"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场地复杂程度：简单</w:t>
            </w:r>
          </w:p>
        </w:tc>
        <w:tc>
          <w:tcPr>
            <w:tcW w:w="142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600</w:t>
            </w:r>
          </w:p>
        </w:tc>
      </w:tr>
    </w:tbl>
    <w:p>
      <w:pPr>
        <w:ind w:left="840" w:leftChars="200" w:hanging="420" w:hangingChars="200"/>
        <w:rPr>
          <w:rFonts w:ascii="Times New Roman" w:hAnsi="Times New Roman" w:cs="Times New Roman"/>
        </w:rPr>
      </w:pPr>
    </w:p>
    <w:p>
      <w:pPr>
        <w:pStyle w:val="119"/>
        <w:spacing w:before="120" w:beforeLines="50" w:after="120" w:afterLines="50" w:line="240" w:lineRule="auto"/>
        <w:rPr>
          <w:rFonts w:ascii="黑体"/>
        </w:rPr>
      </w:pPr>
      <w:r>
        <w:rPr>
          <w:rFonts w:ascii="黑体"/>
        </w:rPr>
        <w:br w:type="page"/>
      </w:r>
      <w:r>
        <w:rPr>
          <w:rFonts w:hint="eastAsia" w:ascii="黑体"/>
        </w:rPr>
        <w:t>表2  InSAR技术工作条件分类表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92"/>
        <w:gridCol w:w="2202"/>
        <w:gridCol w:w="3885"/>
        <w:gridCol w:w="1523"/>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312"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工作</w:t>
            </w:r>
          </w:p>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条件</w:t>
            </w:r>
          </w:p>
        </w:tc>
        <w:tc>
          <w:tcPr>
            <w:tcW w:w="1161"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地表复杂程度</w:t>
            </w:r>
          </w:p>
        </w:tc>
        <w:tc>
          <w:tcPr>
            <w:tcW w:w="2048"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数据类型</w:t>
            </w:r>
          </w:p>
        </w:tc>
        <w:tc>
          <w:tcPr>
            <w:tcW w:w="80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单位面积</w:t>
            </w:r>
          </w:p>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观测次数</w:t>
            </w:r>
          </w:p>
        </w:tc>
        <w:tc>
          <w:tcPr>
            <w:tcW w:w="67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观测面积</w:t>
            </w:r>
          </w:p>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km</w:t>
            </w:r>
            <w:r>
              <w:rPr>
                <w:rFonts w:ascii="Times New Roman" w:hAnsi="Times New Roman" w:cs="Times New Roman"/>
                <w:sz w:val="18"/>
                <w:szCs w:val="18"/>
                <w:vertAlign w:val="superscript"/>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12"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I</w:t>
            </w:r>
          </w:p>
        </w:tc>
        <w:tc>
          <w:tcPr>
            <w:tcW w:w="1161"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无植被覆盖的戈壁和基岩区、构（建）筑物密集的城镇，且地形舒缓平坦</w:t>
            </w:r>
          </w:p>
        </w:tc>
        <w:tc>
          <w:tcPr>
            <w:tcW w:w="2048" w:type="pct"/>
            <w:vAlign w:val="center"/>
          </w:tcPr>
          <w:p>
            <w:pPr>
              <w:topLinePunct/>
              <w:spacing w:line="240" w:lineRule="auto"/>
              <w:ind w:firstLine="0"/>
              <w:rPr>
                <w:rFonts w:ascii="Times New Roman" w:hAnsi="Times New Roman" w:cs="Times New Roman"/>
                <w:sz w:val="18"/>
                <w:szCs w:val="18"/>
              </w:rPr>
            </w:pPr>
            <w:r>
              <w:rPr>
                <w:rFonts w:ascii="Times New Roman" w:hAnsi="Times New Roman" w:cs="Times New Roman"/>
                <w:sz w:val="18"/>
                <w:szCs w:val="18"/>
              </w:rPr>
              <w:t>TerraSAR,ALOS/PALSAR-2,Cosmo-SkyMed,</w:t>
            </w:r>
          </w:p>
          <w:p>
            <w:pPr>
              <w:topLinePunct/>
              <w:spacing w:line="240" w:lineRule="auto"/>
              <w:ind w:firstLine="0"/>
              <w:rPr>
                <w:rFonts w:ascii="Times New Roman" w:hAnsi="Times New Roman" w:cs="Times New Roman"/>
                <w:sz w:val="18"/>
                <w:szCs w:val="18"/>
              </w:rPr>
            </w:pPr>
            <w:r>
              <w:rPr>
                <w:rFonts w:ascii="Times New Roman" w:hAnsi="Times New Roman" w:cs="Times New Roman"/>
                <w:sz w:val="18"/>
                <w:szCs w:val="18"/>
              </w:rPr>
              <w:t>RadarSat-2等基线精度高、信噪比大的条带模式和聚束模式SAR数据</w:t>
            </w:r>
          </w:p>
        </w:tc>
        <w:tc>
          <w:tcPr>
            <w:tcW w:w="80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20-30次或2次</w:t>
            </w:r>
          </w:p>
        </w:tc>
        <w:tc>
          <w:tcPr>
            <w:tcW w:w="673" w:type="pct"/>
            <w:vAlign w:val="center"/>
          </w:tcPr>
          <w:p>
            <w:pPr>
              <w:spacing w:line="240" w:lineRule="auto"/>
              <w:ind w:firstLine="0"/>
              <w:jc w:val="center"/>
              <w:rPr>
                <w:rFonts w:ascii="Times New Roman" w:hAnsi="Times New Roman" w:cs="Times New Roman"/>
                <w:sz w:val="18"/>
                <w:szCs w:val="18"/>
              </w:rPr>
            </w:pPr>
            <w:r>
              <w:rPr>
                <w:rFonts w:hint="eastAsia" w:ascii="宋体" w:cs="Times New Roman"/>
                <w:sz w:val="18"/>
                <w:szCs w:val="18"/>
              </w:rPr>
              <w:t>≥</w:t>
            </w:r>
            <w:r>
              <w:rPr>
                <w:rFonts w:ascii="Times New Roman" w:hAnsi="Times New Roman" w:cs="Times New Roman"/>
                <w:sz w:val="18"/>
                <w:szCs w:val="18"/>
              </w:rPr>
              <w:t>3</w:t>
            </w:r>
            <w:r>
              <w:rPr>
                <w:rFonts w:hint="eastAsia" w:ascii="Times New Roman" w:hAnsi="Times New Roman" w:cs="Times New Roman"/>
                <w:sz w:val="18"/>
                <w:szCs w:val="18"/>
              </w:rPr>
              <w:t xml:space="preserve"> </w:t>
            </w:r>
            <w:r>
              <w:rPr>
                <w:rFonts w:ascii="Times New Roman" w:hAnsi="Times New Roman" w:cs="Times New Roman"/>
                <w:sz w:val="18"/>
                <w:szCs w:val="18"/>
              </w:rPr>
              <w:t>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12"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II</w:t>
            </w:r>
          </w:p>
        </w:tc>
        <w:tc>
          <w:tcPr>
            <w:tcW w:w="1161"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低矮植被覆盖的中低丘陵区、荒漠区、植被较多的构（建）筑物区</w:t>
            </w:r>
          </w:p>
        </w:tc>
        <w:tc>
          <w:tcPr>
            <w:tcW w:w="2048" w:type="pct"/>
            <w:vAlign w:val="center"/>
          </w:tcPr>
          <w:p>
            <w:pPr>
              <w:topLinePunct/>
              <w:spacing w:line="240" w:lineRule="auto"/>
              <w:ind w:firstLine="0"/>
              <w:rPr>
                <w:rFonts w:ascii="Times New Roman" w:hAnsi="Times New Roman" w:cs="Times New Roman"/>
                <w:sz w:val="18"/>
                <w:szCs w:val="18"/>
              </w:rPr>
            </w:pPr>
            <w:r>
              <w:rPr>
                <w:rFonts w:ascii="Times New Roman" w:hAnsi="Times New Roman" w:cs="Times New Roman"/>
                <w:sz w:val="18"/>
                <w:szCs w:val="18"/>
              </w:rPr>
              <w:t>Sentinel-1 TOPS,TerraSAR Scan,</w:t>
            </w:r>
          </w:p>
          <w:p>
            <w:pPr>
              <w:topLinePunct/>
              <w:spacing w:line="240" w:lineRule="auto"/>
              <w:ind w:firstLine="0"/>
              <w:rPr>
                <w:rFonts w:ascii="Times New Roman" w:hAnsi="Times New Roman" w:cs="Times New Roman"/>
                <w:sz w:val="18"/>
                <w:szCs w:val="18"/>
              </w:rPr>
            </w:pPr>
            <w:r>
              <w:rPr>
                <w:rFonts w:ascii="Times New Roman" w:hAnsi="Times New Roman" w:cs="Times New Roman"/>
                <w:sz w:val="18"/>
                <w:szCs w:val="18"/>
              </w:rPr>
              <w:t>ALOS/PALSAR-2 Scan,Cosmo-SkyMed Scan,RadarSat-2 Scan等基线精准、信噪比大、数据结构复杂的中低分辨率SAR数据</w:t>
            </w:r>
          </w:p>
        </w:tc>
        <w:tc>
          <w:tcPr>
            <w:tcW w:w="803" w:type="pct"/>
            <w:vAlign w:val="center"/>
          </w:tcPr>
          <w:p>
            <w:pPr>
              <w:topLinePunct/>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10-20次</w:t>
            </w:r>
          </w:p>
          <w:p>
            <w:pPr>
              <w:topLinePunct/>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或30-40次</w:t>
            </w:r>
          </w:p>
        </w:tc>
        <w:tc>
          <w:tcPr>
            <w:tcW w:w="67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900-3</w:t>
            </w:r>
            <w:r>
              <w:rPr>
                <w:rFonts w:hint="eastAsia" w:ascii="Times New Roman" w:hAnsi="Times New Roman" w:cs="Times New Roman"/>
                <w:sz w:val="18"/>
                <w:szCs w:val="18"/>
              </w:rPr>
              <w:t xml:space="preserve"> </w:t>
            </w:r>
            <w:r>
              <w:rPr>
                <w:rFonts w:ascii="Times New Roman" w:hAnsi="Times New Roman" w:cs="Times New Roman"/>
                <w:sz w:val="18"/>
                <w:szCs w:val="18"/>
              </w:rPr>
              <w:t>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12"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III</w:t>
            </w:r>
          </w:p>
        </w:tc>
        <w:tc>
          <w:tcPr>
            <w:tcW w:w="1161"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季节性生长的灌木中低丘陵区、村庄密集分布区的农业区</w:t>
            </w:r>
          </w:p>
        </w:tc>
        <w:tc>
          <w:tcPr>
            <w:tcW w:w="2048" w:type="pct"/>
            <w:vAlign w:val="center"/>
          </w:tcPr>
          <w:p>
            <w:pPr>
              <w:topLinePunct/>
              <w:spacing w:line="240" w:lineRule="auto"/>
              <w:ind w:firstLine="0"/>
              <w:rPr>
                <w:rFonts w:ascii="Times New Roman" w:hAnsi="Times New Roman" w:cs="Times New Roman"/>
                <w:sz w:val="18"/>
                <w:szCs w:val="18"/>
              </w:rPr>
            </w:pPr>
            <w:r>
              <w:rPr>
                <w:rFonts w:ascii="Times New Roman" w:hAnsi="Times New Roman" w:cs="Times New Roman"/>
                <w:sz w:val="18"/>
                <w:szCs w:val="18"/>
              </w:rPr>
              <w:t>ALOS/PALSAR,RadarSat-1等轨道精度不稳定的条带模式SAR数据</w:t>
            </w:r>
          </w:p>
        </w:tc>
        <w:tc>
          <w:tcPr>
            <w:tcW w:w="803" w:type="pct"/>
            <w:vAlign w:val="center"/>
          </w:tcPr>
          <w:p>
            <w:pPr>
              <w:topLinePunct/>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5-10次</w:t>
            </w:r>
          </w:p>
          <w:p>
            <w:pPr>
              <w:topLinePunct/>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或40-50次</w:t>
            </w:r>
          </w:p>
        </w:tc>
        <w:tc>
          <w:tcPr>
            <w:tcW w:w="67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400-900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12"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IV</w:t>
            </w:r>
          </w:p>
        </w:tc>
        <w:tc>
          <w:tcPr>
            <w:tcW w:w="1161"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乔灌木季节性生长的高丘、中山区</w:t>
            </w:r>
          </w:p>
        </w:tc>
        <w:tc>
          <w:tcPr>
            <w:tcW w:w="2048" w:type="pct"/>
            <w:vAlign w:val="center"/>
          </w:tcPr>
          <w:p>
            <w:pPr>
              <w:topLinePunct/>
              <w:spacing w:line="240" w:lineRule="auto"/>
              <w:ind w:firstLine="0"/>
              <w:rPr>
                <w:rFonts w:ascii="Times New Roman" w:hAnsi="Times New Roman" w:cs="Times New Roman"/>
                <w:sz w:val="18"/>
                <w:szCs w:val="18"/>
              </w:rPr>
            </w:pPr>
            <w:r>
              <w:rPr>
                <w:rFonts w:ascii="Times New Roman" w:hAnsi="Times New Roman" w:cs="Times New Roman"/>
                <w:sz w:val="18"/>
                <w:szCs w:val="18"/>
              </w:rPr>
              <w:t>ERS,Envisat/ASAR等轨道精度较低、信噪比较小、分辨率中等的SAR数据</w:t>
            </w:r>
          </w:p>
        </w:tc>
        <w:tc>
          <w:tcPr>
            <w:tcW w:w="80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3-5次或大于50次</w:t>
            </w:r>
          </w:p>
        </w:tc>
        <w:tc>
          <w:tcPr>
            <w:tcW w:w="67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100-400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12"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V</w:t>
            </w:r>
          </w:p>
        </w:tc>
        <w:tc>
          <w:tcPr>
            <w:tcW w:w="1161" w:type="pct"/>
            <w:vAlign w:val="center"/>
          </w:tcPr>
          <w:p>
            <w:pPr>
              <w:spacing w:line="240" w:lineRule="auto"/>
              <w:ind w:firstLine="0"/>
              <w:rPr>
                <w:rFonts w:ascii="Times New Roman" w:hAnsi="Times New Roman" w:cs="Times New Roman"/>
                <w:sz w:val="18"/>
                <w:szCs w:val="18"/>
              </w:rPr>
            </w:pPr>
            <w:r>
              <w:rPr>
                <w:rFonts w:ascii="Times New Roman" w:hAnsi="Times New Roman" w:cs="Times New Roman"/>
                <w:sz w:val="18"/>
                <w:szCs w:val="18"/>
              </w:rPr>
              <w:t>植被、冰雪等易变地物密集覆盖的高山峡谷区</w:t>
            </w:r>
          </w:p>
        </w:tc>
        <w:tc>
          <w:tcPr>
            <w:tcW w:w="2048" w:type="pct"/>
            <w:vAlign w:val="center"/>
          </w:tcPr>
          <w:p>
            <w:pPr>
              <w:topLinePunct/>
              <w:spacing w:line="240" w:lineRule="auto"/>
              <w:ind w:firstLine="0"/>
              <w:rPr>
                <w:rFonts w:ascii="Times New Roman" w:hAnsi="Times New Roman" w:cs="Times New Roman"/>
                <w:sz w:val="18"/>
                <w:szCs w:val="18"/>
              </w:rPr>
            </w:pPr>
            <w:r>
              <w:rPr>
                <w:rFonts w:ascii="Times New Roman" w:hAnsi="Times New Roman" w:cs="Times New Roman"/>
                <w:sz w:val="18"/>
                <w:szCs w:val="18"/>
              </w:rPr>
              <w:t>绝大部分2010年前的扫描模式低分辨率SAR数据</w:t>
            </w:r>
          </w:p>
        </w:tc>
        <w:tc>
          <w:tcPr>
            <w:tcW w:w="80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2次大于1年间隔或平均间隔</w:t>
            </w:r>
            <w:r>
              <w:rPr>
                <w:rFonts w:ascii="宋体" w:cs="Times New Roman"/>
                <w:sz w:val="18"/>
                <w:szCs w:val="18"/>
              </w:rPr>
              <w:t>大于</w:t>
            </w:r>
            <w:r>
              <w:rPr>
                <w:rFonts w:ascii="Times New Roman" w:hAnsi="Times New Roman" w:cs="Times New Roman"/>
                <w:sz w:val="18"/>
                <w:szCs w:val="18"/>
              </w:rPr>
              <w:t>6个月</w:t>
            </w:r>
          </w:p>
        </w:tc>
        <w:tc>
          <w:tcPr>
            <w:tcW w:w="67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0-100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0" w:type="pct"/>
            <w:gridSpan w:val="5"/>
            <w:vAlign w:val="center"/>
          </w:tcPr>
          <w:p>
            <w:pPr>
              <w:spacing w:line="240" w:lineRule="auto"/>
              <w:ind w:firstLine="0"/>
              <w:jc w:val="both"/>
              <w:rPr>
                <w:rFonts w:ascii="Times New Roman" w:hAnsi="Times New Roman" w:cs="Times New Roman"/>
                <w:sz w:val="18"/>
                <w:szCs w:val="18"/>
              </w:rPr>
            </w:pPr>
            <w:r>
              <w:rPr>
                <w:rFonts w:hint="eastAsia" w:ascii="黑体" w:eastAsia="黑体" w:cs="Times New Roman"/>
                <w:sz w:val="18"/>
                <w:szCs w:val="18"/>
              </w:rPr>
              <w:t>注1</w:t>
            </w:r>
            <w:r>
              <w:rPr>
                <w:rFonts w:ascii="Times New Roman" w:hAnsi="Times New Roman" w:cs="Times New Roman"/>
                <w:sz w:val="18"/>
                <w:szCs w:val="18"/>
              </w:rPr>
              <w:t>：有两项及以上因素满足时即为该类条件。</w:t>
            </w:r>
          </w:p>
          <w:p>
            <w:pPr>
              <w:spacing w:line="240" w:lineRule="auto"/>
              <w:ind w:firstLine="0"/>
              <w:jc w:val="both"/>
              <w:rPr>
                <w:rFonts w:ascii="Times New Roman" w:hAnsi="Times New Roman" w:cs="Times New Roman"/>
                <w:sz w:val="18"/>
                <w:szCs w:val="18"/>
              </w:rPr>
            </w:pPr>
            <w:r>
              <w:rPr>
                <w:rFonts w:hint="eastAsia" w:ascii="黑体" w:eastAsia="黑体" w:cs="Times New Roman"/>
                <w:sz w:val="18"/>
                <w:szCs w:val="18"/>
              </w:rPr>
              <w:t>注2</w:t>
            </w:r>
            <w:r>
              <w:rPr>
                <w:rFonts w:ascii="Times New Roman" w:hAnsi="Times New Roman" w:cs="Times New Roman"/>
                <w:sz w:val="18"/>
                <w:szCs w:val="18"/>
              </w:rPr>
              <w:t>：监测面积最小按50 km</w:t>
            </w:r>
            <w:r>
              <w:rPr>
                <w:rFonts w:ascii="Times New Roman" w:hAnsi="Times New Roman" w:cs="Times New Roman"/>
                <w:sz w:val="18"/>
                <w:szCs w:val="18"/>
                <w:vertAlign w:val="superscript"/>
              </w:rPr>
              <w:t>2</w:t>
            </w:r>
            <w:r>
              <w:rPr>
                <w:rFonts w:ascii="Times New Roman" w:hAnsi="Times New Roman" w:cs="Times New Roman"/>
                <w:sz w:val="18"/>
                <w:szCs w:val="18"/>
              </w:rPr>
              <w:t>计算。</w:t>
            </w:r>
          </w:p>
          <w:p>
            <w:pPr>
              <w:spacing w:line="240" w:lineRule="auto"/>
              <w:ind w:firstLine="0"/>
              <w:jc w:val="both"/>
              <w:rPr>
                <w:rFonts w:ascii="Times New Roman" w:hAnsi="Times New Roman" w:cs="Times New Roman"/>
                <w:sz w:val="18"/>
                <w:szCs w:val="18"/>
              </w:rPr>
            </w:pPr>
            <w:r>
              <w:rPr>
                <w:rFonts w:hint="eastAsia" w:ascii="黑体" w:eastAsia="黑体" w:cs="Times New Roman"/>
                <w:sz w:val="18"/>
                <w:szCs w:val="18"/>
              </w:rPr>
              <w:t>注3</w:t>
            </w:r>
            <w:r>
              <w:rPr>
                <w:rFonts w:ascii="Times New Roman" w:hAnsi="Times New Roman" w:cs="Times New Roman"/>
                <w:sz w:val="18"/>
                <w:szCs w:val="18"/>
              </w:rPr>
              <w:t>：条件分类就高不就低。</w:t>
            </w:r>
          </w:p>
        </w:tc>
      </w:tr>
    </w:tbl>
    <w:p>
      <w:pPr>
        <w:pStyle w:val="119"/>
        <w:rPr>
          <w:rFonts w:ascii="宋体" w:eastAsia="宋体"/>
        </w:rPr>
      </w:pPr>
    </w:p>
    <w:p>
      <w:pPr>
        <w:pStyle w:val="119"/>
        <w:spacing w:before="120" w:beforeLines="50" w:after="120" w:afterLines="50" w:line="240" w:lineRule="auto"/>
        <w:rPr>
          <w:rFonts w:ascii="黑体"/>
        </w:rPr>
      </w:pPr>
      <w:r>
        <w:rPr>
          <w:rFonts w:hint="eastAsia" w:ascii="黑体"/>
        </w:rPr>
        <w:t>表3  地质灾害InSAR技术工作收费标准</w:t>
      </w:r>
    </w:p>
    <w:p>
      <w:pPr>
        <w:pStyle w:val="119"/>
        <w:spacing w:before="120" w:beforeLines="50" w:after="120" w:afterLines="50" w:line="240" w:lineRule="auto"/>
        <w:jc w:val="right"/>
      </w:pPr>
      <w:r>
        <w:rPr>
          <w:rFonts w:hint="eastAsia" w:ascii="黑体"/>
          <w:sz w:val="18"/>
          <w:szCs w:val="18"/>
        </w:rPr>
        <w:t>单位为元</w:t>
      </w:r>
      <w:r>
        <w:rPr>
          <w:rFonts w:eastAsia="宋体"/>
          <w:sz w:val="18"/>
          <w:szCs w:val="18"/>
        </w:rPr>
        <w:t>/km</w:t>
      </w:r>
      <w:r>
        <w:rPr>
          <w:rFonts w:eastAsia="宋体"/>
          <w:sz w:val="18"/>
          <w:szCs w:val="18"/>
          <w:vertAlign w:val="superscript"/>
        </w:rPr>
        <w:t>2</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80"/>
        <w:gridCol w:w="1580"/>
        <w:gridCol w:w="1580"/>
        <w:gridCol w:w="1580"/>
        <w:gridCol w:w="1581"/>
        <w:gridCol w:w="15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833"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比例尺</w:t>
            </w:r>
          </w:p>
        </w:tc>
        <w:tc>
          <w:tcPr>
            <w:tcW w:w="4166" w:type="pct"/>
            <w:gridSpan w:val="5"/>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工作条件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3" w:type="pct"/>
            <w:vMerge w:val="continue"/>
            <w:vAlign w:val="center"/>
          </w:tcP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I</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II</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III</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IV</w:t>
            </w:r>
          </w:p>
        </w:tc>
        <w:tc>
          <w:tcPr>
            <w:tcW w:w="834"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1:500 000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40</w:t>
            </w:r>
          </w:p>
        </w:tc>
        <w:tc>
          <w:tcPr>
            <w:tcW w:w="834"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1:250 000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60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80</w:t>
            </w:r>
          </w:p>
        </w:tc>
        <w:tc>
          <w:tcPr>
            <w:tcW w:w="834"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1:200 000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150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260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370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520</w:t>
            </w:r>
          </w:p>
        </w:tc>
        <w:tc>
          <w:tcPr>
            <w:tcW w:w="834"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1:100 000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680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820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960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200</w:t>
            </w:r>
          </w:p>
        </w:tc>
        <w:tc>
          <w:tcPr>
            <w:tcW w:w="834"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w:t>
            </w:r>
            <w:r>
              <w:rPr>
                <w:rFonts w:hint="eastAsia" w:ascii="Times New Roman" w:hAnsi="Times New Roman" w:cs="Times New Roman"/>
                <w:sz w:val="18"/>
                <w:szCs w:val="18"/>
              </w:rPr>
              <w:t xml:space="preserve"> </w:t>
            </w:r>
            <w:r>
              <w:rPr>
                <w:rFonts w:ascii="Times New Roman" w:hAnsi="Times New Roman" w:cs="Times New Roman"/>
                <w:sz w:val="18"/>
                <w:szCs w:val="18"/>
              </w:rPr>
              <w:t>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1:50 000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400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600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800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834"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w:t>
            </w:r>
            <w:r>
              <w:rPr>
                <w:rFonts w:hint="eastAsia" w:ascii="Times New Roman" w:hAnsi="Times New Roman" w:cs="Times New Roman"/>
                <w:sz w:val="18"/>
                <w:szCs w:val="18"/>
              </w:rPr>
              <w:t xml:space="preserve"> </w:t>
            </w:r>
            <w:r>
              <w:rPr>
                <w:rFonts w:ascii="Times New Roman" w:hAnsi="Times New Roman" w:cs="Times New Roman"/>
                <w:sz w:val="18"/>
                <w:szCs w:val="18"/>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1:25 000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w:t>
            </w:r>
            <w:r>
              <w:rPr>
                <w:rFonts w:hint="eastAsia" w:ascii="Times New Roman" w:hAnsi="Times New Roman" w:cs="Times New Roman"/>
                <w:sz w:val="18"/>
                <w:szCs w:val="18"/>
              </w:rPr>
              <w:t xml:space="preserve"> </w:t>
            </w:r>
            <w:r>
              <w:rPr>
                <w:rFonts w:ascii="Times New Roman" w:hAnsi="Times New Roman" w:cs="Times New Roman"/>
                <w:sz w:val="18"/>
                <w:szCs w:val="18"/>
              </w:rPr>
              <w:t>800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w:t>
            </w:r>
            <w:r>
              <w:rPr>
                <w:rFonts w:hint="eastAsia" w:ascii="Times New Roman" w:hAnsi="Times New Roman" w:cs="Times New Roman"/>
                <w:sz w:val="18"/>
                <w:szCs w:val="18"/>
              </w:rPr>
              <w:t xml:space="preserve"> </w:t>
            </w:r>
            <w:r>
              <w:rPr>
                <w:rFonts w:ascii="Times New Roman" w:hAnsi="Times New Roman" w:cs="Times New Roman"/>
                <w:sz w:val="18"/>
                <w:szCs w:val="18"/>
              </w:rPr>
              <w:t>200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w:t>
            </w:r>
            <w:r>
              <w:rPr>
                <w:rFonts w:hint="eastAsia" w:ascii="Times New Roman" w:hAnsi="Times New Roman" w:cs="Times New Roman"/>
                <w:sz w:val="18"/>
                <w:szCs w:val="18"/>
              </w:rPr>
              <w:t xml:space="preserve"> </w:t>
            </w:r>
            <w:r>
              <w:rPr>
                <w:rFonts w:ascii="Times New Roman" w:hAnsi="Times New Roman" w:cs="Times New Roman"/>
                <w:sz w:val="18"/>
                <w:szCs w:val="18"/>
              </w:rPr>
              <w:t>600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834"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w:t>
            </w:r>
            <w:r>
              <w:rPr>
                <w:rFonts w:hint="eastAsia" w:ascii="Times New Roman" w:hAnsi="Times New Roman" w:cs="Times New Roman"/>
                <w:sz w:val="18"/>
                <w:szCs w:val="18"/>
              </w:rPr>
              <w:t xml:space="preserve"> </w:t>
            </w:r>
            <w:r>
              <w:rPr>
                <w:rFonts w:ascii="Times New Roman" w:hAnsi="Times New Roman" w:cs="Times New Roman"/>
                <w:sz w:val="18"/>
                <w:szCs w:val="18"/>
              </w:rPr>
              <w:t>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1:10 000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 xml:space="preserve"> </w:t>
            </w:r>
            <w:r>
              <w:rPr>
                <w:rFonts w:ascii="Times New Roman" w:hAnsi="Times New Roman" w:cs="Times New Roman"/>
                <w:sz w:val="18"/>
                <w:szCs w:val="18"/>
              </w:rPr>
              <w:t>600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6</w:t>
            </w:r>
            <w:r>
              <w:rPr>
                <w:rFonts w:hint="eastAsia" w:ascii="Times New Roman" w:hAnsi="Times New Roman" w:cs="Times New Roman"/>
                <w:sz w:val="18"/>
                <w:szCs w:val="18"/>
              </w:rPr>
              <w:t xml:space="preserve"> </w:t>
            </w:r>
            <w:r>
              <w:rPr>
                <w:rFonts w:ascii="Times New Roman" w:hAnsi="Times New Roman" w:cs="Times New Roman"/>
                <w:sz w:val="18"/>
                <w:szCs w:val="18"/>
              </w:rPr>
              <w:t>400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7</w:t>
            </w:r>
            <w:r>
              <w:rPr>
                <w:rFonts w:hint="eastAsia" w:ascii="Times New Roman" w:hAnsi="Times New Roman" w:cs="Times New Roman"/>
                <w:sz w:val="18"/>
                <w:szCs w:val="18"/>
              </w:rPr>
              <w:t xml:space="preserve"> </w:t>
            </w:r>
            <w:r>
              <w:rPr>
                <w:rFonts w:ascii="Times New Roman" w:hAnsi="Times New Roman" w:cs="Times New Roman"/>
                <w:sz w:val="18"/>
                <w:szCs w:val="18"/>
              </w:rPr>
              <w:t>200</w:t>
            </w:r>
          </w:p>
        </w:tc>
        <w:tc>
          <w:tcPr>
            <w:tcW w:w="833"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12</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834"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16</w:t>
            </w:r>
            <w:r>
              <w:rPr>
                <w:rFonts w:hint="eastAsia" w:ascii="Times New Roman" w:hAnsi="Times New Roman" w:cs="Times New Roman"/>
                <w:sz w:val="18"/>
                <w:szCs w:val="18"/>
              </w:rPr>
              <w:t xml:space="preserve"> </w:t>
            </w:r>
            <w:r>
              <w:rPr>
                <w:rFonts w:ascii="Times New Roman" w:hAnsi="Times New Roman" w:cs="Times New Roman"/>
                <w:sz w:val="18"/>
                <w:szCs w:val="18"/>
              </w:rPr>
              <w:t>200</w:t>
            </w:r>
          </w:p>
        </w:tc>
      </w:tr>
    </w:tbl>
    <w:p>
      <w:pPr>
        <w:ind w:firstLine="0"/>
      </w:pPr>
    </w:p>
    <w:p>
      <w:pPr>
        <w:pStyle w:val="4"/>
        <w:spacing w:beforeLines="50" w:afterLines="50"/>
        <w:rPr>
          <w:rFonts w:cs="Times New Roman"/>
        </w:rPr>
      </w:pPr>
      <w:bookmarkStart w:id="90" w:name="_Toc36634216"/>
      <w:r>
        <w:rPr>
          <w:rFonts w:hint="eastAsia" w:cs="Times New Roman"/>
        </w:rPr>
        <w:t>5.5  取费标准</w:t>
      </w:r>
      <w:bookmarkEnd w:id="90"/>
    </w:p>
    <w:p>
      <w:pPr>
        <w:pStyle w:val="229"/>
        <w:spacing w:before="120" w:beforeLines="50" w:after="120" w:afterLines="50"/>
        <w:outlineLvl w:val="3"/>
      </w:pPr>
      <w:r>
        <w:rPr>
          <w:rFonts w:hint="eastAsia"/>
        </w:rPr>
        <w:t>5.5.1  地区调整系数的使用</w:t>
      </w:r>
    </w:p>
    <w:p>
      <w:pPr>
        <w:ind w:firstLine="420" w:firstLineChars="200"/>
        <w:rPr>
          <w:rFonts w:ascii="Times New Roman" w:hAnsi="Times New Roman" w:cs="Times New Roman"/>
        </w:rPr>
      </w:pPr>
      <w:r>
        <w:rPr>
          <w:rFonts w:ascii="Times New Roman" w:hAnsi="Times New Roman" w:cs="Times New Roman"/>
        </w:rPr>
        <w:t>对于工作区跨越不同地区调整系数的片区，按不同片区分别计算工作量，并选用相应地区调整系数分别对预算标准进行调整。地区调整系数的详细划分采用《国土资源调查预算标准（地质调查部分）》（财建〔2007〕52号）附件2所附图册标准，或者根据工作区的经纬度范围输入中国地质调查局地质调查项目预算编制软件（2015年版）进行查询确定。</w:t>
      </w:r>
    </w:p>
    <w:p>
      <w:pPr>
        <w:ind w:firstLine="420" w:firstLineChars="200"/>
        <w:rPr>
          <w:rFonts w:ascii="Times New Roman" w:hAnsi="Times New Roman" w:cs="Times New Roman"/>
        </w:rPr>
      </w:pPr>
      <w:r>
        <w:rPr>
          <w:rFonts w:ascii="Times New Roman" w:hAnsi="Times New Roman" w:cs="Times New Roman"/>
        </w:rPr>
        <w:t>地区调整系数是对预算标准的调整，不是对预算的调整，因此在编制项目预算时，应先用地区调整系数调整预算标准，然后再计算预算费用。公式为：</w:t>
      </w:r>
    </w:p>
    <w:p>
      <w:pPr>
        <w:ind w:firstLine="420" w:firstLineChars="200"/>
        <w:rPr>
          <w:rFonts w:ascii="Times New Roman" w:hAnsi="Times New Roman" w:cs="Times New Roman"/>
        </w:rPr>
      </w:pPr>
      <w:r>
        <w:rPr>
          <w:rFonts w:ascii="Times New Roman" w:hAnsi="Times New Roman" w:cs="Times New Roman"/>
        </w:rPr>
        <w:t>调整的预算标准=原工程手段预算标准×地区调整系数</w:t>
      </w:r>
    </w:p>
    <w:p>
      <w:pPr>
        <w:pStyle w:val="229"/>
        <w:spacing w:before="120" w:beforeLines="50" w:after="120" w:afterLines="50"/>
        <w:outlineLvl w:val="3"/>
      </w:pPr>
      <w:r>
        <w:rPr>
          <w:rFonts w:hint="eastAsia"/>
        </w:rPr>
        <w:t>5.5.2  不可预见费</w:t>
      </w:r>
    </w:p>
    <w:p>
      <w:pPr>
        <w:ind w:firstLine="420" w:firstLineChars="200"/>
        <w:rPr>
          <w:rFonts w:ascii="Times New Roman" w:hAnsi="Times New Roman" w:cs="Times New Roman"/>
        </w:rPr>
      </w:pPr>
      <w:r>
        <w:rPr>
          <w:rFonts w:ascii="Times New Roman" w:hAnsi="Times New Roman" w:cs="Times New Roman"/>
        </w:rPr>
        <w:t>对于实施钻探、坑探工程的项目，钻探、坑探工程预算金额占项目预算总金额的比例超过50%，或者钻探、坑探工程预算金额超过50万元，可在预算中按照不超过钻探、坑探工程预算总额的10%编制不可预见费，并在其他地质工作项下列支，主要用于因地质情况变化而增加钻探、坑探工作量所需要的支出。对于没有钻探、坑探工程的项目，不得编制不可预见费预算。不可预见费是按钻探、坑探预算比例计算的，不再重复使用地区调整系数调整。</w:t>
      </w:r>
    </w:p>
    <w:p>
      <w:pPr>
        <w:pStyle w:val="229"/>
        <w:spacing w:before="120" w:beforeLines="50" w:after="120" w:afterLines="50"/>
        <w:outlineLvl w:val="3"/>
      </w:pPr>
      <w:r>
        <w:rPr>
          <w:rFonts w:hint="eastAsia"/>
        </w:rPr>
        <w:t>5.5.3  工地建筑</w:t>
      </w:r>
    </w:p>
    <w:p>
      <w:pPr>
        <w:ind w:firstLine="420" w:firstLineChars="200"/>
        <w:rPr>
          <w:rFonts w:ascii="Times New Roman" w:hAnsi="Times New Roman" w:cs="Times New Roman"/>
        </w:rPr>
      </w:pPr>
      <w:r>
        <w:rPr>
          <w:rFonts w:ascii="Times New Roman" w:hAnsi="Times New Roman" w:cs="Times New Roman"/>
        </w:rPr>
        <w:t>工地建筑是指在作业区域或附近修建简易房屋、简易公路、桥梁及水塔，架设输电通讯线路，购置活动房及帐篷，以及上述工地建筑的维修工作。地质灾害调查评价项目的工地建筑预算不超过项目野外工程手段预算费用之和的5%。</w:t>
      </w:r>
    </w:p>
    <w:p>
      <w:pPr>
        <w:pStyle w:val="229"/>
        <w:spacing w:before="120" w:beforeLines="50" w:after="120" w:afterLines="50"/>
        <w:outlineLvl w:val="3"/>
      </w:pPr>
      <w:r>
        <w:rPr>
          <w:rFonts w:hint="eastAsia"/>
        </w:rPr>
        <w:t>5.5.4  利润</w:t>
      </w:r>
    </w:p>
    <w:p>
      <w:pPr>
        <w:ind w:firstLine="420" w:firstLineChars="200"/>
        <w:rPr>
          <w:rFonts w:ascii="Times New Roman" w:hAnsi="Times New Roman" w:cs="Times New Roman"/>
        </w:rPr>
      </w:pPr>
      <w:r>
        <w:rPr>
          <w:rFonts w:ascii="Times New Roman" w:hAnsi="Times New Roman" w:cs="Times New Roman"/>
        </w:rPr>
        <w:t>利润的预算不宜超过除税金外所有费用之和的7%，项目资金由财政直接拨款则不计利润。</w:t>
      </w:r>
    </w:p>
    <w:p>
      <w:pPr>
        <w:pStyle w:val="229"/>
        <w:spacing w:before="120" w:beforeLines="50" w:after="120" w:afterLines="50"/>
        <w:outlineLvl w:val="3"/>
      </w:pPr>
      <w:r>
        <w:rPr>
          <w:rFonts w:hint="eastAsia"/>
        </w:rPr>
        <w:t>5.5.5  税金</w:t>
      </w:r>
    </w:p>
    <w:p>
      <w:pPr>
        <w:ind w:firstLine="0"/>
        <w:rPr>
          <w:rFonts w:ascii="Times New Roman" w:hAnsi="Times New Roman" w:cs="Times New Roman"/>
        </w:rPr>
      </w:pPr>
      <w:r>
        <w:rPr>
          <w:rFonts w:hint="eastAsia" w:ascii="黑体" w:eastAsia="黑体" w:cs="Times New Roman"/>
        </w:rPr>
        <w:t xml:space="preserve">5.5.5.1  </w:t>
      </w:r>
      <w:r>
        <w:rPr>
          <w:rFonts w:ascii="Times New Roman" w:hAnsi="Times New Roman" w:cs="Times New Roman"/>
        </w:rPr>
        <w:t>税金按照相关最新规定进行预算。</w:t>
      </w:r>
    </w:p>
    <w:p>
      <w:pPr>
        <w:ind w:firstLine="0"/>
        <w:rPr>
          <w:rFonts w:ascii="Times New Roman" w:hAnsi="Times New Roman" w:eastAsia="黑体" w:cs="Times New Roman"/>
        </w:rPr>
      </w:pPr>
      <w:r>
        <w:rPr>
          <w:rFonts w:hint="eastAsia" w:ascii="黑体" w:eastAsia="黑体" w:cs="Times New Roman"/>
        </w:rPr>
        <w:t>5.5.5.2</w:t>
      </w:r>
      <w:r>
        <w:rPr>
          <w:rFonts w:ascii="Times New Roman" w:hAnsi="Times New Roman" w:cs="Times New Roman"/>
        </w:rPr>
        <w:t xml:space="preserve">  增值税的计算基数是以上其他所有费用之和，一般纳税人增值税税率6%，一般纳税人简易征收增值税税率3%，小规模纳税人增税税率3%。</w:t>
      </w:r>
      <w:r>
        <w:rPr>
          <w:rFonts w:ascii="Times New Roman" w:hAnsi="Times New Roman" w:eastAsia="黑体" w:cs="Times New Roman"/>
        </w:rPr>
        <w:t xml:space="preserve"> </w:t>
      </w:r>
    </w:p>
    <w:p>
      <w:pPr>
        <w:ind w:firstLine="0"/>
        <w:rPr>
          <w:rFonts w:ascii="Times New Roman" w:hAnsi="Times New Roman" w:cs="Times New Roman"/>
        </w:rPr>
      </w:pPr>
      <w:r>
        <w:rPr>
          <w:rFonts w:hint="eastAsia" w:ascii="黑体" w:eastAsia="黑体" w:cs="Times New Roman"/>
        </w:rPr>
        <w:t>5.5.5.3</w:t>
      </w:r>
      <w:r>
        <w:rPr>
          <w:rFonts w:ascii="Times New Roman" w:hAnsi="Times New Roman" w:cs="Times New Roman"/>
        </w:rPr>
        <w:t xml:space="preserve">  增值税附加税以增值税为计算基数，城市维护建设税税率7%、教育费附加税率3%、地方教育附加税率1.5%。</w:t>
      </w:r>
    </w:p>
    <w:p>
      <w:pPr>
        <w:ind w:firstLine="0"/>
        <w:rPr>
          <w:rFonts w:ascii="Times New Roman" w:hAnsi="Times New Roman" w:cs="Times New Roman"/>
        </w:rPr>
      </w:pPr>
      <w:r>
        <w:rPr>
          <w:rFonts w:hint="eastAsia" w:ascii="黑体" w:eastAsia="黑体" w:cs="Times New Roman"/>
        </w:rPr>
        <w:t>5.5.5.4</w:t>
      </w:r>
      <w:r>
        <w:rPr>
          <w:rFonts w:ascii="Times New Roman" w:hAnsi="Times New Roman" w:cs="Times New Roman"/>
        </w:rPr>
        <w:t xml:space="preserve">  所得税的计算基数是利润，税率25%。</w:t>
      </w:r>
    </w:p>
    <w:p>
      <w:pPr>
        <w:ind w:firstLine="0"/>
        <w:rPr>
          <w:rFonts w:ascii="Times New Roman" w:hAnsi="Times New Roman" w:cs="Times New Roman"/>
        </w:rPr>
      </w:pPr>
      <w:r>
        <w:rPr>
          <w:rFonts w:hint="eastAsia" w:ascii="黑体" w:eastAsia="黑体" w:cs="Times New Roman"/>
        </w:rPr>
        <w:t>5.5.5.5</w:t>
      </w:r>
      <w:r>
        <w:rPr>
          <w:rFonts w:ascii="Times New Roman" w:hAnsi="Times New Roman" w:cs="Times New Roman"/>
        </w:rPr>
        <w:t xml:space="preserve">  根据《中华人民共和国企业所得税法（2018修正）》第七条规定：财政拨款是不征税收入。若项目未经招投标，资金为财政直接拨款，则不计税金。</w:t>
      </w:r>
    </w:p>
    <w:p>
      <w:pPr>
        <w:pStyle w:val="4"/>
        <w:rPr>
          <w:rFonts w:cs="Times New Roman"/>
        </w:rPr>
      </w:pPr>
      <w:bookmarkStart w:id="91" w:name="_Toc36634217"/>
      <w:r>
        <w:rPr>
          <w:rFonts w:hint="eastAsia" w:cs="Times New Roman"/>
        </w:rPr>
        <w:t>5.6  编制格式</w:t>
      </w:r>
      <w:bookmarkEnd w:id="91"/>
    </w:p>
    <w:p>
      <w:pPr>
        <w:pStyle w:val="228"/>
        <w:spacing w:before="120" w:after="120"/>
        <w:rPr>
          <w:rFonts w:ascii="黑体" w:cs="Times New Roman"/>
        </w:rPr>
      </w:pPr>
      <w:r>
        <w:rPr>
          <w:rFonts w:hint="eastAsia" w:ascii="黑体" w:cs="Times New Roman"/>
        </w:rPr>
        <w:t>5.6.1  一般格式</w:t>
      </w:r>
    </w:p>
    <w:p>
      <w:pPr>
        <w:ind w:firstLine="420"/>
        <w:rPr>
          <w:rFonts w:ascii="Times New Roman" w:hAnsi="Times New Roman" w:cs="Times New Roman"/>
        </w:rPr>
      </w:pPr>
      <w:r>
        <w:rPr>
          <w:rFonts w:ascii="Times New Roman" w:hAnsi="Times New Roman" w:cs="Times New Roman"/>
        </w:rPr>
        <w:t>预算由预算编制说明和预算表组成，</w:t>
      </w:r>
      <w:r>
        <w:rPr>
          <w:rFonts w:ascii="宋体" w:cs="Times New Roman"/>
        </w:rPr>
        <w:t>“量价费”</w:t>
      </w:r>
      <w:r>
        <w:rPr>
          <w:rFonts w:ascii="Times New Roman" w:hAnsi="Times New Roman" w:cs="Times New Roman"/>
        </w:rPr>
        <w:t>预算的表格样式见附录D。</w:t>
      </w:r>
    </w:p>
    <w:p>
      <w:pPr>
        <w:pStyle w:val="228"/>
        <w:spacing w:before="120" w:beforeLines="50" w:after="120" w:afterLines="50"/>
        <w:rPr>
          <w:rFonts w:ascii="黑体" w:cs="Times New Roman"/>
        </w:rPr>
      </w:pPr>
      <w:r>
        <w:rPr>
          <w:rFonts w:hint="eastAsia" w:ascii="黑体" w:cs="Times New Roman"/>
        </w:rPr>
        <w:t>5.6.2  格式要求</w:t>
      </w:r>
    </w:p>
    <w:p>
      <w:pPr>
        <w:pStyle w:val="229"/>
        <w:spacing w:before="120" w:beforeLines="50" w:after="120" w:afterLines="50"/>
      </w:pPr>
      <w:r>
        <w:rPr>
          <w:rFonts w:hint="eastAsia"/>
        </w:rPr>
        <w:t>5.6.2.1  预算表名称和编号</w:t>
      </w:r>
    </w:p>
    <w:p>
      <w:pPr>
        <w:ind w:firstLine="420"/>
        <w:rPr>
          <w:rFonts w:ascii="Times New Roman" w:hAnsi="Times New Roman" w:cs="Times New Roman"/>
        </w:rPr>
      </w:pPr>
      <w:r>
        <w:rPr>
          <w:rFonts w:ascii="Times New Roman" w:hAnsi="Times New Roman" w:cs="Times New Roman"/>
        </w:rPr>
        <w:t>预算表的名称和编号应与附录D所示一致。</w:t>
      </w:r>
    </w:p>
    <w:p>
      <w:pPr>
        <w:pStyle w:val="229"/>
        <w:spacing w:before="120" w:beforeLines="50" w:after="120" w:afterLines="50"/>
      </w:pPr>
      <w:r>
        <w:rPr>
          <w:rFonts w:hint="eastAsia"/>
        </w:rPr>
        <w:t>5.6.2.2  主词栏的横行标题</w:t>
      </w:r>
    </w:p>
    <w:p>
      <w:pPr>
        <w:ind w:firstLine="420"/>
        <w:rPr>
          <w:rFonts w:ascii="Times New Roman" w:hAnsi="Times New Roman" w:cs="Times New Roman"/>
        </w:rPr>
      </w:pPr>
      <w:r>
        <w:rPr>
          <w:rFonts w:ascii="Times New Roman" w:hAnsi="Times New Roman" w:cs="Times New Roman"/>
        </w:rPr>
        <w:t>按照附录C所示目录编制，做到顺序一致。</w:t>
      </w:r>
    </w:p>
    <w:p>
      <w:pPr>
        <w:pStyle w:val="229"/>
        <w:spacing w:before="120" w:beforeLines="50" w:after="120" w:afterLines="50"/>
      </w:pPr>
      <w:r>
        <w:rPr>
          <w:rFonts w:hint="eastAsia"/>
        </w:rPr>
        <w:t>5.6.2.3  宾词栏的纵栏标题</w:t>
      </w:r>
    </w:p>
    <w:p>
      <w:pPr>
        <w:ind w:firstLine="420"/>
        <w:rPr>
          <w:rFonts w:ascii="Times New Roman" w:hAnsi="Times New Roman" w:cs="Times New Roman"/>
        </w:rPr>
      </w:pPr>
      <w:r>
        <w:rPr>
          <w:rFonts w:ascii="Times New Roman" w:hAnsi="Times New Roman" w:cs="Times New Roman"/>
        </w:rPr>
        <w:t>应与附录D所示一致。</w:t>
      </w:r>
    </w:p>
    <w:p>
      <w:pPr>
        <w:pStyle w:val="229"/>
        <w:spacing w:before="120" w:beforeLines="50" w:after="120" w:afterLines="50"/>
      </w:pPr>
      <w:r>
        <w:rPr>
          <w:rFonts w:hint="eastAsia"/>
        </w:rPr>
        <w:t>5.6.2.4  计算单位</w:t>
      </w:r>
    </w:p>
    <w:p>
      <w:pPr>
        <w:ind w:firstLine="420"/>
        <w:rPr>
          <w:rFonts w:ascii="Times New Roman" w:hAnsi="Times New Roman" w:cs="Times New Roman"/>
        </w:rPr>
      </w:pPr>
      <w:r>
        <w:rPr>
          <w:rFonts w:ascii="Times New Roman" w:hAnsi="Times New Roman" w:cs="Times New Roman"/>
        </w:rPr>
        <w:t>各类指标的计算单位应与采用预算标准的规定一致。</w:t>
      </w:r>
    </w:p>
    <w:p>
      <w:pPr>
        <w:pStyle w:val="229"/>
        <w:spacing w:before="120" w:beforeLines="50" w:after="120" w:afterLines="50"/>
      </w:pPr>
      <w:r>
        <w:rPr>
          <w:rFonts w:hint="eastAsia"/>
        </w:rPr>
        <w:t>5.6.2.5  表底资料</w:t>
      </w:r>
    </w:p>
    <w:p>
      <w:pPr>
        <w:ind w:firstLine="420"/>
        <w:rPr>
          <w:rFonts w:ascii="Times New Roman" w:hAnsi="Times New Roman" w:cs="Times New Roman"/>
        </w:rPr>
      </w:pPr>
      <w:r>
        <w:rPr>
          <w:rFonts w:ascii="Times New Roman" w:hAnsi="Times New Roman" w:cs="Times New Roman"/>
        </w:rPr>
        <w:t>项目预算编制人员和审核人员的签字或盖章必须齐全。</w:t>
      </w:r>
    </w:p>
    <w:p>
      <w:pPr>
        <w:pStyle w:val="229"/>
        <w:spacing w:before="120" w:beforeLines="50" w:after="120" w:afterLines="50"/>
      </w:pPr>
      <w:r>
        <w:rPr>
          <w:rFonts w:hint="eastAsia"/>
        </w:rPr>
        <w:t>5.6.2.6  对齐</w:t>
      </w:r>
    </w:p>
    <w:p>
      <w:pPr>
        <w:ind w:left="840" w:leftChars="200" w:hanging="420" w:hangingChars="200"/>
        <w:rPr>
          <w:rFonts w:ascii="Times New Roman" w:hAnsi="Times New Roman" w:cs="Times New Roman"/>
        </w:rPr>
      </w:pPr>
      <w:r>
        <w:rPr>
          <w:rFonts w:ascii="Times New Roman" w:hAnsi="Times New Roman" w:cs="Times New Roman"/>
        </w:rPr>
        <w:t>a)  数字位置对齐：工作量居中对齐，金额类右对齐。</w:t>
      </w:r>
    </w:p>
    <w:p>
      <w:pPr>
        <w:ind w:left="840" w:leftChars="200" w:hanging="420" w:hangingChars="200"/>
        <w:rPr>
          <w:rFonts w:ascii="Times New Roman" w:hAnsi="Times New Roman" w:cs="Times New Roman"/>
        </w:rPr>
      </w:pPr>
      <w:r>
        <w:rPr>
          <w:rFonts w:ascii="Times New Roman" w:hAnsi="Times New Roman" w:cs="Times New Roman"/>
        </w:rPr>
        <w:t>b)  文字位置对齐：主词栏左对齐，技术条件、计量单位居中对齐。</w:t>
      </w:r>
    </w:p>
    <w:p>
      <w:pPr>
        <w:pStyle w:val="229"/>
        <w:spacing w:before="120" w:beforeLines="50" w:after="120" w:afterLines="50"/>
      </w:pPr>
      <w:r>
        <w:rPr>
          <w:rFonts w:hint="eastAsia"/>
        </w:rPr>
        <w:t>5.6.2.7  小数位数</w:t>
      </w:r>
    </w:p>
    <w:p>
      <w:pPr>
        <w:ind w:firstLine="420"/>
        <w:rPr>
          <w:rFonts w:ascii="Times New Roman" w:hAnsi="Times New Roman" w:cs="Times New Roman"/>
        </w:rPr>
      </w:pPr>
      <w:r>
        <w:rPr>
          <w:rFonts w:ascii="Times New Roman" w:hAnsi="Times New Roman" w:cs="Times New Roman"/>
        </w:rPr>
        <w:t>工作量根据实际情况一般保留1位小数，金额保留2位小数（无论元或万元）。</w:t>
      </w:r>
    </w:p>
    <w:bookmarkEnd w:id="80"/>
    <w:bookmarkEnd w:id="81"/>
    <w:p>
      <w:pPr>
        <w:pStyle w:val="3"/>
        <w:spacing w:before="240" w:beforeLines="100" w:after="240" w:afterLines="100"/>
        <w:rPr>
          <w:rFonts w:ascii="黑体" w:cs="黑体"/>
        </w:rPr>
      </w:pPr>
      <w:bookmarkStart w:id="92" w:name="_Toc16760276"/>
      <w:bookmarkStart w:id="93" w:name="_Toc36634218"/>
      <w:r>
        <w:rPr>
          <w:rFonts w:hint="eastAsia" w:ascii="黑体" w:cs="黑体"/>
        </w:rPr>
        <w:t>6  监测预警项目预算编制</w:t>
      </w:r>
      <w:bookmarkEnd w:id="92"/>
      <w:r>
        <w:rPr>
          <w:rFonts w:hint="eastAsia" w:ascii="黑体" w:cs="黑体"/>
        </w:rPr>
        <w:t>要求</w:t>
      </w:r>
      <w:bookmarkEnd w:id="93"/>
    </w:p>
    <w:p>
      <w:pPr>
        <w:pStyle w:val="4"/>
        <w:rPr>
          <w:rFonts w:cs="Times New Roman"/>
        </w:rPr>
      </w:pPr>
      <w:bookmarkStart w:id="94" w:name="_Toc36634219"/>
      <w:r>
        <w:rPr>
          <w:rFonts w:hint="eastAsia" w:cs="Times New Roman"/>
        </w:rPr>
        <w:t>6.1  基本内容</w:t>
      </w:r>
      <w:bookmarkEnd w:id="94"/>
    </w:p>
    <w:p>
      <w:pPr>
        <w:pStyle w:val="228"/>
        <w:spacing w:before="120" w:after="120"/>
        <w:rPr>
          <w:rFonts w:ascii="黑体" w:cs="Times New Roman"/>
        </w:rPr>
      </w:pPr>
      <w:r>
        <w:rPr>
          <w:rFonts w:hint="eastAsia" w:ascii="黑体" w:cs="Times New Roman"/>
        </w:rPr>
        <w:t>6.1.1  监测预警项目</w:t>
      </w:r>
    </w:p>
    <w:p>
      <w:pPr>
        <w:ind w:firstLine="420"/>
        <w:rPr>
          <w:rFonts w:ascii="宋体" w:cs="Times New Roman"/>
        </w:rPr>
      </w:pPr>
      <w:r>
        <w:rPr>
          <w:rFonts w:hint="eastAsia" w:ascii="宋体" w:cs="Times New Roman"/>
        </w:rPr>
        <w:t>指地质灾害专业监测预警和“群专结合”监测预警的工作项目，以“重预警、强手段、广覆盖”为工作重点，开展地质灾害监测预警工作，分析地质灾害发展趋势，预测地质灾害发生区域，预报地质灾害发生时段，最大限度避免人员伤亡和财产损失。主要包含重大隐患区监测预警，重大隐患点专业监测预警，“群专结合”监测预警等。</w:t>
      </w:r>
    </w:p>
    <w:p>
      <w:pPr>
        <w:pStyle w:val="228"/>
        <w:spacing w:before="120" w:after="120"/>
        <w:rPr>
          <w:rFonts w:ascii="黑体" w:cs="Times New Roman"/>
        </w:rPr>
      </w:pPr>
      <w:r>
        <w:rPr>
          <w:rFonts w:hint="eastAsia" w:ascii="黑体" w:cs="Times New Roman"/>
        </w:rPr>
        <w:t>6.1.2  重大隐患区监测预警</w:t>
      </w:r>
    </w:p>
    <w:p>
      <w:pPr>
        <w:ind w:firstLine="0"/>
        <w:rPr>
          <w:rFonts w:ascii="Times New Roman" w:hAnsi="Times New Roman" w:cs="Times New Roman"/>
        </w:rPr>
      </w:pPr>
      <w:r>
        <w:rPr>
          <w:rFonts w:hint="eastAsia" w:ascii="黑体" w:eastAsia="黑体" w:cs="Times New Roman"/>
        </w:rPr>
        <w:t>6.1.2.1</w:t>
      </w:r>
      <w:r>
        <w:rPr>
          <w:rFonts w:ascii="Times New Roman" w:hAnsi="Times New Roman" w:cs="Times New Roman"/>
        </w:rPr>
        <w:t xml:space="preserve">  一般是</w:t>
      </w:r>
      <w:r>
        <w:rPr>
          <w:rFonts w:hint="eastAsia" w:ascii="Times New Roman" w:hAnsi="Times New Roman" w:cs="Times New Roman"/>
        </w:rPr>
        <w:t>指</w:t>
      </w:r>
      <w:r>
        <w:rPr>
          <w:rFonts w:ascii="Times New Roman" w:hAnsi="Times New Roman" w:cs="Times New Roman"/>
        </w:rPr>
        <w:t>针对湖北省地质灾害高易发区内高陡斜坡带、重要流域、密集线性工程廊道等地质灾害重大隐患区，开展区域地质灾害遥感监测预警。其工作手段主要有遥感获取、遥感解译、InSAR技术监测和现场核查等。</w:t>
      </w:r>
    </w:p>
    <w:p>
      <w:pPr>
        <w:ind w:firstLine="0"/>
        <w:rPr>
          <w:rFonts w:ascii="Times New Roman" w:hAnsi="Times New Roman" w:cs="Times New Roman"/>
        </w:rPr>
      </w:pPr>
      <w:r>
        <w:rPr>
          <w:rFonts w:hint="eastAsia" w:ascii="黑体" w:eastAsia="黑体" w:cs="Times New Roman"/>
        </w:rPr>
        <w:t>6.1.2.2</w:t>
      </w:r>
      <w:r>
        <w:rPr>
          <w:rFonts w:ascii="Times New Roman" w:hAnsi="Times New Roman" w:cs="Times New Roman"/>
        </w:rPr>
        <w:t xml:space="preserve">  采用地质灾害调查评价项目</w:t>
      </w:r>
      <w:r>
        <w:rPr>
          <w:rFonts w:ascii="宋体" w:cs="Times New Roman"/>
        </w:rPr>
        <w:t>“量价费”预算编制方</w:t>
      </w:r>
      <w:r>
        <w:rPr>
          <w:rFonts w:ascii="Times New Roman" w:hAnsi="Times New Roman" w:cs="Times New Roman"/>
        </w:rPr>
        <w:t>法进行预算编制。</w:t>
      </w:r>
    </w:p>
    <w:p>
      <w:pPr>
        <w:pStyle w:val="228"/>
        <w:spacing w:before="120" w:after="120"/>
        <w:rPr>
          <w:rFonts w:ascii="黑体" w:cs="Times New Roman"/>
        </w:rPr>
      </w:pPr>
      <w:r>
        <w:rPr>
          <w:rFonts w:hint="eastAsia" w:ascii="黑体" w:cs="Times New Roman"/>
        </w:rPr>
        <w:t>6.1.3  重大隐患点专业监测预警</w:t>
      </w:r>
    </w:p>
    <w:p>
      <w:pPr>
        <w:ind w:firstLine="0"/>
        <w:rPr>
          <w:rFonts w:ascii="Times New Roman" w:hAnsi="Times New Roman" w:cs="Times New Roman"/>
        </w:rPr>
      </w:pPr>
      <w:r>
        <w:rPr>
          <w:rFonts w:hint="eastAsia" w:ascii="黑体" w:eastAsia="黑体" w:cs="Times New Roman"/>
        </w:rPr>
        <w:t>6.1.3.1</w:t>
      </w:r>
      <w:r>
        <w:rPr>
          <w:rFonts w:ascii="Times New Roman" w:hAnsi="Times New Roman" w:cs="Times New Roman"/>
        </w:rPr>
        <w:t xml:space="preserve">  根据湖北省自然资源厅《关于印发〈湖北省地质灾害综合防治体系建设项目申报指南（试行）</w:t>
      </w:r>
      <w:r>
        <w:rPr>
          <w:rFonts w:hint="eastAsia" w:ascii="Times New Roman" w:hAnsi="Times New Roman" w:cs="Times New Roman"/>
        </w:rPr>
        <w:t>〉》（</w:t>
      </w:r>
      <w:r>
        <w:rPr>
          <w:rFonts w:ascii="Times New Roman" w:hAnsi="Times New Roman" w:cs="Times New Roman"/>
        </w:rPr>
        <w:t>鄂自然资函〔2019〕165号</w:t>
      </w:r>
      <w:r>
        <w:rPr>
          <w:rFonts w:hint="eastAsia" w:ascii="Times New Roman" w:hAnsi="Times New Roman" w:cs="Times New Roman"/>
        </w:rPr>
        <w:t>）</w:t>
      </w:r>
      <w:r>
        <w:rPr>
          <w:rFonts w:ascii="Times New Roman" w:hAnsi="Times New Roman" w:cs="Times New Roman"/>
        </w:rPr>
        <w:t>，一般对治理和搬迁难度大或治理效益低的地质灾害隐患点开展专业监测预警。</w:t>
      </w:r>
    </w:p>
    <w:p>
      <w:pPr>
        <w:ind w:firstLine="0"/>
        <w:rPr>
          <w:rFonts w:ascii="Times New Roman" w:hAnsi="Times New Roman" w:cs="Times New Roman"/>
        </w:rPr>
      </w:pPr>
      <w:r>
        <w:rPr>
          <w:rFonts w:hint="eastAsia" w:ascii="黑体" w:eastAsia="黑体" w:cs="Times New Roman"/>
        </w:rPr>
        <w:t>6.1.3.2</w:t>
      </w:r>
      <w:r>
        <w:rPr>
          <w:rFonts w:ascii="Times New Roman" w:hAnsi="Times New Roman" w:eastAsia="黑体" w:cs="Times New Roman"/>
        </w:rPr>
        <w:t xml:space="preserve">  </w:t>
      </w:r>
      <w:r>
        <w:rPr>
          <w:rFonts w:ascii="Times New Roman" w:hAnsi="Times New Roman" w:cs="Times New Roman"/>
        </w:rPr>
        <w:t>对项目中的勘查及各类钻孔等工程采用《工程勘察设计收费标准》（计价格〔2002〕10号）相关收费标准进行预算；对建筑和安装工程的预算采用地质灾害治理工程预算的编制方法进行编制；对监测点建设完成后的监测运行和维护等专业监测预警工作，按照每个点每年的综合定额预算。</w:t>
      </w:r>
    </w:p>
    <w:p>
      <w:pPr>
        <w:pStyle w:val="228"/>
        <w:spacing w:before="120" w:after="120"/>
        <w:rPr>
          <w:rFonts w:ascii="黑体" w:cs="Times New Roman"/>
        </w:rPr>
      </w:pPr>
      <w:r>
        <w:rPr>
          <w:rFonts w:hint="eastAsia" w:ascii="黑体" w:cs="Times New Roman"/>
        </w:rPr>
        <w:t>6.1.4  “群专结合”监测预警</w:t>
      </w:r>
    </w:p>
    <w:p>
      <w:pPr>
        <w:ind w:firstLine="0"/>
        <w:rPr>
          <w:rFonts w:ascii="Times New Roman" w:hAnsi="Times New Roman" w:cs="Times New Roman"/>
        </w:rPr>
      </w:pPr>
      <w:r>
        <w:rPr>
          <w:rFonts w:hint="eastAsia" w:ascii="黑体" w:eastAsia="黑体" w:cs="Times New Roman"/>
        </w:rPr>
        <w:t>6.1.4.1</w:t>
      </w:r>
      <w:r>
        <w:rPr>
          <w:rFonts w:ascii="Times New Roman" w:hAnsi="Times New Roman" w:cs="Times New Roman"/>
        </w:rPr>
        <w:t xml:space="preserve">  工程建设内容主要包括：灾害点边界桩制作安装、原始界桩修复、地面裂缝标桩制作安装、井泉堰塘监测标示制作安装、地质灾害点告示牌制作安装以及其他简易监测工具、雨具、文具的配备使用和网格技术协管工作。</w:t>
      </w:r>
    </w:p>
    <w:p>
      <w:pPr>
        <w:ind w:firstLine="0"/>
        <w:rPr>
          <w:rFonts w:ascii="Times New Roman" w:hAnsi="Times New Roman" w:cs="Times New Roman"/>
        </w:rPr>
      </w:pPr>
      <w:r>
        <w:rPr>
          <w:rFonts w:hint="eastAsia" w:ascii="黑体" w:eastAsia="黑体" w:cs="Times New Roman"/>
        </w:rPr>
        <w:t>6.1.4.2</w:t>
      </w:r>
      <w:r>
        <w:rPr>
          <w:rFonts w:ascii="Times New Roman" w:hAnsi="Times New Roman" w:cs="Times New Roman"/>
        </w:rPr>
        <w:t xml:space="preserve">  其中建筑安装工程费用采取治理工程预算方式进行编制；配备设备采用市场价预算；网格技术协管、群测群防布点、划定边界等按《工程勘察设计收费标准》（计价格〔2002〕10号）中的组日、台班收费基价预算。</w:t>
      </w:r>
    </w:p>
    <w:p>
      <w:pPr>
        <w:pStyle w:val="4"/>
        <w:rPr>
          <w:rFonts w:cs="Times New Roman"/>
        </w:rPr>
      </w:pPr>
      <w:bookmarkStart w:id="95" w:name="_Toc36634220"/>
      <w:r>
        <w:rPr>
          <w:rFonts w:hint="eastAsia" w:cs="Times New Roman"/>
        </w:rPr>
        <w:t>6.2  主要编制依据</w:t>
      </w:r>
      <w:bookmarkEnd w:id="95"/>
    </w:p>
    <w:p>
      <w:pPr>
        <w:ind w:firstLine="420" w:firstLineChars="200"/>
        <w:jc w:val="both"/>
        <w:rPr>
          <w:rFonts w:ascii="Times New Roman" w:hAnsi="Times New Roman" w:cs="Times New Roman"/>
        </w:rPr>
      </w:pPr>
      <w:r>
        <w:rPr>
          <w:rFonts w:ascii="Times New Roman" w:hAnsi="Times New Roman" w:cs="Times New Roman"/>
        </w:rPr>
        <w:t>国家计委、建设部《关于发布〈工程勘察设计收费标准〉的通知及附件》（计价格〔2002〕10号）</w:t>
      </w:r>
    </w:p>
    <w:p>
      <w:pPr>
        <w:ind w:firstLine="420" w:firstLineChars="200"/>
        <w:jc w:val="both"/>
        <w:rPr>
          <w:rFonts w:ascii="Times New Roman" w:hAnsi="Times New Roman" w:cs="Times New Roman"/>
        </w:rPr>
      </w:pPr>
      <w:r>
        <w:rPr>
          <w:rFonts w:ascii="Times New Roman" w:hAnsi="Times New Roman" w:cs="Times New Roman"/>
        </w:rPr>
        <w:t>水利部《水利工程设计概（估）算编制规定》（水总〔2014〕429号）</w:t>
      </w:r>
    </w:p>
    <w:p>
      <w:pPr>
        <w:ind w:firstLine="420" w:firstLineChars="200"/>
        <w:jc w:val="both"/>
        <w:rPr>
          <w:rFonts w:ascii="Times New Roman" w:hAnsi="Times New Roman" w:cs="Times New Roman"/>
        </w:rPr>
      </w:pPr>
      <w:r>
        <w:rPr>
          <w:rFonts w:ascii="Times New Roman" w:hAnsi="Times New Roman" w:cs="Times New Roman"/>
        </w:rPr>
        <w:t>水利部《水利建筑工程预算定额》《水利工程施工机械台时费定额》（水总〔2002〕116号）</w:t>
      </w:r>
    </w:p>
    <w:p>
      <w:pPr>
        <w:ind w:firstLine="420" w:firstLineChars="200"/>
        <w:jc w:val="both"/>
        <w:rPr>
          <w:rFonts w:ascii="Times New Roman" w:hAnsi="Times New Roman" w:cs="Times New Roman"/>
        </w:rPr>
      </w:pPr>
      <w:r>
        <w:rPr>
          <w:rFonts w:ascii="Times New Roman" w:hAnsi="Times New Roman" w:cs="Times New Roman"/>
        </w:rPr>
        <w:t>湖北省国土资源厅、财政厅《湖北省三峡库区后续地质灾害监测预警项目工程建设投资概（预）算编制要求（试行）》（鄂土资函〔2014〕111号）的附件2</w:t>
      </w:r>
    </w:p>
    <w:p>
      <w:pPr>
        <w:ind w:firstLine="420" w:firstLineChars="200"/>
        <w:jc w:val="both"/>
        <w:rPr>
          <w:rFonts w:ascii="Times New Roman" w:hAnsi="Times New Roman" w:cs="Times New Roman"/>
        </w:rPr>
      </w:pPr>
      <w:r>
        <w:rPr>
          <w:rFonts w:ascii="Times New Roman" w:hAnsi="Times New Roman" w:cs="Times New Roman"/>
        </w:rPr>
        <w:t>中国地质调查局《地质调查项目预算标准（2010年试用）》</w:t>
      </w:r>
    </w:p>
    <w:p>
      <w:pPr>
        <w:pStyle w:val="4"/>
        <w:rPr>
          <w:rFonts w:cs="Times New Roman"/>
        </w:rPr>
      </w:pPr>
      <w:bookmarkStart w:id="96" w:name="_Toc36634221"/>
      <w:r>
        <w:rPr>
          <w:rFonts w:hint="eastAsia" w:cs="Times New Roman"/>
        </w:rPr>
        <w:t>6.3  基本构成</w:t>
      </w:r>
      <w:bookmarkEnd w:id="96"/>
    </w:p>
    <w:p>
      <w:pPr>
        <w:pStyle w:val="228"/>
        <w:spacing w:before="120" w:after="120"/>
        <w:rPr>
          <w:rFonts w:ascii="黑体" w:cs="Times New Roman"/>
        </w:rPr>
      </w:pPr>
      <w:r>
        <w:rPr>
          <w:rFonts w:hint="eastAsia" w:ascii="黑体" w:cs="Times New Roman"/>
        </w:rPr>
        <w:t>6.3.1  预算基本构成</w:t>
      </w:r>
    </w:p>
    <w:p>
      <w:pPr>
        <w:ind w:firstLine="420"/>
        <w:rPr>
          <w:rFonts w:ascii="Times New Roman" w:hAnsi="Times New Roman" w:cs="Times New Roman"/>
        </w:rPr>
      </w:pPr>
      <w:r>
        <w:rPr>
          <w:rFonts w:ascii="Times New Roman" w:hAnsi="Times New Roman" w:cs="Times New Roman"/>
        </w:rPr>
        <w:t>监测预警项目预算由预算编制说明和预算表构成。</w:t>
      </w:r>
    </w:p>
    <w:p>
      <w:pPr>
        <w:pStyle w:val="228"/>
        <w:spacing w:before="120" w:beforeLines="50" w:after="120" w:afterLines="50"/>
        <w:rPr>
          <w:rFonts w:ascii="黑体" w:cs="Times New Roman"/>
        </w:rPr>
      </w:pPr>
      <w:r>
        <w:rPr>
          <w:rFonts w:hint="eastAsia" w:ascii="黑体" w:cs="Times New Roman"/>
        </w:rPr>
        <w:t>6.3.2  重大隐患区监测预警预算基本构成</w:t>
      </w:r>
    </w:p>
    <w:p>
      <w:pPr>
        <w:ind w:firstLine="420"/>
        <w:rPr>
          <w:rFonts w:ascii="Times New Roman" w:hAnsi="Times New Roman" w:cs="Times New Roman"/>
        </w:rPr>
      </w:pPr>
      <w:r>
        <w:rPr>
          <w:rFonts w:ascii="Times New Roman" w:hAnsi="Times New Roman" w:cs="Times New Roman"/>
        </w:rPr>
        <w:t>a)  预算编制说明。</w:t>
      </w:r>
    </w:p>
    <w:p>
      <w:pPr>
        <w:ind w:firstLine="420"/>
        <w:rPr>
          <w:rFonts w:ascii="Times New Roman" w:hAnsi="Times New Roman" w:cs="Times New Roman"/>
        </w:rPr>
      </w:pPr>
      <w:r>
        <w:rPr>
          <w:rFonts w:ascii="Times New Roman" w:hAnsi="Times New Roman" w:cs="Times New Roman"/>
        </w:rPr>
        <w:t xml:space="preserve">b)  </w:t>
      </w:r>
      <w:r>
        <w:rPr>
          <w:rFonts w:ascii="宋体" w:cs="Times New Roman"/>
        </w:rPr>
        <w:t>采用“量价费”预算得出的“按工作手段预算表</w:t>
      </w:r>
      <w:r>
        <w:rPr>
          <w:rFonts w:ascii="Times New Roman" w:hAnsi="Times New Roman" w:cs="Times New Roman"/>
        </w:rPr>
        <w:t>（预工-2）</w:t>
      </w:r>
      <w:r>
        <w:rPr>
          <w:rFonts w:ascii="宋体" w:cs="Times New Roman"/>
        </w:rPr>
        <w:t>”</w:t>
      </w:r>
      <w:r>
        <w:rPr>
          <w:rFonts w:ascii="Times New Roman" w:hAnsi="Times New Roman" w:cs="Times New Roman"/>
        </w:rPr>
        <w:t>。</w:t>
      </w:r>
    </w:p>
    <w:p>
      <w:pPr>
        <w:pStyle w:val="228"/>
        <w:spacing w:before="120" w:beforeLines="50" w:after="120" w:afterLines="50"/>
        <w:rPr>
          <w:rFonts w:ascii="黑体" w:cs="Times New Roman"/>
        </w:rPr>
      </w:pPr>
      <w:r>
        <w:rPr>
          <w:rFonts w:hint="eastAsia" w:ascii="黑体" w:cs="Times New Roman"/>
        </w:rPr>
        <w:t>6.3.3  重大隐患点专业监测预算基本构成</w:t>
      </w:r>
    </w:p>
    <w:p>
      <w:pPr>
        <w:ind w:firstLine="420"/>
        <w:rPr>
          <w:rFonts w:ascii="Times New Roman" w:hAnsi="Times New Roman" w:cs="Times New Roman"/>
        </w:rPr>
      </w:pPr>
      <w:r>
        <w:rPr>
          <w:rFonts w:ascii="Times New Roman" w:hAnsi="Times New Roman" w:cs="Times New Roman"/>
        </w:rPr>
        <w:t>a)  预算编制说明。</w:t>
      </w:r>
    </w:p>
    <w:p>
      <w:pPr>
        <w:ind w:firstLine="420"/>
        <w:rPr>
          <w:rFonts w:ascii="Times New Roman" w:hAnsi="Times New Roman" w:cs="Times New Roman"/>
        </w:rPr>
      </w:pPr>
      <w:r>
        <w:rPr>
          <w:rFonts w:ascii="Times New Roman" w:hAnsi="Times New Roman" w:cs="Times New Roman"/>
        </w:rPr>
        <w:t>b)  监测预警预算汇总表。</w:t>
      </w:r>
    </w:p>
    <w:p>
      <w:pPr>
        <w:ind w:firstLine="420"/>
        <w:rPr>
          <w:rFonts w:ascii="Times New Roman" w:hAnsi="Times New Roman" w:cs="Times New Roman"/>
        </w:rPr>
      </w:pPr>
      <w:r>
        <w:rPr>
          <w:rFonts w:ascii="Times New Roman" w:hAnsi="Times New Roman" w:cs="Times New Roman"/>
        </w:rPr>
        <w:t>c)  勘查类预算表。</w:t>
      </w:r>
    </w:p>
    <w:p>
      <w:pPr>
        <w:ind w:firstLine="420"/>
        <w:rPr>
          <w:rFonts w:ascii="Times New Roman" w:hAnsi="Times New Roman" w:cs="Times New Roman"/>
        </w:rPr>
      </w:pPr>
      <w:r>
        <w:rPr>
          <w:rFonts w:ascii="Times New Roman" w:hAnsi="Times New Roman" w:cs="Times New Roman"/>
        </w:rPr>
        <w:t>d)  建筑安装工程类预算表。</w:t>
      </w:r>
    </w:p>
    <w:p>
      <w:pPr>
        <w:ind w:firstLine="420"/>
        <w:rPr>
          <w:rFonts w:ascii="Times New Roman" w:hAnsi="Times New Roman" w:cs="Times New Roman"/>
        </w:rPr>
      </w:pPr>
      <w:r>
        <w:rPr>
          <w:rFonts w:ascii="Times New Roman" w:hAnsi="Times New Roman" w:cs="Times New Roman"/>
        </w:rPr>
        <w:t>e)  运行维护费预算表。</w:t>
      </w:r>
    </w:p>
    <w:p>
      <w:pPr>
        <w:pStyle w:val="228"/>
        <w:spacing w:before="120" w:beforeLines="50" w:after="120" w:afterLines="50"/>
        <w:rPr>
          <w:rFonts w:ascii="黑体" w:cs="Times New Roman"/>
        </w:rPr>
      </w:pPr>
      <w:r>
        <w:rPr>
          <w:rFonts w:hint="eastAsia" w:ascii="黑体" w:cs="Times New Roman"/>
        </w:rPr>
        <w:t>6.3.4  “群专结合”监测预警预算基本构成</w:t>
      </w:r>
    </w:p>
    <w:p>
      <w:pPr>
        <w:ind w:left="840" w:leftChars="200" w:hanging="420" w:hangingChars="200"/>
        <w:rPr>
          <w:rFonts w:ascii="Times New Roman" w:hAnsi="Times New Roman" w:cs="Times New Roman"/>
        </w:rPr>
      </w:pPr>
      <w:r>
        <w:rPr>
          <w:rFonts w:ascii="Times New Roman" w:hAnsi="Times New Roman" w:cs="Times New Roman"/>
        </w:rPr>
        <w:t>a)  预算编制说明。</w:t>
      </w:r>
    </w:p>
    <w:p>
      <w:pPr>
        <w:ind w:left="840" w:leftChars="200" w:hanging="420" w:hangingChars="200"/>
        <w:rPr>
          <w:rFonts w:ascii="Times New Roman" w:hAnsi="Times New Roman" w:cs="Times New Roman"/>
        </w:rPr>
      </w:pPr>
      <w:r>
        <w:rPr>
          <w:rFonts w:ascii="Times New Roman" w:hAnsi="Times New Roman" w:cs="Times New Roman"/>
        </w:rPr>
        <w:t>b)  监测预警预算汇总表。</w:t>
      </w:r>
    </w:p>
    <w:p>
      <w:pPr>
        <w:ind w:left="840" w:leftChars="200" w:hanging="420" w:hangingChars="200"/>
        <w:rPr>
          <w:rFonts w:ascii="Times New Roman" w:hAnsi="Times New Roman" w:cs="Times New Roman"/>
        </w:rPr>
      </w:pPr>
      <w:r>
        <w:rPr>
          <w:rFonts w:ascii="Times New Roman" w:hAnsi="Times New Roman" w:cs="Times New Roman"/>
        </w:rPr>
        <w:t>c)  建筑安装工程类预算表。</w:t>
      </w:r>
    </w:p>
    <w:p>
      <w:pPr>
        <w:pStyle w:val="4"/>
        <w:rPr>
          <w:rFonts w:cs="Times New Roman"/>
        </w:rPr>
      </w:pPr>
      <w:bookmarkStart w:id="97" w:name="_Toc36634222"/>
      <w:r>
        <w:rPr>
          <w:rFonts w:hint="eastAsia" w:cs="Times New Roman"/>
        </w:rPr>
        <w:t>6.4  编制方法和取费标准</w:t>
      </w:r>
      <w:bookmarkEnd w:id="97"/>
    </w:p>
    <w:p>
      <w:pPr>
        <w:pStyle w:val="228"/>
        <w:spacing w:before="120" w:after="120"/>
        <w:rPr>
          <w:rFonts w:ascii="黑体" w:cs="Times New Roman"/>
        </w:rPr>
      </w:pPr>
      <w:bookmarkStart w:id="98" w:name="_Toc5971926"/>
      <w:bookmarkStart w:id="99" w:name="_Toc530390381"/>
      <w:r>
        <w:rPr>
          <w:rFonts w:hint="eastAsia" w:ascii="黑体" w:cs="Times New Roman"/>
        </w:rPr>
        <w:t>6.4.1  重大隐患区监测预警</w:t>
      </w:r>
    </w:p>
    <w:p>
      <w:pPr>
        <w:ind w:firstLine="0"/>
        <w:rPr>
          <w:rFonts w:ascii="Times New Roman" w:hAnsi="Times New Roman" w:cs="Times New Roman"/>
        </w:rPr>
      </w:pPr>
      <w:r>
        <w:rPr>
          <w:rFonts w:hint="eastAsia" w:ascii="黑体" w:eastAsia="黑体" w:cs="Times New Roman"/>
        </w:rPr>
        <w:t>6.4.1.1</w:t>
      </w:r>
      <w:r>
        <w:rPr>
          <w:rFonts w:ascii="Times New Roman" w:hAnsi="Times New Roman" w:eastAsia="黑体" w:cs="Times New Roman"/>
        </w:rPr>
        <w:t xml:space="preserve">  </w:t>
      </w:r>
      <w:r>
        <w:rPr>
          <w:rFonts w:ascii="Times New Roman" w:hAnsi="Times New Roman" w:cs="Times New Roman"/>
        </w:rPr>
        <w:t>重大隐患区监测预警采用地质灾害调查评价项</w:t>
      </w:r>
      <w:r>
        <w:rPr>
          <w:rFonts w:ascii="宋体" w:cs="Times New Roman"/>
        </w:rPr>
        <w:t>目“量价费”预算编</w:t>
      </w:r>
      <w:r>
        <w:rPr>
          <w:rFonts w:ascii="Times New Roman" w:hAnsi="Times New Roman" w:cs="Times New Roman"/>
        </w:rPr>
        <w:t>制方法进行预算编制。</w:t>
      </w:r>
    </w:p>
    <w:p>
      <w:pPr>
        <w:ind w:firstLine="0"/>
        <w:rPr>
          <w:rFonts w:ascii="Times New Roman" w:hAnsi="Times New Roman" w:cs="Times New Roman"/>
        </w:rPr>
      </w:pPr>
      <w:r>
        <w:rPr>
          <w:rFonts w:hint="eastAsia" w:ascii="黑体" w:eastAsia="黑体" w:cs="Times New Roman"/>
        </w:rPr>
        <w:t>6.4.1.2</w:t>
      </w:r>
      <w:r>
        <w:rPr>
          <w:rFonts w:ascii="Times New Roman" w:hAnsi="Times New Roman" w:eastAsia="黑体" w:cs="Times New Roman"/>
        </w:rPr>
        <w:t xml:space="preserve">  </w:t>
      </w:r>
      <w:r>
        <w:rPr>
          <w:rFonts w:ascii="Times New Roman" w:hAnsi="Times New Roman" w:cs="Times New Roman"/>
        </w:rPr>
        <w:t>遥感获取、遥感解译选取中国地质调查局《地质调查项目预算标准（2010年试用）》相应标准预算。</w:t>
      </w:r>
    </w:p>
    <w:p>
      <w:pPr>
        <w:ind w:firstLine="0"/>
        <w:rPr>
          <w:rFonts w:ascii="Times New Roman" w:hAnsi="Times New Roman" w:cs="Times New Roman"/>
        </w:rPr>
      </w:pPr>
      <w:r>
        <w:rPr>
          <w:rFonts w:hint="eastAsia" w:ascii="黑体" w:eastAsia="黑体" w:cs="Times New Roman"/>
        </w:rPr>
        <w:t xml:space="preserve">6.4.1.3 </w:t>
      </w:r>
      <w:r>
        <w:rPr>
          <w:rFonts w:ascii="Times New Roman" w:hAnsi="Times New Roman" w:eastAsia="黑体" w:cs="Times New Roman"/>
        </w:rPr>
        <w:t xml:space="preserve"> </w:t>
      </w:r>
      <w:r>
        <w:rPr>
          <w:rFonts w:ascii="Times New Roman" w:hAnsi="Times New Roman" w:cs="Times New Roman"/>
        </w:rPr>
        <w:t>InSAR技术监测采用5.4.2.3.9中i)的地质灾害InSAR技术工作收费标准（表3）相应标准预算。</w:t>
      </w:r>
    </w:p>
    <w:p>
      <w:pPr>
        <w:ind w:firstLine="0"/>
        <w:rPr>
          <w:rFonts w:ascii="Times New Roman" w:hAnsi="Times New Roman" w:cs="Times New Roman"/>
        </w:rPr>
      </w:pPr>
      <w:r>
        <w:rPr>
          <w:rFonts w:hint="eastAsia" w:ascii="黑体" w:eastAsia="黑体" w:cs="Times New Roman"/>
        </w:rPr>
        <w:t>6.4.1.4</w:t>
      </w:r>
      <w:r>
        <w:rPr>
          <w:rFonts w:ascii="Times New Roman" w:hAnsi="Times New Roman" w:eastAsia="黑体" w:cs="Times New Roman"/>
        </w:rPr>
        <w:t xml:space="preserve">  </w:t>
      </w:r>
      <w:r>
        <w:rPr>
          <w:rFonts w:ascii="Times New Roman" w:hAnsi="Times New Roman" w:cs="Times New Roman"/>
        </w:rPr>
        <w:t>现场核查按照每组日1</w:t>
      </w:r>
      <w:r>
        <w:rPr>
          <w:rFonts w:hint="eastAsia" w:ascii="Times New Roman" w:hAnsi="Times New Roman" w:cs="Times New Roman"/>
        </w:rPr>
        <w:t xml:space="preserve"> </w:t>
      </w:r>
      <w:r>
        <w:rPr>
          <w:rFonts w:ascii="Times New Roman" w:hAnsi="Times New Roman" w:cs="Times New Roman"/>
        </w:rPr>
        <w:t>000元预算。</w:t>
      </w:r>
    </w:p>
    <w:p>
      <w:pPr>
        <w:pStyle w:val="228"/>
        <w:spacing w:before="120" w:beforeLines="50" w:after="120" w:afterLines="50"/>
        <w:rPr>
          <w:rFonts w:ascii="黑体" w:cs="Times New Roman"/>
        </w:rPr>
      </w:pPr>
      <w:r>
        <w:rPr>
          <w:rFonts w:hint="eastAsia" w:ascii="黑体" w:cs="Times New Roman"/>
        </w:rPr>
        <w:t>6.4.2  重大隐患点专业监测预警</w:t>
      </w:r>
    </w:p>
    <w:p>
      <w:pPr>
        <w:pStyle w:val="229"/>
        <w:spacing w:before="120" w:beforeLines="50" w:after="120" w:afterLines="50"/>
      </w:pPr>
      <w:r>
        <w:rPr>
          <w:rFonts w:hint="eastAsia"/>
        </w:rPr>
        <w:t>6.4.2.1  勘查工程类</w:t>
      </w:r>
    </w:p>
    <w:p>
      <w:pPr>
        <w:ind w:firstLine="420"/>
        <w:rPr>
          <w:rFonts w:ascii="Times New Roman" w:hAnsi="Times New Roman" w:cs="Times New Roman"/>
        </w:rPr>
      </w:pPr>
      <w:r>
        <w:rPr>
          <w:rFonts w:ascii="Times New Roman" w:hAnsi="Times New Roman" w:cs="Times New Roman"/>
        </w:rPr>
        <w:t>根据湖北省国土资源厅、财政厅《湖北省三峡库区后续地质灾害监测预警项目工程建设投资概（预）算编制要求（试行）》</w:t>
      </w:r>
      <w:r>
        <w:rPr>
          <w:rFonts w:hint="eastAsia" w:ascii="Times New Roman" w:hAnsi="Times New Roman" w:cs="Times New Roman"/>
        </w:rPr>
        <w:t>（</w:t>
      </w:r>
      <w:r>
        <w:rPr>
          <w:rFonts w:ascii="Times New Roman" w:hAnsi="Times New Roman" w:cs="Times New Roman"/>
        </w:rPr>
        <w:t>鄂土资函〔2014〕111号</w:t>
      </w:r>
      <w:r>
        <w:rPr>
          <w:rFonts w:hint="eastAsia" w:ascii="Times New Roman" w:hAnsi="Times New Roman" w:cs="Times New Roman"/>
        </w:rPr>
        <w:t>）的</w:t>
      </w:r>
      <w:r>
        <w:rPr>
          <w:rFonts w:ascii="Times New Roman" w:hAnsi="Times New Roman" w:cs="Times New Roman"/>
        </w:rPr>
        <w:t>附件2，对专业监测预警项目中的勘查及各类钻孔等工程采用《工程勘察设计收费标准》（计价格〔2002〕10号）相关收费标准进行预算。</w:t>
      </w:r>
    </w:p>
    <w:p>
      <w:pPr>
        <w:ind w:left="840" w:leftChars="200" w:hanging="420" w:hangingChars="200"/>
        <w:jc w:val="both"/>
        <w:rPr>
          <w:rFonts w:ascii="Times New Roman" w:hAnsi="Times New Roman" w:cs="Times New Roman"/>
        </w:rPr>
      </w:pPr>
      <w:r>
        <w:rPr>
          <w:rFonts w:ascii="Times New Roman" w:hAnsi="Times New Roman" w:cs="Times New Roman"/>
        </w:rPr>
        <w:t>a)  根据国家计委、建设部《工程勘察设计收费标准》（计价格〔2002〕10号）和实际工作量据实计算各类钻孔实物工作量。</w:t>
      </w:r>
    </w:p>
    <w:p>
      <w:pPr>
        <w:ind w:left="840" w:leftChars="200" w:hanging="420" w:hangingChars="200"/>
        <w:jc w:val="both"/>
        <w:rPr>
          <w:rFonts w:ascii="Times New Roman" w:hAnsi="Times New Roman" w:cs="Times New Roman"/>
        </w:rPr>
      </w:pPr>
      <w:r>
        <w:rPr>
          <w:rFonts w:ascii="Times New Roman" w:hAnsi="Times New Roman" w:cs="Times New Roman"/>
        </w:rPr>
        <w:t>b)  各类钻孔实物工作附加调整系数，只考虑跟管钻进和泥浆护壁，其附加调整系数按1.5计取。</w:t>
      </w:r>
    </w:p>
    <w:p>
      <w:pPr>
        <w:topLinePunct/>
        <w:ind w:left="840" w:leftChars="200" w:hanging="420" w:hangingChars="200"/>
        <w:jc w:val="both"/>
        <w:rPr>
          <w:rFonts w:ascii="Times New Roman" w:hAnsi="Times New Roman" w:cs="Times New Roman"/>
        </w:rPr>
      </w:pPr>
      <w:r>
        <w:rPr>
          <w:rFonts w:ascii="Times New Roman" w:hAnsi="Times New Roman" w:cs="Times New Roman"/>
        </w:rPr>
        <w:t>c)  各类钻孔技术工作费收费比例按国家计委、建设部《工程勘察设计收费标准》（计价格       〔2002〕10号）岩土工程勘察比例计取。</w:t>
      </w:r>
    </w:p>
    <w:p>
      <w:pPr>
        <w:ind w:left="840" w:leftChars="200" w:hanging="420" w:hangingChars="200"/>
        <w:jc w:val="both"/>
        <w:rPr>
          <w:rFonts w:ascii="Times New Roman" w:hAnsi="Times New Roman" w:cs="Times New Roman"/>
        </w:rPr>
      </w:pPr>
      <w:r>
        <w:rPr>
          <w:rFonts w:ascii="Times New Roman" w:hAnsi="Times New Roman" w:cs="Times New Roman"/>
        </w:rPr>
        <w:t>d)  钻探设备进出场费按每台套3</w:t>
      </w:r>
      <w:r>
        <w:rPr>
          <w:rFonts w:hint="eastAsia" w:ascii="Times New Roman" w:hAnsi="Times New Roman" w:cs="Times New Roman"/>
        </w:rPr>
        <w:t xml:space="preserve"> </w:t>
      </w:r>
      <w:r>
        <w:rPr>
          <w:rFonts w:ascii="Times New Roman" w:hAnsi="Times New Roman" w:cs="Times New Roman"/>
        </w:rPr>
        <w:t>000元计算，每4个钻孔所需钻探设备按一台套计算，少于4个钻孔按一台套计算。</w:t>
      </w:r>
    </w:p>
    <w:p>
      <w:pPr>
        <w:pStyle w:val="229"/>
        <w:spacing w:before="120" w:beforeLines="50" w:after="120" w:afterLines="50"/>
      </w:pPr>
      <w:r>
        <w:rPr>
          <w:rFonts w:hint="eastAsia"/>
        </w:rPr>
        <w:t>6.4.2.2  建筑和安装工程类</w:t>
      </w:r>
    </w:p>
    <w:p>
      <w:pPr>
        <w:ind w:firstLine="420" w:firstLineChars="200"/>
        <w:rPr>
          <w:rFonts w:ascii="Times New Roman" w:hAnsi="Times New Roman" w:cs="Times New Roman"/>
        </w:rPr>
      </w:pPr>
      <w:r>
        <w:rPr>
          <w:rFonts w:ascii="Times New Roman" w:hAnsi="Times New Roman" w:cs="Times New Roman"/>
        </w:rPr>
        <w:t>根据湖北省国土资源厅、财政厅《湖北省三峡库区后续地质灾害监测预警项目工程建设投资概（预）算编制要求（试行）》</w:t>
      </w:r>
      <w:r>
        <w:rPr>
          <w:rFonts w:hint="eastAsia" w:ascii="Times New Roman" w:hAnsi="Times New Roman" w:cs="Times New Roman"/>
        </w:rPr>
        <w:t>（</w:t>
      </w:r>
      <w:r>
        <w:rPr>
          <w:rFonts w:ascii="Times New Roman" w:hAnsi="Times New Roman" w:cs="Times New Roman"/>
        </w:rPr>
        <w:t>鄂土资函〔2014〕111号</w:t>
      </w:r>
      <w:r>
        <w:rPr>
          <w:rFonts w:hint="eastAsia" w:ascii="Times New Roman" w:hAnsi="Times New Roman" w:cs="Times New Roman"/>
        </w:rPr>
        <w:t>）</w:t>
      </w:r>
      <w:r>
        <w:rPr>
          <w:rFonts w:ascii="Times New Roman" w:hAnsi="Times New Roman" w:cs="Times New Roman"/>
        </w:rPr>
        <w:t>的附件2，对监测预警的建筑和安装工程预算采用地质灾害治理工程预算的编制方法进行预算。</w:t>
      </w:r>
    </w:p>
    <w:p>
      <w:pPr>
        <w:ind w:firstLine="420" w:firstLineChars="200"/>
        <w:rPr>
          <w:rFonts w:ascii="Times New Roman" w:hAnsi="Times New Roman" w:cs="Times New Roman"/>
        </w:rPr>
      </w:pPr>
      <w:r>
        <w:rPr>
          <w:rFonts w:ascii="Times New Roman" w:hAnsi="Times New Roman" w:cs="Times New Roman"/>
        </w:rPr>
        <w:t>各类监测仪器设备配置、安装费用参照当地信息价或市场价预算。</w:t>
      </w:r>
    </w:p>
    <w:p>
      <w:pPr>
        <w:ind w:firstLine="420" w:firstLineChars="200"/>
        <w:rPr>
          <w:rFonts w:ascii="Times New Roman" w:hAnsi="Times New Roman" w:cs="Times New Roman"/>
        </w:rPr>
      </w:pPr>
      <w:r>
        <w:rPr>
          <w:rFonts w:ascii="Times New Roman" w:hAnsi="Times New Roman" w:cs="Times New Roman"/>
        </w:rPr>
        <w:t>经核算的专业监测预警项目单点设计费低于4</w:t>
      </w:r>
      <w:r>
        <w:rPr>
          <w:rFonts w:hint="eastAsia" w:ascii="Times New Roman" w:hAnsi="Times New Roman" w:cs="Times New Roman"/>
        </w:rPr>
        <w:t xml:space="preserve"> </w:t>
      </w:r>
      <w:r>
        <w:rPr>
          <w:rFonts w:ascii="Times New Roman" w:hAnsi="Times New Roman" w:cs="Times New Roman"/>
        </w:rPr>
        <w:t>000元的，按每个点4</w:t>
      </w:r>
      <w:r>
        <w:rPr>
          <w:rFonts w:hint="eastAsia" w:ascii="Times New Roman" w:hAnsi="Times New Roman" w:cs="Times New Roman"/>
        </w:rPr>
        <w:t xml:space="preserve"> </w:t>
      </w:r>
      <w:r>
        <w:rPr>
          <w:rFonts w:ascii="Times New Roman" w:hAnsi="Times New Roman" w:cs="Times New Roman"/>
        </w:rPr>
        <w:t>000元预算设计费。</w:t>
      </w:r>
    </w:p>
    <w:p>
      <w:pPr>
        <w:pStyle w:val="229"/>
        <w:spacing w:before="120" w:beforeLines="50" w:after="120" w:afterLines="50"/>
      </w:pPr>
      <w:r>
        <w:rPr>
          <w:rFonts w:hint="eastAsia"/>
        </w:rPr>
        <w:t>6.4.2.3  运行和维护工程类</w:t>
      </w:r>
    </w:p>
    <w:p>
      <w:pPr>
        <w:ind w:firstLine="420"/>
        <w:rPr>
          <w:rFonts w:ascii="Times New Roman" w:hAnsi="Times New Roman" w:cs="Times New Roman"/>
        </w:rPr>
      </w:pPr>
      <w:r>
        <w:rPr>
          <w:rFonts w:ascii="Times New Roman" w:hAnsi="Times New Roman" w:cs="Times New Roman"/>
        </w:rPr>
        <w:t>对监测点建设完成后的监测运行和维护等专业监测预警工作，按照每个点每年2</w:t>
      </w:r>
      <w:r>
        <w:rPr>
          <w:rFonts w:hint="eastAsia" w:ascii="Times New Roman" w:hAnsi="Times New Roman" w:cs="Times New Roman"/>
        </w:rPr>
        <w:t xml:space="preserve"> </w:t>
      </w:r>
      <w:r>
        <w:rPr>
          <w:rFonts w:ascii="Times New Roman" w:hAnsi="Times New Roman" w:cs="Times New Roman"/>
        </w:rPr>
        <w:t>700元预算。</w:t>
      </w:r>
    </w:p>
    <w:p>
      <w:pPr>
        <w:pStyle w:val="228"/>
        <w:spacing w:before="120" w:after="120"/>
        <w:rPr>
          <w:rFonts w:ascii="黑体" w:cs="Times New Roman"/>
        </w:rPr>
      </w:pPr>
      <w:r>
        <w:rPr>
          <w:rFonts w:hint="eastAsia" w:ascii="黑体" w:cs="Times New Roman"/>
        </w:rPr>
        <w:t>6.4.3  “群专结合”监测预警</w:t>
      </w:r>
    </w:p>
    <w:p>
      <w:pPr>
        <w:ind w:firstLine="0"/>
        <w:rPr>
          <w:rFonts w:ascii="Times New Roman" w:hAnsi="Times New Roman" w:cs="Times New Roman"/>
        </w:rPr>
      </w:pPr>
      <w:r>
        <w:rPr>
          <w:rFonts w:hint="eastAsia" w:ascii="黑体" w:eastAsia="黑体" w:cs="Times New Roman"/>
        </w:rPr>
        <w:t>6.4.3.1</w:t>
      </w:r>
      <w:r>
        <w:rPr>
          <w:rFonts w:ascii="Times New Roman" w:hAnsi="Times New Roman" w:cs="Times New Roman"/>
        </w:rPr>
        <w:t xml:space="preserve">  土方开挖、土方回填、C20混凝土浇筑等工作内容按照地质灾害治理工程预算编制方法进行预算，并参照国家计委、建设部《工程勘察设计收费标准》（计价格〔2002〕10号）和专业监测相关取费标准执行。</w:t>
      </w:r>
    </w:p>
    <w:p>
      <w:pPr>
        <w:ind w:firstLine="0"/>
        <w:rPr>
          <w:rFonts w:ascii="Times New Roman" w:hAnsi="Times New Roman" w:cs="Times New Roman"/>
        </w:rPr>
      </w:pPr>
      <w:r>
        <w:rPr>
          <w:rFonts w:hint="eastAsia" w:ascii="黑体" w:eastAsia="黑体" w:cs="Times New Roman"/>
        </w:rPr>
        <w:t>6.4.3.2</w:t>
      </w:r>
      <w:r>
        <w:rPr>
          <w:rFonts w:ascii="Times New Roman" w:hAnsi="Times New Roman" w:cs="Times New Roman"/>
        </w:rPr>
        <w:t xml:space="preserve">  涂油漆、预制混凝土桩、石材刻字、刻板、喷漆、不锈钢钢管、钢板、贴膜印刷参照当地建筑工程造价管理站发布的同期市场指导价或市场调查价格计取。</w:t>
      </w:r>
    </w:p>
    <w:p>
      <w:pPr>
        <w:ind w:firstLine="0"/>
        <w:rPr>
          <w:rFonts w:ascii="Times New Roman" w:hAnsi="Times New Roman" w:cs="Times New Roman"/>
        </w:rPr>
      </w:pPr>
      <w:r>
        <w:rPr>
          <w:rFonts w:hint="eastAsia" w:ascii="黑体" w:eastAsia="黑体" w:cs="Times New Roman"/>
        </w:rPr>
        <w:t>6.4.3.3</w:t>
      </w:r>
      <w:r>
        <w:rPr>
          <w:rFonts w:ascii="Times New Roman" w:hAnsi="Times New Roman" w:cs="Times New Roman"/>
        </w:rPr>
        <w:t xml:space="preserve">  监测通信设备和简易监测工具，包括充电手电、雨具（雨衣、雨鞋、水桶）、卷尺、水位尺、铜锣、文具及表格、工具包等配置及使用，其相关费用参照市场同期指导价或市场调查价格计取。</w:t>
      </w:r>
      <w:bookmarkEnd w:id="98"/>
      <w:bookmarkEnd w:id="99"/>
      <w:bookmarkStart w:id="100" w:name="_Toc530390392"/>
      <w:bookmarkStart w:id="101" w:name="_Toc5971937"/>
    </w:p>
    <w:p>
      <w:pPr>
        <w:ind w:firstLine="0"/>
        <w:rPr>
          <w:rFonts w:ascii="Times New Roman" w:hAnsi="Times New Roman" w:cs="Times New Roman"/>
        </w:rPr>
      </w:pPr>
      <w:r>
        <w:rPr>
          <w:rFonts w:hint="eastAsia" w:ascii="黑体" w:eastAsia="黑体" w:cs="Times New Roman"/>
        </w:rPr>
        <w:t>6.4.3.4</w:t>
      </w:r>
      <w:r>
        <w:rPr>
          <w:rFonts w:ascii="Times New Roman" w:hAnsi="Times New Roman" w:cs="Times New Roman"/>
        </w:rPr>
        <w:t xml:space="preserve">  网格技术协管，群测群防布点、划定边界由专业队伍实施，按国家计委、建设部《工程勘察设计收费标准》（计价格〔2002〕10号）中的组日、台班收费基价计算，每组日、台班1</w:t>
      </w:r>
      <w:r>
        <w:rPr>
          <w:rFonts w:hint="eastAsia" w:ascii="Times New Roman" w:hAnsi="Times New Roman" w:cs="Times New Roman"/>
        </w:rPr>
        <w:t xml:space="preserve"> </w:t>
      </w:r>
      <w:r>
        <w:rPr>
          <w:rFonts w:ascii="Times New Roman" w:hAnsi="Times New Roman" w:cs="Times New Roman"/>
        </w:rPr>
        <w:t>000元。</w:t>
      </w:r>
    </w:p>
    <w:p>
      <w:pPr>
        <w:pStyle w:val="4"/>
        <w:rPr>
          <w:rFonts w:cs="Times New Roman"/>
        </w:rPr>
      </w:pPr>
      <w:bookmarkStart w:id="102" w:name="_Toc36634223"/>
      <w:r>
        <w:rPr>
          <w:rFonts w:hint="eastAsia" w:cs="Times New Roman"/>
        </w:rPr>
        <w:t>6.5  编制格式</w:t>
      </w:r>
      <w:bookmarkEnd w:id="102"/>
    </w:p>
    <w:p>
      <w:pPr>
        <w:pStyle w:val="228"/>
        <w:spacing w:before="120" w:after="120"/>
        <w:rPr>
          <w:rFonts w:ascii="黑体" w:cs="Times New Roman"/>
        </w:rPr>
      </w:pPr>
      <w:r>
        <w:rPr>
          <w:rFonts w:hint="eastAsia" w:ascii="黑体" w:cs="Times New Roman"/>
        </w:rPr>
        <w:t>6.5.1  一般格式</w:t>
      </w:r>
    </w:p>
    <w:p>
      <w:pPr>
        <w:ind w:firstLine="420" w:firstLineChars="200"/>
        <w:rPr>
          <w:rFonts w:ascii="Times New Roman" w:hAnsi="Times New Roman" w:cs="Times New Roman"/>
        </w:rPr>
      </w:pPr>
      <w:r>
        <w:rPr>
          <w:rFonts w:ascii="Times New Roman" w:hAnsi="Times New Roman" w:cs="Times New Roman"/>
        </w:rPr>
        <w:t>预算由预算编制说明和各预算表组成。监测预警预算汇总表见表4，勘查工程类预算参照《工程勘察设计收费标准》（计价格〔2002〕10号），建筑安装工程的预算表格样式见附录E。</w:t>
      </w:r>
    </w:p>
    <w:p>
      <w:pPr>
        <w:pStyle w:val="228"/>
        <w:spacing w:before="120" w:after="120"/>
        <w:rPr>
          <w:rFonts w:ascii="黑体" w:cs="Times New Roman"/>
        </w:rPr>
      </w:pPr>
      <w:r>
        <w:rPr>
          <w:rFonts w:hint="eastAsia" w:ascii="黑体" w:cs="Times New Roman"/>
        </w:rPr>
        <w:t>6.5.2  监测预警预算汇总表</w:t>
      </w:r>
    </w:p>
    <w:p>
      <w:pPr>
        <w:pStyle w:val="119"/>
        <w:spacing w:before="120" w:beforeLines="50" w:after="120" w:afterLines="50" w:line="240" w:lineRule="auto"/>
        <w:rPr>
          <w:rFonts w:ascii="黑体"/>
        </w:rPr>
      </w:pPr>
      <w:r>
        <w:rPr>
          <w:rFonts w:hint="eastAsia" w:ascii="黑体"/>
        </w:rPr>
        <w:t>表4  监测预警预算汇总表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791"/>
        <w:gridCol w:w="1880"/>
        <w:gridCol w:w="551"/>
        <w:gridCol w:w="694"/>
        <w:gridCol w:w="1137"/>
        <w:gridCol w:w="1653"/>
        <w:gridCol w:w="1952"/>
        <w:gridCol w:w="6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tblHeader/>
          <w:jc w:val="center"/>
        </w:trPr>
        <w:tc>
          <w:tcPr>
            <w:tcW w:w="425" w:type="pct"/>
            <w:shd w:val="clear" w:color="auto" w:fill="FFFFFF"/>
            <w:vAlign w:val="center"/>
          </w:tcPr>
          <w:p>
            <w:pPr>
              <w:pStyle w:val="121"/>
            </w:pPr>
            <w:bookmarkStart w:id="103" w:name="_Toc16760279"/>
            <w:bookmarkStart w:id="104" w:name="_Toc16760282"/>
            <w:r>
              <w:t>序号</w:t>
            </w:r>
          </w:p>
        </w:tc>
        <w:tc>
          <w:tcPr>
            <w:tcW w:w="1010" w:type="pct"/>
            <w:shd w:val="clear" w:color="auto" w:fill="FFFFFF"/>
            <w:vAlign w:val="center"/>
          </w:tcPr>
          <w:p>
            <w:pPr>
              <w:pStyle w:val="121"/>
            </w:pPr>
            <w:r>
              <w:t>工程或费用名称</w:t>
            </w:r>
          </w:p>
        </w:tc>
        <w:tc>
          <w:tcPr>
            <w:tcW w:w="296" w:type="pct"/>
            <w:shd w:val="clear" w:color="auto" w:fill="FFFFFF"/>
            <w:vAlign w:val="center"/>
          </w:tcPr>
          <w:p>
            <w:pPr>
              <w:pStyle w:val="121"/>
            </w:pPr>
            <w:r>
              <w:t>单位</w:t>
            </w:r>
          </w:p>
        </w:tc>
        <w:tc>
          <w:tcPr>
            <w:tcW w:w="373" w:type="pct"/>
            <w:shd w:val="clear" w:color="auto" w:fill="FFFFFF"/>
            <w:vAlign w:val="center"/>
          </w:tcPr>
          <w:p>
            <w:pPr>
              <w:pStyle w:val="121"/>
            </w:pPr>
            <w:r>
              <w:t>数量</w:t>
            </w:r>
          </w:p>
        </w:tc>
        <w:tc>
          <w:tcPr>
            <w:tcW w:w="611" w:type="pct"/>
            <w:shd w:val="clear" w:color="auto" w:fill="FFFFFF"/>
            <w:vAlign w:val="center"/>
          </w:tcPr>
          <w:p>
            <w:pPr>
              <w:pStyle w:val="121"/>
            </w:pPr>
            <w:r>
              <w:t>单价</w:t>
            </w:r>
          </w:p>
          <w:p>
            <w:pPr>
              <w:pStyle w:val="121"/>
            </w:pPr>
            <w:r>
              <w:t>元</w:t>
            </w:r>
          </w:p>
        </w:tc>
        <w:tc>
          <w:tcPr>
            <w:tcW w:w="888" w:type="pct"/>
            <w:shd w:val="clear" w:color="auto" w:fill="FFFFFF"/>
            <w:vAlign w:val="center"/>
          </w:tcPr>
          <w:p>
            <w:pPr>
              <w:pStyle w:val="121"/>
            </w:pPr>
            <w:r>
              <w:t>合计</w:t>
            </w:r>
          </w:p>
          <w:p>
            <w:pPr>
              <w:pStyle w:val="121"/>
            </w:pPr>
            <w:r>
              <w:t>万元</w:t>
            </w:r>
          </w:p>
        </w:tc>
        <w:tc>
          <w:tcPr>
            <w:tcW w:w="1049" w:type="pct"/>
            <w:shd w:val="clear" w:color="auto" w:fill="FFFFFF"/>
            <w:vAlign w:val="center"/>
          </w:tcPr>
          <w:p>
            <w:pPr>
              <w:pStyle w:val="121"/>
            </w:pPr>
            <w:r>
              <w:t>占总费用比例</w:t>
            </w:r>
          </w:p>
          <w:p>
            <w:pPr>
              <w:pStyle w:val="121"/>
            </w:pPr>
            <w:r>
              <w:t>%</w:t>
            </w:r>
          </w:p>
        </w:tc>
        <w:tc>
          <w:tcPr>
            <w:tcW w:w="344" w:type="pct"/>
            <w:shd w:val="clear" w:color="auto" w:fill="FFFFFF"/>
            <w:vAlign w:val="center"/>
          </w:tcPr>
          <w:p>
            <w:pPr>
              <w:pStyle w:val="121"/>
            </w:pPr>
            <w: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一</w:t>
            </w:r>
          </w:p>
        </w:tc>
        <w:tc>
          <w:tcPr>
            <w:tcW w:w="1010" w:type="pct"/>
            <w:shd w:val="clear" w:color="auto" w:fill="FFFFFF"/>
            <w:vAlign w:val="center"/>
          </w:tcPr>
          <w:p>
            <w:pPr>
              <w:pStyle w:val="121"/>
            </w:pPr>
            <w:r>
              <w:t>勘查类工程预算费</w:t>
            </w: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1</w:t>
            </w:r>
          </w:p>
        </w:tc>
        <w:tc>
          <w:tcPr>
            <w:tcW w:w="1010" w:type="pct"/>
            <w:shd w:val="clear" w:color="auto" w:fill="FFFFFF"/>
            <w:vAlign w:val="center"/>
          </w:tcPr>
          <w:p>
            <w:pPr>
              <w:pStyle w:val="121"/>
            </w:pP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w:t>
            </w:r>
          </w:p>
        </w:tc>
        <w:tc>
          <w:tcPr>
            <w:tcW w:w="1010" w:type="pct"/>
            <w:shd w:val="clear" w:color="auto" w:fill="FFFFFF"/>
            <w:vAlign w:val="center"/>
          </w:tcPr>
          <w:p>
            <w:pPr>
              <w:pStyle w:val="121"/>
            </w:pP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二</w:t>
            </w:r>
          </w:p>
        </w:tc>
        <w:tc>
          <w:tcPr>
            <w:tcW w:w="1010" w:type="pct"/>
            <w:shd w:val="clear" w:color="auto" w:fill="FFFFFF"/>
            <w:vAlign w:val="center"/>
          </w:tcPr>
          <w:p>
            <w:pPr>
              <w:pStyle w:val="121"/>
            </w:pPr>
            <w:r>
              <w:t>建安工程费</w:t>
            </w: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1</w:t>
            </w:r>
          </w:p>
        </w:tc>
        <w:tc>
          <w:tcPr>
            <w:tcW w:w="1010" w:type="pct"/>
            <w:shd w:val="clear" w:color="auto" w:fill="FFFFFF"/>
            <w:vAlign w:val="center"/>
          </w:tcPr>
          <w:p>
            <w:pPr>
              <w:pStyle w:val="121"/>
            </w:pP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w:t>
            </w:r>
          </w:p>
        </w:tc>
        <w:tc>
          <w:tcPr>
            <w:tcW w:w="1010" w:type="pct"/>
            <w:shd w:val="clear" w:color="auto" w:fill="FFFFFF"/>
            <w:vAlign w:val="center"/>
          </w:tcPr>
          <w:p>
            <w:pPr>
              <w:pStyle w:val="121"/>
            </w:pP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425" w:type="pct"/>
            <w:shd w:val="clear" w:color="auto" w:fill="FFFFFF"/>
            <w:vAlign w:val="center"/>
          </w:tcPr>
          <w:p>
            <w:pPr>
              <w:pStyle w:val="121"/>
            </w:pPr>
            <w:r>
              <w:t>三</w:t>
            </w:r>
          </w:p>
        </w:tc>
        <w:tc>
          <w:tcPr>
            <w:tcW w:w="1010" w:type="pct"/>
            <w:shd w:val="clear" w:color="auto" w:fill="FFFFFF"/>
            <w:vAlign w:val="center"/>
          </w:tcPr>
          <w:p>
            <w:pPr>
              <w:pStyle w:val="121"/>
            </w:pPr>
            <w:r>
              <w:t>运行维护费</w:t>
            </w: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1</w:t>
            </w:r>
          </w:p>
        </w:tc>
        <w:tc>
          <w:tcPr>
            <w:tcW w:w="1010" w:type="pct"/>
            <w:shd w:val="clear" w:color="auto" w:fill="FFFFFF"/>
            <w:vAlign w:val="center"/>
          </w:tcPr>
          <w:p>
            <w:pPr>
              <w:pStyle w:val="121"/>
            </w:pP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w:t>
            </w:r>
          </w:p>
        </w:tc>
        <w:tc>
          <w:tcPr>
            <w:tcW w:w="1010" w:type="pct"/>
            <w:shd w:val="clear" w:color="auto" w:fill="FFFFFF"/>
            <w:vAlign w:val="center"/>
          </w:tcPr>
          <w:p>
            <w:pPr>
              <w:pStyle w:val="121"/>
            </w:pP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425" w:type="pct"/>
            <w:shd w:val="clear" w:color="auto" w:fill="FFFFFF"/>
            <w:vAlign w:val="center"/>
          </w:tcPr>
          <w:p>
            <w:pPr>
              <w:pStyle w:val="121"/>
            </w:pPr>
            <w:r>
              <w:t>四</w:t>
            </w:r>
          </w:p>
        </w:tc>
        <w:tc>
          <w:tcPr>
            <w:tcW w:w="1010" w:type="pct"/>
            <w:shd w:val="clear" w:color="auto" w:fill="FFFFFF"/>
            <w:vAlign w:val="center"/>
          </w:tcPr>
          <w:p>
            <w:pPr>
              <w:pStyle w:val="121"/>
            </w:pPr>
            <w:r>
              <w:t>设备、用具及材料费</w:t>
            </w: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1</w:t>
            </w:r>
          </w:p>
        </w:tc>
        <w:tc>
          <w:tcPr>
            <w:tcW w:w="1010" w:type="pct"/>
            <w:shd w:val="clear" w:color="auto" w:fill="FFFFFF"/>
            <w:vAlign w:val="center"/>
          </w:tcPr>
          <w:p>
            <w:pPr>
              <w:pStyle w:val="121"/>
            </w:pP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w:t>
            </w:r>
          </w:p>
        </w:tc>
        <w:tc>
          <w:tcPr>
            <w:tcW w:w="1010" w:type="pct"/>
            <w:shd w:val="clear" w:color="auto" w:fill="FFFFFF"/>
            <w:vAlign w:val="center"/>
          </w:tcPr>
          <w:p>
            <w:pPr>
              <w:pStyle w:val="121"/>
            </w:pP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五</w:t>
            </w:r>
          </w:p>
        </w:tc>
        <w:tc>
          <w:tcPr>
            <w:tcW w:w="1010" w:type="pct"/>
            <w:shd w:val="clear" w:color="auto" w:fill="FFFFFF"/>
            <w:vAlign w:val="center"/>
          </w:tcPr>
          <w:p>
            <w:pPr>
              <w:pStyle w:val="121"/>
            </w:pPr>
            <w:r>
              <w:t>其他费用</w:t>
            </w: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425" w:type="pct"/>
            <w:shd w:val="clear" w:color="auto" w:fill="FFFFFF"/>
            <w:vAlign w:val="center"/>
          </w:tcPr>
          <w:p>
            <w:pPr>
              <w:pStyle w:val="121"/>
            </w:pPr>
            <w:r>
              <w:t>……</w:t>
            </w:r>
          </w:p>
        </w:tc>
        <w:tc>
          <w:tcPr>
            <w:tcW w:w="1010" w:type="pct"/>
            <w:shd w:val="clear" w:color="auto" w:fill="FFFFFF"/>
            <w:vAlign w:val="center"/>
          </w:tcPr>
          <w:p>
            <w:pPr>
              <w:pStyle w:val="121"/>
            </w:pP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25" w:type="pct"/>
            <w:shd w:val="clear" w:color="auto" w:fill="FFFFFF"/>
            <w:vAlign w:val="center"/>
          </w:tcPr>
          <w:p>
            <w:pPr>
              <w:pStyle w:val="121"/>
            </w:pPr>
            <w:r>
              <w:t>六</w:t>
            </w:r>
          </w:p>
        </w:tc>
        <w:tc>
          <w:tcPr>
            <w:tcW w:w="1010" w:type="pct"/>
            <w:shd w:val="clear" w:color="auto" w:fill="FFFFFF"/>
            <w:vAlign w:val="center"/>
          </w:tcPr>
          <w:p>
            <w:pPr>
              <w:pStyle w:val="121"/>
            </w:pPr>
            <w:r>
              <w:t>总 计</w:t>
            </w:r>
          </w:p>
        </w:tc>
        <w:tc>
          <w:tcPr>
            <w:tcW w:w="296" w:type="pct"/>
            <w:shd w:val="clear" w:color="auto" w:fill="FFFFFF"/>
            <w:vAlign w:val="center"/>
          </w:tcPr>
          <w:p>
            <w:pPr>
              <w:pStyle w:val="121"/>
            </w:pPr>
          </w:p>
        </w:tc>
        <w:tc>
          <w:tcPr>
            <w:tcW w:w="373" w:type="pct"/>
            <w:shd w:val="clear" w:color="auto" w:fill="FFFFFF"/>
            <w:vAlign w:val="center"/>
          </w:tcPr>
          <w:p>
            <w:pPr>
              <w:pStyle w:val="121"/>
            </w:pPr>
          </w:p>
        </w:tc>
        <w:tc>
          <w:tcPr>
            <w:tcW w:w="611" w:type="pct"/>
            <w:shd w:val="clear" w:color="auto" w:fill="FFFFFF"/>
            <w:vAlign w:val="center"/>
          </w:tcPr>
          <w:p>
            <w:pPr>
              <w:pStyle w:val="121"/>
            </w:pPr>
          </w:p>
        </w:tc>
        <w:tc>
          <w:tcPr>
            <w:tcW w:w="888" w:type="pct"/>
            <w:shd w:val="clear" w:color="auto" w:fill="FFFFFF"/>
            <w:vAlign w:val="center"/>
          </w:tcPr>
          <w:p>
            <w:pPr>
              <w:pStyle w:val="121"/>
            </w:pPr>
          </w:p>
        </w:tc>
        <w:tc>
          <w:tcPr>
            <w:tcW w:w="1049" w:type="pct"/>
            <w:shd w:val="clear" w:color="auto" w:fill="FFFFFF"/>
          </w:tcPr>
          <w:p>
            <w:pPr>
              <w:pStyle w:val="121"/>
            </w:pPr>
          </w:p>
        </w:tc>
        <w:tc>
          <w:tcPr>
            <w:tcW w:w="344" w:type="pct"/>
            <w:shd w:val="clear" w:color="auto" w:fill="FFFFFF"/>
          </w:tcPr>
          <w:p>
            <w:pPr>
              <w:pStyle w:val="121"/>
            </w:pPr>
          </w:p>
        </w:tc>
      </w:tr>
    </w:tbl>
    <w:p>
      <w:pPr>
        <w:spacing w:line="240" w:lineRule="auto"/>
        <w:ind w:firstLine="0"/>
      </w:pPr>
    </w:p>
    <w:p>
      <w:pPr>
        <w:pStyle w:val="3"/>
        <w:spacing w:before="240" w:beforeLines="100" w:after="240" w:afterLines="100"/>
        <w:rPr>
          <w:rFonts w:ascii="黑体" w:cs="黑体"/>
        </w:rPr>
      </w:pPr>
      <w:bookmarkStart w:id="105" w:name="_Toc36634224"/>
      <w:r>
        <w:rPr>
          <w:rFonts w:hint="eastAsia" w:ascii="黑体" w:cs="黑体"/>
        </w:rPr>
        <w:t>7  治理与搬迁避让项目概预算编制</w:t>
      </w:r>
      <w:bookmarkEnd w:id="103"/>
      <w:r>
        <w:rPr>
          <w:rFonts w:hint="eastAsia" w:ascii="黑体" w:cs="黑体"/>
        </w:rPr>
        <w:t>要求</w:t>
      </w:r>
      <w:bookmarkEnd w:id="105"/>
    </w:p>
    <w:p>
      <w:pPr>
        <w:pStyle w:val="4"/>
        <w:rPr>
          <w:rFonts w:cs="Times New Roman"/>
        </w:rPr>
      </w:pPr>
      <w:bookmarkStart w:id="106" w:name="_Toc36634225"/>
      <w:r>
        <w:rPr>
          <w:rFonts w:hint="eastAsia" w:cs="Times New Roman"/>
        </w:rPr>
        <w:t>7.1  基本内容</w:t>
      </w:r>
      <w:bookmarkEnd w:id="106"/>
    </w:p>
    <w:p>
      <w:pPr>
        <w:ind w:firstLine="0"/>
        <w:rPr>
          <w:rFonts w:ascii="Times New Roman" w:hAnsi="Times New Roman" w:cs="Times New Roman"/>
        </w:rPr>
      </w:pPr>
      <w:r>
        <w:rPr>
          <w:rFonts w:hint="eastAsia" w:ascii="黑体" w:eastAsia="黑体" w:cs="Times New Roman"/>
        </w:rPr>
        <w:t>7.1.1</w:t>
      </w:r>
      <w:r>
        <w:rPr>
          <w:rFonts w:ascii="Times New Roman" w:hAnsi="Times New Roman" w:cs="Times New Roman"/>
        </w:rPr>
        <w:t xml:space="preserve">  以</w:t>
      </w:r>
      <w:r>
        <w:rPr>
          <w:rFonts w:ascii="宋体" w:cs="Times New Roman"/>
        </w:rPr>
        <w:t>“除隐患、安民心、保生态”</w:t>
      </w:r>
      <w:r>
        <w:rPr>
          <w:rFonts w:ascii="Times New Roman" w:hAnsi="Times New Roman" w:cs="Times New Roman"/>
        </w:rPr>
        <w:t>为工作重点，开展地质灾害工程治理和搬迁避让工作项目。</w:t>
      </w:r>
    </w:p>
    <w:p>
      <w:pPr>
        <w:ind w:firstLine="0"/>
        <w:rPr>
          <w:rFonts w:ascii="Times New Roman" w:hAnsi="Times New Roman" w:cs="Times New Roman"/>
        </w:rPr>
      </w:pPr>
      <w:r>
        <w:rPr>
          <w:rFonts w:hint="eastAsia" w:ascii="黑体" w:eastAsia="黑体" w:cs="Times New Roman"/>
        </w:rPr>
        <w:t>7.1.2</w:t>
      </w:r>
      <w:r>
        <w:rPr>
          <w:rFonts w:ascii="Times New Roman" w:hAnsi="Times New Roman" w:cs="Times New Roman"/>
        </w:rPr>
        <w:t xml:space="preserve">  项目申报的初步设计阶段编制概算，项目实施的设计阶段编制预算。</w:t>
      </w:r>
    </w:p>
    <w:p>
      <w:pPr>
        <w:pStyle w:val="4"/>
        <w:rPr>
          <w:rFonts w:cs="Times New Roman"/>
        </w:rPr>
      </w:pPr>
      <w:bookmarkStart w:id="107" w:name="_Toc36634226"/>
      <w:r>
        <w:rPr>
          <w:rFonts w:hint="eastAsia" w:cs="Times New Roman"/>
        </w:rPr>
        <w:t>7.2  主要编制依据</w:t>
      </w:r>
      <w:bookmarkEnd w:id="107"/>
    </w:p>
    <w:p>
      <w:pPr>
        <w:ind w:firstLine="420" w:firstLineChars="200"/>
        <w:rPr>
          <w:rFonts w:ascii="Times New Roman" w:hAnsi="Times New Roman" w:cs="Times New Roman"/>
        </w:rPr>
      </w:pPr>
      <w:r>
        <w:rPr>
          <w:rFonts w:ascii="Times New Roman" w:hAnsi="Times New Roman" w:cs="Times New Roman"/>
        </w:rPr>
        <w:t>水利部《水利工程设计概（估）算编制规定》</w:t>
      </w:r>
      <w:r>
        <w:rPr>
          <w:rFonts w:hint="eastAsia" w:ascii="Times New Roman" w:hAnsi="Times New Roman" w:cs="Times New Roman"/>
        </w:rPr>
        <w:t>（</w:t>
      </w:r>
      <w:r>
        <w:rPr>
          <w:rFonts w:ascii="Times New Roman" w:hAnsi="Times New Roman" w:cs="Times New Roman"/>
        </w:rPr>
        <w:t>水总〔201</w:t>
      </w:r>
      <w:r>
        <w:rPr>
          <w:rFonts w:hint="eastAsia" w:ascii="Times New Roman" w:hAnsi="Times New Roman" w:cs="Times New Roman"/>
        </w:rPr>
        <w:t>4</w:t>
      </w:r>
      <w:r>
        <w:rPr>
          <w:rFonts w:ascii="Times New Roman" w:hAnsi="Times New Roman" w:cs="Times New Roman"/>
        </w:rPr>
        <w:t>〕429号</w:t>
      </w:r>
      <w:r>
        <w:rPr>
          <w:rFonts w:hint="eastAsia" w:ascii="Times New Roman" w:hAnsi="Times New Roman" w:cs="Times New Roman"/>
        </w:rPr>
        <w:t>）</w:t>
      </w:r>
    </w:p>
    <w:p>
      <w:pPr>
        <w:ind w:firstLine="420" w:firstLineChars="200"/>
        <w:rPr>
          <w:rFonts w:ascii="Times New Roman" w:hAnsi="Times New Roman" w:cs="Times New Roman"/>
        </w:rPr>
      </w:pPr>
      <w:r>
        <w:rPr>
          <w:rFonts w:ascii="Times New Roman" w:hAnsi="Times New Roman" w:cs="Times New Roman"/>
        </w:rPr>
        <w:t>水利部《水利建筑工程概算定额》《水利建筑工程预算定额》《水利工程施工机械台时费定额》</w:t>
      </w:r>
      <w:r>
        <w:rPr>
          <w:rFonts w:hint="eastAsia" w:ascii="Times New Roman" w:hAnsi="Times New Roman" w:cs="Times New Roman"/>
        </w:rPr>
        <w:t>（</w:t>
      </w:r>
      <w:r>
        <w:rPr>
          <w:rFonts w:ascii="Times New Roman" w:hAnsi="Times New Roman" w:cs="Times New Roman"/>
        </w:rPr>
        <w:t>水总</w:t>
      </w:r>
      <w:r>
        <w:rPr>
          <w:rFonts w:hint="eastAsia" w:ascii="Times New Roman" w:hAnsi="Times New Roman" w:cs="Times New Roman"/>
        </w:rPr>
        <w:t>〔</w:t>
      </w:r>
      <w:r>
        <w:rPr>
          <w:rFonts w:ascii="Times New Roman" w:hAnsi="Times New Roman" w:cs="Times New Roman"/>
        </w:rPr>
        <w:t>2002</w:t>
      </w:r>
      <w:r>
        <w:rPr>
          <w:rFonts w:hint="eastAsia" w:ascii="Times New Roman" w:hAnsi="Times New Roman" w:cs="Times New Roman"/>
        </w:rPr>
        <w:t>〕</w:t>
      </w:r>
      <w:r>
        <w:rPr>
          <w:rFonts w:ascii="Times New Roman" w:hAnsi="Times New Roman" w:cs="Times New Roman"/>
        </w:rPr>
        <w:t>116号</w:t>
      </w:r>
      <w:r>
        <w:rPr>
          <w:rFonts w:hint="eastAsia" w:ascii="Times New Roman" w:hAnsi="Times New Roman" w:cs="Times New Roman"/>
        </w:rPr>
        <w:t>）</w:t>
      </w:r>
    </w:p>
    <w:p>
      <w:pPr>
        <w:ind w:firstLine="420" w:firstLineChars="200"/>
        <w:rPr>
          <w:rFonts w:ascii="Times New Roman" w:hAnsi="Times New Roman" w:cs="Times New Roman"/>
        </w:rPr>
      </w:pPr>
      <w:r>
        <w:rPr>
          <w:rFonts w:ascii="Times New Roman" w:hAnsi="Times New Roman" w:cs="Times New Roman"/>
        </w:rPr>
        <w:t>水利部办《水利工程营业税改征增值税计价依据调整办法》</w:t>
      </w:r>
      <w:r>
        <w:rPr>
          <w:rFonts w:hint="eastAsia" w:ascii="Times New Roman" w:hAnsi="Times New Roman" w:cs="Times New Roman"/>
        </w:rPr>
        <w:t>（</w:t>
      </w:r>
      <w:r>
        <w:rPr>
          <w:rFonts w:ascii="Times New Roman" w:hAnsi="Times New Roman" w:cs="Times New Roman"/>
        </w:rPr>
        <w:t>水总〔2016〕132号</w:t>
      </w:r>
      <w:r>
        <w:rPr>
          <w:rFonts w:hint="eastAsia" w:ascii="Times New Roman" w:hAnsi="Times New Roman" w:cs="Times New Roman"/>
        </w:rPr>
        <w:t>）</w:t>
      </w:r>
    </w:p>
    <w:p>
      <w:pPr>
        <w:ind w:firstLine="420" w:firstLineChars="200"/>
        <w:rPr>
          <w:rFonts w:ascii="Times New Roman" w:hAnsi="Times New Roman" w:cs="Times New Roman"/>
        </w:rPr>
      </w:pPr>
      <w:r>
        <w:rPr>
          <w:rFonts w:ascii="Times New Roman" w:hAnsi="Times New Roman" w:cs="Times New Roman"/>
        </w:rPr>
        <w:t>湖北省国土资源厅、财政厅《关于印发〈湖北省三峡库区后续地质灾害工程治理项目投资概（预）算编制要求（暂行）〉的通知》</w:t>
      </w:r>
      <w:r>
        <w:rPr>
          <w:rFonts w:hint="eastAsia" w:ascii="Times New Roman" w:hAnsi="Times New Roman" w:cs="Times New Roman"/>
        </w:rPr>
        <w:t>（</w:t>
      </w:r>
      <w:r>
        <w:rPr>
          <w:rFonts w:ascii="Times New Roman" w:hAnsi="Times New Roman" w:cs="Times New Roman"/>
        </w:rPr>
        <w:t>鄂土资函〔2016〕1401号</w:t>
      </w:r>
      <w:r>
        <w:rPr>
          <w:rFonts w:hint="eastAsia" w:ascii="Times New Roman" w:hAnsi="Times New Roman" w:cs="Times New Roman"/>
        </w:rPr>
        <w:t>）</w:t>
      </w:r>
    </w:p>
    <w:p>
      <w:pPr>
        <w:pStyle w:val="4"/>
        <w:spacing w:beforeLines="50" w:afterLines="50"/>
        <w:rPr>
          <w:rFonts w:cs="Times New Roman"/>
        </w:rPr>
      </w:pPr>
      <w:bookmarkStart w:id="108" w:name="_Toc36634227"/>
      <w:r>
        <w:rPr>
          <w:rFonts w:hint="eastAsia" w:cs="Times New Roman"/>
        </w:rPr>
        <w:t>7.3  治理项目基本构成</w:t>
      </w:r>
      <w:bookmarkEnd w:id="108"/>
    </w:p>
    <w:p>
      <w:pPr>
        <w:pStyle w:val="228"/>
        <w:spacing w:before="120" w:beforeLines="50" w:after="120" w:afterLines="50"/>
        <w:rPr>
          <w:rFonts w:ascii="黑体" w:cs="Times New Roman"/>
        </w:rPr>
      </w:pPr>
      <w:r>
        <w:rPr>
          <w:rFonts w:hint="eastAsia" w:ascii="黑体" w:cs="Times New Roman"/>
        </w:rPr>
        <w:t>7.3.1  编制说明</w:t>
      </w:r>
    </w:p>
    <w:p>
      <w:pPr>
        <w:spacing w:before="120" w:beforeLines="50" w:after="120" w:afterLines="50" w:line="240" w:lineRule="auto"/>
        <w:ind w:firstLine="0"/>
        <w:rPr>
          <w:rFonts w:ascii="黑体" w:eastAsia="黑体" w:cs="Times New Roman"/>
        </w:rPr>
      </w:pPr>
      <w:r>
        <w:rPr>
          <w:rFonts w:hint="eastAsia" w:ascii="黑体" w:eastAsia="黑体" w:cs="Times New Roman"/>
        </w:rPr>
        <w:t>7.3.1.1  工程概况</w:t>
      </w:r>
    </w:p>
    <w:p>
      <w:pPr>
        <w:ind w:firstLine="420"/>
        <w:rPr>
          <w:rFonts w:ascii="Times New Roman" w:hAnsi="Times New Roman" w:cs="Times New Roman"/>
        </w:rPr>
      </w:pPr>
      <w:r>
        <w:rPr>
          <w:rFonts w:ascii="Times New Roman" w:hAnsi="Times New Roman" w:cs="Times New Roman"/>
        </w:rPr>
        <w:t>简明扼要介绍工程设计情况、项目资金来源、主要工程量。</w:t>
      </w:r>
    </w:p>
    <w:p>
      <w:pPr>
        <w:spacing w:before="120" w:beforeLines="50" w:after="120" w:afterLines="50" w:line="240" w:lineRule="auto"/>
        <w:ind w:firstLine="0"/>
        <w:rPr>
          <w:rFonts w:ascii="黑体" w:eastAsia="黑体" w:cs="Times New Roman"/>
        </w:rPr>
      </w:pPr>
      <w:r>
        <w:rPr>
          <w:rFonts w:hint="eastAsia" w:ascii="黑体" w:eastAsia="黑体" w:cs="Times New Roman"/>
        </w:rPr>
        <w:t>7.3.1.2  投资主要指标</w:t>
      </w:r>
    </w:p>
    <w:p>
      <w:pPr>
        <w:spacing w:before="120" w:beforeLines="50" w:after="120" w:afterLines="50" w:line="240" w:lineRule="auto"/>
        <w:ind w:firstLine="0"/>
        <w:rPr>
          <w:rFonts w:ascii="黑体" w:eastAsia="黑体" w:cs="Times New Roman"/>
        </w:rPr>
      </w:pPr>
      <w:r>
        <w:rPr>
          <w:rFonts w:hint="eastAsia" w:ascii="黑体" w:eastAsia="黑体" w:cs="Times New Roman"/>
        </w:rPr>
        <w:t>7.3.1.3  编制原则和依据</w:t>
      </w:r>
    </w:p>
    <w:p>
      <w:pPr>
        <w:ind w:left="840" w:leftChars="200" w:hanging="420" w:hangingChars="200"/>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概（预）算编制原则和依据。</w:t>
      </w:r>
    </w:p>
    <w:p>
      <w:pPr>
        <w:ind w:left="840" w:leftChars="200" w:hanging="420" w:hangingChars="200"/>
        <w:rPr>
          <w:rFonts w:ascii="Times New Roman" w:hAnsi="Times New Roman" w:cs="Times New Roman"/>
        </w:rPr>
      </w:pPr>
      <w:r>
        <w:rPr>
          <w:rFonts w:hint="eastAsia" w:ascii="Times New Roman" w:hAnsi="Times New Roman" w:cs="Times New Roman"/>
        </w:rPr>
        <w:t>b</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人工概（预）算单价，主要材料，施工用电、水、风以及砂石料等基础单价的计算依据。</w:t>
      </w:r>
    </w:p>
    <w:p>
      <w:pPr>
        <w:ind w:left="840" w:leftChars="200" w:hanging="420" w:hangingChars="200"/>
        <w:rPr>
          <w:rFonts w:ascii="Times New Roman" w:hAnsi="Times New Roman" w:cs="Times New Roman"/>
        </w:rPr>
      </w:pPr>
      <w:r>
        <w:rPr>
          <w:rFonts w:hint="eastAsia" w:ascii="Times New Roman" w:hAnsi="Times New Roman" w:cs="Times New Roman"/>
        </w:rPr>
        <w:t>c</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主要设备价格的编制依据。</w:t>
      </w:r>
    </w:p>
    <w:p>
      <w:pPr>
        <w:ind w:left="840" w:leftChars="200" w:hanging="420" w:hangingChars="200"/>
        <w:rPr>
          <w:rFonts w:ascii="Times New Roman" w:hAnsi="Times New Roman" w:cs="Times New Roman"/>
        </w:rPr>
      </w:pPr>
      <w:r>
        <w:rPr>
          <w:rFonts w:hint="eastAsia" w:ascii="Times New Roman" w:hAnsi="Times New Roman" w:cs="Times New Roman"/>
        </w:rPr>
        <w:t>d</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建筑安装工程定额、施工机械台时费定额和有关指标的采用依据。</w:t>
      </w:r>
    </w:p>
    <w:p>
      <w:pPr>
        <w:ind w:left="840" w:leftChars="200" w:hanging="420" w:hangingChars="200"/>
        <w:rPr>
          <w:rFonts w:ascii="Times New Roman" w:hAnsi="Times New Roman" w:cs="Times New Roman"/>
        </w:rPr>
      </w:pPr>
      <w:r>
        <w:rPr>
          <w:rFonts w:hint="eastAsia" w:ascii="Times New Roman" w:hAnsi="Times New Roman" w:cs="Times New Roman"/>
        </w:rPr>
        <w:t>e</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费用计算标准及依据：对机械台时费、各项费率、独立费、预备费等的计算方法进行详细说明。</w:t>
      </w:r>
    </w:p>
    <w:p>
      <w:pPr>
        <w:spacing w:before="120" w:beforeLines="50" w:after="120" w:afterLines="50" w:line="240" w:lineRule="auto"/>
        <w:ind w:firstLine="0"/>
        <w:rPr>
          <w:rFonts w:ascii="黑体" w:eastAsia="黑体" w:cs="Times New Roman"/>
        </w:rPr>
      </w:pPr>
      <w:r>
        <w:rPr>
          <w:rFonts w:hint="eastAsia" w:ascii="黑体" w:eastAsia="黑体" w:cs="Times New Roman"/>
        </w:rPr>
        <w:t>7.3.1.4  其他应说明的问题</w:t>
      </w:r>
    </w:p>
    <w:p>
      <w:pPr>
        <w:spacing w:before="120" w:beforeLines="50" w:after="120" w:afterLines="50" w:line="240" w:lineRule="auto"/>
        <w:ind w:firstLine="0"/>
        <w:rPr>
          <w:rFonts w:ascii="黑体" w:eastAsia="黑体" w:cs="Times New Roman"/>
        </w:rPr>
      </w:pPr>
      <w:r>
        <w:rPr>
          <w:rFonts w:hint="eastAsia" w:ascii="黑体" w:eastAsia="黑体" w:cs="Times New Roman"/>
        </w:rPr>
        <w:t>7.3.1.5  主要技术经济指标</w:t>
      </w:r>
    </w:p>
    <w:p>
      <w:pPr>
        <w:ind w:firstLine="420"/>
        <w:rPr>
          <w:rFonts w:ascii="Times New Roman" w:hAnsi="Times New Roman" w:cs="Times New Roman"/>
        </w:rPr>
      </w:pPr>
      <w:r>
        <w:rPr>
          <w:rFonts w:ascii="Times New Roman" w:hAnsi="Times New Roman" w:cs="Times New Roman"/>
        </w:rPr>
        <w:t>工程概（预）算总投资金额，并说明建筑工程费、安装工程费、施工临时工程费、独立费用、预备费等各部分组成金额及其所占比例，说明项目资金来源等。</w:t>
      </w:r>
    </w:p>
    <w:p>
      <w:pPr>
        <w:pStyle w:val="228"/>
        <w:spacing w:before="120" w:beforeLines="50" w:after="120" w:afterLines="50"/>
        <w:rPr>
          <w:rFonts w:ascii="黑体" w:cs="Times New Roman"/>
        </w:rPr>
      </w:pPr>
      <w:r>
        <w:rPr>
          <w:rFonts w:hint="eastAsia" w:ascii="黑体" w:cs="Times New Roman"/>
        </w:rPr>
        <w:t>7.3.2  概（预）算表格</w:t>
      </w:r>
    </w:p>
    <w:p>
      <w:pPr>
        <w:pStyle w:val="229"/>
        <w:spacing w:before="120" w:beforeLines="50" w:after="120" w:afterLines="50"/>
      </w:pPr>
      <w:r>
        <w:rPr>
          <w:rFonts w:hint="eastAsia"/>
        </w:rPr>
        <w:t>7.3.2.1  概（预）算表</w:t>
      </w:r>
    </w:p>
    <w:p>
      <w:pPr>
        <w:ind w:left="840" w:leftChars="200" w:hanging="420" w:hangingChars="200"/>
        <w:rPr>
          <w:rFonts w:ascii="Times New Roman" w:hAnsi="Times New Roman" w:cs="Times New Roman"/>
        </w:rPr>
      </w:pPr>
      <w:r>
        <w:rPr>
          <w:rFonts w:ascii="Times New Roman" w:hAnsi="Times New Roman" w:cs="Times New Roman"/>
        </w:rPr>
        <w:t>a)  总概（预）算表</w:t>
      </w:r>
    </w:p>
    <w:p>
      <w:pPr>
        <w:ind w:left="840" w:leftChars="200" w:hanging="420" w:hangingChars="200"/>
        <w:rPr>
          <w:rFonts w:ascii="Times New Roman" w:hAnsi="Times New Roman" w:cs="Times New Roman"/>
        </w:rPr>
      </w:pPr>
      <w:r>
        <w:rPr>
          <w:rFonts w:ascii="Times New Roman" w:hAnsi="Times New Roman" w:cs="Times New Roman"/>
        </w:rPr>
        <w:t>b)  建筑工程概（预）算表</w:t>
      </w:r>
    </w:p>
    <w:p>
      <w:pPr>
        <w:ind w:left="840" w:leftChars="200" w:hanging="420" w:hangingChars="200"/>
        <w:rPr>
          <w:rFonts w:ascii="Times New Roman" w:hAnsi="Times New Roman" w:cs="Times New Roman"/>
        </w:rPr>
      </w:pPr>
      <w:r>
        <w:rPr>
          <w:rFonts w:ascii="Times New Roman" w:hAnsi="Times New Roman" w:cs="Times New Roman"/>
        </w:rPr>
        <w:t>c)  安装工程概（预）算表</w:t>
      </w:r>
    </w:p>
    <w:p>
      <w:pPr>
        <w:ind w:left="840" w:leftChars="200" w:hanging="420" w:hangingChars="200"/>
        <w:rPr>
          <w:rFonts w:ascii="Times New Roman" w:hAnsi="Times New Roman" w:cs="Times New Roman"/>
        </w:rPr>
      </w:pPr>
      <w:r>
        <w:rPr>
          <w:rFonts w:ascii="Times New Roman" w:hAnsi="Times New Roman" w:cs="Times New Roman"/>
        </w:rPr>
        <w:t>d)  施工临时工程概（预）算表</w:t>
      </w:r>
    </w:p>
    <w:p>
      <w:pPr>
        <w:ind w:left="840" w:leftChars="200" w:hanging="420" w:hangingChars="200"/>
        <w:rPr>
          <w:rFonts w:ascii="Times New Roman" w:hAnsi="Times New Roman" w:cs="Times New Roman"/>
        </w:rPr>
      </w:pPr>
      <w:r>
        <w:rPr>
          <w:rFonts w:ascii="Times New Roman" w:hAnsi="Times New Roman" w:cs="Times New Roman"/>
        </w:rPr>
        <w:t>e)  独立费用概（预）算表</w:t>
      </w:r>
    </w:p>
    <w:p>
      <w:pPr>
        <w:pStyle w:val="229"/>
        <w:spacing w:before="120" w:beforeLines="50" w:after="120" w:afterLines="50"/>
      </w:pPr>
      <w:r>
        <w:rPr>
          <w:rFonts w:hint="eastAsia"/>
        </w:rPr>
        <w:t>7.3.2.2  概（预）算附表</w:t>
      </w:r>
    </w:p>
    <w:p>
      <w:pPr>
        <w:ind w:left="840" w:leftChars="200" w:hanging="420" w:hangingChars="200"/>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建筑工程单价汇总表</w:t>
      </w:r>
    </w:p>
    <w:p>
      <w:pPr>
        <w:ind w:left="840" w:leftChars="200" w:hanging="420" w:hangingChars="200"/>
        <w:rPr>
          <w:rFonts w:ascii="Times New Roman" w:hAnsi="Times New Roman" w:cs="Times New Roman"/>
        </w:rPr>
      </w:pPr>
      <w:r>
        <w:rPr>
          <w:rFonts w:hint="eastAsia" w:ascii="Times New Roman" w:hAnsi="Times New Roman" w:cs="Times New Roman"/>
        </w:rPr>
        <w:t>b</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安装工程单价汇总表</w:t>
      </w:r>
    </w:p>
    <w:p>
      <w:pPr>
        <w:ind w:left="840" w:leftChars="200" w:hanging="420" w:hangingChars="200"/>
        <w:rPr>
          <w:rFonts w:ascii="Times New Roman" w:hAnsi="Times New Roman" w:cs="Times New Roman"/>
        </w:rPr>
      </w:pPr>
      <w:r>
        <w:rPr>
          <w:rFonts w:hint="eastAsia" w:ascii="Times New Roman" w:hAnsi="Times New Roman" w:cs="Times New Roman"/>
        </w:rPr>
        <w:t>c</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材料概（预）算价格汇总表</w:t>
      </w:r>
    </w:p>
    <w:p>
      <w:pPr>
        <w:ind w:left="840" w:leftChars="200" w:hanging="420" w:hangingChars="200"/>
        <w:rPr>
          <w:rFonts w:ascii="Times New Roman" w:hAnsi="Times New Roman" w:cs="Times New Roman"/>
        </w:rPr>
      </w:pPr>
      <w:r>
        <w:rPr>
          <w:rFonts w:hint="eastAsia" w:ascii="Times New Roman" w:hAnsi="Times New Roman" w:cs="Times New Roman"/>
        </w:rPr>
        <w:t>d</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施工机械台时费汇总表</w:t>
      </w:r>
    </w:p>
    <w:p>
      <w:pPr>
        <w:ind w:left="840" w:leftChars="200" w:hanging="420" w:hangingChars="200"/>
        <w:rPr>
          <w:rFonts w:ascii="Times New Roman" w:hAnsi="Times New Roman" w:cs="Times New Roman"/>
        </w:rPr>
      </w:pPr>
      <w:r>
        <w:rPr>
          <w:rFonts w:hint="eastAsia" w:ascii="Times New Roman" w:hAnsi="Times New Roman" w:cs="Times New Roman"/>
        </w:rPr>
        <w:t>e</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主要工程量汇总表</w:t>
      </w:r>
    </w:p>
    <w:p>
      <w:pPr>
        <w:ind w:left="840" w:leftChars="200" w:hanging="420" w:hangingChars="200"/>
        <w:rPr>
          <w:rFonts w:ascii="Times New Roman" w:hAnsi="Times New Roman" w:cs="Times New Roman"/>
        </w:rPr>
      </w:pPr>
      <w:r>
        <w:rPr>
          <w:rFonts w:hint="eastAsia" w:ascii="Times New Roman" w:hAnsi="Times New Roman" w:cs="Times New Roman"/>
        </w:rPr>
        <w:t>f</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主要材料量汇总表</w:t>
      </w:r>
    </w:p>
    <w:p>
      <w:pPr>
        <w:ind w:left="840" w:leftChars="200" w:hanging="420" w:hangingChars="200"/>
        <w:rPr>
          <w:rFonts w:ascii="Times New Roman" w:hAnsi="Times New Roman" w:cs="Times New Roman"/>
        </w:rPr>
      </w:pPr>
      <w:r>
        <w:rPr>
          <w:rFonts w:hint="eastAsia" w:ascii="Times New Roman" w:hAnsi="Times New Roman" w:cs="Times New Roman"/>
        </w:rPr>
        <w:t>g</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工时数量汇总表</w:t>
      </w:r>
    </w:p>
    <w:p>
      <w:pPr>
        <w:ind w:left="840" w:leftChars="200" w:hanging="420" w:hangingChars="200"/>
        <w:rPr>
          <w:rFonts w:ascii="Times New Roman" w:hAnsi="Times New Roman" w:cs="Times New Roman"/>
        </w:rPr>
      </w:pPr>
      <w:r>
        <w:rPr>
          <w:rFonts w:hint="eastAsia" w:ascii="Times New Roman" w:hAnsi="Times New Roman" w:cs="Times New Roman"/>
        </w:rPr>
        <w:t>h</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 xml:space="preserve">人工材料汇总表 </w:t>
      </w:r>
    </w:p>
    <w:p>
      <w:pPr>
        <w:ind w:left="840" w:leftChars="200" w:hanging="420" w:hangingChars="200"/>
        <w:rPr>
          <w:rFonts w:ascii="Times New Roman" w:hAnsi="Times New Roman" w:cs="Times New Roman"/>
        </w:rPr>
      </w:pPr>
      <w:r>
        <w:rPr>
          <w:rFonts w:hint="eastAsia" w:ascii="Times New Roman" w:hAnsi="Times New Roman" w:cs="Times New Roman"/>
        </w:rPr>
        <w:t>i</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混凝土材料单价计算表</w:t>
      </w:r>
    </w:p>
    <w:p>
      <w:pPr>
        <w:ind w:left="840" w:leftChars="200" w:hanging="420" w:hangingChars="200"/>
        <w:rPr>
          <w:rFonts w:ascii="Times New Roman" w:hAnsi="Times New Roman" w:cs="Times New Roman"/>
        </w:rPr>
      </w:pPr>
      <w:r>
        <w:rPr>
          <w:rFonts w:hint="eastAsia" w:ascii="Times New Roman" w:hAnsi="Times New Roman" w:cs="Times New Roman"/>
        </w:rPr>
        <w:t>j</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建筑工程单价表</w:t>
      </w:r>
    </w:p>
    <w:p>
      <w:pPr>
        <w:ind w:left="840" w:leftChars="200" w:hanging="420" w:hangingChars="200"/>
        <w:rPr>
          <w:rFonts w:ascii="Times New Roman" w:hAnsi="Times New Roman" w:cs="Times New Roman"/>
        </w:rPr>
      </w:pPr>
      <w:r>
        <w:rPr>
          <w:rFonts w:hint="eastAsia" w:ascii="Times New Roman" w:hAnsi="Times New Roman" w:cs="Times New Roman"/>
        </w:rPr>
        <w:t>k</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安装工程单价表</w:t>
      </w:r>
    </w:p>
    <w:p>
      <w:pPr>
        <w:ind w:left="840" w:leftChars="200" w:hanging="420" w:hangingChars="200"/>
        <w:rPr>
          <w:rFonts w:ascii="Times New Roman" w:hAnsi="Times New Roman" w:cs="Times New Roman"/>
        </w:rPr>
      </w:pPr>
      <w:r>
        <w:rPr>
          <w:rFonts w:hint="eastAsia" w:ascii="Times New Roman" w:hAnsi="Times New Roman" w:cs="Times New Roman"/>
        </w:rPr>
        <w:t>l</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其他附表</w:t>
      </w:r>
    </w:p>
    <w:p>
      <w:pPr>
        <w:pStyle w:val="4"/>
        <w:rPr>
          <w:rFonts w:cs="Times New Roman"/>
        </w:rPr>
      </w:pPr>
      <w:bookmarkStart w:id="109" w:name="_Toc36634228"/>
      <w:r>
        <w:rPr>
          <w:rFonts w:hint="eastAsia" w:cs="Times New Roman"/>
        </w:rPr>
        <w:t>7.4  治理项目编制方法</w:t>
      </w:r>
      <w:bookmarkEnd w:id="109"/>
    </w:p>
    <w:p>
      <w:pPr>
        <w:pStyle w:val="228"/>
        <w:spacing w:before="120" w:after="120"/>
        <w:rPr>
          <w:rFonts w:ascii="黑体" w:cs="Times New Roman"/>
        </w:rPr>
      </w:pPr>
      <w:r>
        <w:rPr>
          <w:rFonts w:hint="eastAsia" w:ascii="黑体" w:cs="Times New Roman"/>
        </w:rPr>
        <w:t>7.4.1  人工概（预）算单价</w:t>
      </w:r>
    </w:p>
    <w:p>
      <w:pPr>
        <w:ind w:firstLine="420" w:firstLineChars="200"/>
        <w:rPr>
          <w:rFonts w:ascii="Times New Roman" w:hAnsi="Times New Roman" w:cs="Times New Roman"/>
        </w:rPr>
      </w:pPr>
      <w:r>
        <w:rPr>
          <w:rFonts w:ascii="Times New Roman" w:hAnsi="Times New Roman" w:cs="Times New Roman"/>
        </w:rPr>
        <w:t>按照水利部《水利工程设计概（估）算编制规定》（工程部分，水总〔2014〕429号）中表1的枢纽工程人工预算单价标准，并区分所在地区类别分别进行计算。根据原人事部、财政部《完善艰苦边远地区津贴制度实施方案》，恩施市、利川市、建始县、巴东县、宣恩县、咸丰县、来凤县、鹤峰县属于二类区，郧县、竹山县、房县、郧西县、竹溪县、兴山县、秭归县、长阳土家族自治县、五峰土家族自治县、神农架林区属于一类区，其他地区属于一般地区。工长、高级工、中级工、初级工执行相应标准。人工单价内容包括：岗位工资、辅助工资。</w:t>
      </w:r>
    </w:p>
    <w:p>
      <w:pPr>
        <w:ind w:firstLine="420" w:firstLineChars="200"/>
        <w:rPr>
          <w:rFonts w:ascii="Times New Roman" w:hAnsi="Times New Roman" w:cs="Times New Roman"/>
        </w:rPr>
      </w:pPr>
      <w:r>
        <w:rPr>
          <w:rFonts w:ascii="Times New Roman" w:hAnsi="Times New Roman" w:cs="Times New Roman"/>
        </w:rPr>
        <w:t>依据水利部《水利工程设计概（估）算编制规定》（工程部分，水总〔2014〕429号）人工预算单价规定，湖北省地质灾害治理工程不同地区的人工概（预）算单价分别如下：</w:t>
      </w:r>
    </w:p>
    <w:p>
      <w:pPr>
        <w:ind w:left="840" w:leftChars="200" w:hanging="420" w:hangingChars="200"/>
        <w:jc w:val="both"/>
        <w:rPr>
          <w:rFonts w:ascii="Times New Roman" w:hAnsi="Times New Roman" w:cs="Times New Roman"/>
        </w:rPr>
      </w:pPr>
      <w:r>
        <w:rPr>
          <w:rFonts w:ascii="Times New Roman" w:hAnsi="Times New Roman" w:cs="Times New Roman"/>
        </w:rPr>
        <w:t>a)  一般地区人工概（预）算单价：工长11.55元∕工时，高级工10.67元∕工时，中级工8.90元∕工时，初级工6.13元∕工时。</w:t>
      </w:r>
    </w:p>
    <w:p>
      <w:pPr>
        <w:ind w:left="840" w:leftChars="200" w:hanging="420" w:hangingChars="200"/>
        <w:jc w:val="both"/>
        <w:rPr>
          <w:rFonts w:ascii="Times New Roman" w:hAnsi="Times New Roman" w:cs="Times New Roman"/>
        </w:rPr>
      </w:pPr>
      <w:r>
        <w:rPr>
          <w:rFonts w:ascii="Times New Roman" w:hAnsi="Times New Roman" w:cs="Times New Roman"/>
        </w:rPr>
        <w:t>b)  一类地区人工概（预）算单价：工长11.80元∕工时，高级工10.92元∕工时，中级工9.15元∕工时，初级工6.38元∕工时。</w:t>
      </w:r>
    </w:p>
    <w:p>
      <w:pPr>
        <w:ind w:left="840" w:leftChars="200" w:hanging="420" w:hangingChars="200"/>
        <w:jc w:val="both"/>
        <w:rPr>
          <w:rFonts w:ascii="Times New Roman" w:hAnsi="Times New Roman" w:cs="Times New Roman"/>
        </w:rPr>
      </w:pPr>
      <w:r>
        <w:rPr>
          <w:rFonts w:ascii="Times New Roman" w:hAnsi="Times New Roman" w:cs="Times New Roman"/>
        </w:rPr>
        <w:t>c)  二类地区人工概（预）算单价：工长11.98元∕工时，高级工11.09元∕工时，中级工9.33元∕工时，初级工6.55元∕工时。</w:t>
      </w:r>
    </w:p>
    <w:p>
      <w:pPr>
        <w:pStyle w:val="228"/>
        <w:spacing w:before="120" w:after="120"/>
        <w:rPr>
          <w:rFonts w:ascii="黑体" w:cs="Times New Roman"/>
        </w:rPr>
      </w:pPr>
      <w:r>
        <w:rPr>
          <w:rFonts w:hint="eastAsia" w:ascii="黑体" w:cs="Times New Roman"/>
        </w:rPr>
        <w:t>7.4.2  材料概（预）算单价</w:t>
      </w:r>
    </w:p>
    <w:p>
      <w:pPr>
        <w:ind w:firstLine="0"/>
        <w:rPr>
          <w:rFonts w:ascii="Times New Roman" w:hAnsi="Times New Roman" w:cs="Times New Roman"/>
        </w:rPr>
      </w:pPr>
      <w:r>
        <w:rPr>
          <w:rFonts w:hint="eastAsia" w:ascii="黑体" w:eastAsia="黑体" w:cs="Times New Roman"/>
        </w:rPr>
        <w:t>7.4.2.1</w:t>
      </w:r>
      <w:r>
        <w:rPr>
          <w:rFonts w:ascii="Times New Roman" w:hAnsi="Times New Roman" w:cs="Times New Roman"/>
        </w:rPr>
        <w:t xml:space="preserve">  根据概（预）算报告编制期湖北省工程材料市场信息价和项目所在地建设工程造价管理部门公布当期价格水平确定。未公布的材料价格采用市场询价方式确定。按照《水利工程营业税改征增值税计价依据调整办法》（办水总〔2016〕132号），材料预算单价按不含增值税进项税额的价格计算。各类材料计税在建筑安装工</w:t>
      </w:r>
      <w:r>
        <w:rPr>
          <w:rFonts w:hint="eastAsia" w:ascii="宋体" w:cs="Times New Roman"/>
        </w:rPr>
        <w:t>程费“税金”一项统一合并</w:t>
      </w:r>
      <w:r>
        <w:rPr>
          <w:rFonts w:ascii="Times New Roman" w:hAnsi="Times New Roman" w:cs="Times New Roman"/>
        </w:rPr>
        <w:t>计列。</w:t>
      </w:r>
    </w:p>
    <w:p>
      <w:pPr>
        <w:ind w:firstLine="0"/>
        <w:rPr>
          <w:rFonts w:ascii="Times New Roman" w:hAnsi="Times New Roman" w:cs="Times New Roman"/>
        </w:rPr>
      </w:pPr>
      <w:r>
        <w:rPr>
          <w:rFonts w:hint="eastAsia" w:ascii="黑体" w:eastAsia="黑体" w:cs="Times New Roman"/>
        </w:rPr>
        <w:t>7.4.2.2</w:t>
      </w:r>
      <w:r>
        <w:rPr>
          <w:rFonts w:ascii="Times New Roman" w:hAnsi="Times New Roman" w:cs="Times New Roman"/>
        </w:rPr>
        <w:t xml:space="preserve">  根据水利部《水利工程设计概（估）算编制规定》（工程部分，水总〔2014〕429号），按材料基准价和材料补差计价取费。材料基准价和材料补差均为不含增值税进项税额的价格。对钢筋、水泥、砂、碎石、块石、商品砼、炸药、柴油、汽油等主要材料，按照《水利工程营业税改征增值税计价依据调整办法》</w:t>
      </w:r>
      <w:r>
        <w:rPr>
          <w:rFonts w:hint="eastAsia" w:ascii="宋体" w:cs="Times New Roman"/>
        </w:rPr>
        <w:t>“工程部分”主要</w:t>
      </w:r>
      <w:r>
        <w:rPr>
          <w:rFonts w:ascii="Times New Roman" w:hAnsi="Times New Roman" w:cs="Times New Roman"/>
        </w:rPr>
        <w:t>材料基价执行，其基准价计入工程单价，如主要材料预算价超过基准价的，价差以材料补差形式列入单价表中并计取税金。</w:t>
      </w:r>
    </w:p>
    <w:p>
      <w:pPr>
        <w:ind w:firstLine="0"/>
        <w:rPr>
          <w:rFonts w:ascii="Times New Roman" w:hAnsi="Times New Roman" w:cs="Times New Roman"/>
        </w:rPr>
      </w:pPr>
      <w:r>
        <w:rPr>
          <w:rFonts w:hint="eastAsia" w:ascii="黑体" w:eastAsia="黑体" w:cs="Times New Roman"/>
        </w:rPr>
        <w:t>7.4.2.3</w:t>
      </w:r>
      <w:r>
        <w:rPr>
          <w:rFonts w:ascii="Times New Roman" w:hAnsi="Times New Roman" w:cs="Times New Roman"/>
        </w:rPr>
        <w:t xml:space="preserve">  主要材料以除税信息价（如果只有含税信息价，则在含税信息价的基础上除以1.1</w:t>
      </w:r>
      <w:r>
        <w:rPr>
          <w:rFonts w:hint="eastAsia" w:ascii="Times New Roman" w:hAnsi="Times New Roman" w:cs="Times New Roman"/>
        </w:rPr>
        <w:t>3</w:t>
      </w:r>
      <w:r>
        <w:rPr>
          <w:rFonts w:ascii="Times New Roman" w:hAnsi="Times New Roman" w:cs="Times New Roman"/>
        </w:rPr>
        <w:t>调整系数）为主材限价，该限价与《水利工程营业税改征增值税计价依据调整办法》（办水总〔2016〕132号）规定的主材基价，取其低者为材料计入价，主要材料指水泥、钢筋、柴油、汽油、炸药等材料。主要材料基价表见表5。</w:t>
      </w:r>
    </w:p>
    <w:p>
      <w:pPr>
        <w:ind w:firstLine="420"/>
        <w:rPr>
          <w:rFonts w:ascii="Times New Roman" w:hAnsi="Times New Roman" w:cs="Times New Roman"/>
        </w:rPr>
      </w:pPr>
      <w:r>
        <w:rPr>
          <w:rFonts w:ascii="Times New Roman" w:hAnsi="Times New Roman" w:cs="Times New Roman"/>
        </w:rPr>
        <w:t>主材需计算材料价差，材料补差是根据主要材料消耗量、主要材料预算价格（除税信息价）与材料基价之间的差值，计算的主要材料补差金额。</w:t>
      </w:r>
    </w:p>
    <w:p>
      <w:pPr>
        <w:ind w:firstLine="420"/>
        <w:rPr>
          <w:rFonts w:ascii="Times New Roman" w:hAnsi="Times New Roman" w:cs="Times New Roman"/>
        </w:rPr>
      </w:pPr>
      <w:r>
        <w:rPr>
          <w:rFonts w:ascii="Times New Roman" w:hAnsi="Times New Roman" w:cs="Times New Roman"/>
        </w:rPr>
        <w:t>商品混凝土单价采用不含增值税进项税额的价格，基价200元/m</w:t>
      </w:r>
      <w:r>
        <w:rPr>
          <w:rFonts w:ascii="Times New Roman" w:hAnsi="Times New Roman" w:cs="Times New Roman"/>
          <w:vertAlign w:val="superscript"/>
        </w:rPr>
        <w:t>3</w:t>
      </w:r>
      <w:r>
        <w:rPr>
          <w:rFonts w:ascii="Times New Roman" w:hAnsi="Times New Roman" w:cs="Times New Roman"/>
        </w:rPr>
        <w:t>，商品混凝土需计算材料价差。</w:t>
      </w:r>
    </w:p>
    <w:p>
      <w:pPr>
        <w:ind w:firstLine="420"/>
        <w:rPr>
          <w:rFonts w:ascii="Times New Roman" w:hAnsi="Times New Roman" w:cs="Times New Roman"/>
        </w:rPr>
      </w:pPr>
      <w:r>
        <w:rPr>
          <w:rFonts w:ascii="Times New Roman" w:hAnsi="Times New Roman" w:cs="Times New Roman"/>
        </w:rPr>
        <w:t>自采砂石料按不含税金的单价参与工程费用计算。外购砂石料价格不包含增值税进项税额，基价70元/m</w:t>
      </w:r>
      <w:r>
        <w:rPr>
          <w:rFonts w:ascii="Times New Roman" w:hAnsi="Times New Roman" w:cs="Times New Roman"/>
          <w:vertAlign w:val="superscript"/>
        </w:rPr>
        <w:t>3</w:t>
      </w:r>
      <w:r>
        <w:rPr>
          <w:rFonts w:ascii="Times New Roman" w:hAnsi="Times New Roman" w:cs="Times New Roman"/>
        </w:rPr>
        <w:t>，需计算材料价差。</w:t>
      </w:r>
    </w:p>
    <w:p>
      <w:pPr>
        <w:ind w:firstLine="420"/>
        <w:rPr>
          <w:rFonts w:ascii="Times New Roman" w:hAnsi="Times New Roman" w:cs="Times New Roman"/>
        </w:rPr>
      </w:pPr>
      <w:r>
        <w:rPr>
          <w:rFonts w:ascii="Times New Roman" w:hAnsi="Times New Roman" w:cs="Times New Roman"/>
        </w:rPr>
        <w:t>次要材料以除税信息价价格（如果只有含税信息价，则在含税信息价的基础上除以1.03调整系数）为材料预算价，次要材料不计材料价差。</w:t>
      </w:r>
    </w:p>
    <w:p>
      <w:pPr>
        <w:ind w:firstLine="420"/>
        <w:rPr>
          <w:rFonts w:ascii="Times New Roman" w:hAnsi="Times New Roman" w:cs="Times New Roman"/>
        </w:rPr>
      </w:pPr>
      <w:r>
        <w:rPr>
          <w:rFonts w:ascii="Times New Roman" w:hAnsi="Times New Roman" w:cs="Times New Roman"/>
        </w:rPr>
        <w:t>建筑及安装工程未计价材料采用不含增值税进项税额的价格。</w:t>
      </w:r>
    </w:p>
    <w:p>
      <w:pPr>
        <w:pStyle w:val="119"/>
        <w:spacing w:before="120" w:beforeLines="50" w:after="120" w:afterLines="50" w:line="240" w:lineRule="auto"/>
        <w:rPr>
          <w:rFonts w:ascii="黑体"/>
        </w:rPr>
      </w:pPr>
      <w:r>
        <w:rPr>
          <w:rFonts w:hint="eastAsia" w:ascii="黑体"/>
        </w:rPr>
        <w:t>表5  主要材料基价表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78"/>
        <w:gridCol w:w="3577"/>
        <w:gridCol w:w="1547"/>
        <w:gridCol w:w="31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621" w:type="pct"/>
            <w:tcMar>
              <w:left w:w="108" w:type="dxa"/>
              <w:right w:w="108" w:type="dxa"/>
            </w:tcMar>
            <w:vAlign w:val="center"/>
          </w:tcPr>
          <w:p>
            <w:pPr>
              <w:pStyle w:val="121"/>
            </w:pPr>
            <w:r>
              <w:t>序号</w:t>
            </w:r>
          </w:p>
        </w:tc>
        <w:tc>
          <w:tcPr>
            <w:tcW w:w="1885" w:type="pct"/>
            <w:tcMar>
              <w:left w:w="108" w:type="dxa"/>
              <w:right w:w="108" w:type="dxa"/>
            </w:tcMar>
            <w:vAlign w:val="center"/>
          </w:tcPr>
          <w:p>
            <w:pPr>
              <w:pStyle w:val="121"/>
            </w:pPr>
            <w:r>
              <w:t>材料名称</w:t>
            </w:r>
          </w:p>
        </w:tc>
        <w:tc>
          <w:tcPr>
            <w:tcW w:w="815" w:type="pct"/>
            <w:tcMar>
              <w:left w:w="108" w:type="dxa"/>
              <w:right w:w="108" w:type="dxa"/>
            </w:tcMar>
            <w:vAlign w:val="center"/>
          </w:tcPr>
          <w:p>
            <w:pPr>
              <w:pStyle w:val="121"/>
            </w:pPr>
            <w:r>
              <w:t>单位</w:t>
            </w:r>
          </w:p>
        </w:tc>
        <w:tc>
          <w:tcPr>
            <w:tcW w:w="1677" w:type="pct"/>
            <w:tcMar>
              <w:left w:w="108" w:type="dxa"/>
              <w:right w:w="108" w:type="dxa"/>
            </w:tcMar>
            <w:vAlign w:val="center"/>
          </w:tcPr>
          <w:p>
            <w:pPr>
              <w:pStyle w:val="121"/>
            </w:pPr>
            <w:r>
              <w:t>基价</w:t>
            </w:r>
          </w:p>
          <w:p>
            <w:pPr>
              <w:pStyle w:val="121"/>
            </w:pPr>
            <w: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tcMar>
              <w:left w:w="108" w:type="dxa"/>
              <w:right w:w="108" w:type="dxa"/>
            </w:tcMar>
            <w:vAlign w:val="center"/>
          </w:tcPr>
          <w:p>
            <w:pPr>
              <w:pStyle w:val="121"/>
            </w:pPr>
            <w:r>
              <w:t>1</w:t>
            </w:r>
          </w:p>
        </w:tc>
        <w:tc>
          <w:tcPr>
            <w:tcW w:w="1885" w:type="pct"/>
            <w:tcMar>
              <w:left w:w="108" w:type="dxa"/>
              <w:right w:w="108" w:type="dxa"/>
            </w:tcMar>
            <w:vAlign w:val="center"/>
          </w:tcPr>
          <w:p>
            <w:pPr>
              <w:pStyle w:val="121"/>
            </w:pPr>
            <w:r>
              <w:t>柴油</w:t>
            </w:r>
          </w:p>
        </w:tc>
        <w:tc>
          <w:tcPr>
            <w:tcW w:w="815" w:type="pct"/>
            <w:tcMar>
              <w:left w:w="108" w:type="dxa"/>
              <w:right w:w="108" w:type="dxa"/>
            </w:tcMar>
            <w:vAlign w:val="center"/>
          </w:tcPr>
          <w:p>
            <w:pPr>
              <w:pStyle w:val="121"/>
            </w:pPr>
            <w:r>
              <w:t>t</w:t>
            </w:r>
          </w:p>
        </w:tc>
        <w:tc>
          <w:tcPr>
            <w:tcW w:w="1677" w:type="pct"/>
            <w:tcMar>
              <w:left w:w="108" w:type="dxa"/>
              <w:right w:w="108" w:type="dxa"/>
            </w:tcMar>
            <w:vAlign w:val="center"/>
          </w:tcPr>
          <w:p>
            <w:pPr>
              <w:pStyle w:val="121"/>
            </w:pPr>
            <w:r>
              <w:t>2</w:t>
            </w:r>
            <w:r>
              <w:rPr>
                <w:rFonts w:hint="eastAsia"/>
              </w:rPr>
              <w:t xml:space="preserve"> </w:t>
            </w:r>
            <w:r>
              <w:t>990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tcMar>
              <w:left w:w="108" w:type="dxa"/>
              <w:right w:w="108" w:type="dxa"/>
            </w:tcMar>
            <w:vAlign w:val="center"/>
          </w:tcPr>
          <w:p>
            <w:pPr>
              <w:pStyle w:val="121"/>
            </w:pPr>
            <w:r>
              <w:t>2</w:t>
            </w:r>
          </w:p>
        </w:tc>
        <w:tc>
          <w:tcPr>
            <w:tcW w:w="1885" w:type="pct"/>
            <w:tcMar>
              <w:left w:w="108" w:type="dxa"/>
              <w:right w:w="108" w:type="dxa"/>
            </w:tcMar>
            <w:vAlign w:val="center"/>
          </w:tcPr>
          <w:p>
            <w:pPr>
              <w:pStyle w:val="121"/>
            </w:pPr>
            <w:r>
              <w:t>汽油</w:t>
            </w:r>
          </w:p>
        </w:tc>
        <w:tc>
          <w:tcPr>
            <w:tcW w:w="815" w:type="pct"/>
            <w:tcMar>
              <w:left w:w="108" w:type="dxa"/>
              <w:right w:w="108" w:type="dxa"/>
            </w:tcMar>
            <w:vAlign w:val="center"/>
          </w:tcPr>
          <w:p>
            <w:pPr>
              <w:pStyle w:val="121"/>
            </w:pPr>
            <w:r>
              <w:t>t</w:t>
            </w:r>
          </w:p>
        </w:tc>
        <w:tc>
          <w:tcPr>
            <w:tcW w:w="1677" w:type="pct"/>
            <w:tcMar>
              <w:left w:w="108" w:type="dxa"/>
              <w:right w:w="108" w:type="dxa"/>
            </w:tcMar>
            <w:vAlign w:val="center"/>
          </w:tcPr>
          <w:p>
            <w:pPr>
              <w:pStyle w:val="121"/>
            </w:pPr>
            <w:r>
              <w:t>3</w:t>
            </w:r>
            <w:r>
              <w:rPr>
                <w:rFonts w:hint="eastAsia"/>
              </w:rPr>
              <w:t xml:space="preserve"> </w:t>
            </w:r>
            <w:r>
              <w:t>075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tcMar>
              <w:left w:w="108" w:type="dxa"/>
              <w:right w:w="108" w:type="dxa"/>
            </w:tcMar>
            <w:vAlign w:val="center"/>
          </w:tcPr>
          <w:p>
            <w:pPr>
              <w:pStyle w:val="121"/>
            </w:pPr>
            <w:r>
              <w:t>3</w:t>
            </w:r>
          </w:p>
        </w:tc>
        <w:tc>
          <w:tcPr>
            <w:tcW w:w="1885" w:type="pct"/>
            <w:tcMar>
              <w:left w:w="108" w:type="dxa"/>
              <w:right w:w="108" w:type="dxa"/>
            </w:tcMar>
            <w:vAlign w:val="center"/>
          </w:tcPr>
          <w:p>
            <w:pPr>
              <w:pStyle w:val="121"/>
            </w:pPr>
            <w:r>
              <w:t>钢筋</w:t>
            </w:r>
          </w:p>
        </w:tc>
        <w:tc>
          <w:tcPr>
            <w:tcW w:w="815" w:type="pct"/>
            <w:tcMar>
              <w:left w:w="108" w:type="dxa"/>
              <w:right w:w="108" w:type="dxa"/>
            </w:tcMar>
            <w:vAlign w:val="center"/>
          </w:tcPr>
          <w:p>
            <w:pPr>
              <w:pStyle w:val="121"/>
            </w:pPr>
            <w:r>
              <w:t>t</w:t>
            </w:r>
          </w:p>
        </w:tc>
        <w:tc>
          <w:tcPr>
            <w:tcW w:w="1677" w:type="pct"/>
            <w:tcMar>
              <w:left w:w="108" w:type="dxa"/>
              <w:right w:w="108" w:type="dxa"/>
            </w:tcMar>
            <w:vAlign w:val="center"/>
          </w:tcPr>
          <w:p>
            <w:pPr>
              <w:pStyle w:val="121"/>
            </w:pPr>
            <w:r>
              <w:t>2</w:t>
            </w:r>
            <w:r>
              <w:rPr>
                <w:rFonts w:hint="eastAsia"/>
              </w:rPr>
              <w:t xml:space="preserve"> </w:t>
            </w:r>
            <w:r>
              <w:t>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tcMar>
              <w:left w:w="108" w:type="dxa"/>
              <w:right w:w="108" w:type="dxa"/>
            </w:tcMar>
            <w:vAlign w:val="center"/>
          </w:tcPr>
          <w:p>
            <w:pPr>
              <w:pStyle w:val="121"/>
            </w:pPr>
            <w:r>
              <w:t>4</w:t>
            </w:r>
          </w:p>
        </w:tc>
        <w:tc>
          <w:tcPr>
            <w:tcW w:w="1885" w:type="pct"/>
            <w:tcMar>
              <w:left w:w="108" w:type="dxa"/>
              <w:right w:w="108" w:type="dxa"/>
            </w:tcMar>
            <w:vAlign w:val="center"/>
          </w:tcPr>
          <w:p>
            <w:pPr>
              <w:pStyle w:val="121"/>
            </w:pPr>
            <w:r>
              <w:t>水泥</w:t>
            </w:r>
          </w:p>
        </w:tc>
        <w:tc>
          <w:tcPr>
            <w:tcW w:w="815" w:type="pct"/>
            <w:tcMar>
              <w:left w:w="108" w:type="dxa"/>
              <w:right w:w="108" w:type="dxa"/>
            </w:tcMar>
            <w:vAlign w:val="center"/>
          </w:tcPr>
          <w:p>
            <w:pPr>
              <w:pStyle w:val="121"/>
            </w:pPr>
            <w:r>
              <w:t>t</w:t>
            </w:r>
          </w:p>
        </w:tc>
        <w:tc>
          <w:tcPr>
            <w:tcW w:w="1677" w:type="pct"/>
            <w:tcMar>
              <w:left w:w="108" w:type="dxa"/>
              <w:right w:w="108" w:type="dxa"/>
            </w:tcMar>
            <w:vAlign w:val="center"/>
          </w:tcPr>
          <w:p>
            <w:pPr>
              <w:pStyle w:val="121"/>
            </w:pPr>
            <w:r>
              <w:t>255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tcMar>
              <w:left w:w="108" w:type="dxa"/>
              <w:right w:w="108" w:type="dxa"/>
            </w:tcMar>
            <w:vAlign w:val="center"/>
          </w:tcPr>
          <w:p>
            <w:pPr>
              <w:pStyle w:val="121"/>
            </w:pPr>
            <w:r>
              <w:t>5</w:t>
            </w:r>
          </w:p>
        </w:tc>
        <w:tc>
          <w:tcPr>
            <w:tcW w:w="1885" w:type="pct"/>
            <w:tcMar>
              <w:left w:w="108" w:type="dxa"/>
              <w:right w:w="108" w:type="dxa"/>
            </w:tcMar>
            <w:vAlign w:val="center"/>
          </w:tcPr>
          <w:p>
            <w:pPr>
              <w:pStyle w:val="121"/>
            </w:pPr>
            <w:r>
              <w:t>炸药</w:t>
            </w:r>
          </w:p>
        </w:tc>
        <w:tc>
          <w:tcPr>
            <w:tcW w:w="815" w:type="pct"/>
            <w:tcMar>
              <w:left w:w="108" w:type="dxa"/>
              <w:right w:w="108" w:type="dxa"/>
            </w:tcMar>
            <w:vAlign w:val="center"/>
          </w:tcPr>
          <w:p>
            <w:pPr>
              <w:pStyle w:val="121"/>
            </w:pPr>
            <w:r>
              <w:t>t</w:t>
            </w:r>
          </w:p>
        </w:tc>
        <w:tc>
          <w:tcPr>
            <w:tcW w:w="1677" w:type="pct"/>
            <w:tcMar>
              <w:left w:w="108" w:type="dxa"/>
              <w:right w:w="108" w:type="dxa"/>
            </w:tcMar>
            <w:vAlign w:val="center"/>
          </w:tcPr>
          <w:p>
            <w:pPr>
              <w:pStyle w:val="121"/>
            </w:pPr>
            <w:r>
              <w:t>5</w:t>
            </w:r>
            <w:r>
              <w:rPr>
                <w:rFonts w:hint="eastAsia"/>
              </w:rPr>
              <w:t xml:space="preserve"> </w:t>
            </w:r>
            <w:r>
              <w:t>150</w:t>
            </w:r>
          </w:p>
        </w:tc>
      </w:tr>
    </w:tbl>
    <w:p>
      <w:pPr>
        <w:ind w:firstLine="0"/>
        <w:rPr>
          <w:rFonts w:ascii="Times New Roman" w:hAnsi="Times New Roman" w:cs="Times New Roman"/>
        </w:rPr>
      </w:pPr>
    </w:p>
    <w:p>
      <w:pPr>
        <w:ind w:firstLine="0"/>
        <w:rPr>
          <w:rFonts w:ascii="Times New Roman" w:hAnsi="Times New Roman" w:cs="Times New Roman"/>
        </w:rPr>
      </w:pPr>
      <w:r>
        <w:rPr>
          <w:rFonts w:hint="eastAsia" w:ascii="黑体" w:eastAsia="黑体" w:cs="Times New Roman"/>
        </w:rPr>
        <w:t xml:space="preserve">7.4.2.4 </w:t>
      </w:r>
      <w:r>
        <w:rPr>
          <w:rFonts w:ascii="Times New Roman" w:hAnsi="Times New Roman" w:cs="Times New Roman"/>
        </w:rPr>
        <w:t xml:space="preserve"> 施工风、水、电概（预）算价格：风0.15元/立方米，水0.85元/立方米，电1.01元/千瓦每小时。风、水、电价格不计算价差。</w:t>
      </w:r>
    </w:p>
    <w:p>
      <w:pPr>
        <w:ind w:firstLine="0"/>
        <w:rPr>
          <w:rFonts w:ascii="Times New Roman" w:hAnsi="Times New Roman" w:cs="Times New Roman"/>
        </w:rPr>
      </w:pPr>
      <w:r>
        <w:rPr>
          <w:rFonts w:hint="eastAsia" w:ascii="黑体" w:eastAsia="黑体" w:cs="Times New Roman"/>
        </w:rPr>
        <w:t xml:space="preserve">7.4.2.5 </w:t>
      </w:r>
      <w:r>
        <w:rPr>
          <w:rFonts w:ascii="Times New Roman" w:hAnsi="Times New Roman" w:cs="Times New Roman"/>
        </w:rPr>
        <w:t xml:space="preserve"> 对工程运输条件特别差，建筑材料需经多次转运的，按照</w:t>
      </w:r>
      <w:r>
        <w:rPr>
          <w:rFonts w:hint="eastAsia" w:ascii="Times New Roman" w:hAnsi="Times New Roman" w:cs="Times New Roman"/>
          <w:lang w:eastAsia="zh-CN"/>
        </w:rPr>
        <w:t>住房和城乡建设部</w:t>
      </w:r>
      <w:r>
        <w:rPr>
          <w:rFonts w:ascii="Times New Roman" w:hAnsi="Times New Roman" w:cs="Times New Roman"/>
        </w:rPr>
        <w:t>、财政部《建筑安装工程费用项目组成》（建标〔2013〕44号）要求，可增列二次搬运费。水利定额中未列入的相关费用可采用中国地质灾害防治工程行业协会《地质灾害防治工程预算定额》相应工作内容的人材机含量，按水利部《水利工程设计概（估）算编制规定》</w:t>
      </w:r>
      <w:r>
        <w:rPr>
          <w:rFonts w:hint="eastAsia" w:ascii="Times New Roman" w:hAnsi="Times New Roman" w:cs="Times New Roman"/>
        </w:rPr>
        <w:t>（</w:t>
      </w:r>
      <w:r>
        <w:rPr>
          <w:rFonts w:ascii="Times New Roman" w:hAnsi="Times New Roman" w:cs="Times New Roman"/>
        </w:rPr>
        <w:t>水总〔201</w:t>
      </w:r>
      <w:r>
        <w:rPr>
          <w:rFonts w:hint="eastAsia" w:ascii="Times New Roman" w:hAnsi="Times New Roman" w:cs="Times New Roman"/>
        </w:rPr>
        <w:t>4</w:t>
      </w:r>
      <w:r>
        <w:rPr>
          <w:rFonts w:ascii="Times New Roman" w:hAnsi="Times New Roman" w:cs="Times New Roman"/>
        </w:rPr>
        <w:t>〕429号</w:t>
      </w:r>
      <w:r>
        <w:rPr>
          <w:rFonts w:hint="eastAsia" w:ascii="Times New Roman" w:hAnsi="Times New Roman" w:cs="Times New Roman"/>
        </w:rPr>
        <w:t>）</w:t>
      </w:r>
      <w:r>
        <w:rPr>
          <w:rFonts w:ascii="Times New Roman" w:hAnsi="Times New Roman" w:cs="Times New Roman"/>
        </w:rPr>
        <w:t>的概预算格式和规定编制，其中人工工时等量换算为水利定额的中级工工时。</w:t>
      </w:r>
    </w:p>
    <w:p>
      <w:pPr>
        <w:pStyle w:val="228"/>
        <w:spacing w:before="120" w:after="120"/>
        <w:rPr>
          <w:rFonts w:ascii="黑体" w:cs="Times New Roman"/>
        </w:rPr>
      </w:pPr>
      <w:r>
        <w:rPr>
          <w:rFonts w:hint="eastAsia" w:ascii="黑体" w:cs="Times New Roman"/>
        </w:rPr>
        <w:t>7.4.3  施工机械使用费</w:t>
      </w:r>
    </w:p>
    <w:p>
      <w:pPr>
        <w:ind w:firstLine="0"/>
        <w:rPr>
          <w:rFonts w:ascii="Times New Roman" w:hAnsi="Times New Roman" w:cs="Times New Roman"/>
        </w:rPr>
      </w:pPr>
      <w:r>
        <w:rPr>
          <w:rFonts w:hint="eastAsia" w:ascii="黑体" w:eastAsia="黑体" w:cs="Times New Roman"/>
        </w:rPr>
        <w:t>7.4.3.1</w:t>
      </w:r>
      <w:r>
        <w:rPr>
          <w:rFonts w:ascii="Times New Roman" w:hAnsi="Times New Roman" w:eastAsia="黑体" w:cs="Times New Roman"/>
        </w:rPr>
        <w:t xml:space="preserve"> </w:t>
      </w:r>
      <w:r>
        <w:rPr>
          <w:rFonts w:ascii="Times New Roman" w:hAnsi="Times New Roman" w:cs="Times New Roman"/>
        </w:rPr>
        <w:t xml:space="preserve"> 施工机械使用费依据水利部《水利工程施工机械台时费定额》</w:t>
      </w:r>
      <w:r>
        <w:rPr>
          <w:rFonts w:hint="eastAsia" w:ascii="Times New Roman" w:hAnsi="Times New Roman" w:cs="Times New Roman"/>
        </w:rPr>
        <w:t>（</w:t>
      </w:r>
      <w:r>
        <w:rPr>
          <w:rFonts w:ascii="Times New Roman" w:hAnsi="Times New Roman" w:cs="Times New Roman"/>
        </w:rPr>
        <w:t>水总〔20</w:t>
      </w:r>
      <w:r>
        <w:rPr>
          <w:rFonts w:hint="eastAsia" w:ascii="Times New Roman" w:hAnsi="Times New Roman" w:cs="Times New Roman"/>
        </w:rPr>
        <w:t>02</w:t>
      </w:r>
      <w:r>
        <w:rPr>
          <w:rFonts w:ascii="Times New Roman" w:hAnsi="Times New Roman" w:cs="Times New Roman"/>
        </w:rPr>
        <w:t>〕116号</w:t>
      </w:r>
      <w:r>
        <w:rPr>
          <w:rFonts w:hint="eastAsia" w:ascii="Times New Roman" w:hAnsi="Times New Roman" w:cs="Times New Roman"/>
        </w:rPr>
        <w:t>）</w:t>
      </w:r>
      <w:r>
        <w:rPr>
          <w:rFonts w:ascii="Times New Roman" w:hAnsi="Times New Roman" w:cs="Times New Roman"/>
        </w:rPr>
        <w:t>和水利部办公厅《关于调整水利工程计价依据增值税计算标准的通知》（办财务函〔2019〕448号），按调整后的施工机械台时费定额和不含增值税的基础价格计算。</w:t>
      </w:r>
    </w:p>
    <w:p>
      <w:pPr>
        <w:ind w:firstLine="0"/>
        <w:rPr>
          <w:rFonts w:ascii="Times New Roman" w:hAnsi="Times New Roman" w:cs="Times New Roman"/>
        </w:rPr>
      </w:pPr>
      <w:r>
        <w:rPr>
          <w:rFonts w:hint="eastAsia" w:ascii="黑体" w:eastAsia="黑体" w:cs="Times New Roman"/>
        </w:rPr>
        <w:t>7.4.3.2</w:t>
      </w:r>
      <w:r>
        <w:rPr>
          <w:rFonts w:ascii="Times New Roman" w:hAnsi="Times New Roman" w:eastAsia="黑体" w:cs="Times New Roman"/>
        </w:rPr>
        <w:t xml:space="preserve">  </w:t>
      </w:r>
      <w:r>
        <w:rPr>
          <w:rFonts w:ascii="Times New Roman" w:hAnsi="Times New Roman" w:cs="Times New Roman"/>
        </w:rPr>
        <w:t>施工机械台时费定额的折旧费除以1.13调整系数，修理及替换设备费除以1.09调整系数，安装拆卸费不变。</w:t>
      </w:r>
    </w:p>
    <w:p>
      <w:pPr>
        <w:pStyle w:val="228"/>
        <w:spacing w:before="120" w:after="120"/>
        <w:rPr>
          <w:rFonts w:ascii="黑体" w:cs="Times New Roman"/>
        </w:rPr>
      </w:pPr>
      <w:r>
        <w:rPr>
          <w:rFonts w:hint="eastAsia" w:ascii="黑体" w:cs="Times New Roman"/>
        </w:rPr>
        <w:t>7.4.4  建筑工程单价</w:t>
      </w:r>
    </w:p>
    <w:p>
      <w:pPr>
        <w:ind w:firstLine="420"/>
        <w:rPr>
          <w:rFonts w:ascii="Times New Roman" w:hAnsi="Times New Roman" w:cs="Times New Roman"/>
        </w:rPr>
      </w:pPr>
      <w:r>
        <w:rPr>
          <w:rFonts w:ascii="Times New Roman" w:hAnsi="Times New Roman" w:cs="Times New Roman"/>
        </w:rPr>
        <w:t>建筑工程概（预）算单价主要依据水利部《水利建筑工程概算定额》（《水利建筑工程预算定额》）、《水利工程施工机械台时费定额》</w:t>
      </w:r>
      <w:r>
        <w:rPr>
          <w:rFonts w:hint="eastAsia" w:ascii="Times New Roman" w:hAnsi="Times New Roman" w:cs="Times New Roman"/>
        </w:rPr>
        <w:t>（</w:t>
      </w:r>
      <w:r>
        <w:rPr>
          <w:rFonts w:ascii="Times New Roman" w:hAnsi="Times New Roman" w:cs="Times New Roman"/>
        </w:rPr>
        <w:t>水总〔20</w:t>
      </w:r>
      <w:r>
        <w:rPr>
          <w:rFonts w:hint="eastAsia" w:ascii="Times New Roman" w:hAnsi="Times New Roman" w:cs="Times New Roman"/>
        </w:rPr>
        <w:t>02</w:t>
      </w:r>
      <w:r>
        <w:rPr>
          <w:rFonts w:ascii="Times New Roman" w:hAnsi="Times New Roman" w:cs="Times New Roman"/>
        </w:rPr>
        <w:t>〕116号</w:t>
      </w:r>
      <w:r>
        <w:rPr>
          <w:rFonts w:hint="eastAsia" w:ascii="Times New Roman" w:hAnsi="Times New Roman" w:cs="Times New Roman"/>
        </w:rPr>
        <w:t>）</w:t>
      </w:r>
      <w:r>
        <w:rPr>
          <w:rFonts w:ascii="Times New Roman" w:hAnsi="Times New Roman" w:cs="Times New Roman"/>
        </w:rPr>
        <w:t>，选取相应的人工概（预）算单价、材料计入价和施工机械台时费计算汇总而得。其中概算采用《水利建筑工程概算定额》，预算采用《水利建筑工程预算定额》</w:t>
      </w:r>
      <w:r>
        <w:rPr>
          <w:rFonts w:hint="eastAsia" w:ascii="Times New Roman" w:hAnsi="Times New Roman" w:cs="Times New Roman"/>
        </w:rPr>
        <w:t>，计算方法采用</w:t>
      </w:r>
      <w:r>
        <w:rPr>
          <w:rFonts w:ascii="Times New Roman" w:hAnsi="Times New Roman" w:cs="Times New Roman"/>
        </w:rPr>
        <w:t>〔20</w:t>
      </w:r>
      <w:r>
        <w:rPr>
          <w:rFonts w:hint="eastAsia" w:ascii="Times New Roman" w:hAnsi="Times New Roman" w:cs="Times New Roman"/>
        </w:rPr>
        <w:t>14</w:t>
      </w:r>
      <w:r>
        <w:rPr>
          <w:rFonts w:ascii="Times New Roman" w:hAnsi="Times New Roman" w:cs="Times New Roman"/>
        </w:rPr>
        <w:t>〕</w:t>
      </w:r>
      <w:r>
        <w:rPr>
          <w:rFonts w:hint="eastAsia" w:ascii="Times New Roman" w:hAnsi="Times New Roman" w:cs="Times New Roman"/>
        </w:rPr>
        <w:t>429</w:t>
      </w:r>
      <w:r>
        <w:rPr>
          <w:rFonts w:ascii="Times New Roman" w:hAnsi="Times New Roman" w:cs="Times New Roman"/>
        </w:rPr>
        <w:t>号</w:t>
      </w:r>
      <w:r>
        <w:rPr>
          <w:rFonts w:hint="eastAsia" w:ascii="Times New Roman" w:hAnsi="Times New Roman" w:cs="Times New Roman"/>
        </w:rPr>
        <w:t>文</w:t>
      </w:r>
      <w:r>
        <w:rPr>
          <w:rFonts w:ascii="Times New Roman" w:hAnsi="Times New Roman" w:cs="Times New Roman"/>
        </w:rPr>
        <w:t>。</w:t>
      </w:r>
    </w:p>
    <w:p>
      <w:pPr>
        <w:ind w:left="840" w:leftChars="200" w:hanging="420"/>
        <w:jc w:val="both"/>
        <w:rPr>
          <w:rFonts w:ascii="Times New Roman" w:hAnsi="Times New Roman" w:cs="Times New Roman"/>
        </w:rPr>
      </w:pPr>
      <w:r>
        <w:rPr>
          <w:rFonts w:ascii="Times New Roman" w:hAnsi="Times New Roman" w:cs="Times New Roman"/>
        </w:rPr>
        <w:t>a)  直接费</w:t>
      </w:r>
    </w:p>
    <w:p>
      <w:pPr>
        <w:ind w:left="1260" w:leftChars="400" w:hanging="420" w:hangingChars="200"/>
        <w:jc w:val="both"/>
        <w:rPr>
          <w:rFonts w:ascii="Times New Roman" w:hAnsi="Times New Roman" w:cs="Times New Roman"/>
        </w:rPr>
      </w:pPr>
      <w:r>
        <w:rPr>
          <w:rFonts w:ascii="Times New Roman" w:hAnsi="Times New Roman" w:cs="Times New Roman"/>
        </w:rPr>
        <w:t>1)  直接费=基本直接费+其他直接费</w:t>
      </w:r>
    </w:p>
    <w:p>
      <w:pPr>
        <w:ind w:left="1260" w:leftChars="400" w:hanging="420" w:hangingChars="200"/>
        <w:jc w:val="both"/>
        <w:rPr>
          <w:rFonts w:ascii="Times New Roman" w:hAnsi="Times New Roman" w:cs="Times New Roman"/>
        </w:rPr>
      </w:pPr>
      <w:r>
        <w:rPr>
          <w:rFonts w:ascii="Times New Roman" w:hAnsi="Times New Roman" w:cs="Times New Roman"/>
        </w:rPr>
        <w:t>2)  基本直接费</w:t>
      </w:r>
    </w:p>
    <w:p>
      <w:pPr>
        <w:ind w:left="1680" w:leftChars="600" w:hanging="420" w:hangingChars="200"/>
        <w:jc w:val="both"/>
        <w:rPr>
          <w:rFonts w:ascii="Times New Roman" w:hAnsi="Times New Roman" w:cs="Times New Roman"/>
        </w:rPr>
      </w:pPr>
      <w:r>
        <w:rPr>
          <w:rFonts w:ascii="Times New Roman" w:hAnsi="Times New Roman" w:cs="Times New Roman"/>
        </w:rPr>
        <w:t>人工费=定额劳动量（工时）×人工预算单价（元/工时）</w:t>
      </w:r>
    </w:p>
    <w:p>
      <w:pPr>
        <w:ind w:left="1680" w:leftChars="600" w:hanging="420" w:hangingChars="200"/>
        <w:jc w:val="both"/>
        <w:rPr>
          <w:rFonts w:ascii="Times New Roman" w:hAnsi="Times New Roman" w:cs="Times New Roman"/>
        </w:rPr>
      </w:pPr>
      <w:r>
        <w:rPr>
          <w:rFonts w:ascii="Times New Roman" w:hAnsi="Times New Roman" w:cs="Times New Roman"/>
        </w:rPr>
        <w:t>材料费=定额材料用量×材料预算单价</w:t>
      </w:r>
    </w:p>
    <w:p>
      <w:pPr>
        <w:ind w:left="1680" w:leftChars="600" w:hanging="420" w:hangingChars="200"/>
        <w:jc w:val="both"/>
        <w:rPr>
          <w:rFonts w:ascii="Times New Roman" w:hAnsi="Times New Roman" w:cs="Times New Roman"/>
        </w:rPr>
      </w:pPr>
      <w:r>
        <w:rPr>
          <w:rFonts w:ascii="Times New Roman" w:hAnsi="Times New Roman" w:cs="Times New Roman"/>
        </w:rPr>
        <w:t>机械使用费=定额机械使用量（台时）×施工机械台时费（元/台时）</w:t>
      </w:r>
    </w:p>
    <w:p>
      <w:pPr>
        <w:ind w:left="1260" w:leftChars="400" w:hanging="420" w:hangingChars="200"/>
        <w:jc w:val="both"/>
        <w:rPr>
          <w:rFonts w:ascii="Times New Roman" w:hAnsi="Times New Roman" w:cs="Times New Roman"/>
        </w:rPr>
      </w:pPr>
      <w:r>
        <w:rPr>
          <w:rFonts w:ascii="Times New Roman" w:hAnsi="Times New Roman" w:cs="Times New Roman"/>
        </w:rPr>
        <w:t>3)  其他直接费=基本直接费×其他直接费费率之和</w:t>
      </w:r>
    </w:p>
    <w:p>
      <w:pPr>
        <w:ind w:left="1260" w:leftChars="600" w:firstLine="0"/>
        <w:jc w:val="both"/>
        <w:rPr>
          <w:rFonts w:ascii="Times New Roman" w:hAnsi="Times New Roman" w:cs="Times New Roman"/>
        </w:rPr>
      </w:pPr>
      <w:r>
        <w:rPr>
          <w:rFonts w:ascii="Times New Roman" w:hAnsi="Times New Roman" w:cs="Times New Roman"/>
        </w:rPr>
        <w:t>（其他直接费费率含冬雨季施工增加费、夜间施工增加费、临时设施费、安全生产措施费、检验试验和检测费）</w:t>
      </w:r>
    </w:p>
    <w:p>
      <w:pPr>
        <w:ind w:left="840" w:leftChars="200" w:hanging="420"/>
        <w:jc w:val="both"/>
        <w:rPr>
          <w:rFonts w:ascii="Times New Roman" w:hAnsi="Times New Roman" w:cs="Times New Roman"/>
        </w:rPr>
      </w:pPr>
      <w:r>
        <w:rPr>
          <w:rFonts w:ascii="Times New Roman" w:hAnsi="Times New Roman" w:cs="Times New Roman"/>
        </w:rPr>
        <w:t>b</w:t>
      </w:r>
      <w:r>
        <w:rPr>
          <w:rFonts w:hint="eastAsia" w:ascii="Times New Roman" w:hAnsi="Times New Roman" w:cs="Times New Roman"/>
        </w:rPr>
        <w:t>)</w:t>
      </w:r>
      <w:r>
        <w:rPr>
          <w:rFonts w:ascii="Times New Roman" w:hAnsi="Times New Roman" w:cs="Times New Roman"/>
        </w:rPr>
        <w:t xml:space="preserve">  间接费</w:t>
      </w:r>
    </w:p>
    <w:p>
      <w:pPr>
        <w:ind w:left="840" w:leftChars="400" w:firstLine="0"/>
        <w:jc w:val="both"/>
        <w:rPr>
          <w:rFonts w:ascii="Times New Roman" w:hAnsi="Times New Roman" w:cs="Times New Roman"/>
        </w:rPr>
      </w:pPr>
      <w:r>
        <w:rPr>
          <w:rFonts w:ascii="Times New Roman" w:hAnsi="Times New Roman" w:cs="Times New Roman"/>
        </w:rPr>
        <w:t>间接费=直接费×间接费费率</w:t>
      </w:r>
    </w:p>
    <w:p>
      <w:pPr>
        <w:ind w:left="840" w:leftChars="200" w:hanging="420"/>
        <w:jc w:val="both"/>
        <w:rPr>
          <w:rFonts w:ascii="Times New Roman" w:hAnsi="Times New Roman" w:cs="Times New Roman"/>
        </w:rPr>
      </w:pPr>
      <w:r>
        <w:rPr>
          <w:rFonts w:ascii="Times New Roman" w:hAnsi="Times New Roman" w:cs="Times New Roman"/>
        </w:rPr>
        <w:t>c)  利润</w:t>
      </w:r>
    </w:p>
    <w:p>
      <w:pPr>
        <w:ind w:left="840" w:leftChars="400" w:firstLine="0"/>
        <w:jc w:val="both"/>
        <w:rPr>
          <w:rFonts w:ascii="Times New Roman" w:hAnsi="Times New Roman" w:cs="Times New Roman"/>
        </w:rPr>
      </w:pPr>
      <w:r>
        <w:rPr>
          <w:rFonts w:ascii="Times New Roman" w:hAnsi="Times New Roman" w:cs="Times New Roman"/>
        </w:rPr>
        <w:t>利润=（直接费+间接费）×利润率</w:t>
      </w:r>
    </w:p>
    <w:p>
      <w:pPr>
        <w:ind w:left="840" w:leftChars="200" w:hanging="420"/>
        <w:jc w:val="both"/>
        <w:rPr>
          <w:rFonts w:ascii="Times New Roman" w:hAnsi="Times New Roman" w:cs="Times New Roman"/>
        </w:rPr>
      </w:pPr>
      <w:r>
        <w:rPr>
          <w:rFonts w:ascii="Times New Roman" w:hAnsi="Times New Roman" w:cs="Times New Roman"/>
        </w:rPr>
        <w:t>d)  材料补差</w:t>
      </w:r>
    </w:p>
    <w:p>
      <w:pPr>
        <w:ind w:left="840" w:leftChars="400" w:firstLine="0"/>
        <w:jc w:val="both"/>
        <w:rPr>
          <w:rFonts w:ascii="Times New Roman" w:hAnsi="Times New Roman" w:cs="Times New Roman"/>
        </w:rPr>
      </w:pPr>
      <w:r>
        <w:rPr>
          <w:rFonts w:ascii="Times New Roman" w:hAnsi="Times New Roman" w:cs="Times New Roman"/>
        </w:rPr>
        <w:t>材料补差=（材料预算价格－材料基价）×材料消耗量</w:t>
      </w:r>
    </w:p>
    <w:p>
      <w:pPr>
        <w:ind w:left="840" w:leftChars="200" w:hanging="420"/>
        <w:jc w:val="both"/>
        <w:rPr>
          <w:rFonts w:ascii="Times New Roman" w:hAnsi="Times New Roman" w:cs="Times New Roman"/>
        </w:rPr>
      </w:pPr>
      <w:r>
        <w:rPr>
          <w:rFonts w:ascii="Times New Roman" w:hAnsi="Times New Roman" w:cs="Times New Roman"/>
        </w:rPr>
        <w:t>e)  税金</w:t>
      </w:r>
    </w:p>
    <w:p>
      <w:pPr>
        <w:ind w:left="840" w:leftChars="400" w:firstLine="0"/>
        <w:jc w:val="both"/>
        <w:rPr>
          <w:rFonts w:ascii="Times New Roman" w:hAnsi="Times New Roman" w:cs="Times New Roman"/>
        </w:rPr>
      </w:pPr>
      <w:r>
        <w:rPr>
          <w:rFonts w:ascii="Times New Roman" w:hAnsi="Times New Roman" w:cs="Times New Roman"/>
        </w:rPr>
        <w:t>税金=（直接费+间接费+利润+材料补差）×税率</w:t>
      </w:r>
    </w:p>
    <w:p>
      <w:pPr>
        <w:ind w:left="840" w:leftChars="200" w:hanging="420"/>
        <w:jc w:val="both"/>
        <w:rPr>
          <w:rFonts w:ascii="Times New Roman" w:hAnsi="Times New Roman" w:cs="Times New Roman"/>
        </w:rPr>
      </w:pPr>
      <w:r>
        <w:rPr>
          <w:rFonts w:hint="eastAsia" w:ascii="Times New Roman" w:hAnsi="Times New Roman" w:cs="Times New Roman"/>
        </w:rPr>
        <w:t>f</w:t>
      </w:r>
      <w:r>
        <w:rPr>
          <w:rFonts w:ascii="Times New Roman" w:hAnsi="Times New Roman" w:cs="Times New Roman"/>
        </w:rPr>
        <w:t>)  建筑工程单价</w:t>
      </w:r>
    </w:p>
    <w:p>
      <w:pPr>
        <w:ind w:left="840" w:leftChars="400" w:firstLine="0"/>
        <w:jc w:val="both"/>
        <w:rPr>
          <w:rFonts w:ascii="Times New Roman" w:hAnsi="Times New Roman" w:cs="Times New Roman"/>
        </w:rPr>
      </w:pPr>
      <w:r>
        <w:rPr>
          <w:rFonts w:ascii="Times New Roman" w:hAnsi="Times New Roman" w:cs="Times New Roman"/>
        </w:rPr>
        <w:t>建筑工程单价=直接费+间接费+利润+材料补差+税金</w:t>
      </w:r>
    </w:p>
    <w:p>
      <w:pPr>
        <w:pStyle w:val="228"/>
        <w:spacing w:before="120" w:after="120"/>
        <w:rPr>
          <w:rFonts w:ascii="黑体" w:cs="Times New Roman"/>
        </w:rPr>
      </w:pPr>
      <w:r>
        <w:rPr>
          <w:rFonts w:hint="eastAsia" w:ascii="黑体" w:cs="Times New Roman"/>
        </w:rPr>
        <w:t>7.4.5  安装工程单价</w:t>
      </w:r>
    </w:p>
    <w:p>
      <w:pPr>
        <w:ind w:firstLine="420"/>
        <w:rPr>
          <w:rFonts w:ascii="Times New Roman" w:hAnsi="Times New Roman" w:cs="Times New Roman"/>
        </w:rPr>
      </w:pPr>
      <w:r>
        <w:rPr>
          <w:rFonts w:ascii="Times New Roman" w:hAnsi="Times New Roman" w:cs="Times New Roman"/>
        </w:rPr>
        <w:t>对未计价装置性材料进行安装时采用以下计算方式：</w:t>
      </w:r>
    </w:p>
    <w:p>
      <w:pPr>
        <w:ind w:left="840" w:leftChars="200" w:hanging="420"/>
        <w:jc w:val="both"/>
        <w:rPr>
          <w:rFonts w:ascii="Times New Roman" w:hAnsi="Times New Roman" w:cs="Times New Roman"/>
        </w:rPr>
      </w:pPr>
      <w:r>
        <w:rPr>
          <w:rFonts w:ascii="Times New Roman" w:hAnsi="Times New Roman" w:cs="Times New Roman"/>
        </w:rPr>
        <w:t>a)  直接费</w:t>
      </w:r>
    </w:p>
    <w:p>
      <w:pPr>
        <w:ind w:firstLine="783"/>
        <w:rPr>
          <w:rFonts w:ascii="Times New Roman" w:hAnsi="Times New Roman" w:cs="Times New Roman"/>
        </w:rPr>
      </w:pPr>
      <w:r>
        <w:rPr>
          <w:rFonts w:ascii="Times New Roman" w:hAnsi="Times New Roman" w:cs="Times New Roman"/>
        </w:rPr>
        <w:t>1)  直接费=基本直接费+其他直接费</w:t>
      </w:r>
    </w:p>
    <w:p>
      <w:pPr>
        <w:ind w:firstLine="783"/>
        <w:rPr>
          <w:rFonts w:ascii="Times New Roman" w:hAnsi="Times New Roman" w:cs="Times New Roman"/>
        </w:rPr>
      </w:pPr>
      <w:r>
        <w:rPr>
          <w:rFonts w:ascii="Times New Roman" w:hAnsi="Times New Roman" w:cs="Times New Roman"/>
        </w:rPr>
        <w:t>2)  基本直接费</w:t>
      </w:r>
    </w:p>
    <w:p>
      <w:pPr>
        <w:ind w:firstLine="1176"/>
        <w:rPr>
          <w:rFonts w:ascii="Times New Roman" w:hAnsi="Times New Roman" w:cs="Times New Roman"/>
        </w:rPr>
      </w:pPr>
      <w:r>
        <w:rPr>
          <w:rFonts w:ascii="Times New Roman" w:hAnsi="Times New Roman" w:cs="Times New Roman"/>
        </w:rPr>
        <w:t>人工费=定额劳动量（工时）×人工预算单价（元/工时）</w:t>
      </w:r>
    </w:p>
    <w:p>
      <w:pPr>
        <w:ind w:firstLine="1176"/>
        <w:rPr>
          <w:rFonts w:ascii="Times New Roman" w:hAnsi="Times New Roman" w:cs="Times New Roman"/>
        </w:rPr>
      </w:pPr>
      <w:r>
        <w:rPr>
          <w:rFonts w:ascii="Times New Roman" w:hAnsi="Times New Roman" w:cs="Times New Roman"/>
        </w:rPr>
        <w:t>材料费=定额材料用量×材料预算单价</w:t>
      </w:r>
    </w:p>
    <w:p>
      <w:pPr>
        <w:ind w:firstLine="1176"/>
        <w:rPr>
          <w:rFonts w:ascii="Times New Roman" w:hAnsi="Times New Roman" w:cs="Times New Roman"/>
        </w:rPr>
      </w:pPr>
      <w:r>
        <w:rPr>
          <w:rFonts w:ascii="Times New Roman" w:hAnsi="Times New Roman" w:cs="Times New Roman"/>
        </w:rPr>
        <w:t>机械使用费=定额机械使用量（台时）×施工机械台时费（元/台时）</w:t>
      </w:r>
    </w:p>
    <w:p>
      <w:pPr>
        <w:ind w:firstLine="783"/>
        <w:rPr>
          <w:rFonts w:ascii="Times New Roman" w:hAnsi="Times New Roman" w:cs="Times New Roman"/>
        </w:rPr>
      </w:pPr>
      <w:r>
        <w:rPr>
          <w:rFonts w:ascii="Times New Roman" w:hAnsi="Times New Roman" w:cs="Times New Roman"/>
        </w:rPr>
        <w:t>3)  其他直接费=基本直接费×其他直接费费率之和</w:t>
      </w:r>
    </w:p>
    <w:p>
      <w:pPr>
        <w:ind w:left="840" w:leftChars="200" w:hanging="420"/>
        <w:jc w:val="both"/>
        <w:rPr>
          <w:rFonts w:ascii="Times New Roman" w:hAnsi="Times New Roman" w:cs="Times New Roman"/>
        </w:rPr>
      </w:pPr>
      <w:r>
        <w:rPr>
          <w:rFonts w:ascii="Times New Roman" w:hAnsi="Times New Roman" w:cs="Times New Roman"/>
        </w:rPr>
        <w:t>b)  间接费</w:t>
      </w:r>
    </w:p>
    <w:p>
      <w:pPr>
        <w:ind w:firstLine="783"/>
        <w:rPr>
          <w:rFonts w:ascii="Times New Roman" w:hAnsi="Times New Roman" w:cs="Times New Roman"/>
        </w:rPr>
      </w:pPr>
      <w:r>
        <w:rPr>
          <w:rFonts w:ascii="Times New Roman" w:hAnsi="Times New Roman" w:cs="Times New Roman"/>
        </w:rPr>
        <w:t>间接费=人工费×间接费费率</w:t>
      </w:r>
    </w:p>
    <w:p>
      <w:pPr>
        <w:ind w:left="840" w:leftChars="200" w:hanging="420"/>
        <w:jc w:val="both"/>
        <w:rPr>
          <w:rFonts w:ascii="Times New Roman" w:hAnsi="Times New Roman" w:cs="Times New Roman"/>
        </w:rPr>
      </w:pPr>
      <w:r>
        <w:rPr>
          <w:rFonts w:ascii="Times New Roman" w:hAnsi="Times New Roman" w:cs="Times New Roman"/>
        </w:rPr>
        <w:t>c)  利润</w:t>
      </w:r>
    </w:p>
    <w:p>
      <w:pPr>
        <w:ind w:firstLine="783"/>
        <w:rPr>
          <w:rFonts w:ascii="Times New Roman" w:hAnsi="Times New Roman" w:cs="Times New Roman"/>
        </w:rPr>
      </w:pPr>
      <w:r>
        <w:rPr>
          <w:rFonts w:ascii="Times New Roman" w:hAnsi="Times New Roman" w:cs="Times New Roman"/>
        </w:rPr>
        <w:t>利润=（直接费+间接费）×利润率</w:t>
      </w:r>
    </w:p>
    <w:p>
      <w:pPr>
        <w:ind w:firstLine="424"/>
        <w:rPr>
          <w:rFonts w:ascii="Times New Roman" w:hAnsi="Times New Roman" w:cs="Times New Roman"/>
        </w:rPr>
      </w:pPr>
      <w:r>
        <w:rPr>
          <w:rFonts w:ascii="Times New Roman" w:hAnsi="Times New Roman" w:cs="Times New Roman"/>
        </w:rPr>
        <w:t>d)  材料补差</w:t>
      </w:r>
    </w:p>
    <w:p>
      <w:pPr>
        <w:ind w:firstLine="783"/>
        <w:rPr>
          <w:rFonts w:ascii="Times New Roman" w:hAnsi="Times New Roman" w:cs="Times New Roman"/>
        </w:rPr>
      </w:pPr>
      <w:r>
        <w:rPr>
          <w:rFonts w:ascii="Times New Roman" w:hAnsi="Times New Roman" w:cs="Times New Roman"/>
        </w:rPr>
        <w:t>材料补差=（材料预算价格</w:t>
      </w:r>
      <w:r>
        <w:rPr>
          <w:rFonts w:hint="eastAsia" w:ascii="Times New Roman" w:hAnsi="Times New Roman" w:cs="Times New Roman"/>
        </w:rPr>
        <w:t>－</w:t>
      </w:r>
      <w:r>
        <w:rPr>
          <w:rFonts w:ascii="Times New Roman" w:hAnsi="Times New Roman" w:cs="Times New Roman"/>
        </w:rPr>
        <w:t>材料基价）×材料消耗量</w:t>
      </w:r>
    </w:p>
    <w:p>
      <w:pPr>
        <w:ind w:firstLine="424"/>
        <w:rPr>
          <w:rFonts w:ascii="Times New Roman" w:hAnsi="Times New Roman" w:cs="Times New Roman"/>
        </w:rPr>
      </w:pPr>
      <w:r>
        <w:rPr>
          <w:rFonts w:ascii="Times New Roman" w:hAnsi="Times New Roman" w:cs="Times New Roman"/>
        </w:rPr>
        <w:t>e)  未计价装置性材料费</w:t>
      </w:r>
    </w:p>
    <w:p>
      <w:pPr>
        <w:ind w:firstLine="783"/>
        <w:rPr>
          <w:rFonts w:ascii="Times New Roman" w:hAnsi="Times New Roman" w:cs="Times New Roman"/>
        </w:rPr>
      </w:pPr>
      <w:r>
        <w:rPr>
          <w:rFonts w:ascii="Times New Roman" w:hAnsi="Times New Roman" w:cs="Times New Roman"/>
        </w:rPr>
        <w:t>未计价装置性材料费=未计价装置性材料用量×材料预算单价</w:t>
      </w:r>
    </w:p>
    <w:p>
      <w:pPr>
        <w:ind w:firstLine="424"/>
        <w:rPr>
          <w:rFonts w:ascii="Times New Roman" w:hAnsi="Times New Roman" w:cs="Times New Roman"/>
        </w:rPr>
      </w:pPr>
      <w:r>
        <w:rPr>
          <w:rFonts w:ascii="Times New Roman" w:hAnsi="Times New Roman" w:cs="Times New Roman"/>
        </w:rPr>
        <w:t>f)  税金</w:t>
      </w:r>
    </w:p>
    <w:p>
      <w:pPr>
        <w:ind w:firstLine="783"/>
        <w:rPr>
          <w:rFonts w:ascii="Times New Roman" w:hAnsi="Times New Roman" w:cs="Times New Roman"/>
        </w:rPr>
      </w:pPr>
      <w:r>
        <w:rPr>
          <w:rFonts w:ascii="Times New Roman" w:hAnsi="Times New Roman" w:cs="Times New Roman"/>
        </w:rPr>
        <w:t>税金=（直接费+间接费+利润+材料补差+未计价装置性材料费）×税率</w:t>
      </w:r>
    </w:p>
    <w:p>
      <w:pPr>
        <w:ind w:firstLine="424"/>
        <w:rPr>
          <w:rFonts w:ascii="Times New Roman" w:hAnsi="Times New Roman" w:cs="Times New Roman"/>
        </w:rPr>
      </w:pPr>
      <w:r>
        <w:rPr>
          <w:rFonts w:ascii="Times New Roman" w:hAnsi="Times New Roman" w:cs="Times New Roman"/>
        </w:rPr>
        <w:t>g)  安装工程单价</w:t>
      </w:r>
    </w:p>
    <w:p>
      <w:pPr>
        <w:ind w:firstLine="783"/>
        <w:rPr>
          <w:rFonts w:ascii="Times New Roman" w:hAnsi="Times New Roman" w:cs="Times New Roman"/>
        </w:rPr>
      </w:pPr>
      <w:r>
        <w:rPr>
          <w:rFonts w:ascii="Times New Roman" w:hAnsi="Times New Roman" w:cs="Times New Roman"/>
        </w:rPr>
        <w:t>安装工程单价=直接费+间接费+利润+材料补差+未计价装置性材料费+税金</w:t>
      </w:r>
    </w:p>
    <w:p>
      <w:pPr>
        <w:pStyle w:val="4"/>
        <w:spacing w:beforeLines="50" w:afterLines="50"/>
        <w:rPr>
          <w:rFonts w:cs="Times New Roman"/>
        </w:rPr>
      </w:pPr>
      <w:bookmarkStart w:id="110" w:name="_Toc36634229"/>
      <w:r>
        <w:rPr>
          <w:rFonts w:hint="eastAsia" w:cs="Times New Roman"/>
        </w:rPr>
        <w:t>7.5  取费标准</w:t>
      </w:r>
      <w:bookmarkEnd w:id="110"/>
    </w:p>
    <w:p>
      <w:pPr>
        <w:pStyle w:val="228"/>
        <w:spacing w:before="120" w:beforeLines="50" w:after="120" w:afterLines="50"/>
        <w:rPr>
          <w:rFonts w:ascii="黑体" w:cs="Times New Roman"/>
        </w:rPr>
      </w:pPr>
      <w:r>
        <w:rPr>
          <w:rFonts w:hint="eastAsia" w:ascii="黑体" w:cs="Times New Roman"/>
        </w:rPr>
        <w:t>7.5.1  建筑及安装工程取费标准</w:t>
      </w:r>
    </w:p>
    <w:p>
      <w:pPr>
        <w:ind w:firstLine="420"/>
        <w:rPr>
          <w:rFonts w:ascii="Times New Roman" w:hAnsi="Times New Roman" w:cs="Times New Roman"/>
        </w:rPr>
      </w:pPr>
      <w:r>
        <w:rPr>
          <w:rFonts w:ascii="Times New Roman" w:hAnsi="Times New Roman" w:cs="Times New Roman"/>
        </w:rPr>
        <w:t>根据湖北省国土资源厅、财政厅《关于印发〈湖北省三峡库区后续地质灾害工程治理项目投资概（预）算编制要求（暂行）</w:t>
      </w:r>
      <w:r>
        <w:rPr>
          <w:rFonts w:hint="eastAsia" w:ascii="Times New Roman" w:hAnsi="Times New Roman" w:cs="Times New Roman"/>
        </w:rPr>
        <w:t>〉</w:t>
      </w:r>
      <w:r>
        <w:rPr>
          <w:rFonts w:ascii="Times New Roman" w:hAnsi="Times New Roman" w:cs="Times New Roman"/>
        </w:rPr>
        <w:t>的通知》</w:t>
      </w:r>
      <w:r>
        <w:rPr>
          <w:rFonts w:hint="eastAsia" w:ascii="Times New Roman" w:hAnsi="Times New Roman" w:cs="Times New Roman"/>
        </w:rPr>
        <w:t>（</w:t>
      </w:r>
      <w:r>
        <w:rPr>
          <w:rFonts w:ascii="Times New Roman" w:hAnsi="Times New Roman" w:cs="Times New Roman"/>
        </w:rPr>
        <w:t>鄂土资函〔2016〕1401号</w:t>
      </w:r>
      <w:r>
        <w:rPr>
          <w:rFonts w:hint="eastAsia" w:ascii="Times New Roman" w:hAnsi="Times New Roman" w:cs="Times New Roman"/>
        </w:rPr>
        <w:t>）</w:t>
      </w:r>
      <w:r>
        <w:rPr>
          <w:rFonts w:ascii="Times New Roman" w:hAnsi="Times New Roman" w:cs="Times New Roman"/>
        </w:rPr>
        <w:t>、《水利工程营业税改征增值税计价依据调整办法》（水总〔2016〕132号）和水利部办公厅《关于调整水利工程计价依据增值税计算标准的通知》（办财务函〔2019〕448号），确定以下建筑及安装工程取费标准：</w:t>
      </w:r>
    </w:p>
    <w:p>
      <w:pPr>
        <w:ind w:left="840" w:leftChars="200" w:hanging="420"/>
        <w:jc w:val="both"/>
        <w:rPr>
          <w:rFonts w:ascii="Times New Roman" w:hAnsi="Times New Roman" w:cs="Times New Roman"/>
        </w:rPr>
      </w:pPr>
      <w:r>
        <w:rPr>
          <w:rFonts w:ascii="Times New Roman" w:hAnsi="Times New Roman" w:cs="Times New Roman"/>
        </w:rPr>
        <w:t>a)  其他直接费：取基本直接费的4%（含冬雨季施工增加费、夜间施工增加费、临时设施费、安全生产措施费、检验试验和检测费）。</w:t>
      </w:r>
    </w:p>
    <w:p>
      <w:pPr>
        <w:ind w:left="840" w:leftChars="200" w:hanging="420"/>
        <w:jc w:val="both"/>
        <w:rPr>
          <w:rFonts w:ascii="Times New Roman" w:hAnsi="Times New Roman" w:cs="Times New Roman"/>
        </w:rPr>
      </w:pPr>
      <w:r>
        <w:rPr>
          <w:sz w:val="20"/>
        </w:rPr>
        <mc:AlternateContent>
          <mc:Choice Requires="wps">
            <w:drawing>
              <wp:anchor distT="0" distB="0" distL="113665" distR="113665" simplePos="0" relativeHeight="251659264" behindDoc="0" locked="0" layoutInCell="1" allowOverlap="1">
                <wp:simplePos x="0" y="0"/>
                <wp:positionH relativeFrom="page">
                  <wp:posOffset>1218565</wp:posOffset>
                </wp:positionH>
                <wp:positionV relativeFrom="paragraph">
                  <wp:posOffset>2159000</wp:posOffset>
                </wp:positionV>
                <wp:extent cx="251460" cy="190500"/>
                <wp:effectExtent l="0" t="0" r="0" b="0"/>
                <wp:wrapNone/>
                <wp:docPr id="1" name="文本框 1"/>
                <wp:cNvGraphicFramePr/>
                <a:graphic xmlns:a="http://schemas.openxmlformats.org/drawingml/2006/main">
                  <a:graphicData uri="http://schemas.microsoft.com/office/word/2010/wordprocessingShape">
                    <wps:wsp>
                      <wps:cNvSpPr/>
                      <wps:spPr>
                        <a:xfrm>
                          <a:off x="0" y="0"/>
                          <a:ext cx="251459" cy="190500"/>
                        </a:xfrm>
                        <a:prstGeom prst="rect">
                          <a:avLst/>
                        </a:prstGeom>
                        <a:noFill/>
                        <a:ln w="9525" cmpd="sng">
                          <a:noFill/>
                          <a:prstDash val="solid"/>
                          <a:miter/>
                        </a:ln>
                      </wps:spPr>
                      <wps:txbx>
                        <w:txbxContent>
                          <w:p>
                            <w:pPr>
                              <w:pStyle w:val="14"/>
                              <w:ind w:firstLine="532"/>
                              <w:rPr>
                                <w:color w:val="000000"/>
                              </w:rPr>
                            </w:pPr>
                            <w:r>
                              <w:rPr>
                                <w:spacing w:val="-27"/>
                              </w:rPr>
                              <w:t>n</w:t>
                            </w:r>
                            <w:r>
                              <w:rPr>
                                <w:spacing w:val="-44"/>
                              </w:rPr>
                              <w:t>H</w:t>
                            </w:r>
                            <w:r>
                              <w:t>U</w:t>
                            </w:r>
                          </w:p>
                        </w:txbxContent>
                      </wps:txbx>
                      <wps:bodyPr vert="eaVert" wrap="square" lIns="0" tIns="0" rIns="0" bIns="0" anchor="t" anchorCtr="0" upright="1">
                        <a:noAutofit/>
                      </wps:bodyPr>
                    </wps:wsp>
                  </a:graphicData>
                </a:graphic>
              </wp:anchor>
            </w:drawing>
          </mc:Choice>
          <mc:Fallback>
            <w:pict>
              <v:rect id="文本框 1" o:spid="_x0000_s1026" o:spt="1" style="position:absolute;left:0pt;margin-left:95.95pt;margin-top:170pt;height:15pt;width:19.8pt;mso-position-horizontal-relative:page;z-index:251659264;mso-width-relative:page;mso-height-relative:page;" filled="f" stroked="f" coordsize="21600,21600" o:gfxdata="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rj+HW2gAAAAsBAAAPAAAAAAAAAAEAIAAAACIAAABkcnMvZG93&#10;bnJldi54bWxQSwECFAAUAAAACACHTuJAkf+3CP4BAADtAwAADgAAAAAAAAABACAAAAApAQAAZHJz&#10;L2Uyb0RvYy54bWxQSwUGAAAAAAYABgBZAQAAmQUAAAAA&#10;">
                <v:fill on="f" focussize="0,0"/>
                <v:stroke on="f" joinstyle="miter"/>
                <v:imagedata o:title=""/>
                <o:lock v:ext="edit" aspectratio="f"/>
                <v:textbox inset="0mm,0mm,0mm,0mm" style="layout-flow:vertical-ideographic;">
                  <w:txbxContent>
                    <w:p>
                      <w:pPr>
                        <w:pStyle w:val="14"/>
                        <w:ind w:firstLine="532"/>
                        <w:rPr>
                          <w:color w:val="000000"/>
                        </w:rPr>
                      </w:pPr>
                      <w:r>
                        <w:rPr>
                          <w:spacing w:val="-27"/>
                        </w:rPr>
                        <w:t>n</w:t>
                      </w:r>
                      <w:r>
                        <w:rPr>
                          <w:spacing w:val="-44"/>
                        </w:rPr>
                        <w:t>H</w:t>
                      </w:r>
                      <w:r>
                        <w:t>U</w:t>
                      </w:r>
                    </w:p>
                  </w:txbxContent>
                </v:textbox>
              </v:rect>
            </w:pict>
          </mc:Fallback>
        </mc:AlternateContent>
      </w:r>
      <w:r>
        <w:rPr>
          <w:rFonts w:ascii="Times New Roman" w:hAnsi="Times New Roman" w:cs="Times New Roman"/>
        </w:rPr>
        <w:t>b)  间接费：</w:t>
      </w:r>
    </w:p>
    <w:p>
      <w:pPr>
        <w:ind w:left="1260" w:leftChars="400" w:hanging="420"/>
        <w:jc w:val="both"/>
        <w:rPr>
          <w:rFonts w:ascii="Times New Roman" w:hAnsi="Times New Roman" w:cs="Times New Roman"/>
        </w:rPr>
      </w:pPr>
      <w:r>
        <w:rPr>
          <w:rFonts w:ascii="Times New Roman" w:hAnsi="Times New Roman" w:cs="Times New Roman"/>
        </w:rPr>
        <w:t>1)  间接费：由规费和企业管理费组成。其中，规费指政策性规定的各类社会保险；企业管理费指组织施工生产和经营管理活动所发生的费用，具体包含管理人员工资、差旅交通、办公、固定资产使用、劳动保护、工会、职工教育、保险、财务、招投标、审计、工程咨询等经费支出。</w:t>
      </w:r>
    </w:p>
    <w:p>
      <w:pPr>
        <w:ind w:left="1260" w:leftChars="400" w:hanging="420"/>
        <w:jc w:val="both"/>
        <w:rPr>
          <w:rFonts w:ascii="Times New Roman" w:hAnsi="Times New Roman" w:cs="Times New Roman"/>
        </w:rPr>
      </w:pPr>
      <w:r>
        <w:rPr>
          <w:rFonts w:ascii="Times New Roman" w:hAnsi="Times New Roman" w:cs="Times New Roman"/>
        </w:rPr>
        <w:t>2)  间接费取费费率：土方工程取直接费的5%，石方工程取直接费的9%，模板工程取直接费的7%，混凝土浇筑工程取直接费的8%，钢筋制安工程取直接费的5%、钻灌锚固工程取直接费的9.25%，其他工程取直接费的7.25%，安装工程取人工费的70%。间接费取费值见表6。</w:t>
      </w:r>
    </w:p>
    <w:p>
      <w:pPr>
        <w:pStyle w:val="119"/>
        <w:spacing w:after="120" w:afterLines="50" w:line="240" w:lineRule="auto"/>
        <w:rPr>
          <w:rFonts w:ascii="黑体"/>
        </w:rPr>
      </w:pPr>
      <w:r>
        <w:rPr>
          <w:rFonts w:hint="eastAsia" w:ascii="黑体"/>
        </w:rPr>
        <w:t>表6  间接费费率表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1074"/>
        <w:gridCol w:w="3738"/>
        <w:gridCol w:w="2054"/>
        <w:gridCol w:w="24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576" w:type="pct"/>
            <w:vAlign w:val="center"/>
          </w:tcPr>
          <w:p>
            <w:pPr>
              <w:pStyle w:val="121"/>
            </w:pPr>
            <w:r>
              <w:t>序号</w:t>
            </w:r>
          </w:p>
        </w:tc>
        <w:tc>
          <w:tcPr>
            <w:tcW w:w="2004" w:type="pct"/>
            <w:vAlign w:val="center"/>
          </w:tcPr>
          <w:p>
            <w:pPr>
              <w:pStyle w:val="121"/>
            </w:pPr>
            <w:r>
              <w:t>工程类别</w:t>
            </w:r>
          </w:p>
        </w:tc>
        <w:tc>
          <w:tcPr>
            <w:tcW w:w="1101" w:type="pct"/>
            <w:vAlign w:val="center"/>
          </w:tcPr>
          <w:p>
            <w:pPr>
              <w:pStyle w:val="121"/>
            </w:pPr>
            <w:r>
              <w:t>计算基础</w:t>
            </w:r>
          </w:p>
        </w:tc>
        <w:tc>
          <w:tcPr>
            <w:tcW w:w="1318" w:type="pct"/>
            <w:vAlign w:val="center"/>
          </w:tcPr>
          <w:p>
            <w:pPr>
              <w:pStyle w:val="121"/>
            </w:pPr>
            <w:r>
              <w:t>间接费费率</w:t>
            </w:r>
          </w:p>
          <w:p>
            <w:pPr>
              <w:pStyle w:val="121"/>
            </w:pPr>
            <w: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一</w:t>
            </w:r>
          </w:p>
        </w:tc>
        <w:tc>
          <w:tcPr>
            <w:tcW w:w="2004" w:type="pct"/>
            <w:vAlign w:val="center"/>
          </w:tcPr>
          <w:p>
            <w:pPr>
              <w:pStyle w:val="121"/>
            </w:pPr>
            <w:r>
              <w:t>建筑工程</w:t>
            </w:r>
          </w:p>
        </w:tc>
        <w:tc>
          <w:tcPr>
            <w:tcW w:w="1101" w:type="pct"/>
            <w:vAlign w:val="center"/>
          </w:tcPr>
          <w:p>
            <w:pPr>
              <w:pStyle w:val="121"/>
            </w:pPr>
          </w:p>
        </w:tc>
        <w:tc>
          <w:tcPr>
            <w:tcW w:w="1318" w:type="pct"/>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1</w:t>
            </w:r>
          </w:p>
        </w:tc>
        <w:tc>
          <w:tcPr>
            <w:tcW w:w="2004" w:type="pct"/>
            <w:vAlign w:val="center"/>
          </w:tcPr>
          <w:p>
            <w:pPr>
              <w:pStyle w:val="121"/>
            </w:pPr>
            <w:r>
              <w:t>土方工程</w:t>
            </w:r>
          </w:p>
        </w:tc>
        <w:tc>
          <w:tcPr>
            <w:tcW w:w="1101" w:type="pct"/>
            <w:vAlign w:val="center"/>
          </w:tcPr>
          <w:p>
            <w:pPr>
              <w:pStyle w:val="121"/>
            </w:pPr>
            <w:r>
              <w:t>直接费</w:t>
            </w:r>
          </w:p>
        </w:tc>
        <w:tc>
          <w:tcPr>
            <w:tcW w:w="1318" w:type="pct"/>
            <w:vAlign w:val="center"/>
          </w:tcPr>
          <w:p>
            <w:pPr>
              <w:pStyle w:val="121"/>
            </w:pPr>
            <w: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2</w:t>
            </w:r>
          </w:p>
        </w:tc>
        <w:tc>
          <w:tcPr>
            <w:tcW w:w="2004" w:type="pct"/>
            <w:vAlign w:val="center"/>
          </w:tcPr>
          <w:p>
            <w:pPr>
              <w:pStyle w:val="121"/>
            </w:pPr>
            <w:r>
              <w:t>石方工程</w:t>
            </w:r>
          </w:p>
        </w:tc>
        <w:tc>
          <w:tcPr>
            <w:tcW w:w="1101" w:type="pct"/>
            <w:vAlign w:val="center"/>
          </w:tcPr>
          <w:p>
            <w:pPr>
              <w:pStyle w:val="121"/>
            </w:pPr>
            <w:r>
              <w:t>直接费</w:t>
            </w:r>
          </w:p>
        </w:tc>
        <w:tc>
          <w:tcPr>
            <w:tcW w:w="1318" w:type="pct"/>
            <w:vAlign w:val="center"/>
          </w:tcPr>
          <w:p>
            <w:pPr>
              <w:pStyle w:val="121"/>
            </w:pPr>
            <w: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3</w:t>
            </w:r>
          </w:p>
        </w:tc>
        <w:tc>
          <w:tcPr>
            <w:tcW w:w="2004" w:type="pct"/>
            <w:vAlign w:val="center"/>
          </w:tcPr>
          <w:p>
            <w:pPr>
              <w:pStyle w:val="121"/>
            </w:pPr>
            <w:r>
              <w:t>砂石备料工程（自采）</w:t>
            </w:r>
          </w:p>
        </w:tc>
        <w:tc>
          <w:tcPr>
            <w:tcW w:w="1101" w:type="pct"/>
            <w:vAlign w:val="center"/>
          </w:tcPr>
          <w:p>
            <w:pPr>
              <w:pStyle w:val="121"/>
            </w:pPr>
            <w:r>
              <w:t>直接费</w:t>
            </w:r>
          </w:p>
        </w:tc>
        <w:tc>
          <w:tcPr>
            <w:tcW w:w="1318" w:type="pct"/>
            <w:vAlign w:val="center"/>
          </w:tcPr>
          <w:p>
            <w:pPr>
              <w:pStyle w:val="121"/>
            </w:pPr>
            <w: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4</w:t>
            </w:r>
          </w:p>
        </w:tc>
        <w:tc>
          <w:tcPr>
            <w:tcW w:w="2004" w:type="pct"/>
            <w:vAlign w:val="center"/>
          </w:tcPr>
          <w:p>
            <w:pPr>
              <w:pStyle w:val="121"/>
            </w:pPr>
            <w:r>
              <w:t>模板工程</w:t>
            </w:r>
          </w:p>
        </w:tc>
        <w:tc>
          <w:tcPr>
            <w:tcW w:w="1101" w:type="pct"/>
            <w:vAlign w:val="center"/>
          </w:tcPr>
          <w:p>
            <w:pPr>
              <w:pStyle w:val="121"/>
            </w:pPr>
            <w:r>
              <w:t>直接费</w:t>
            </w:r>
          </w:p>
        </w:tc>
        <w:tc>
          <w:tcPr>
            <w:tcW w:w="1318" w:type="pct"/>
            <w:vAlign w:val="center"/>
          </w:tcPr>
          <w:p>
            <w:pPr>
              <w:pStyle w:val="121"/>
            </w:pPr>
            <w: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576" w:type="pct"/>
            <w:vAlign w:val="center"/>
          </w:tcPr>
          <w:p>
            <w:pPr>
              <w:pStyle w:val="121"/>
            </w:pPr>
            <w:r>
              <w:t>5</w:t>
            </w:r>
          </w:p>
        </w:tc>
        <w:tc>
          <w:tcPr>
            <w:tcW w:w="2004" w:type="pct"/>
            <w:vAlign w:val="center"/>
          </w:tcPr>
          <w:p>
            <w:pPr>
              <w:pStyle w:val="121"/>
            </w:pPr>
            <w:r>
              <w:t>混凝土浇筑工程</w:t>
            </w:r>
          </w:p>
        </w:tc>
        <w:tc>
          <w:tcPr>
            <w:tcW w:w="1101" w:type="pct"/>
            <w:vAlign w:val="center"/>
          </w:tcPr>
          <w:p>
            <w:pPr>
              <w:pStyle w:val="121"/>
            </w:pPr>
            <w:r>
              <w:t>直接费</w:t>
            </w:r>
          </w:p>
        </w:tc>
        <w:tc>
          <w:tcPr>
            <w:tcW w:w="1318" w:type="pct"/>
            <w:vAlign w:val="center"/>
          </w:tcPr>
          <w:p>
            <w:pPr>
              <w:pStyle w:val="121"/>
            </w:pPr>
            <w: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6</w:t>
            </w:r>
          </w:p>
        </w:tc>
        <w:tc>
          <w:tcPr>
            <w:tcW w:w="2004" w:type="pct"/>
            <w:vAlign w:val="center"/>
          </w:tcPr>
          <w:p>
            <w:pPr>
              <w:pStyle w:val="121"/>
            </w:pPr>
            <w:r>
              <w:t>钢筋制安工程</w:t>
            </w:r>
          </w:p>
        </w:tc>
        <w:tc>
          <w:tcPr>
            <w:tcW w:w="1101" w:type="pct"/>
            <w:vAlign w:val="center"/>
          </w:tcPr>
          <w:p>
            <w:pPr>
              <w:pStyle w:val="121"/>
            </w:pPr>
            <w:r>
              <w:t>直接费</w:t>
            </w:r>
          </w:p>
        </w:tc>
        <w:tc>
          <w:tcPr>
            <w:tcW w:w="1318" w:type="pct"/>
            <w:vAlign w:val="center"/>
          </w:tcPr>
          <w:p>
            <w:pPr>
              <w:pStyle w:val="121"/>
            </w:pPr>
            <w: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7</w:t>
            </w:r>
          </w:p>
        </w:tc>
        <w:tc>
          <w:tcPr>
            <w:tcW w:w="2004" w:type="pct"/>
            <w:vAlign w:val="center"/>
          </w:tcPr>
          <w:p>
            <w:pPr>
              <w:pStyle w:val="121"/>
            </w:pPr>
            <w:r>
              <w:t>钻孔灌浆工程</w:t>
            </w:r>
          </w:p>
        </w:tc>
        <w:tc>
          <w:tcPr>
            <w:tcW w:w="1101" w:type="pct"/>
            <w:vAlign w:val="center"/>
          </w:tcPr>
          <w:p>
            <w:pPr>
              <w:pStyle w:val="121"/>
            </w:pPr>
            <w:r>
              <w:t>直接费</w:t>
            </w:r>
          </w:p>
        </w:tc>
        <w:tc>
          <w:tcPr>
            <w:tcW w:w="1318" w:type="pct"/>
            <w:vAlign w:val="center"/>
          </w:tcPr>
          <w:p>
            <w:pPr>
              <w:pStyle w:val="121"/>
            </w:pPr>
            <w:r>
              <w:t>9.25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8</w:t>
            </w:r>
          </w:p>
        </w:tc>
        <w:tc>
          <w:tcPr>
            <w:tcW w:w="2004" w:type="pct"/>
            <w:vAlign w:val="center"/>
          </w:tcPr>
          <w:p>
            <w:pPr>
              <w:pStyle w:val="121"/>
            </w:pPr>
            <w:r>
              <w:t>锚固工程</w:t>
            </w:r>
          </w:p>
        </w:tc>
        <w:tc>
          <w:tcPr>
            <w:tcW w:w="1101" w:type="pct"/>
            <w:vAlign w:val="center"/>
          </w:tcPr>
          <w:p>
            <w:pPr>
              <w:pStyle w:val="121"/>
            </w:pPr>
            <w:r>
              <w:t>直接费</w:t>
            </w:r>
          </w:p>
        </w:tc>
        <w:tc>
          <w:tcPr>
            <w:tcW w:w="1318" w:type="pct"/>
            <w:vAlign w:val="center"/>
          </w:tcPr>
          <w:p>
            <w:pPr>
              <w:pStyle w:val="121"/>
            </w:pPr>
            <w:r>
              <w:t>9.25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9</w:t>
            </w:r>
          </w:p>
        </w:tc>
        <w:tc>
          <w:tcPr>
            <w:tcW w:w="2004" w:type="pct"/>
            <w:vAlign w:val="center"/>
          </w:tcPr>
          <w:p>
            <w:pPr>
              <w:pStyle w:val="121"/>
            </w:pPr>
            <w:r>
              <w:t>疏浚工程</w:t>
            </w:r>
          </w:p>
        </w:tc>
        <w:tc>
          <w:tcPr>
            <w:tcW w:w="1101" w:type="pct"/>
            <w:vAlign w:val="center"/>
          </w:tcPr>
          <w:p>
            <w:pPr>
              <w:pStyle w:val="121"/>
            </w:pPr>
            <w:r>
              <w:t>直接费</w:t>
            </w:r>
          </w:p>
        </w:tc>
        <w:tc>
          <w:tcPr>
            <w:tcW w:w="1318" w:type="pct"/>
            <w:vAlign w:val="center"/>
          </w:tcPr>
          <w:p>
            <w:pPr>
              <w:pStyle w:val="121"/>
            </w:pPr>
            <w: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10</w:t>
            </w:r>
          </w:p>
        </w:tc>
        <w:tc>
          <w:tcPr>
            <w:tcW w:w="2004" w:type="pct"/>
            <w:vAlign w:val="center"/>
          </w:tcPr>
          <w:p>
            <w:pPr>
              <w:pStyle w:val="121"/>
            </w:pPr>
            <w:r>
              <w:t>掘进机施工隧洞工程（1）</w:t>
            </w:r>
          </w:p>
        </w:tc>
        <w:tc>
          <w:tcPr>
            <w:tcW w:w="1101" w:type="pct"/>
            <w:vAlign w:val="center"/>
          </w:tcPr>
          <w:p>
            <w:pPr>
              <w:pStyle w:val="121"/>
            </w:pPr>
            <w:r>
              <w:t>直接费</w:t>
            </w:r>
          </w:p>
        </w:tc>
        <w:tc>
          <w:tcPr>
            <w:tcW w:w="1318" w:type="pct"/>
            <w:vAlign w:val="center"/>
          </w:tcPr>
          <w:p>
            <w:pPr>
              <w:pStyle w:val="121"/>
            </w:pPr>
            <w: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11</w:t>
            </w:r>
          </w:p>
        </w:tc>
        <w:tc>
          <w:tcPr>
            <w:tcW w:w="2004" w:type="pct"/>
            <w:vAlign w:val="center"/>
          </w:tcPr>
          <w:p>
            <w:pPr>
              <w:pStyle w:val="121"/>
            </w:pPr>
            <w:r>
              <w:t>掘进机施工隧洞工程（2）</w:t>
            </w:r>
          </w:p>
        </w:tc>
        <w:tc>
          <w:tcPr>
            <w:tcW w:w="1101" w:type="pct"/>
            <w:vAlign w:val="center"/>
          </w:tcPr>
          <w:p>
            <w:pPr>
              <w:pStyle w:val="121"/>
            </w:pPr>
            <w:r>
              <w:t>直接费</w:t>
            </w:r>
          </w:p>
        </w:tc>
        <w:tc>
          <w:tcPr>
            <w:tcW w:w="1318" w:type="pct"/>
            <w:vAlign w:val="center"/>
          </w:tcPr>
          <w:p>
            <w:pPr>
              <w:pStyle w:val="121"/>
            </w:pPr>
            <w:r>
              <w:t>6.25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12</w:t>
            </w:r>
          </w:p>
        </w:tc>
        <w:tc>
          <w:tcPr>
            <w:tcW w:w="2004" w:type="pct"/>
            <w:vAlign w:val="center"/>
          </w:tcPr>
          <w:p>
            <w:pPr>
              <w:pStyle w:val="121"/>
            </w:pPr>
            <w:r>
              <w:t>其他工程</w:t>
            </w:r>
          </w:p>
        </w:tc>
        <w:tc>
          <w:tcPr>
            <w:tcW w:w="1101" w:type="pct"/>
            <w:vAlign w:val="center"/>
          </w:tcPr>
          <w:p>
            <w:pPr>
              <w:pStyle w:val="121"/>
            </w:pPr>
            <w:r>
              <w:t>直接费</w:t>
            </w:r>
          </w:p>
        </w:tc>
        <w:tc>
          <w:tcPr>
            <w:tcW w:w="1318" w:type="pct"/>
            <w:vAlign w:val="center"/>
          </w:tcPr>
          <w:p>
            <w:pPr>
              <w:pStyle w:val="121"/>
            </w:pPr>
            <w:r>
              <w:t>7.25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6" w:type="pct"/>
            <w:vAlign w:val="center"/>
          </w:tcPr>
          <w:p>
            <w:pPr>
              <w:pStyle w:val="121"/>
            </w:pPr>
            <w:r>
              <w:t>二</w:t>
            </w:r>
          </w:p>
        </w:tc>
        <w:tc>
          <w:tcPr>
            <w:tcW w:w="2004" w:type="pct"/>
            <w:vAlign w:val="center"/>
          </w:tcPr>
          <w:p>
            <w:pPr>
              <w:pStyle w:val="121"/>
            </w:pPr>
            <w:r>
              <w:t>机电、金属结构设备安装工程</w:t>
            </w:r>
          </w:p>
        </w:tc>
        <w:tc>
          <w:tcPr>
            <w:tcW w:w="1101" w:type="pct"/>
            <w:vAlign w:val="center"/>
          </w:tcPr>
          <w:p>
            <w:pPr>
              <w:pStyle w:val="121"/>
            </w:pPr>
            <w:r>
              <w:t>人工费</w:t>
            </w:r>
          </w:p>
        </w:tc>
        <w:tc>
          <w:tcPr>
            <w:tcW w:w="1318" w:type="pct"/>
            <w:vAlign w:val="center"/>
          </w:tcPr>
          <w:p>
            <w:pPr>
              <w:pStyle w:val="121"/>
            </w:pPr>
            <w:r>
              <w:t>70</w:t>
            </w:r>
          </w:p>
        </w:tc>
      </w:tr>
    </w:tbl>
    <w:p>
      <w:pPr>
        <w:ind w:left="840" w:leftChars="200" w:hanging="420" w:hangingChars="200"/>
        <w:rPr>
          <w:rFonts w:ascii="Times New Roman" w:hAnsi="Times New Roman" w:cs="Times New Roman"/>
        </w:rPr>
      </w:pPr>
      <w:r>
        <w:rPr>
          <w:rFonts w:ascii="Times New Roman" w:hAnsi="Times New Roman" w:cs="Times New Roman"/>
        </w:rPr>
        <w:t>c)  利润：取直接费和间接费之和的7%。</w:t>
      </w:r>
    </w:p>
    <w:p>
      <w:pPr>
        <w:ind w:left="840" w:leftChars="200" w:hanging="420" w:hangingChars="200"/>
        <w:rPr>
          <w:rFonts w:ascii="Times New Roman" w:hAnsi="Times New Roman" w:cs="Times New Roman"/>
        </w:rPr>
      </w:pPr>
      <w:r>
        <w:rPr>
          <w:rFonts w:ascii="Times New Roman" w:hAnsi="Times New Roman" w:cs="Times New Roman"/>
        </w:rPr>
        <w:t>d)  材料补差：材料补差是根据主要材料消耗量、主要材料预算价格与材料基价之间的差值，计算的主要材料补差金额。材料基价是指计入基本直接费的主要材料的限制价格。</w:t>
      </w:r>
    </w:p>
    <w:p>
      <w:pPr>
        <w:ind w:left="1260" w:leftChars="400" w:hanging="420" w:hangingChars="200"/>
        <w:rPr>
          <w:rFonts w:ascii="Times New Roman" w:hAnsi="Times New Roman" w:cs="Times New Roman"/>
        </w:rPr>
      </w:pPr>
      <w:r>
        <w:rPr>
          <w:rFonts w:ascii="Times New Roman" w:hAnsi="Times New Roman" w:cs="Times New Roman"/>
        </w:rPr>
        <w:t>材料补差＝（材料预算价格</w:t>
      </w:r>
      <w:r>
        <w:rPr>
          <w:rFonts w:hint="eastAsia" w:ascii="Times New Roman" w:hAnsi="Times New Roman" w:cs="Times New Roman"/>
        </w:rPr>
        <w:t>－</w:t>
      </w:r>
      <w:r>
        <w:rPr>
          <w:rFonts w:ascii="Times New Roman" w:hAnsi="Times New Roman" w:cs="Times New Roman"/>
        </w:rPr>
        <w:t>材料基价）×材料消耗量</w:t>
      </w:r>
    </w:p>
    <w:p>
      <w:pPr>
        <w:ind w:left="840" w:leftChars="200" w:hanging="420"/>
        <w:jc w:val="both"/>
        <w:rPr>
          <w:rFonts w:ascii="Times New Roman" w:hAnsi="Times New Roman" w:cs="Times New Roman"/>
        </w:rPr>
      </w:pPr>
      <w:r>
        <w:rPr>
          <w:rFonts w:ascii="Times New Roman" w:hAnsi="Times New Roman" w:cs="Times New Roman"/>
        </w:rPr>
        <w:t>e)  税金：税金指应计入建筑安装工程费用内的增值税销项税额。</w:t>
      </w:r>
    </w:p>
    <w:p>
      <w:pPr>
        <w:ind w:left="840" w:leftChars="400" w:firstLine="0"/>
        <w:jc w:val="both"/>
        <w:rPr>
          <w:rFonts w:ascii="Times New Roman" w:hAnsi="Times New Roman" w:cs="Times New Roman"/>
        </w:rPr>
      </w:pPr>
      <w:r>
        <w:rPr>
          <w:rFonts w:ascii="Times New Roman" w:hAnsi="Times New Roman" w:cs="Times New Roman"/>
        </w:rPr>
        <w:t>税金＝（直接费＋间接费＋企业利润＋材料补差）×税率（%）</w:t>
      </w:r>
    </w:p>
    <w:p>
      <w:pPr>
        <w:ind w:left="840" w:leftChars="400" w:firstLine="0"/>
        <w:jc w:val="both"/>
        <w:rPr>
          <w:rFonts w:ascii="Times New Roman" w:hAnsi="Times New Roman" w:cs="Times New Roman"/>
        </w:rPr>
      </w:pPr>
      <w:r>
        <w:rPr>
          <w:rFonts w:ascii="Times New Roman" w:hAnsi="Times New Roman" w:cs="Times New Roman"/>
        </w:rPr>
        <w:t>税率为9%。</w:t>
      </w:r>
    </w:p>
    <w:p>
      <w:pPr>
        <w:pStyle w:val="228"/>
        <w:spacing w:before="120" w:beforeLines="50" w:after="120" w:afterLines="50"/>
        <w:rPr>
          <w:rFonts w:ascii="黑体" w:cs="Times New Roman"/>
        </w:rPr>
      </w:pPr>
      <w:bookmarkStart w:id="111" w:name="_Toc36634230"/>
      <w:r>
        <w:rPr>
          <w:rFonts w:hint="eastAsia" w:ascii="黑体" w:cs="Times New Roman"/>
        </w:rPr>
        <w:t>7.5.2  临时工程取费标准</w:t>
      </w:r>
      <w:bookmarkEnd w:id="111"/>
    </w:p>
    <w:p>
      <w:pPr>
        <w:pStyle w:val="229"/>
        <w:spacing w:before="120" w:beforeLines="50" w:after="120" w:afterLines="50"/>
      </w:pPr>
      <w:r>
        <w:rPr>
          <w:rFonts w:hint="eastAsia"/>
        </w:rPr>
        <w:t>7.5.2.1  施工交通工程</w:t>
      </w:r>
    </w:p>
    <w:p>
      <w:pPr>
        <w:ind w:firstLine="420" w:firstLineChars="200"/>
        <w:rPr>
          <w:rFonts w:ascii="Times New Roman" w:hAnsi="Times New Roman" w:cs="Times New Roman"/>
        </w:rPr>
      </w:pPr>
      <w:r>
        <w:rPr>
          <w:rFonts w:ascii="Times New Roman" w:hAnsi="Times New Roman" w:cs="Times New Roman"/>
        </w:rPr>
        <w:t>临时施工交通工程按预计工作量采用相应定额计算。</w:t>
      </w:r>
    </w:p>
    <w:p>
      <w:pPr>
        <w:ind w:firstLine="420" w:firstLineChars="200"/>
        <w:rPr>
          <w:rFonts w:ascii="Times New Roman" w:hAnsi="Times New Roman" w:cs="Times New Roman"/>
        </w:rPr>
      </w:pPr>
      <w:r>
        <w:rPr>
          <w:rFonts w:ascii="Times New Roman" w:hAnsi="Times New Roman" w:cs="Times New Roman"/>
        </w:rPr>
        <w:t>临时码头按预计工作量采用相应定额计算。</w:t>
      </w:r>
    </w:p>
    <w:p>
      <w:pPr>
        <w:pStyle w:val="229"/>
        <w:spacing w:before="120" w:beforeLines="50" w:after="120" w:afterLines="50"/>
      </w:pPr>
      <w:r>
        <w:rPr>
          <w:rFonts w:hint="eastAsia"/>
        </w:rPr>
        <w:t>7.5.2.2  施工场外供电工程</w:t>
      </w:r>
    </w:p>
    <w:p>
      <w:pPr>
        <w:ind w:firstLine="420"/>
        <w:rPr>
          <w:rFonts w:ascii="Times New Roman" w:hAnsi="Times New Roman" w:cs="Times New Roman"/>
        </w:rPr>
      </w:pPr>
      <w:r>
        <w:rPr>
          <w:rFonts w:ascii="Times New Roman" w:hAnsi="Times New Roman" w:cs="Times New Roman"/>
        </w:rPr>
        <w:t>临时施工场外供电工程按预计工作量采用相应定额计算。临时供电设备费按市场价计取。</w:t>
      </w:r>
    </w:p>
    <w:p>
      <w:pPr>
        <w:pStyle w:val="229"/>
        <w:spacing w:before="120" w:beforeLines="50" w:after="120" w:afterLines="50"/>
      </w:pPr>
      <w:r>
        <w:rPr>
          <w:rFonts w:hint="eastAsia"/>
        </w:rPr>
        <w:t>7.5.2.3  施工临时仓库和办公、生活、文化建筑</w:t>
      </w:r>
    </w:p>
    <w:p>
      <w:pPr>
        <w:ind w:firstLine="420" w:firstLineChars="200"/>
        <w:rPr>
          <w:rFonts w:ascii="Times New Roman" w:hAnsi="Times New Roman" w:cs="Times New Roman"/>
        </w:rPr>
      </w:pPr>
      <w:r>
        <w:rPr>
          <w:rFonts w:ascii="Times New Roman" w:hAnsi="Times New Roman" w:cs="Times New Roman"/>
        </w:rPr>
        <w:t>施工临时仓库建筑造价按200元/平方米计取。其中，建筑工程费500万元以下的（含500万元），施工房屋建筑仓库面积按100平方米计算；建筑工程费500万元～1</w:t>
      </w:r>
      <w:r>
        <w:rPr>
          <w:rFonts w:hint="eastAsia" w:ascii="Times New Roman" w:hAnsi="Times New Roman" w:cs="Times New Roman"/>
        </w:rPr>
        <w:t xml:space="preserve"> </w:t>
      </w:r>
      <w:r>
        <w:rPr>
          <w:rFonts w:ascii="Times New Roman" w:hAnsi="Times New Roman" w:cs="Times New Roman"/>
        </w:rPr>
        <w:t>000万元的（含1</w:t>
      </w:r>
      <w:r>
        <w:rPr>
          <w:rFonts w:hint="eastAsia" w:ascii="Times New Roman" w:hAnsi="Times New Roman" w:cs="Times New Roman"/>
        </w:rPr>
        <w:t xml:space="preserve"> </w:t>
      </w:r>
      <w:r>
        <w:rPr>
          <w:rFonts w:ascii="Times New Roman" w:hAnsi="Times New Roman" w:cs="Times New Roman"/>
        </w:rPr>
        <w:t>000万元），施工房屋建筑仓库面积按200平方米计算；建筑工程费1</w:t>
      </w:r>
      <w:r>
        <w:rPr>
          <w:rFonts w:hint="eastAsia" w:ascii="Times New Roman" w:hAnsi="Times New Roman" w:cs="Times New Roman"/>
        </w:rPr>
        <w:t xml:space="preserve"> </w:t>
      </w:r>
      <w:r>
        <w:rPr>
          <w:rFonts w:ascii="Times New Roman" w:hAnsi="Times New Roman" w:cs="Times New Roman"/>
        </w:rPr>
        <w:t>000万元～2</w:t>
      </w:r>
      <w:r>
        <w:rPr>
          <w:rFonts w:hint="eastAsia" w:ascii="Times New Roman" w:hAnsi="Times New Roman" w:cs="Times New Roman"/>
        </w:rPr>
        <w:t xml:space="preserve"> </w:t>
      </w:r>
      <w:r>
        <w:rPr>
          <w:rFonts w:ascii="Times New Roman" w:hAnsi="Times New Roman" w:cs="Times New Roman"/>
        </w:rPr>
        <w:t>000万元的（含2</w:t>
      </w:r>
      <w:r>
        <w:rPr>
          <w:rFonts w:hint="eastAsia" w:ascii="Times New Roman" w:hAnsi="Times New Roman" w:cs="Times New Roman"/>
        </w:rPr>
        <w:t xml:space="preserve"> </w:t>
      </w:r>
      <w:r>
        <w:rPr>
          <w:rFonts w:ascii="Times New Roman" w:hAnsi="Times New Roman" w:cs="Times New Roman"/>
        </w:rPr>
        <w:t>000万元），施工房屋建筑仓库面积按300平方米计算；建筑工程费2</w:t>
      </w:r>
      <w:r>
        <w:rPr>
          <w:rFonts w:hint="eastAsia" w:ascii="Times New Roman" w:hAnsi="Times New Roman" w:cs="Times New Roman"/>
        </w:rPr>
        <w:t xml:space="preserve"> </w:t>
      </w:r>
      <w:r>
        <w:rPr>
          <w:rFonts w:ascii="Times New Roman" w:hAnsi="Times New Roman" w:cs="Times New Roman"/>
        </w:rPr>
        <w:t>000万元以上的，施工房屋建筑仓库面积按400平方米计算。</w:t>
      </w:r>
    </w:p>
    <w:p>
      <w:pPr>
        <w:ind w:firstLine="420" w:firstLineChars="200"/>
        <w:rPr>
          <w:rFonts w:ascii="Times New Roman" w:hAnsi="Times New Roman" w:cs="Times New Roman"/>
        </w:rPr>
      </w:pPr>
      <w:r>
        <w:rPr>
          <w:rFonts w:ascii="Times New Roman" w:hAnsi="Times New Roman" w:cs="Times New Roman"/>
        </w:rPr>
        <w:t>临时办公、生活、文化福利建筑按建筑工程</w:t>
      </w:r>
      <w:r>
        <w:rPr>
          <w:rFonts w:hint="eastAsia" w:ascii="Times New Roman" w:hAnsi="Times New Roman" w:cs="Times New Roman"/>
        </w:rPr>
        <w:t>费</w:t>
      </w:r>
      <w:r>
        <w:rPr>
          <w:rFonts w:ascii="Times New Roman" w:hAnsi="Times New Roman" w:cs="Times New Roman"/>
        </w:rPr>
        <w:t>的1.5%计取。</w:t>
      </w:r>
    </w:p>
    <w:p>
      <w:pPr>
        <w:pStyle w:val="229"/>
        <w:spacing w:before="120" w:beforeLines="50" w:after="120" w:afterLines="50"/>
      </w:pPr>
      <w:r>
        <w:rPr>
          <w:rFonts w:hint="eastAsia"/>
        </w:rPr>
        <w:t>7.5.2.4  其他临时工程费</w:t>
      </w:r>
    </w:p>
    <w:p>
      <w:pPr>
        <w:ind w:firstLine="420"/>
        <w:rPr>
          <w:rFonts w:ascii="Times New Roman" w:hAnsi="Times New Roman" w:cs="Times New Roman"/>
        </w:rPr>
      </w:pPr>
      <w:r>
        <w:rPr>
          <w:rFonts w:ascii="Times New Roman" w:hAnsi="Times New Roman" w:cs="Times New Roman"/>
        </w:rPr>
        <w:t>建筑工程费500万元以下的，按建筑工程费的1%计取；建筑工程费500万元～1 000万元的，按建筑工程费的1-0.5%采用内插法计取；建筑工程费1 000万元以上的，按建筑工程费的0.5%计取。</w:t>
      </w:r>
    </w:p>
    <w:p>
      <w:pPr>
        <w:pStyle w:val="228"/>
        <w:spacing w:before="120" w:beforeLines="50" w:after="120" w:afterLines="50"/>
        <w:rPr>
          <w:rFonts w:ascii="黑体" w:cs="Times New Roman"/>
        </w:rPr>
      </w:pPr>
      <w:r>
        <w:rPr>
          <w:rFonts w:hint="eastAsia" w:ascii="黑体" w:cs="Times New Roman"/>
        </w:rPr>
        <w:t>7.5.3  独立费用取费标准</w:t>
      </w:r>
    </w:p>
    <w:p>
      <w:pPr>
        <w:pStyle w:val="229"/>
        <w:spacing w:before="120" w:beforeLines="50" w:after="120" w:afterLines="50"/>
      </w:pPr>
      <w:r>
        <w:rPr>
          <w:rFonts w:hint="eastAsia"/>
        </w:rPr>
        <w:t>7.5.3.1  项目建设管理费（不含开办费）</w:t>
      </w:r>
    </w:p>
    <w:p>
      <w:pPr>
        <w:ind w:firstLine="420"/>
        <w:rPr>
          <w:rFonts w:ascii="Times New Roman" w:hAnsi="Times New Roman" w:cs="Times New Roman"/>
        </w:rPr>
      </w:pPr>
      <w:r>
        <w:rPr>
          <w:rFonts w:ascii="Times New Roman" w:hAnsi="Times New Roman" w:cs="Times New Roman"/>
        </w:rPr>
        <w:t>项目建设管理费按照财政部《基本建设项目建设成本管理规定》（财建〔2016〕504号）执行。计算方法详见表7。</w:t>
      </w:r>
    </w:p>
    <w:p>
      <w:pPr>
        <w:pStyle w:val="229"/>
        <w:spacing w:before="120" w:beforeLines="50" w:after="120" w:afterLines="50"/>
      </w:pPr>
      <w:r>
        <w:rPr>
          <w:rFonts w:hint="eastAsia"/>
        </w:rPr>
        <w:t>7.5.3.2  建设项目监理费</w:t>
      </w:r>
    </w:p>
    <w:p>
      <w:pPr>
        <w:ind w:firstLine="420" w:firstLineChars="200"/>
        <w:rPr>
          <w:rFonts w:ascii="Times New Roman" w:hAnsi="Times New Roman" w:cs="Times New Roman"/>
        </w:rPr>
      </w:pPr>
      <w:r>
        <w:rPr>
          <w:rFonts w:ascii="Times New Roman" w:hAnsi="Times New Roman" w:cs="Times New Roman"/>
        </w:rPr>
        <w:t>建</w:t>
      </w:r>
      <w:r>
        <w:rPr>
          <w:rFonts w:hint="eastAsia" w:ascii="Times New Roman" w:hAnsi="Times New Roman" w:cs="Times New Roman"/>
        </w:rPr>
        <w:t>安</w:t>
      </w:r>
      <w:r>
        <w:rPr>
          <w:rFonts w:ascii="Times New Roman" w:hAnsi="Times New Roman" w:cs="Times New Roman"/>
        </w:rPr>
        <w:t>工程费在500万元以下的（含500万元），项目监理费按3.3%计取。按比例计取后监理费低于3万元的，按3万元计取。</w:t>
      </w:r>
    </w:p>
    <w:p>
      <w:pPr>
        <w:ind w:firstLine="420" w:firstLineChars="200"/>
        <w:rPr>
          <w:rFonts w:ascii="Times New Roman" w:hAnsi="Times New Roman" w:cs="Times New Roman"/>
        </w:rPr>
      </w:pPr>
      <w:r>
        <w:rPr>
          <w:rFonts w:ascii="Times New Roman" w:hAnsi="Times New Roman" w:cs="Times New Roman"/>
        </w:rPr>
        <w:t>建</w:t>
      </w:r>
      <w:r>
        <w:rPr>
          <w:rFonts w:hint="eastAsia" w:ascii="Times New Roman" w:hAnsi="Times New Roman" w:cs="Times New Roman"/>
        </w:rPr>
        <w:t>安</w:t>
      </w:r>
      <w:r>
        <w:rPr>
          <w:rFonts w:ascii="Times New Roman" w:hAnsi="Times New Roman" w:cs="Times New Roman"/>
        </w:rPr>
        <w:t>工程费在500万元以上的，按照国家发展和改革委员会、建设部《建设工程监理与相关服务收费管理规定》（发改价格〔2007〕670号）的标准执行。</w:t>
      </w:r>
    </w:p>
    <w:p>
      <w:pPr>
        <w:ind w:firstLine="420" w:firstLineChars="200"/>
        <w:rPr>
          <w:rFonts w:ascii="Times New Roman" w:hAnsi="Times New Roman" w:cs="Times New Roman"/>
        </w:rPr>
      </w:pPr>
      <w:r>
        <w:rPr>
          <w:rFonts w:ascii="Times New Roman" w:hAnsi="Times New Roman" w:cs="Times New Roman"/>
        </w:rPr>
        <w:t>施工监理服务收费=施工监理服务收费基准价×（1</w:t>
      </w:r>
      <w:r>
        <w:rPr>
          <w:rFonts w:hint="eastAsia" w:ascii="宋体" w:cs="Times New Roman"/>
        </w:rPr>
        <w:t>±</w:t>
      </w:r>
      <w:r>
        <w:rPr>
          <w:rFonts w:ascii="Times New Roman" w:hAnsi="Times New Roman" w:cs="Times New Roman"/>
        </w:rPr>
        <w:t>浮动幅度值）。</w:t>
      </w:r>
    </w:p>
    <w:p>
      <w:pPr>
        <w:ind w:firstLine="420" w:firstLineChars="200"/>
        <w:rPr>
          <w:rFonts w:ascii="Times New Roman" w:hAnsi="Times New Roman" w:cs="Times New Roman"/>
        </w:rPr>
      </w:pPr>
      <w:r>
        <w:rPr>
          <w:rFonts w:ascii="Times New Roman" w:hAnsi="Times New Roman" w:cs="Times New Roman"/>
        </w:rPr>
        <w:t>施工监理服务收费基准价=施工监理服务收费基价×专业调整系数×工程复杂程度调整系数×高程调整系数。其中，专业调整系数取0.9，高程调整系数取1.0，工程复杂程度调整系数取1.0。</w:t>
      </w:r>
    </w:p>
    <w:p>
      <w:pPr>
        <w:ind w:firstLine="420" w:firstLineChars="200"/>
        <w:rPr>
          <w:rFonts w:ascii="Times New Roman" w:hAnsi="Times New Roman" w:cs="Times New Roman"/>
        </w:rPr>
      </w:pPr>
      <w:r>
        <w:rPr>
          <w:rFonts w:ascii="Times New Roman" w:hAnsi="Times New Roman" w:cs="Times New Roman"/>
        </w:rPr>
        <w:t>施工监理服务收费基价是完成国家法律法规、规范规定的施工阶段监理基本服务内容的价格。施工监理服务收费基价按表8施工监理服务收费基价表来确定，计费额处于两个数值区间的，采用直线内插法确定施工监理服务收费基价。计费额取值为建安工程费。</w:t>
      </w:r>
    </w:p>
    <w:p>
      <w:pPr>
        <w:pStyle w:val="119"/>
        <w:spacing w:before="120" w:beforeLines="50" w:after="120" w:afterLines="50" w:line="240" w:lineRule="auto"/>
        <w:rPr>
          <w:rStyle w:val="120"/>
          <w:rFonts w:ascii="黑体"/>
        </w:rPr>
      </w:pPr>
      <w:r>
        <w:rPr>
          <w:rStyle w:val="120"/>
          <w:rFonts w:hint="eastAsia" w:ascii="黑体"/>
        </w:rPr>
        <w:t>表7  项目建设管理费总额控制数费率表</w:t>
      </w:r>
    </w:p>
    <w:tbl>
      <w:tblPr>
        <w:tblStyle w:val="36"/>
        <w:tblW w:w="50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4" w:type="dxa"/>
          <w:left w:w="24" w:type="dxa"/>
          <w:bottom w:w="24" w:type="dxa"/>
          <w:right w:w="24" w:type="dxa"/>
        </w:tblCellMar>
      </w:tblPr>
      <w:tblGrid>
        <w:gridCol w:w="1996"/>
        <w:gridCol w:w="1033"/>
        <w:gridCol w:w="1723"/>
        <w:gridCol w:w="4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4" w:type="dxa"/>
            <w:left w:w="24" w:type="dxa"/>
            <w:bottom w:w="24" w:type="dxa"/>
            <w:right w:w="24" w:type="dxa"/>
          </w:tblCellMar>
        </w:tblPrEx>
        <w:trPr>
          <w:trHeight w:val="340" w:hRule="atLeast"/>
          <w:tblHeader/>
          <w:jc w:val="center"/>
        </w:trPr>
        <w:tc>
          <w:tcPr>
            <w:tcW w:w="1053" w:type="pct"/>
            <w:vMerge w:val="restart"/>
            <w:noWrap/>
            <w:vAlign w:val="center"/>
          </w:tcPr>
          <w:p>
            <w:pPr>
              <w:pStyle w:val="121"/>
            </w:pPr>
            <w:r>
              <w:t>建安工程费</w:t>
            </w:r>
          </w:p>
          <w:p>
            <w:pPr>
              <w:pStyle w:val="121"/>
            </w:pPr>
            <w:r>
              <w:rPr>
                <w:rFonts w:hint="eastAsia"/>
              </w:rPr>
              <w:t>（万元）</w:t>
            </w:r>
          </w:p>
        </w:tc>
        <w:tc>
          <w:tcPr>
            <w:tcW w:w="545" w:type="pct"/>
            <w:vMerge w:val="restart"/>
            <w:noWrap/>
            <w:vAlign w:val="center"/>
          </w:tcPr>
          <w:p>
            <w:pPr>
              <w:pStyle w:val="121"/>
            </w:pPr>
            <w:r>
              <w:t>费率</w:t>
            </w:r>
          </w:p>
          <w:p>
            <w:pPr>
              <w:pStyle w:val="121"/>
            </w:pPr>
            <w:r>
              <w:t>％</w:t>
            </w:r>
          </w:p>
        </w:tc>
        <w:tc>
          <w:tcPr>
            <w:tcW w:w="3400" w:type="pct"/>
            <w:gridSpan w:val="2"/>
            <w:noWrap/>
            <w:vAlign w:val="center"/>
          </w:tcPr>
          <w:p>
            <w:pPr>
              <w:pStyle w:val="121"/>
            </w:pPr>
            <w:r>
              <w:t>算例（单位为万元）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4" w:type="dxa"/>
            <w:left w:w="24" w:type="dxa"/>
            <w:bottom w:w="24" w:type="dxa"/>
            <w:right w:w="24" w:type="dxa"/>
          </w:tblCellMar>
        </w:tblPrEx>
        <w:trPr>
          <w:trHeight w:val="340" w:hRule="atLeast"/>
          <w:tblHeader/>
          <w:jc w:val="center"/>
        </w:trPr>
        <w:tc>
          <w:tcPr>
            <w:tcW w:w="1023" w:type="pct"/>
            <w:vMerge w:val="continue"/>
            <w:vAlign w:val="center"/>
          </w:tcPr>
          <w:p/>
        </w:tc>
        <w:tc>
          <w:tcPr>
            <w:tcW w:w="555" w:type="pct"/>
            <w:vMerge w:val="continue"/>
            <w:vAlign w:val="center"/>
          </w:tcPr>
          <w:p/>
        </w:tc>
        <w:tc>
          <w:tcPr>
            <w:tcW w:w="909" w:type="pct"/>
            <w:noWrap/>
            <w:vAlign w:val="center"/>
          </w:tcPr>
          <w:p>
            <w:pPr>
              <w:pStyle w:val="121"/>
            </w:pPr>
            <w:r>
              <w:t>建安工程费</w:t>
            </w:r>
          </w:p>
        </w:tc>
        <w:tc>
          <w:tcPr>
            <w:tcW w:w="2490" w:type="pct"/>
            <w:noWrap/>
            <w:vAlign w:val="center"/>
          </w:tcPr>
          <w:p>
            <w:pPr>
              <w:pStyle w:val="121"/>
            </w:pPr>
            <w:r>
              <w:t>项目建设管理费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4" w:type="dxa"/>
            <w:left w:w="24" w:type="dxa"/>
            <w:bottom w:w="24" w:type="dxa"/>
            <w:right w:w="24" w:type="dxa"/>
          </w:tblCellMar>
        </w:tblPrEx>
        <w:trPr>
          <w:trHeight w:val="340" w:hRule="atLeast"/>
          <w:jc w:val="center"/>
        </w:trPr>
        <w:tc>
          <w:tcPr>
            <w:tcW w:w="1053" w:type="pct"/>
            <w:noWrap/>
            <w:vAlign w:val="center"/>
          </w:tcPr>
          <w:p>
            <w:pPr>
              <w:pStyle w:val="121"/>
            </w:pPr>
            <w:r>
              <w:rPr>
                <w:rFonts w:hint="eastAsia" w:ascii="宋体"/>
              </w:rPr>
              <w:t>≤</w:t>
            </w:r>
            <w:r>
              <w:t>1 000</w:t>
            </w:r>
          </w:p>
        </w:tc>
        <w:tc>
          <w:tcPr>
            <w:tcW w:w="545" w:type="pct"/>
            <w:noWrap/>
            <w:vAlign w:val="center"/>
          </w:tcPr>
          <w:p>
            <w:pPr>
              <w:pStyle w:val="121"/>
            </w:pPr>
            <w:r>
              <w:t>2</w:t>
            </w:r>
          </w:p>
        </w:tc>
        <w:tc>
          <w:tcPr>
            <w:tcW w:w="909" w:type="pct"/>
            <w:noWrap/>
            <w:vAlign w:val="center"/>
          </w:tcPr>
          <w:p>
            <w:pPr>
              <w:pStyle w:val="121"/>
            </w:pPr>
            <w:r>
              <w:t>1</w:t>
            </w:r>
            <w:r>
              <w:rPr>
                <w:rFonts w:hint="eastAsia"/>
              </w:rPr>
              <w:t xml:space="preserve"> </w:t>
            </w:r>
            <w:r>
              <w:t>000</w:t>
            </w:r>
          </w:p>
        </w:tc>
        <w:tc>
          <w:tcPr>
            <w:tcW w:w="2490" w:type="pct"/>
            <w:noWrap/>
            <w:vAlign w:val="center"/>
          </w:tcPr>
          <w:p>
            <w:pPr>
              <w:pStyle w:val="121"/>
            </w:pPr>
            <w:r>
              <w:t>1</w:t>
            </w:r>
            <w:r>
              <w:rPr>
                <w:rFonts w:hint="eastAsia"/>
              </w:rPr>
              <w:t xml:space="preserve"> </w:t>
            </w:r>
            <w:r>
              <w:t>000×2％＝20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4" w:type="dxa"/>
            <w:left w:w="24" w:type="dxa"/>
            <w:bottom w:w="24" w:type="dxa"/>
            <w:right w:w="24" w:type="dxa"/>
          </w:tblCellMar>
        </w:tblPrEx>
        <w:trPr>
          <w:trHeight w:val="340" w:hRule="atLeast"/>
          <w:jc w:val="center"/>
        </w:trPr>
        <w:tc>
          <w:tcPr>
            <w:tcW w:w="1053" w:type="pct"/>
            <w:noWrap/>
            <w:vAlign w:val="center"/>
          </w:tcPr>
          <w:p>
            <w:pPr>
              <w:pStyle w:val="121"/>
            </w:pPr>
            <w:r>
              <w:t>1 000＜C</w:t>
            </w:r>
            <w:r>
              <w:rPr>
                <w:rFonts w:hint="eastAsia" w:ascii="宋体"/>
              </w:rPr>
              <w:t>≤</w:t>
            </w:r>
            <w:r>
              <w:t>5 000</w:t>
            </w:r>
          </w:p>
        </w:tc>
        <w:tc>
          <w:tcPr>
            <w:tcW w:w="545" w:type="pct"/>
            <w:noWrap/>
            <w:vAlign w:val="center"/>
          </w:tcPr>
          <w:p>
            <w:pPr>
              <w:pStyle w:val="121"/>
            </w:pPr>
            <w:r>
              <w:t>1.5</w:t>
            </w:r>
          </w:p>
        </w:tc>
        <w:tc>
          <w:tcPr>
            <w:tcW w:w="909" w:type="pct"/>
            <w:noWrap/>
            <w:vAlign w:val="center"/>
          </w:tcPr>
          <w:p>
            <w:pPr>
              <w:pStyle w:val="121"/>
            </w:pPr>
            <w:r>
              <w:t>5</w:t>
            </w:r>
            <w:r>
              <w:rPr>
                <w:rFonts w:hint="eastAsia"/>
              </w:rPr>
              <w:t xml:space="preserve"> </w:t>
            </w:r>
            <w:r>
              <w:t>000</w:t>
            </w:r>
          </w:p>
        </w:tc>
        <w:tc>
          <w:tcPr>
            <w:tcW w:w="2490" w:type="pct"/>
            <w:noWrap/>
            <w:vAlign w:val="center"/>
          </w:tcPr>
          <w:p>
            <w:pPr>
              <w:pStyle w:val="121"/>
            </w:pPr>
            <w:r>
              <w:t>20＋（5</w:t>
            </w:r>
            <w:r>
              <w:rPr>
                <w:rFonts w:hint="eastAsia"/>
              </w:rPr>
              <w:t xml:space="preserve"> </w:t>
            </w:r>
            <w:r>
              <w:t>000－1</w:t>
            </w:r>
            <w:r>
              <w:rPr>
                <w:rFonts w:hint="eastAsia"/>
              </w:rPr>
              <w:t xml:space="preserve"> </w:t>
            </w:r>
            <w:r>
              <w:t>000）×1.5％＝80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4" w:type="dxa"/>
            <w:left w:w="24" w:type="dxa"/>
            <w:bottom w:w="24" w:type="dxa"/>
            <w:right w:w="24" w:type="dxa"/>
          </w:tblCellMar>
        </w:tblPrEx>
        <w:trPr>
          <w:trHeight w:val="340" w:hRule="atLeast"/>
          <w:jc w:val="center"/>
        </w:trPr>
        <w:tc>
          <w:tcPr>
            <w:tcW w:w="1053" w:type="pct"/>
            <w:noWrap/>
            <w:vAlign w:val="center"/>
          </w:tcPr>
          <w:p>
            <w:pPr>
              <w:pStyle w:val="121"/>
            </w:pPr>
            <w:r>
              <w:t>5 000＜C</w:t>
            </w:r>
            <w:r>
              <w:rPr>
                <w:rFonts w:hint="eastAsia" w:ascii="宋体"/>
              </w:rPr>
              <w:t>≤</w:t>
            </w:r>
            <w:r>
              <w:t>10 000</w:t>
            </w:r>
          </w:p>
        </w:tc>
        <w:tc>
          <w:tcPr>
            <w:tcW w:w="545" w:type="pct"/>
            <w:noWrap/>
            <w:vAlign w:val="center"/>
          </w:tcPr>
          <w:p>
            <w:pPr>
              <w:pStyle w:val="121"/>
            </w:pPr>
            <w:r>
              <w:t>1.2</w:t>
            </w:r>
          </w:p>
        </w:tc>
        <w:tc>
          <w:tcPr>
            <w:tcW w:w="909" w:type="pct"/>
            <w:noWrap/>
            <w:vAlign w:val="center"/>
          </w:tcPr>
          <w:p>
            <w:pPr>
              <w:pStyle w:val="121"/>
            </w:pPr>
            <w:r>
              <w:t>10 000</w:t>
            </w:r>
          </w:p>
        </w:tc>
        <w:tc>
          <w:tcPr>
            <w:tcW w:w="2490" w:type="pct"/>
            <w:noWrap/>
            <w:vAlign w:val="center"/>
          </w:tcPr>
          <w:p>
            <w:pPr>
              <w:pStyle w:val="121"/>
            </w:pPr>
            <w:r>
              <w:t>80＋（10 000－5</w:t>
            </w:r>
            <w:r>
              <w:rPr>
                <w:rFonts w:hint="eastAsia"/>
              </w:rPr>
              <w:t xml:space="preserve"> </w:t>
            </w:r>
            <w:r>
              <w:t>000）×1.2％＝140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4" w:type="dxa"/>
            <w:left w:w="24" w:type="dxa"/>
            <w:bottom w:w="24" w:type="dxa"/>
            <w:right w:w="24" w:type="dxa"/>
          </w:tblCellMar>
        </w:tblPrEx>
        <w:trPr>
          <w:trHeight w:val="340" w:hRule="atLeast"/>
          <w:jc w:val="center"/>
        </w:trPr>
        <w:tc>
          <w:tcPr>
            <w:tcW w:w="1053" w:type="pct"/>
            <w:noWrap/>
            <w:vAlign w:val="center"/>
          </w:tcPr>
          <w:p>
            <w:pPr>
              <w:pStyle w:val="121"/>
            </w:pPr>
            <w:r>
              <w:t>10 000＜C</w:t>
            </w:r>
            <w:r>
              <w:rPr>
                <w:rFonts w:hint="eastAsia" w:ascii="宋体"/>
              </w:rPr>
              <w:t>≤</w:t>
            </w:r>
            <w:r>
              <w:t>50 000</w:t>
            </w:r>
          </w:p>
        </w:tc>
        <w:tc>
          <w:tcPr>
            <w:tcW w:w="545" w:type="pct"/>
            <w:noWrap/>
            <w:vAlign w:val="center"/>
          </w:tcPr>
          <w:p>
            <w:pPr>
              <w:pStyle w:val="121"/>
            </w:pPr>
            <w:r>
              <w:t>1</w:t>
            </w:r>
          </w:p>
        </w:tc>
        <w:tc>
          <w:tcPr>
            <w:tcW w:w="909" w:type="pct"/>
            <w:noWrap/>
            <w:vAlign w:val="center"/>
          </w:tcPr>
          <w:p>
            <w:pPr>
              <w:pStyle w:val="121"/>
            </w:pPr>
            <w:r>
              <w:t>50 000</w:t>
            </w:r>
          </w:p>
        </w:tc>
        <w:tc>
          <w:tcPr>
            <w:tcW w:w="2490" w:type="pct"/>
            <w:noWrap/>
            <w:vAlign w:val="center"/>
          </w:tcPr>
          <w:p>
            <w:pPr>
              <w:pStyle w:val="121"/>
            </w:pPr>
            <w:r>
              <w:t>140＋（50 000－10 000）×1％＝540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4" w:type="dxa"/>
            <w:left w:w="24" w:type="dxa"/>
            <w:bottom w:w="24" w:type="dxa"/>
            <w:right w:w="24" w:type="dxa"/>
          </w:tblCellMar>
        </w:tblPrEx>
        <w:trPr>
          <w:trHeight w:val="340" w:hRule="atLeast"/>
          <w:jc w:val="center"/>
        </w:trPr>
        <w:tc>
          <w:tcPr>
            <w:tcW w:w="1053" w:type="pct"/>
            <w:noWrap/>
            <w:vAlign w:val="center"/>
          </w:tcPr>
          <w:p>
            <w:pPr>
              <w:pStyle w:val="121"/>
            </w:pPr>
            <w:r>
              <w:t>50 000＜C</w:t>
            </w:r>
            <w:r>
              <w:rPr>
                <w:rFonts w:hint="eastAsia" w:ascii="宋体"/>
              </w:rPr>
              <w:t>≤</w:t>
            </w:r>
            <w:r>
              <w:t>100 000</w:t>
            </w:r>
          </w:p>
        </w:tc>
        <w:tc>
          <w:tcPr>
            <w:tcW w:w="545" w:type="pct"/>
            <w:noWrap/>
            <w:vAlign w:val="center"/>
          </w:tcPr>
          <w:p>
            <w:pPr>
              <w:pStyle w:val="121"/>
            </w:pPr>
            <w:r>
              <w:t>0.8</w:t>
            </w:r>
          </w:p>
        </w:tc>
        <w:tc>
          <w:tcPr>
            <w:tcW w:w="909" w:type="pct"/>
            <w:noWrap/>
            <w:vAlign w:val="center"/>
          </w:tcPr>
          <w:p>
            <w:pPr>
              <w:pStyle w:val="121"/>
            </w:pPr>
            <w:r>
              <w:t>100</w:t>
            </w:r>
            <w:r>
              <w:rPr>
                <w:rFonts w:hint="eastAsia"/>
              </w:rPr>
              <w:t xml:space="preserve"> </w:t>
            </w:r>
            <w:r>
              <w:t>000</w:t>
            </w:r>
          </w:p>
        </w:tc>
        <w:tc>
          <w:tcPr>
            <w:tcW w:w="2490" w:type="pct"/>
            <w:noWrap/>
            <w:vAlign w:val="center"/>
          </w:tcPr>
          <w:p>
            <w:pPr>
              <w:pStyle w:val="121"/>
            </w:pPr>
            <w:r>
              <w:t>540＋（100</w:t>
            </w:r>
            <w:r>
              <w:rPr>
                <w:rFonts w:hint="eastAsia"/>
              </w:rPr>
              <w:t xml:space="preserve"> </w:t>
            </w:r>
            <w:r>
              <w:t>000－50</w:t>
            </w:r>
            <w:r>
              <w:rPr>
                <w:rFonts w:hint="eastAsia"/>
              </w:rPr>
              <w:t xml:space="preserve"> </w:t>
            </w:r>
            <w:r>
              <w:t>000）×0.8％＝940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4" w:type="dxa"/>
            <w:left w:w="24" w:type="dxa"/>
            <w:bottom w:w="24" w:type="dxa"/>
            <w:right w:w="24" w:type="dxa"/>
          </w:tblCellMar>
        </w:tblPrEx>
        <w:trPr>
          <w:trHeight w:val="340" w:hRule="atLeast"/>
          <w:jc w:val="center"/>
        </w:trPr>
        <w:tc>
          <w:tcPr>
            <w:tcW w:w="1053" w:type="pct"/>
            <w:noWrap/>
            <w:vAlign w:val="center"/>
          </w:tcPr>
          <w:p>
            <w:pPr>
              <w:pStyle w:val="121"/>
            </w:pPr>
            <w:r>
              <w:t>＞100 000</w:t>
            </w:r>
          </w:p>
        </w:tc>
        <w:tc>
          <w:tcPr>
            <w:tcW w:w="545" w:type="pct"/>
            <w:noWrap/>
            <w:vAlign w:val="center"/>
          </w:tcPr>
          <w:p>
            <w:pPr>
              <w:pStyle w:val="121"/>
            </w:pPr>
            <w:r>
              <w:t>0.4</w:t>
            </w:r>
          </w:p>
        </w:tc>
        <w:tc>
          <w:tcPr>
            <w:tcW w:w="909" w:type="pct"/>
            <w:noWrap/>
            <w:vAlign w:val="center"/>
          </w:tcPr>
          <w:p>
            <w:pPr>
              <w:pStyle w:val="121"/>
            </w:pPr>
            <w:r>
              <w:t>200</w:t>
            </w:r>
            <w:r>
              <w:rPr>
                <w:rFonts w:hint="eastAsia"/>
              </w:rPr>
              <w:t xml:space="preserve"> </w:t>
            </w:r>
            <w:r>
              <w:t>000</w:t>
            </w:r>
          </w:p>
        </w:tc>
        <w:tc>
          <w:tcPr>
            <w:tcW w:w="2490" w:type="pct"/>
            <w:noWrap/>
            <w:vAlign w:val="center"/>
          </w:tcPr>
          <w:p>
            <w:pPr>
              <w:pStyle w:val="121"/>
            </w:pPr>
            <w:r>
              <w:t>940＋（200</w:t>
            </w:r>
            <w:r>
              <w:rPr>
                <w:rFonts w:hint="eastAsia"/>
              </w:rPr>
              <w:t xml:space="preserve"> </w:t>
            </w:r>
            <w:r>
              <w:t>000－100</w:t>
            </w:r>
            <w:r>
              <w:rPr>
                <w:rFonts w:hint="eastAsia"/>
              </w:rPr>
              <w:t xml:space="preserve"> </w:t>
            </w:r>
            <w:r>
              <w:t>000）×0.4％＝1</w:t>
            </w:r>
            <w:r>
              <w:rPr>
                <w:rFonts w:hint="eastAsia"/>
              </w:rPr>
              <w:t xml:space="preserve"> </w:t>
            </w:r>
            <w:r>
              <w:t>340</w:t>
            </w:r>
          </w:p>
        </w:tc>
      </w:tr>
    </w:tbl>
    <w:p>
      <w:pPr>
        <w:ind w:firstLine="420"/>
        <w:rPr>
          <w:rFonts w:ascii="Times New Roman" w:hAnsi="Times New Roman" w:cs="Times New Roman"/>
        </w:rPr>
      </w:pPr>
    </w:p>
    <w:p>
      <w:pPr>
        <w:pStyle w:val="119"/>
        <w:spacing w:before="120" w:beforeLines="50" w:after="120" w:afterLines="50" w:line="240" w:lineRule="auto"/>
        <w:rPr>
          <w:rStyle w:val="120"/>
          <w:rFonts w:ascii="黑体"/>
        </w:rPr>
      </w:pPr>
      <w:r>
        <w:rPr>
          <w:rStyle w:val="120"/>
          <w:rFonts w:hint="eastAsia" w:ascii="黑体"/>
        </w:rPr>
        <w:t>表8  施工监理服务收费基价表</w:t>
      </w:r>
    </w:p>
    <w:p>
      <w:pPr>
        <w:spacing w:before="120" w:beforeLines="50" w:after="120" w:afterLines="50" w:line="240" w:lineRule="auto"/>
        <w:ind w:firstLine="0"/>
        <w:jc w:val="right"/>
        <w:rPr>
          <w:rFonts w:ascii="Times New Roman" w:hAnsi="Times New Roman" w:cs="Times New Roman"/>
          <w:sz w:val="18"/>
          <w:szCs w:val="18"/>
        </w:rPr>
      </w:pPr>
      <w:r>
        <w:rPr>
          <w:rFonts w:hint="eastAsia" w:ascii="黑体" w:eastAsia="黑体" w:cs="Times New Roman"/>
          <w:sz w:val="18"/>
          <w:szCs w:val="18"/>
        </w:rPr>
        <w:t>单位为万元</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85"/>
        <w:gridCol w:w="4023"/>
        <w:gridCol w:w="40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730" w:type="pct"/>
            <w:tcMar>
              <w:left w:w="108" w:type="dxa"/>
              <w:right w:w="108" w:type="dxa"/>
            </w:tcMar>
            <w:vAlign w:val="center"/>
          </w:tcPr>
          <w:p>
            <w:pPr>
              <w:pStyle w:val="121"/>
            </w:pPr>
            <w:r>
              <w:t>序号</w:t>
            </w:r>
          </w:p>
        </w:tc>
        <w:tc>
          <w:tcPr>
            <w:tcW w:w="2121" w:type="pct"/>
            <w:tcMar>
              <w:left w:w="108" w:type="dxa"/>
              <w:right w:w="108" w:type="dxa"/>
            </w:tcMar>
            <w:vAlign w:val="center"/>
          </w:tcPr>
          <w:p>
            <w:pPr>
              <w:pStyle w:val="121"/>
            </w:pPr>
            <w:r>
              <w:t>计费额</w:t>
            </w:r>
            <w:r>
              <w:rPr>
                <w:rFonts w:hint="eastAsia"/>
              </w:rPr>
              <w:t>（建安</w:t>
            </w:r>
            <w:r>
              <w:t>工程费</w:t>
            </w:r>
            <w:r>
              <w:rPr>
                <w:rFonts w:hint="eastAsia"/>
              </w:rPr>
              <w:t>）</w:t>
            </w:r>
          </w:p>
        </w:tc>
        <w:tc>
          <w:tcPr>
            <w:tcW w:w="2147" w:type="pct"/>
            <w:tcMar>
              <w:left w:w="108" w:type="dxa"/>
              <w:right w:w="108" w:type="dxa"/>
            </w:tcMar>
            <w:vAlign w:val="center"/>
          </w:tcPr>
          <w:p>
            <w:pPr>
              <w:pStyle w:val="121"/>
            </w:pPr>
            <w:r>
              <w:t>收费基价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1</w:t>
            </w:r>
          </w:p>
        </w:tc>
        <w:tc>
          <w:tcPr>
            <w:tcW w:w="2121" w:type="pct"/>
            <w:tcMar>
              <w:left w:w="108" w:type="dxa"/>
              <w:right w:w="108" w:type="dxa"/>
            </w:tcMar>
            <w:vAlign w:val="center"/>
          </w:tcPr>
          <w:p>
            <w:pPr>
              <w:pStyle w:val="121"/>
            </w:pPr>
            <w:r>
              <w:t>500</w:t>
            </w:r>
          </w:p>
        </w:tc>
        <w:tc>
          <w:tcPr>
            <w:tcW w:w="2147" w:type="pct"/>
            <w:tcMar>
              <w:left w:w="108" w:type="dxa"/>
              <w:right w:w="108" w:type="dxa"/>
            </w:tcMar>
            <w:vAlign w:val="center"/>
          </w:tcPr>
          <w:p>
            <w:pPr>
              <w:pStyle w:val="121"/>
            </w:pPr>
            <w:r>
              <w:t>16.5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2</w:t>
            </w:r>
          </w:p>
        </w:tc>
        <w:tc>
          <w:tcPr>
            <w:tcW w:w="2121" w:type="pct"/>
            <w:tcMar>
              <w:left w:w="108" w:type="dxa"/>
              <w:right w:w="108" w:type="dxa"/>
            </w:tcMar>
            <w:vAlign w:val="center"/>
          </w:tcPr>
          <w:p>
            <w:pPr>
              <w:pStyle w:val="121"/>
            </w:pPr>
            <w:r>
              <w:t>1</w:t>
            </w:r>
            <w:r>
              <w:rPr>
                <w:rFonts w:hint="eastAsia"/>
              </w:rPr>
              <w:t xml:space="preserve"> </w:t>
            </w:r>
            <w:r>
              <w:t>000</w:t>
            </w:r>
          </w:p>
        </w:tc>
        <w:tc>
          <w:tcPr>
            <w:tcW w:w="2147" w:type="pct"/>
            <w:tcMar>
              <w:left w:w="108" w:type="dxa"/>
              <w:right w:w="108" w:type="dxa"/>
            </w:tcMar>
            <w:vAlign w:val="center"/>
          </w:tcPr>
          <w:p>
            <w:pPr>
              <w:pStyle w:val="121"/>
            </w:pPr>
            <w:r>
              <w:t>30.1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3</w:t>
            </w:r>
          </w:p>
        </w:tc>
        <w:tc>
          <w:tcPr>
            <w:tcW w:w="2121" w:type="pct"/>
            <w:tcMar>
              <w:left w:w="108" w:type="dxa"/>
              <w:right w:w="108" w:type="dxa"/>
            </w:tcMar>
            <w:vAlign w:val="center"/>
          </w:tcPr>
          <w:p>
            <w:pPr>
              <w:pStyle w:val="121"/>
            </w:pPr>
            <w:r>
              <w:t>3</w:t>
            </w:r>
            <w:r>
              <w:rPr>
                <w:rFonts w:hint="eastAsia"/>
              </w:rPr>
              <w:t xml:space="preserve"> </w:t>
            </w:r>
            <w:r>
              <w:t>000</w:t>
            </w:r>
          </w:p>
        </w:tc>
        <w:tc>
          <w:tcPr>
            <w:tcW w:w="2147" w:type="pct"/>
            <w:tcMar>
              <w:left w:w="108" w:type="dxa"/>
              <w:right w:w="108" w:type="dxa"/>
            </w:tcMar>
            <w:vAlign w:val="center"/>
          </w:tcPr>
          <w:p>
            <w:pPr>
              <w:pStyle w:val="121"/>
            </w:pPr>
            <w:r>
              <w:t>78.1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4</w:t>
            </w:r>
          </w:p>
        </w:tc>
        <w:tc>
          <w:tcPr>
            <w:tcW w:w="2121" w:type="pct"/>
            <w:tcMar>
              <w:left w:w="108" w:type="dxa"/>
              <w:right w:w="108" w:type="dxa"/>
            </w:tcMar>
            <w:vAlign w:val="center"/>
          </w:tcPr>
          <w:p>
            <w:pPr>
              <w:pStyle w:val="121"/>
            </w:pPr>
            <w:r>
              <w:t>5</w:t>
            </w:r>
            <w:r>
              <w:rPr>
                <w:rFonts w:hint="eastAsia"/>
              </w:rPr>
              <w:t xml:space="preserve"> </w:t>
            </w:r>
            <w:r>
              <w:t>000</w:t>
            </w:r>
          </w:p>
        </w:tc>
        <w:tc>
          <w:tcPr>
            <w:tcW w:w="2147" w:type="pct"/>
            <w:tcMar>
              <w:left w:w="108" w:type="dxa"/>
              <w:right w:w="108" w:type="dxa"/>
            </w:tcMar>
            <w:vAlign w:val="center"/>
          </w:tcPr>
          <w:p>
            <w:pPr>
              <w:pStyle w:val="121"/>
            </w:pPr>
            <w:r>
              <w:t>120.8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5</w:t>
            </w:r>
          </w:p>
        </w:tc>
        <w:tc>
          <w:tcPr>
            <w:tcW w:w="2121" w:type="pct"/>
            <w:tcMar>
              <w:left w:w="108" w:type="dxa"/>
              <w:right w:w="108" w:type="dxa"/>
            </w:tcMar>
            <w:vAlign w:val="center"/>
          </w:tcPr>
          <w:p>
            <w:pPr>
              <w:pStyle w:val="121"/>
            </w:pPr>
            <w:r>
              <w:t>8</w:t>
            </w:r>
            <w:r>
              <w:rPr>
                <w:rFonts w:hint="eastAsia"/>
              </w:rPr>
              <w:t xml:space="preserve"> </w:t>
            </w:r>
            <w:r>
              <w:t>000</w:t>
            </w:r>
          </w:p>
        </w:tc>
        <w:tc>
          <w:tcPr>
            <w:tcW w:w="2147" w:type="pct"/>
            <w:tcMar>
              <w:left w:w="108" w:type="dxa"/>
              <w:right w:w="108" w:type="dxa"/>
            </w:tcMar>
            <w:vAlign w:val="center"/>
          </w:tcPr>
          <w:p>
            <w:pPr>
              <w:pStyle w:val="121"/>
            </w:pPr>
            <w:r>
              <w:t>181.0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6</w:t>
            </w:r>
          </w:p>
        </w:tc>
        <w:tc>
          <w:tcPr>
            <w:tcW w:w="2121" w:type="pct"/>
            <w:tcMar>
              <w:left w:w="108" w:type="dxa"/>
              <w:right w:w="108" w:type="dxa"/>
            </w:tcMar>
            <w:vAlign w:val="center"/>
          </w:tcPr>
          <w:p>
            <w:pPr>
              <w:pStyle w:val="121"/>
            </w:pPr>
            <w:r>
              <w:t>10 000</w:t>
            </w:r>
          </w:p>
        </w:tc>
        <w:tc>
          <w:tcPr>
            <w:tcW w:w="2147" w:type="pct"/>
            <w:tcMar>
              <w:left w:w="108" w:type="dxa"/>
              <w:right w:w="108" w:type="dxa"/>
            </w:tcMar>
            <w:vAlign w:val="center"/>
          </w:tcPr>
          <w:p>
            <w:pPr>
              <w:pStyle w:val="121"/>
            </w:pPr>
            <w:r>
              <w:t>218.6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7</w:t>
            </w:r>
          </w:p>
        </w:tc>
        <w:tc>
          <w:tcPr>
            <w:tcW w:w="2121" w:type="pct"/>
            <w:tcMar>
              <w:left w:w="108" w:type="dxa"/>
              <w:right w:w="108" w:type="dxa"/>
            </w:tcMar>
            <w:vAlign w:val="center"/>
          </w:tcPr>
          <w:p>
            <w:pPr>
              <w:pStyle w:val="121"/>
            </w:pPr>
            <w:r>
              <w:t>20 000</w:t>
            </w:r>
          </w:p>
        </w:tc>
        <w:tc>
          <w:tcPr>
            <w:tcW w:w="2147" w:type="pct"/>
            <w:tcMar>
              <w:left w:w="108" w:type="dxa"/>
              <w:right w:w="108" w:type="dxa"/>
            </w:tcMar>
            <w:vAlign w:val="center"/>
          </w:tcPr>
          <w:p>
            <w:pPr>
              <w:pStyle w:val="121"/>
            </w:pPr>
            <w:r>
              <w:t>393.4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8</w:t>
            </w:r>
          </w:p>
        </w:tc>
        <w:tc>
          <w:tcPr>
            <w:tcW w:w="2121" w:type="pct"/>
            <w:tcMar>
              <w:left w:w="108" w:type="dxa"/>
              <w:right w:w="108" w:type="dxa"/>
            </w:tcMar>
            <w:vAlign w:val="center"/>
          </w:tcPr>
          <w:p>
            <w:pPr>
              <w:pStyle w:val="121"/>
            </w:pPr>
            <w:r>
              <w:t>40 000</w:t>
            </w:r>
          </w:p>
        </w:tc>
        <w:tc>
          <w:tcPr>
            <w:tcW w:w="2147" w:type="pct"/>
            <w:tcMar>
              <w:left w:w="108" w:type="dxa"/>
              <w:right w:w="108" w:type="dxa"/>
            </w:tcMar>
            <w:vAlign w:val="center"/>
          </w:tcPr>
          <w:p>
            <w:pPr>
              <w:pStyle w:val="121"/>
            </w:pPr>
            <w:r>
              <w:t>708.2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9</w:t>
            </w:r>
          </w:p>
        </w:tc>
        <w:tc>
          <w:tcPr>
            <w:tcW w:w="2121" w:type="pct"/>
            <w:tcMar>
              <w:left w:w="108" w:type="dxa"/>
              <w:right w:w="108" w:type="dxa"/>
            </w:tcMar>
            <w:vAlign w:val="center"/>
          </w:tcPr>
          <w:p>
            <w:pPr>
              <w:pStyle w:val="121"/>
            </w:pPr>
            <w:r>
              <w:t>60 000</w:t>
            </w:r>
          </w:p>
        </w:tc>
        <w:tc>
          <w:tcPr>
            <w:tcW w:w="2147" w:type="pct"/>
            <w:tcMar>
              <w:left w:w="108" w:type="dxa"/>
              <w:right w:w="108" w:type="dxa"/>
            </w:tcMar>
            <w:vAlign w:val="center"/>
          </w:tcPr>
          <w:p>
            <w:pPr>
              <w:pStyle w:val="121"/>
            </w:pPr>
            <w:r>
              <w:t>991.4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10</w:t>
            </w:r>
          </w:p>
        </w:tc>
        <w:tc>
          <w:tcPr>
            <w:tcW w:w="2121" w:type="pct"/>
            <w:tcMar>
              <w:left w:w="108" w:type="dxa"/>
              <w:right w:w="108" w:type="dxa"/>
            </w:tcMar>
            <w:vAlign w:val="center"/>
          </w:tcPr>
          <w:p>
            <w:pPr>
              <w:pStyle w:val="121"/>
            </w:pPr>
            <w:r>
              <w:t>80 000</w:t>
            </w:r>
          </w:p>
        </w:tc>
        <w:tc>
          <w:tcPr>
            <w:tcW w:w="2147" w:type="pct"/>
            <w:tcMar>
              <w:left w:w="108" w:type="dxa"/>
              <w:right w:w="108" w:type="dxa"/>
            </w:tcMar>
            <w:vAlign w:val="center"/>
          </w:tcPr>
          <w:p>
            <w:pPr>
              <w:pStyle w:val="121"/>
            </w:pPr>
            <w:r>
              <w:t>1</w:t>
            </w:r>
            <w:r>
              <w:rPr>
                <w:rFonts w:hint="eastAsia"/>
              </w:rPr>
              <w:t xml:space="preserve"> </w:t>
            </w:r>
            <w:r>
              <w:t>255.8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11</w:t>
            </w:r>
          </w:p>
        </w:tc>
        <w:tc>
          <w:tcPr>
            <w:tcW w:w="2121" w:type="pct"/>
            <w:tcMar>
              <w:left w:w="108" w:type="dxa"/>
              <w:right w:w="108" w:type="dxa"/>
            </w:tcMar>
            <w:vAlign w:val="center"/>
          </w:tcPr>
          <w:p>
            <w:pPr>
              <w:pStyle w:val="121"/>
            </w:pPr>
            <w:r>
              <w:t>100</w:t>
            </w:r>
            <w:r>
              <w:rPr>
                <w:rFonts w:hint="eastAsia"/>
              </w:rPr>
              <w:t xml:space="preserve"> </w:t>
            </w:r>
            <w:r>
              <w:t>000</w:t>
            </w:r>
          </w:p>
        </w:tc>
        <w:tc>
          <w:tcPr>
            <w:tcW w:w="2147" w:type="pct"/>
            <w:tcMar>
              <w:left w:w="108" w:type="dxa"/>
              <w:right w:w="108" w:type="dxa"/>
            </w:tcMar>
            <w:vAlign w:val="center"/>
          </w:tcPr>
          <w:p>
            <w:pPr>
              <w:pStyle w:val="121"/>
            </w:pPr>
            <w:r>
              <w:t>1</w:t>
            </w:r>
            <w:r>
              <w:rPr>
                <w:rFonts w:hint="eastAsia"/>
              </w:rPr>
              <w:t xml:space="preserve"> </w:t>
            </w:r>
            <w:r>
              <w:t>507.0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12</w:t>
            </w:r>
          </w:p>
        </w:tc>
        <w:tc>
          <w:tcPr>
            <w:tcW w:w="2121" w:type="pct"/>
            <w:tcMar>
              <w:left w:w="108" w:type="dxa"/>
              <w:right w:w="108" w:type="dxa"/>
            </w:tcMar>
            <w:vAlign w:val="center"/>
          </w:tcPr>
          <w:p>
            <w:pPr>
              <w:pStyle w:val="121"/>
            </w:pPr>
            <w:r>
              <w:t>200</w:t>
            </w:r>
            <w:r>
              <w:rPr>
                <w:rFonts w:hint="eastAsia"/>
              </w:rPr>
              <w:t xml:space="preserve"> </w:t>
            </w:r>
            <w:r>
              <w:t>000</w:t>
            </w:r>
          </w:p>
        </w:tc>
        <w:tc>
          <w:tcPr>
            <w:tcW w:w="2147" w:type="pct"/>
            <w:tcMar>
              <w:left w:w="108" w:type="dxa"/>
              <w:right w:w="108" w:type="dxa"/>
            </w:tcMar>
            <w:vAlign w:val="center"/>
          </w:tcPr>
          <w:p>
            <w:pPr>
              <w:pStyle w:val="121"/>
            </w:pPr>
            <w:r>
              <w:t>2</w:t>
            </w:r>
            <w:r>
              <w:rPr>
                <w:rFonts w:hint="eastAsia"/>
              </w:rPr>
              <w:t xml:space="preserve"> </w:t>
            </w:r>
            <w:r>
              <w:t>712.5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13</w:t>
            </w:r>
          </w:p>
        </w:tc>
        <w:tc>
          <w:tcPr>
            <w:tcW w:w="2121" w:type="pct"/>
            <w:tcMar>
              <w:left w:w="108" w:type="dxa"/>
              <w:right w:w="108" w:type="dxa"/>
            </w:tcMar>
            <w:vAlign w:val="center"/>
          </w:tcPr>
          <w:p>
            <w:pPr>
              <w:pStyle w:val="121"/>
            </w:pPr>
            <w:r>
              <w:t>400</w:t>
            </w:r>
            <w:r>
              <w:rPr>
                <w:rFonts w:hint="eastAsia"/>
              </w:rPr>
              <w:t xml:space="preserve"> </w:t>
            </w:r>
            <w:r>
              <w:t>000</w:t>
            </w:r>
          </w:p>
        </w:tc>
        <w:tc>
          <w:tcPr>
            <w:tcW w:w="2147" w:type="pct"/>
            <w:tcMar>
              <w:left w:w="108" w:type="dxa"/>
              <w:right w:w="108" w:type="dxa"/>
            </w:tcMar>
            <w:vAlign w:val="center"/>
          </w:tcPr>
          <w:p>
            <w:pPr>
              <w:pStyle w:val="121"/>
            </w:pPr>
            <w:r>
              <w:t>4</w:t>
            </w:r>
            <w:r>
              <w:rPr>
                <w:rFonts w:hint="eastAsia"/>
              </w:rPr>
              <w:t xml:space="preserve"> </w:t>
            </w:r>
            <w:r>
              <w:t>882.6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14</w:t>
            </w:r>
          </w:p>
        </w:tc>
        <w:tc>
          <w:tcPr>
            <w:tcW w:w="2121" w:type="pct"/>
            <w:tcMar>
              <w:left w:w="108" w:type="dxa"/>
              <w:right w:w="108" w:type="dxa"/>
            </w:tcMar>
            <w:vAlign w:val="center"/>
          </w:tcPr>
          <w:p>
            <w:pPr>
              <w:pStyle w:val="121"/>
            </w:pPr>
            <w:r>
              <w:t>600</w:t>
            </w:r>
            <w:r>
              <w:rPr>
                <w:rFonts w:hint="eastAsia"/>
              </w:rPr>
              <w:t xml:space="preserve"> </w:t>
            </w:r>
            <w:r>
              <w:t>000</w:t>
            </w:r>
          </w:p>
        </w:tc>
        <w:tc>
          <w:tcPr>
            <w:tcW w:w="2147" w:type="pct"/>
            <w:tcMar>
              <w:left w:w="108" w:type="dxa"/>
              <w:right w:w="108" w:type="dxa"/>
            </w:tcMar>
            <w:vAlign w:val="center"/>
          </w:tcPr>
          <w:p>
            <w:pPr>
              <w:pStyle w:val="121"/>
            </w:pPr>
            <w:r>
              <w:t>6</w:t>
            </w:r>
            <w:r>
              <w:rPr>
                <w:rFonts w:hint="eastAsia"/>
              </w:rPr>
              <w:t xml:space="preserve"> </w:t>
            </w:r>
            <w:r>
              <w:t>835.6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15</w:t>
            </w:r>
          </w:p>
        </w:tc>
        <w:tc>
          <w:tcPr>
            <w:tcW w:w="2121" w:type="pct"/>
            <w:tcMar>
              <w:left w:w="108" w:type="dxa"/>
              <w:right w:w="108" w:type="dxa"/>
            </w:tcMar>
            <w:vAlign w:val="center"/>
          </w:tcPr>
          <w:p>
            <w:pPr>
              <w:pStyle w:val="121"/>
            </w:pPr>
            <w:r>
              <w:t>800</w:t>
            </w:r>
            <w:r>
              <w:rPr>
                <w:rFonts w:hint="eastAsia"/>
              </w:rPr>
              <w:t xml:space="preserve"> </w:t>
            </w:r>
            <w:r>
              <w:t>000</w:t>
            </w:r>
          </w:p>
        </w:tc>
        <w:tc>
          <w:tcPr>
            <w:tcW w:w="2147" w:type="pct"/>
            <w:tcMar>
              <w:left w:w="108" w:type="dxa"/>
              <w:right w:w="108" w:type="dxa"/>
            </w:tcMar>
            <w:vAlign w:val="center"/>
          </w:tcPr>
          <w:p>
            <w:pPr>
              <w:pStyle w:val="121"/>
            </w:pPr>
            <w:r>
              <w:t>8</w:t>
            </w:r>
            <w:r>
              <w:rPr>
                <w:rFonts w:hint="eastAsia"/>
              </w:rPr>
              <w:t xml:space="preserve"> </w:t>
            </w:r>
            <w:r>
              <w:t>658.4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pct"/>
            <w:tcMar>
              <w:left w:w="108" w:type="dxa"/>
              <w:right w:w="108" w:type="dxa"/>
            </w:tcMar>
            <w:vAlign w:val="center"/>
          </w:tcPr>
          <w:p>
            <w:pPr>
              <w:pStyle w:val="121"/>
            </w:pPr>
            <w:r>
              <w:t>16</w:t>
            </w:r>
          </w:p>
        </w:tc>
        <w:tc>
          <w:tcPr>
            <w:tcW w:w="2121" w:type="pct"/>
            <w:tcMar>
              <w:left w:w="108" w:type="dxa"/>
              <w:right w:w="108" w:type="dxa"/>
            </w:tcMar>
            <w:vAlign w:val="center"/>
          </w:tcPr>
          <w:p>
            <w:pPr>
              <w:pStyle w:val="121"/>
            </w:pPr>
            <w:r>
              <w:t>1</w:t>
            </w:r>
            <w:r>
              <w:rPr>
                <w:rFonts w:hint="eastAsia"/>
              </w:rPr>
              <w:t xml:space="preserve"> </w:t>
            </w:r>
            <w:r>
              <w:t>000</w:t>
            </w:r>
            <w:r>
              <w:rPr>
                <w:rFonts w:hint="eastAsia"/>
              </w:rPr>
              <w:t xml:space="preserve"> </w:t>
            </w:r>
            <w:r>
              <w:t>000</w:t>
            </w:r>
          </w:p>
        </w:tc>
        <w:tc>
          <w:tcPr>
            <w:tcW w:w="2147" w:type="pct"/>
            <w:tcMar>
              <w:left w:w="108" w:type="dxa"/>
              <w:right w:w="108" w:type="dxa"/>
            </w:tcMar>
            <w:vAlign w:val="center"/>
          </w:tcPr>
          <w:p>
            <w:pPr>
              <w:pStyle w:val="121"/>
            </w:pPr>
            <w:r>
              <w:t>10</w:t>
            </w:r>
            <w:r>
              <w:rPr>
                <w:rFonts w:hint="eastAsia"/>
              </w:rPr>
              <w:t xml:space="preserve"> </w:t>
            </w:r>
            <w:r>
              <w:t>390.1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000" w:type="pct"/>
            <w:gridSpan w:val="3"/>
            <w:vAlign w:val="center"/>
          </w:tcPr>
          <w:p>
            <w:pPr>
              <w:pStyle w:val="121"/>
              <w:jc w:val="left"/>
              <w:rPr>
                <w:kern w:val="18"/>
              </w:rPr>
            </w:pPr>
            <w:r>
              <w:rPr>
                <w:rFonts w:hint="eastAsia" w:ascii="黑体" w:eastAsia="黑体"/>
                <w:spacing w:val="1"/>
                <w:w w:val="96"/>
                <w:kern w:val="0"/>
                <w:fitText w:val="9000" w:id="-2083279360"/>
              </w:rPr>
              <w:t>注：</w:t>
            </w:r>
            <w:r>
              <w:rPr>
                <w:spacing w:val="1"/>
                <w:w w:val="96"/>
                <w:kern w:val="0"/>
                <w:fitText w:val="9000" w:id="-2083279360"/>
              </w:rPr>
              <w:t>计费额大于1 000 000万元的，以计费额乘以1.039%的收费率计算收费基价。其他未包含的收费由双方协商议定</w:t>
            </w:r>
            <w:r>
              <w:rPr>
                <w:spacing w:val="-4"/>
                <w:w w:val="96"/>
                <w:kern w:val="0"/>
                <w:fitText w:val="9000" w:id="-2083279360"/>
              </w:rPr>
              <w:t>。</w:t>
            </w:r>
          </w:p>
        </w:tc>
      </w:tr>
    </w:tbl>
    <w:p>
      <w:pPr>
        <w:ind w:firstLine="0"/>
      </w:pPr>
    </w:p>
    <w:p>
      <w:pPr>
        <w:pStyle w:val="229"/>
        <w:spacing w:before="120" w:beforeLines="50" w:after="120" w:afterLines="50"/>
      </w:pPr>
      <w:r>
        <w:rPr>
          <w:rFonts w:hint="eastAsia"/>
        </w:rPr>
        <w:t>7.5.3.3  项目勘查费</w:t>
      </w:r>
    </w:p>
    <w:p>
      <w:pPr>
        <w:ind w:firstLine="420"/>
        <w:rPr>
          <w:rFonts w:ascii="Times New Roman" w:hAnsi="Times New Roman" w:cs="Times New Roman"/>
        </w:rPr>
      </w:pPr>
      <w:r>
        <w:rPr>
          <w:rFonts w:ascii="Times New Roman" w:hAnsi="Times New Roman" w:cs="Times New Roman"/>
        </w:rPr>
        <w:t>根据项目勘查工程量，采用国家计委、建设部《工程勘察设计收费标准》（计价格〔2002〕10号）或中国地质调查局《地质调查项目预算标准（2010年试用）》计算勘查费。工程量的核定根据相关</w:t>
      </w:r>
      <w:r>
        <w:rPr>
          <w:rFonts w:hint="eastAsia" w:ascii="Times New Roman" w:hAnsi="Times New Roman" w:cs="Times New Roman"/>
        </w:rPr>
        <w:t>地质灾害</w:t>
      </w:r>
      <w:r>
        <w:rPr>
          <w:rFonts w:ascii="Times New Roman" w:hAnsi="Times New Roman" w:cs="Times New Roman"/>
        </w:rPr>
        <w:t>勘查规范（行业规范）计算或</w:t>
      </w:r>
      <w:r>
        <w:rPr>
          <w:rFonts w:hint="eastAsia" w:ascii="Times New Roman" w:hAnsi="Times New Roman" w:cs="Times New Roman"/>
        </w:rPr>
        <w:t>地质灾害</w:t>
      </w:r>
      <w:r>
        <w:rPr>
          <w:rFonts w:ascii="Times New Roman" w:hAnsi="Times New Roman" w:cs="Times New Roman"/>
        </w:rPr>
        <w:t>勘查监理核定的工作量确定。</w:t>
      </w:r>
    </w:p>
    <w:p>
      <w:pPr>
        <w:pStyle w:val="229"/>
        <w:spacing w:before="120" w:beforeLines="50" w:after="120" w:afterLines="50"/>
      </w:pPr>
      <w:r>
        <w:rPr>
          <w:rFonts w:hint="eastAsia"/>
        </w:rPr>
        <w:t>7.5.3.4  工程设计费</w:t>
      </w:r>
    </w:p>
    <w:p>
      <w:pPr>
        <w:topLinePunct/>
        <w:ind w:left="840" w:leftChars="200" w:hanging="420"/>
        <w:jc w:val="both"/>
        <w:rPr>
          <w:rFonts w:ascii="Times New Roman" w:hAnsi="Times New Roman" w:cs="Times New Roman"/>
        </w:rPr>
      </w:pPr>
      <w:r>
        <w:rPr>
          <w:rFonts w:ascii="Times New Roman" w:hAnsi="Times New Roman" w:cs="Times New Roman"/>
        </w:rPr>
        <w:t>a)  工程设计包括可行性研究、初步设计和施工图设计三个阶段。</w:t>
      </w:r>
    </w:p>
    <w:p>
      <w:pPr>
        <w:topLinePunct/>
        <w:ind w:left="840" w:leftChars="200" w:hanging="420"/>
        <w:jc w:val="both"/>
        <w:rPr>
          <w:rFonts w:ascii="Times New Roman" w:hAnsi="Times New Roman" w:cs="Times New Roman"/>
        </w:rPr>
      </w:pPr>
      <w:r>
        <w:rPr>
          <w:rFonts w:ascii="Times New Roman" w:hAnsi="Times New Roman" w:cs="Times New Roman"/>
        </w:rPr>
        <w:t>b)  项目可行性研究报告编制费按初步设计和施工图设计费的计算方式所得金额的20%计取；若只有可行性研究阶段，则项目可行性研究报告编制费按初步设计和施工图设计费计算方式所得金额的50%计取，且不超过38.8万元。</w:t>
      </w:r>
    </w:p>
    <w:p>
      <w:pPr>
        <w:topLinePunct/>
        <w:ind w:left="840" w:leftChars="200" w:hanging="420"/>
        <w:jc w:val="both"/>
        <w:rPr>
          <w:rFonts w:ascii="Times New Roman" w:hAnsi="Times New Roman" w:cs="Times New Roman"/>
        </w:rPr>
      </w:pPr>
      <w:r>
        <w:rPr>
          <w:rFonts w:ascii="Times New Roman" w:hAnsi="Times New Roman" w:cs="Times New Roman"/>
        </w:rPr>
        <w:t>c)  初步设计和施工图设计费按照以下方式计算：</w:t>
      </w:r>
    </w:p>
    <w:p>
      <w:pPr>
        <w:topLinePunct/>
        <w:ind w:left="840" w:leftChars="400" w:firstLine="0"/>
        <w:jc w:val="both"/>
        <w:rPr>
          <w:rFonts w:ascii="Times New Roman" w:hAnsi="Times New Roman" w:cs="Times New Roman"/>
        </w:rPr>
      </w:pPr>
      <w:r>
        <w:rPr>
          <w:rFonts w:ascii="Times New Roman" w:hAnsi="Times New Roman" w:cs="Times New Roman"/>
        </w:rPr>
        <w:t>建</w:t>
      </w:r>
      <w:r>
        <w:rPr>
          <w:rFonts w:hint="eastAsia" w:ascii="Times New Roman" w:hAnsi="Times New Roman" w:cs="Times New Roman"/>
        </w:rPr>
        <w:t>安</w:t>
      </w:r>
      <w:r>
        <w:rPr>
          <w:rFonts w:ascii="Times New Roman" w:hAnsi="Times New Roman" w:cs="Times New Roman"/>
        </w:rPr>
        <w:t>工程费在200万元以下的（含200万元），按4.5%计取。按比例计取后设计费低于4万元的，按4万元计取。</w:t>
      </w:r>
    </w:p>
    <w:p>
      <w:pPr>
        <w:wordWrap w:val="0"/>
        <w:topLinePunct/>
        <w:ind w:left="840" w:leftChars="400" w:firstLine="0"/>
        <w:jc w:val="both"/>
        <w:rPr>
          <w:rFonts w:ascii="Times New Roman" w:hAnsi="Times New Roman" w:cs="Times New Roman"/>
        </w:rPr>
      </w:pPr>
      <w:r>
        <w:rPr>
          <w:rFonts w:ascii="Times New Roman" w:hAnsi="Times New Roman" w:cs="Times New Roman"/>
        </w:rPr>
        <w:t>建</w:t>
      </w:r>
      <w:r>
        <w:rPr>
          <w:rFonts w:hint="eastAsia" w:ascii="Times New Roman" w:hAnsi="Times New Roman" w:cs="Times New Roman"/>
        </w:rPr>
        <w:t>安</w:t>
      </w:r>
      <w:r>
        <w:rPr>
          <w:rFonts w:ascii="Times New Roman" w:hAnsi="Times New Roman" w:cs="Times New Roman"/>
        </w:rPr>
        <w:t>工程费在200万元以上的，初步设计和施工图设计费取费标准按国家计委、建设部《工程勘察设计收费标准》（计价格〔2002〕10号）规定的计费基价乘以调整系数，采用内插法计取；工程设计费取费的调整系数包括：专业调整系数为0.8，工程复杂程度调整系数为1.15，附加调整系数为1。</w:t>
      </w:r>
    </w:p>
    <w:p>
      <w:pPr>
        <w:topLinePunct/>
        <w:ind w:left="1260" w:leftChars="400" w:hanging="420" w:hangingChars="200"/>
        <w:jc w:val="both"/>
        <w:rPr>
          <w:rFonts w:ascii="Times New Roman" w:hAnsi="Times New Roman" w:cs="Times New Roman"/>
        </w:rPr>
      </w:pPr>
      <w:r>
        <w:rPr>
          <w:rFonts w:ascii="Times New Roman" w:hAnsi="Times New Roman" w:cs="Times New Roman"/>
        </w:rPr>
        <w:t>1)  工程设计收费＝工程设计收费基准价×（1±浮动幅度值）</w:t>
      </w:r>
    </w:p>
    <w:p>
      <w:pPr>
        <w:topLinePunct/>
        <w:ind w:left="1260" w:leftChars="400" w:hanging="420" w:hangingChars="200"/>
        <w:jc w:val="both"/>
        <w:rPr>
          <w:rFonts w:ascii="Times New Roman" w:hAnsi="Times New Roman" w:cs="Times New Roman"/>
        </w:rPr>
      </w:pPr>
      <w:r>
        <w:rPr>
          <w:rFonts w:ascii="Times New Roman" w:hAnsi="Times New Roman" w:cs="Times New Roman"/>
        </w:rPr>
        <w:t>2)  工程设计收费基准价＝基本设计收费＋其他设计收费</w:t>
      </w:r>
    </w:p>
    <w:p>
      <w:pPr>
        <w:wordWrap w:val="0"/>
        <w:topLinePunct/>
        <w:ind w:left="1260" w:leftChars="400" w:hanging="420" w:hangingChars="200"/>
        <w:jc w:val="both"/>
        <w:rPr>
          <w:rFonts w:ascii="Times New Roman" w:hAnsi="Times New Roman" w:cs="Times New Roman"/>
        </w:rPr>
      </w:pPr>
      <w:r>
        <w:rPr>
          <w:rFonts w:ascii="Times New Roman" w:hAnsi="Times New Roman" w:cs="Times New Roman"/>
        </w:rPr>
        <w:t>3)  基本设计收费＝工程设计收费基价×专业调整系数×工程复杂程度调整系数×附加调整系数</w:t>
      </w:r>
    </w:p>
    <w:p>
      <w:pPr>
        <w:topLinePunct/>
        <w:ind w:left="1260" w:leftChars="600" w:firstLine="0"/>
        <w:jc w:val="both"/>
        <w:rPr>
          <w:rFonts w:ascii="Times New Roman" w:hAnsi="Times New Roman" w:cs="Times New Roman"/>
        </w:rPr>
      </w:pPr>
      <w:r>
        <w:rPr>
          <w:rFonts w:ascii="Times New Roman" w:hAnsi="Times New Roman" w:cs="Times New Roman"/>
        </w:rPr>
        <w:t>工程设计收费基价是完成基本服务的价格。工程设计收费基价在表9工程设计收费基价表中查找确定，计费额处于两个数值区间的，采用直线内插法确定工程设计收费基价。工程设计收费计费额，为项目建安工程费。</w:t>
      </w:r>
    </w:p>
    <w:p>
      <w:pPr>
        <w:topLinePunct/>
        <w:ind w:left="1260" w:leftChars="600" w:firstLine="0"/>
        <w:jc w:val="both"/>
        <w:rPr>
          <w:rFonts w:ascii="Times New Roman" w:hAnsi="Times New Roman" w:cs="Times New Roman"/>
        </w:rPr>
      </w:pPr>
      <w:r>
        <w:rPr>
          <w:rFonts w:ascii="Times New Roman" w:hAnsi="Times New Roman" w:cs="Times New Roman"/>
        </w:rPr>
        <w:t>其他设计收费是指根据工程设计实际需要或者发包人要求提供相关服务收取的费用，包括总体设计费、主体设计协调费、采用标准设计和复用设计费、非标准设备设计文件编制费、施工图预算编制费、竣工图编制费等。</w:t>
      </w:r>
    </w:p>
    <w:p>
      <w:pPr>
        <w:topLinePunct/>
        <w:ind w:left="1260" w:leftChars="600" w:firstLine="0"/>
        <w:jc w:val="both"/>
        <w:rPr>
          <w:rFonts w:ascii="Times New Roman" w:hAnsi="Times New Roman" w:cs="Times New Roman"/>
        </w:rPr>
      </w:pPr>
      <w:r>
        <w:rPr>
          <w:rFonts w:ascii="Times New Roman" w:hAnsi="Times New Roman" w:cs="Times New Roman"/>
        </w:rPr>
        <w:t>编制工程施工图预算的，按照该建设项目基本设计收费的10％编制施工图预算编制费；编制工程竣工图的，按照该建设项目基本设计收费的8％编制竣工图编制费。</w:t>
      </w:r>
    </w:p>
    <w:p>
      <w:pPr>
        <w:pStyle w:val="229"/>
        <w:spacing w:before="120" w:beforeLines="50" w:after="120" w:afterLines="50"/>
      </w:pPr>
      <w:r>
        <w:rPr>
          <w:rFonts w:hint="eastAsia"/>
        </w:rPr>
        <w:t>7.5.3.5  建设及施工场地征用费</w:t>
      </w:r>
    </w:p>
    <w:p>
      <w:pPr>
        <w:ind w:firstLine="420"/>
        <w:rPr>
          <w:rFonts w:ascii="Times New Roman" w:hAnsi="Times New Roman" w:cs="Times New Roman"/>
        </w:rPr>
      </w:pPr>
      <w:r>
        <w:rPr>
          <w:rFonts w:ascii="Times New Roman" w:hAnsi="Times New Roman" w:cs="Times New Roman"/>
        </w:rPr>
        <w:t>工程设计中需提供计划征用地的土地性质、征地数量、土地附属物实物量及补偿标准等资料。</w:t>
      </w:r>
    </w:p>
    <w:p>
      <w:pPr>
        <w:ind w:firstLine="420"/>
        <w:rPr>
          <w:rFonts w:ascii="Times New Roman" w:hAnsi="Times New Roman" w:cs="Times New Roman"/>
        </w:rPr>
      </w:pPr>
      <w:r>
        <w:rPr>
          <w:rFonts w:ascii="Times New Roman" w:hAnsi="Times New Roman" w:cs="Times New Roman"/>
        </w:rPr>
        <w:t>永久性征地综合地价标准由土地补偿费和安置补助费两部分构成，其中土地补偿费占40%、安置补助费占60%。补偿标准按照湖北省人民政府《关于公布实施湖北省征地区片综合地价标准的通知》（鄂政发〔2019〕22号）执行。</w:t>
      </w:r>
    </w:p>
    <w:p>
      <w:pPr>
        <w:ind w:firstLine="420"/>
        <w:rPr>
          <w:rFonts w:ascii="Times New Roman" w:hAnsi="Times New Roman" w:cs="Times New Roman"/>
        </w:rPr>
      </w:pPr>
      <w:r>
        <w:rPr>
          <w:rFonts w:ascii="Times New Roman" w:hAnsi="Times New Roman" w:cs="Times New Roman"/>
        </w:rPr>
        <w:t>临时用地补偿按照项目所在地相关标准执行，若无地方标准参考，亦可按照每亩2</w:t>
      </w:r>
      <w:r>
        <w:rPr>
          <w:rFonts w:hint="eastAsia" w:ascii="Times New Roman" w:hAnsi="Times New Roman" w:cs="Times New Roman"/>
        </w:rPr>
        <w:t xml:space="preserve"> </w:t>
      </w:r>
      <w:r>
        <w:rPr>
          <w:rFonts w:ascii="Times New Roman" w:hAnsi="Times New Roman" w:cs="Times New Roman"/>
        </w:rPr>
        <w:t>500元预算。</w:t>
      </w:r>
    </w:p>
    <w:p>
      <w:pPr>
        <w:pStyle w:val="119"/>
        <w:spacing w:before="120" w:beforeLines="50" w:after="120" w:afterLines="50" w:line="240" w:lineRule="auto"/>
        <w:rPr>
          <w:rStyle w:val="120"/>
          <w:rFonts w:ascii="黑体"/>
        </w:rPr>
      </w:pPr>
      <w:r>
        <w:rPr>
          <w:rStyle w:val="120"/>
          <w:rFonts w:hint="eastAsia" w:ascii="黑体"/>
        </w:rPr>
        <w:t>表9  工程设计收费基价表</w:t>
      </w:r>
    </w:p>
    <w:p>
      <w:pPr>
        <w:spacing w:before="120" w:beforeLines="50" w:after="120" w:afterLines="50" w:line="240" w:lineRule="auto"/>
        <w:ind w:firstLine="0"/>
        <w:jc w:val="right"/>
        <w:rPr>
          <w:rFonts w:ascii="Times New Roman" w:hAnsi="Times New Roman" w:cs="Times New Roman"/>
          <w:sz w:val="18"/>
          <w:szCs w:val="18"/>
        </w:rPr>
      </w:pPr>
      <w:r>
        <w:rPr>
          <w:rFonts w:hint="eastAsia" w:ascii="黑体" w:eastAsia="黑体" w:cs="Times New Roman"/>
          <w:sz w:val="18"/>
          <w:szCs w:val="18"/>
        </w:rPr>
        <w:t>单位为万元</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3710"/>
        <w:gridCol w:w="4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47" w:type="pct"/>
            <w:vAlign w:val="center"/>
          </w:tcPr>
          <w:p>
            <w:pPr>
              <w:pStyle w:val="121"/>
            </w:pPr>
            <w:r>
              <w:t>序号</w:t>
            </w:r>
          </w:p>
        </w:tc>
        <w:tc>
          <w:tcPr>
            <w:tcW w:w="1956" w:type="pct"/>
            <w:vAlign w:val="center"/>
          </w:tcPr>
          <w:p>
            <w:pPr>
              <w:pStyle w:val="121"/>
            </w:pPr>
            <w:r>
              <w:t>计费额</w:t>
            </w:r>
            <w:r>
              <w:rPr>
                <w:rFonts w:hint="eastAsia"/>
              </w:rPr>
              <w:t>（建安</w:t>
            </w:r>
            <w:r>
              <w:t>工程费</w:t>
            </w:r>
            <w:r>
              <w:rPr>
                <w:rFonts w:hint="eastAsia"/>
              </w:rPr>
              <w:t>）</w:t>
            </w:r>
          </w:p>
        </w:tc>
        <w:tc>
          <w:tcPr>
            <w:tcW w:w="2296" w:type="pct"/>
            <w:vAlign w:val="center"/>
          </w:tcPr>
          <w:p>
            <w:pPr>
              <w:pStyle w:val="121"/>
            </w:pPr>
            <w:r>
              <w:t>收费基价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xml:space="preserve">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xml:space="preserve">20.9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xml:space="preserve">38.8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xml:space="preserve">103.8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xml:space="preserve">163.9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6</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xml:space="preserve">249.6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7</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10 000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xml:space="preserve">304.8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20 000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xml:space="preserve">566.8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9</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40 000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054.0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10</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60 000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515.2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11</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80 000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960.1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12</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100</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393.4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13</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200</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450.8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14</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400</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276.7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15</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600</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11</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897.5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16</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800</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15</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391.4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17</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 xml:space="preserve"> </w:t>
            </w:r>
            <w:r>
              <w:rPr>
                <w:rFonts w:ascii="Times New Roman" w:hAnsi="Times New Roman" w:cs="Times New Roman"/>
                <w:sz w:val="18"/>
                <w:szCs w:val="18"/>
              </w:rPr>
              <w:t>000</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18</w:t>
            </w:r>
            <w:r>
              <w:rPr>
                <w:rFonts w:hint="eastAsia" w:ascii="Times New Roman" w:hAnsi="Times New Roman" w:cs="Times New Roman"/>
                <w:sz w:val="18"/>
                <w:szCs w:val="18"/>
              </w:rPr>
              <w:t xml:space="preserve"> </w:t>
            </w:r>
            <w:r>
              <w:rPr>
                <w:rFonts w:ascii="Times New Roman" w:hAnsi="Times New Roman" w:cs="Times New Roman"/>
                <w:sz w:val="18"/>
                <w:szCs w:val="18"/>
              </w:rPr>
              <w:t>793.8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7"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18</w:t>
            </w:r>
          </w:p>
        </w:tc>
        <w:tc>
          <w:tcPr>
            <w:tcW w:w="195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w:t>
            </w:r>
            <w:r>
              <w:rPr>
                <w:rFonts w:hint="eastAsia" w:ascii="Times New Roman" w:hAnsi="Times New Roman" w:cs="Times New Roman"/>
                <w:sz w:val="18"/>
                <w:szCs w:val="18"/>
              </w:rPr>
              <w:t xml:space="preserve"> </w:t>
            </w:r>
            <w:r>
              <w:rPr>
                <w:rFonts w:ascii="Times New Roman" w:hAnsi="Times New Roman" w:cs="Times New Roman"/>
                <w:sz w:val="18"/>
                <w:szCs w:val="18"/>
              </w:rPr>
              <w:t>000</w:t>
            </w:r>
            <w:r>
              <w:rPr>
                <w:rFonts w:hint="eastAsia" w:ascii="Times New Roman" w:hAnsi="Times New Roman" w:cs="Times New Roman"/>
                <w:sz w:val="18"/>
                <w:szCs w:val="18"/>
              </w:rPr>
              <w:t xml:space="preserve"> </w:t>
            </w:r>
            <w:r>
              <w:rPr>
                <w:rFonts w:ascii="Times New Roman" w:hAnsi="Times New Roman" w:cs="Times New Roman"/>
                <w:sz w:val="18"/>
                <w:szCs w:val="18"/>
              </w:rPr>
              <w:t>000</w:t>
            </w:r>
          </w:p>
        </w:tc>
        <w:tc>
          <w:tcPr>
            <w:tcW w:w="2296" w:type="pc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34</w:t>
            </w:r>
            <w:r>
              <w:rPr>
                <w:rFonts w:hint="eastAsia" w:ascii="Times New Roman" w:hAnsi="Times New Roman" w:cs="Times New Roman"/>
                <w:sz w:val="18"/>
                <w:szCs w:val="18"/>
              </w:rPr>
              <w:t xml:space="preserve"> </w:t>
            </w:r>
            <w:r>
              <w:rPr>
                <w:rFonts w:ascii="Times New Roman" w:hAnsi="Times New Roman" w:cs="Times New Roman"/>
                <w:sz w:val="18"/>
                <w:szCs w:val="18"/>
              </w:rPr>
              <w:t>948.9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vAlign w:val="center"/>
          </w:tcPr>
          <w:p>
            <w:pPr>
              <w:pStyle w:val="121"/>
              <w:jc w:val="left"/>
            </w:pPr>
            <w:r>
              <w:rPr>
                <w:rFonts w:hint="eastAsia" w:ascii="黑体" w:eastAsia="黑体"/>
              </w:rPr>
              <w:t>注：</w:t>
            </w:r>
            <w:r>
              <w:t>计费额 ＞2</w:t>
            </w:r>
            <w:r>
              <w:rPr>
                <w:rFonts w:hint="eastAsia"/>
              </w:rPr>
              <w:t xml:space="preserve"> </w:t>
            </w:r>
            <w:r>
              <w:t>000</w:t>
            </w:r>
            <w:r>
              <w:rPr>
                <w:rFonts w:hint="eastAsia"/>
              </w:rPr>
              <w:t xml:space="preserve"> </w:t>
            </w:r>
            <w:r>
              <w:t>000万元的，以计费额乘以1.6%的收费率计算收费基价。</w:t>
            </w:r>
          </w:p>
        </w:tc>
      </w:tr>
    </w:tbl>
    <w:p>
      <w:pPr>
        <w:pStyle w:val="121"/>
        <w:spacing w:line="360" w:lineRule="auto"/>
      </w:pPr>
    </w:p>
    <w:p>
      <w:pPr>
        <w:pStyle w:val="229"/>
        <w:spacing w:before="120" w:beforeLines="50" w:after="120" w:afterLines="50"/>
      </w:pPr>
      <w:r>
        <w:rPr>
          <w:rFonts w:hint="eastAsia"/>
        </w:rPr>
        <w:t>7.5.3.6  监测费（包括施工监测和效果监测）</w:t>
      </w:r>
    </w:p>
    <w:p>
      <w:pPr>
        <w:ind w:firstLine="420"/>
        <w:rPr>
          <w:rFonts w:ascii="Times New Roman" w:hAnsi="Times New Roman" w:cs="Times New Roman"/>
        </w:rPr>
      </w:pPr>
      <w:r>
        <w:rPr>
          <w:rFonts w:ascii="Times New Roman" w:hAnsi="Times New Roman" w:cs="Times New Roman"/>
        </w:rPr>
        <w:t>根据湖北省国土资源厅、财政厅《关于印发〈湖北省三峡库区后续地质灾害工程治理项目投资概（预）算编制要求（暂行）</w:t>
      </w:r>
      <w:r>
        <w:rPr>
          <w:rFonts w:hint="eastAsia" w:ascii="Times New Roman" w:hAnsi="Times New Roman" w:cs="Times New Roman"/>
        </w:rPr>
        <w:t>〉</w:t>
      </w:r>
      <w:r>
        <w:rPr>
          <w:rFonts w:ascii="Times New Roman" w:hAnsi="Times New Roman" w:cs="Times New Roman"/>
        </w:rPr>
        <w:t>的通知》</w:t>
      </w:r>
      <w:r>
        <w:rPr>
          <w:rFonts w:hint="eastAsia" w:ascii="Times New Roman" w:hAnsi="Times New Roman" w:cs="Times New Roman"/>
        </w:rPr>
        <w:t>（</w:t>
      </w:r>
      <w:r>
        <w:rPr>
          <w:rFonts w:ascii="Times New Roman" w:hAnsi="Times New Roman" w:cs="Times New Roman"/>
        </w:rPr>
        <w:t>鄂土资函〔2016〕1401号</w:t>
      </w:r>
      <w:r>
        <w:rPr>
          <w:rFonts w:hint="eastAsia" w:ascii="Times New Roman" w:hAnsi="Times New Roman" w:cs="Times New Roman"/>
        </w:rPr>
        <w:t>）</w:t>
      </w:r>
      <w:r>
        <w:rPr>
          <w:rFonts w:ascii="Times New Roman" w:hAnsi="Times New Roman" w:cs="Times New Roman"/>
        </w:rPr>
        <w:t>，建</w:t>
      </w:r>
      <w:r>
        <w:rPr>
          <w:rFonts w:hint="eastAsia" w:ascii="Times New Roman" w:hAnsi="Times New Roman" w:cs="Times New Roman"/>
        </w:rPr>
        <w:t>安</w:t>
      </w:r>
      <w:r>
        <w:rPr>
          <w:rFonts w:ascii="Times New Roman" w:hAnsi="Times New Roman" w:cs="Times New Roman"/>
        </w:rPr>
        <w:t>工程费500万元以下的，监测费按建</w:t>
      </w:r>
      <w:r>
        <w:rPr>
          <w:rFonts w:hint="eastAsia" w:ascii="Times New Roman" w:hAnsi="Times New Roman" w:cs="Times New Roman"/>
        </w:rPr>
        <w:t>安</w:t>
      </w:r>
      <w:r>
        <w:rPr>
          <w:rFonts w:ascii="Times New Roman" w:hAnsi="Times New Roman" w:cs="Times New Roman"/>
        </w:rPr>
        <w:t>工程费的2%计取；建</w:t>
      </w:r>
      <w:r>
        <w:rPr>
          <w:rFonts w:hint="eastAsia" w:ascii="Times New Roman" w:hAnsi="Times New Roman" w:cs="Times New Roman"/>
        </w:rPr>
        <w:t>安</w:t>
      </w:r>
      <w:r>
        <w:rPr>
          <w:rFonts w:ascii="Times New Roman" w:hAnsi="Times New Roman" w:cs="Times New Roman"/>
        </w:rPr>
        <w:t>工程费500万元～1</w:t>
      </w:r>
      <w:r>
        <w:rPr>
          <w:rFonts w:hint="eastAsia" w:ascii="Times New Roman" w:hAnsi="Times New Roman" w:cs="Times New Roman"/>
        </w:rPr>
        <w:t xml:space="preserve"> </w:t>
      </w:r>
      <w:r>
        <w:rPr>
          <w:rFonts w:ascii="Times New Roman" w:hAnsi="Times New Roman" w:cs="Times New Roman"/>
        </w:rPr>
        <w:t>000万元的采用插入法，按建</w:t>
      </w:r>
      <w:r>
        <w:rPr>
          <w:rFonts w:hint="eastAsia" w:ascii="Times New Roman" w:hAnsi="Times New Roman" w:cs="Times New Roman"/>
        </w:rPr>
        <w:t>安</w:t>
      </w:r>
      <w:r>
        <w:rPr>
          <w:rFonts w:ascii="Times New Roman" w:hAnsi="Times New Roman" w:cs="Times New Roman"/>
        </w:rPr>
        <w:t>工程费的2-1%计取；建</w:t>
      </w:r>
      <w:r>
        <w:rPr>
          <w:rFonts w:hint="eastAsia" w:ascii="Times New Roman" w:hAnsi="Times New Roman" w:cs="Times New Roman"/>
        </w:rPr>
        <w:t>安</w:t>
      </w:r>
      <w:r>
        <w:rPr>
          <w:rFonts w:ascii="Times New Roman" w:hAnsi="Times New Roman" w:cs="Times New Roman"/>
        </w:rPr>
        <w:t>工程费1</w:t>
      </w:r>
      <w:r>
        <w:rPr>
          <w:rFonts w:hint="eastAsia" w:ascii="Times New Roman" w:hAnsi="Times New Roman" w:cs="Times New Roman"/>
        </w:rPr>
        <w:t xml:space="preserve"> </w:t>
      </w:r>
      <w:r>
        <w:rPr>
          <w:rFonts w:ascii="Times New Roman" w:hAnsi="Times New Roman" w:cs="Times New Roman"/>
        </w:rPr>
        <w:t>000万元以上的，按建</w:t>
      </w:r>
      <w:r>
        <w:rPr>
          <w:rFonts w:hint="eastAsia" w:ascii="Times New Roman" w:hAnsi="Times New Roman" w:cs="Times New Roman"/>
        </w:rPr>
        <w:t>安</w:t>
      </w:r>
      <w:r>
        <w:rPr>
          <w:rFonts w:ascii="Times New Roman" w:hAnsi="Times New Roman" w:cs="Times New Roman"/>
        </w:rPr>
        <w:t>工程费1%计取。</w:t>
      </w:r>
    </w:p>
    <w:p>
      <w:pPr>
        <w:pStyle w:val="229"/>
        <w:spacing w:before="120" w:beforeLines="50" w:after="120" w:afterLines="50"/>
      </w:pPr>
      <w:r>
        <w:rPr>
          <w:rFonts w:hint="eastAsia"/>
        </w:rPr>
        <w:t>7.5.3.7  其他</w:t>
      </w:r>
    </w:p>
    <w:p>
      <w:pPr>
        <w:ind w:left="840" w:leftChars="200" w:hanging="420" w:hangingChars="200"/>
        <w:jc w:val="both"/>
        <w:rPr>
          <w:rFonts w:ascii="Times New Roman" w:hAnsi="Times New Roman" w:cs="Times New Roman"/>
        </w:rPr>
      </w:pPr>
      <w:r>
        <w:rPr>
          <w:rFonts w:ascii="Times New Roman" w:hAnsi="Times New Roman" w:cs="Times New Roman"/>
        </w:rPr>
        <w:t>a)  工程保险费：</w:t>
      </w:r>
    </w:p>
    <w:p>
      <w:pPr>
        <w:ind w:left="840" w:leftChars="400" w:firstLine="0"/>
        <w:jc w:val="both"/>
        <w:rPr>
          <w:rFonts w:ascii="Times New Roman" w:hAnsi="Times New Roman" w:cs="Times New Roman"/>
        </w:rPr>
      </w:pPr>
      <w:r>
        <w:rPr>
          <w:rFonts w:ascii="Times New Roman" w:hAnsi="Times New Roman" w:cs="Times New Roman"/>
        </w:rPr>
        <w:t>按照建</w:t>
      </w:r>
      <w:r>
        <w:rPr>
          <w:rFonts w:hint="eastAsia" w:ascii="Times New Roman" w:hAnsi="Times New Roman" w:cs="Times New Roman"/>
        </w:rPr>
        <w:t>安</w:t>
      </w:r>
      <w:r>
        <w:rPr>
          <w:rFonts w:ascii="Times New Roman" w:hAnsi="Times New Roman" w:cs="Times New Roman"/>
        </w:rPr>
        <w:t>工程费</w:t>
      </w:r>
      <w:r>
        <w:rPr>
          <w:rFonts w:hint="eastAsia" w:ascii="Times New Roman" w:hAnsi="Times New Roman" w:cs="Times New Roman"/>
        </w:rPr>
        <w:t>的</w:t>
      </w:r>
      <w:r>
        <w:rPr>
          <w:rFonts w:ascii="Times New Roman" w:hAnsi="Times New Roman" w:cs="Times New Roman"/>
        </w:rPr>
        <w:t>4.5‰计取。</w:t>
      </w:r>
    </w:p>
    <w:p>
      <w:pPr>
        <w:ind w:left="840" w:leftChars="200" w:hanging="420" w:hangingChars="200"/>
        <w:jc w:val="both"/>
        <w:rPr>
          <w:rFonts w:ascii="Times New Roman" w:hAnsi="Times New Roman" w:cs="Times New Roman"/>
        </w:rPr>
      </w:pPr>
      <w:r>
        <w:rPr>
          <w:rFonts w:ascii="Times New Roman" w:hAnsi="Times New Roman" w:cs="Times New Roman"/>
        </w:rPr>
        <w:t>b)  工程检测费：</w:t>
      </w:r>
    </w:p>
    <w:p>
      <w:pPr>
        <w:ind w:left="840" w:leftChars="400" w:firstLine="0"/>
        <w:jc w:val="both"/>
        <w:rPr>
          <w:rFonts w:ascii="Times New Roman" w:hAnsi="Times New Roman" w:cs="Times New Roman"/>
        </w:rPr>
      </w:pPr>
      <w:r>
        <w:rPr>
          <w:rFonts w:ascii="Times New Roman" w:hAnsi="Times New Roman" w:cs="Times New Roman"/>
        </w:rPr>
        <w:t>主要包括抗滑桩检测费、锚索、锚杆抗拔试验费等，按照市场价预算。</w:t>
      </w:r>
    </w:p>
    <w:p>
      <w:pPr>
        <w:ind w:left="840" w:leftChars="200" w:hanging="420" w:hangingChars="200"/>
        <w:jc w:val="both"/>
        <w:rPr>
          <w:rFonts w:ascii="Times New Roman" w:hAnsi="Times New Roman" w:cs="Times New Roman"/>
        </w:rPr>
      </w:pPr>
      <w:r>
        <w:rPr>
          <w:rFonts w:ascii="Times New Roman" w:hAnsi="Times New Roman" w:cs="Times New Roman"/>
        </w:rPr>
        <w:t>c)  项目竣工决算费：</w:t>
      </w:r>
    </w:p>
    <w:p>
      <w:pPr>
        <w:ind w:left="840" w:leftChars="400" w:firstLine="0"/>
        <w:jc w:val="both"/>
        <w:rPr>
          <w:rFonts w:ascii="Times New Roman" w:hAnsi="Times New Roman" w:cs="Times New Roman"/>
        </w:rPr>
      </w:pPr>
      <w:r>
        <w:rPr>
          <w:rFonts w:hint="eastAsia" w:ascii="Times New Roman" w:hAnsi="Times New Roman" w:cs="Times New Roman"/>
        </w:rPr>
        <w:t>参照</w:t>
      </w:r>
      <w:r>
        <w:rPr>
          <w:rFonts w:ascii="Times New Roman" w:hAnsi="Times New Roman" w:cs="Times New Roman"/>
        </w:rPr>
        <w:t>《湖北省建设工程造价咨询服务收费标准》（鄂价工服规〔2012〕149号）和《湖北省会计师事务所服务收费管理实施办法》（鄂价规〔2010〕265号）</w:t>
      </w:r>
      <w:r>
        <w:rPr>
          <w:rFonts w:hint="eastAsia" w:ascii="Times New Roman" w:hAnsi="Times New Roman" w:cs="Times New Roman"/>
        </w:rPr>
        <w:t>的</w:t>
      </w:r>
      <w:r>
        <w:rPr>
          <w:rFonts w:ascii="Times New Roman" w:hAnsi="Times New Roman" w:cs="Times New Roman"/>
        </w:rPr>
        <w:t>规定，概预算竣工决算费</w:t>
      </w:r>
      <w:r>
        <w:rPr>
          <w:rFonts w:hint="eastAsia" w:ascii="Times New Roman" w:hAnsi="Times New Roman" w:cs="Times New Roman"/>
        </w:rPr>
        <w:t>的</w:t>
      </w:r>
      <w:r>
        <w:rPr>
          <w:rFonts w:ascii="Times New Roman" w:hAnsi="Times New Roman" w:cs="Times New Roman"/>
        </w:rPr>
        <w:t>计费额</w:t>
      </w:r>
      <w:r>
        <w:rPr>
          <w:rFonts w:hint="eastAsia" w:ascii="Times New Roman" w:hAnsi="Times New Roman" w:cs="Times New Roman"/>
        </w:rPr>
        <w:t>为</w:t>
      </w:r>
      <w:r>
        <w:rPr>
          <w:rFonts w:ascii="Times New Roman" w:hAnsi="Times New Roman" w:cs="Times New Roman"/>
        </w:rPr>
        <w:t>建安工程费</w:t>
      </w:r>
      <w:r>
        <w:rPr>
          <w:rFonts w:hint="eastAsia" w:ascii="Times New Roman" w:hAnsi="Times New Roman" w:cs="Times New Roman"/>
        </w:rPr>
        <w:t>与管理费、</w:t>
      </w:r>
      <w:r>
        <w:rPr>
          <w:rFonts w:ascii="Times New Roman" w:hAnsi="Times New Roman" w:cs="Times New Roman"/>
        </w:rPr>
        <w:t>监理费、</w:t>
      </w:r>
      <w:r>
        <w:rPr>
          <w:rFonts w:hint="eastAsia" w:ascii="Times New Roman" w:hAnsi="Times New Roman" w:cs="Times New Roman"/>
        </w:rPr>
        <w:t>勘查费、</w:t>
      </w:r>
      <w:r>
        <w:rPr>
          <w:rFonts w:ascii="Times New Roman" w:hAnsi="Times New Roman" w:cs="Times New Roman"/>
        </w:rPr>
        <w:t>设计费、</w:t>
      </w:r>
      <w:r>
        <w:rPr>
          <w:rFonts w:hint="eastAsia" w:ascii="Times New Roman" w:hAnsi="Times New Roman" w:cs="Times New Roman"/>
        </w:rPr>
        <w:t>建设及施工场地征用费</w:t>
      </w:r>
      <w:r>
        <w:rPr>
          <w:rFonts w:ascii="Times New Roman" w:hAnsi="Times New Roman" w:cs="Times New Roman"/>
        </w:rPr>
        <w:t>、</w:t>
      </w:r>
      <w:r>
        <w:rPr>
          <w:rFonts w:hint="eastAsia" w:ascii="Times New Roman" w:hAnsi="Times New Roman" w:cs="Times New Roman"/>
        </w:rPr>
        <w:t>监测费</w:t>
      </w:r>
      <w:r>
        <w:rPr>
          <w:rFonts w:ascii="Times New Roman" w:hAnsi="Times New Roman" w:cs="Times New Roman"/>
        </w:rPr>
        <w:t>、</w:t>
      </w:r>
      <w:r>
        <w:rPr>
          <w:rFonts w:hint="eastAsia" w:ascii="Times New Roman" w:hAnsi="Times New Roman" w:cs="Times New Roman"/>
        </w:rPr>
        <w:t>保险费</w:t>
      </w:r>
      <w:r>
        <w:rPr>
          <w:rFonts w:ascii="Times New Roman" w:hAnsi="Times New Roman" w:cs="Times New Roman"/>
        </w:rPr>
        <w:t>、</w:t>
      </w:r>
      <w:r>
        <w:rPr>
          <w:rFonts w:hint="eastAsia" w:ascii="Times New Roman" w:hAnsi="Times New Roman" w:cs="Times New Roman"/>
        </w:rPr>
        <w:t>检测费</w:t>
      </w:r>
      <w:r>
        <w:rPr>
          <w:rFonts w:ascii="Times New Roman" w:hAnsi="Times New Roman" w:cs="Times New Roman"/>
        </w:rPr>
        <w:t>等</w:t>
      </w:r>
      <w:r>
        <w:rPr>
          <w:rFonts w:hint="eastAsia" w:ascii="Times New Roman" w:hAnsi="Times New Roman" w:cs="Times New Roman"/>
        </w:rPr>
        <w:t>独立费用</w:t>
      </w:r>
      <w:r>
        <w:rPr>
          <w:rFonts w:ascii="Times New Roman" w:hAnsi="Times New Roman" w:cs="Times New Roman"/>
        </w:rPr>
        <w:t>之和，</w:t>
      </w:r>
      <w:r>
        <w:rPr>
          <w:rFonts w:hint="eastAsia" w:ascii="Times New Roman" w:hAnsi="Times New Roman" w:cs="Times New Roman"/>
        </w:rPr>
        <w:t>其费率为</w:t>
      </w:r>
      <w:r>
        <w:rPr>
          <w:rFonts w:ascii="Times New Roman" w:hAnsi="Times New Roman" w:cs="Times New Roman"/>
        </w:rPr>
        <w:t>3‰</w:t>
      </w:r>
      <w:r>
        <w:rPr>
          <w:rFonts w:hint="eastAsia" w:ascii="Times New Roman" w:hAnsi="Times New Roman" w:cs="Times New Roman"/>
        </w:rPr>
        <w:t>。</w:t>
      </w:r>
    </w:p>
    <w:p>
      <w:pPr>
        <w:pStyle w:val="228"/>
        <w:spacing w:before="120" w:beforeLines="50" w:after="120" w:afterLines="50"/>
        <w:rPr>
          <w:rFonts w:ascii="黑体" w:cs="Times New Roman"/>
        </w:rPr>
      </w:pPr>
      <w:r>
        <w:rPr>
          <w:rFonts w:hint="eastAsia" w:ascii="黑体" w:cs="Times New Roman"/>
        </w:rPr>
        <w:t>7.5.4  预备费取费标准</w:t>
      </w:r>
    </w:p>
    <w:p>
      <w:pPr>
        <w:ind w:firstLine="420"/>
        <w:rPr>
          <w:rFonts w:ascii="Times New Roman" w:hAnsi="Times New Roman" w:cs="Times New Roman"/>
        </w:rPr>
      </w:pPr>
      <w:r>
        <w:rPr>
          <w:rFonts w:ascii="Times New Roman" w:hAnsi="Times New Roman" w:cs="Times New Roman"/>
        </w:rPr>
        <w:t>地质灾害工程治理</w:t>
      </w:r>
      <w:r>
        <w:rPr>
          <w:rFonts w:hint="eastAsia" w:ascii="Times New Roman" w:hAnsi="Times New Roman" w:cs="Times New Roman"/>
        </w:rPr>
        <w:t>项目</w:t>
      </w:r>
      <w:r>
        <w:rPr>
          <w:rFonts w:ascii="Times New Roman" w:hAnsi="Times New Roman" w:cs="Times New Roman"/>
        </w:rPr>
        <w:t>概预算的基本预备费按建筑</w:t>
      </w:r>
      <w:r>
        <w:rPr>
          <w:rFonts w:hint="eastAsia" w:ascii="Times New Roman" w:hAnsi="Times New Roman" w:cs="Times New Roman"/>
        </w:rPr>
        <w:t>工程费</w:t>
      </w:r>
      <w:r>
        <w:rPr>
          <w:rFonts w:ascii="Times New Roman" w:hAnsi="Times New Roman" w:cs="Times New Roman"/>
        </w:rPr>
        <w:t>、安装工程费、临时工程费及独立费之和的5%计取。价差预备费不计列。</w:t>
      </w:r>
    </w:p>
    <w:p>
      <w:pPr>
        <w:pStyle w:val="4"/>
        <w:rPr>
          <w:rFonts w:cs="Times New Roman"/>
        </w:rPr>
      </w:pPr>
      <w:bookmarkStart w:id="112" w:name="_Toc36634231"/>
      <w:r>
        <w:rPr>
          <w:rFonts w:hint="eastAsia" w:cs="Times New Roman"/>
        </w:rPr>
        <w:t>7.6  编制格式</w:t>
      </w:r>
      <w:bookmarkEnd w:id="112"/>
    </w:p>
    <w:p>
      <w:pPr>
        <w:ind w:firstLine="420"/>
        <w:rPr>
          <w:rFonts w:ascii="Times New Roman" w:hAnsi="Times New Roman" w:cs="Times New Roman"/>
        </w:rPr>
      </w:pPr>
      <w:r>
        <w:rPr>
          <w:rFonts w:ascii="Times New Roman" w:hAnsi="Times New Roman" w:cs="Times New Roman"/>
        </w:rPr>
        <w:t>表格样式见附录E，其他未列表格样式可参考水利部《水利工程设计概（估）算编制规定》</w:t>
      </w:r>
      <w:r>
        <w:rPr>
          <w:rFonts w:hint="eastAsia" w:ascii="Times New Roman" w:hAnsi="Times New Roman" w:cs="Times New Roman"/>
        </w:rPr>
        <w:t>（</w:t>
      </w:r>
      <w:r>
        <w:rPr>
          <w:rFonts w:ascii="Times New Roman" w:hAnsi="Times New Roman" w:cs="Times New Roman"/>
        </w:rPr>
        <w:t>水总〔20</w:t>
      </w:r>
      <w:r>
        <w:rPr>
          <w:rFonts w:hint="eastAsia" w:ascii="Times New Roman" w:hAnsi="Times New Roman" w:cs="Times New Roman"/>
        </w:rPr>
        <w:t>14</w:t>
      </w:r>
      <w:r>
        <w:rPr>
          <w:rFonts w:ascii="Times New Roman" w:hAnsi="Times New Roman" w:cs="Times New Roman"/>
        </w:rPr>
        <w:t>〕429号</w:t>
      </w:r>
      <w:r>
        <w:rPr>
          <w:rFonts w:hint="eastAsia" w:ascii="Times New Roman" w:hAnsi="Times New Roman" w:cs="Times New Roman"/>
        </w:rPr>
        <w:t>）</w:t>
      </w:r>
      <w:r>
        <w:rPr>
          <w:rFonts w:ascii="Times New Roman" w:hAnsi="Times New Roman" w:cs="Times New Roman"/>
        </w:rPr>
        <w:t>第六章表格式样。</w:t>
      </w:r>
    </w:p>
    <w:p>
      <w:pPr>
        <w:pStyle w:val="4"/>
        <w:rPr>
          <w:rFonts w:cs="Times New Roman"/>
        </w:rPr>
      </w:pPr>
      <w:bookmarkStart w:id="113" w:name="_Toc36634232"/>
      <w:r>
        <w:rPr>
          <w:rFonts w:hint="eastAsia" w:cs="Times New Roman"/>
        </w:rPr>
        <w:t>7.7  搬迁避让项目</w:t>
      </w:r>
      <w:bookmarkEnd w:id="113"/>
    </w:p>
    <w:p>
      <w:pPr>
        <w:ind w:firstLine="0"/>
        <w:rPr>
          <w:rFonts w:ascii="Times New Roman" w:hAnsi="Times New Roman" w:cs="Times New Roman"/>
        </w:rPr>
      </w:pPr>
      <w:r>
        <w:rPr>
          <w:rFonts w:hint="eastAsia" w:ascii="黑体" w:eastAsia="黑体" w:cs="Times New Roman"/>
        </w:rPr>
        <w:t>7.7.1</w:t>
      </w:r>
      <w:r>
        <w:rPr>
          <w:rFonts w:ascii="Times New Roman" w:hAnsi="Times New Roman" w:eastAsia="黑体" w:cs="Times New Roman"/>
        </w:rPr>
        <w:t xml:space="preserve"> </w:t>
      </w:r>
      <w:r>
        <w:rPr>
          <w:rFonts w:ascii="Times New Roman" w:hAnsi="Times New Roman" w:cs="Times New Roman"/>
        </w:rPr>
        <w:t xml:space="preserve"> 搬迁避让工程概预算需根据项目所在地的各市县地方标准，结合地方规划和设计工程量，按搬迁避让补偿费用，场地选址和评估费，房屋建筑费，公共基础设施费，人头费、生活安置费，拆迁复垦费，临时安置费等进行详细测算。</w:t>
      </w:r>
    </w:p>
    <w:p>
      <w:pPr>
        <w:ind w:firstLine="0"/>
        <w:rPr>
          <w:rFonts w:ascii="Times New Roman" w:hAnsi="Times New Roman" w:cs="Times New Roman"/>
        </w:rPr>
      </w:pPr>
      <w:r>
        <w:rPr>
          <w:rFonts w:hint="eastAsia" w:ascii="黑体" w:eastAsia="黑体" w:cs="Times New Roman"/>
        </w:rPr>
        <w:t>7.7.2</w:t>
      </w:r>
      <w:r>
        <w:rPr>
          <w:rFonts w:ascii="Times New Roman" w:hAnsi="Times New Roman" w:eastAsia="黑体" w:cs="Times New Roman"/>
        </w:rPr>
        <w:t xml:space="preserve"> </w:t>
      </w:r>
      <w:r>
        <w:rPr>
          <w:rFonts w:ascii="Times New Roman" w:hAnsi="Times New Roman" w:cs="Times New Roman"/>
        </w:rPr>
        <w:t xml:space="preserve"> 纳入湖北省地质灾害综合防治体系的搬迁避让项目，省自然资源厅补助费用标准为每人5万元，其他费用由地方配套解决。</w:t>
      </w:r>
    </w:p>
    <w:p>
      <w:pPr>
        <w:pStyle w:val="3"/>
        <w:spacing w:before="240" w:beforeLines="100" w:after="240" w:afterLines="100"/>
        <w:rPr>
          <w:rFonts w:ascii="黑体" w:cs="黑体"/>
        </w:rPr>
      </w:pPr>
      <w:bookmarkStart w:id="114" w:name="_Toc36634233"/>
      <w:r>
        <w:rPr>
          <w:rFonts w:hint="eastAsia" w:ascii="黑体" w:cs="黑体"/>
        </w:rPr>
        <w:t>8  能力建设预算编制</w:t>
      </w:r>
      <w:bookmarkEnd w:id="104"/>
      <w:r>
        <w:rPr>
          <w:rFonts w:hint="eastAsia" w:ascii="黑体" w:cs="黑体"/>
        </w:rPr>
        <w:t>要求</w:t>
      </w:r>
      <w:bookmarkEnd w:id="114"/>
    </w:p>
    <w:p>
      <w:pPr>
        <w:pStyle w:val="4"/>
        <w:rPr>
          <w:rFonts w:cs="Times New Roman"/>
        </w:rPr>
      </w:pPr>
      <w:bookmarkStart w:id="115" w:name="_Toc36634234"/>
      <w:r>
        <w:rPr>
          <w:rFonts w:hint="eastAsia" w:cs="Times New Roman"/>
        </w:rPr>
        <w:t>8.1  基本内容</w:t>
      </w:r>
      <w:bookmarkEnd w:id="115"/>
    </w:p>
    <w:p>
      <w:pPr>
        <w:ind w:firstLine="420"/>
        <w:rPr>
          <w:rFonts w:ascii="Times New Roman" w:hAnsi="Times New Roman" w:cs="Times New Roman"/>
        </w:rPr>
      </w:pPr>
      <w:r>
        <w:rPr>
          <w:rFonts w:ascii="Times New Roman" w:hAnsi="Times New Roman" w:cs="Times New Roman"/>
        </w:rPr>
        <w:t>能力建设项目是以</w:t>
      </w:r>
      <w:r>
        <w:rPr>
          <w:rFonts w:ascii="宋体" w:cs="Times New Roman"/>
        </w:rPr>
        <w:t>“建中心、强支撑、抓试点、重科技、广宣传”为工作重</w:t>
      </w:r>
      <w:r>
        <w:rPr>
          <w:rFonts w:ascii="Times New Roman" w:hAnsi="Times New Roman" w:cs="Times New Roman"/>
        </w:rPr>
        <w:t>点，开展防治机构建设、技术支撑能力建设以及科普宣传等工作的项目。</w:t>
      </w:r>
    </w:p>
    <w:p>
      <w:pPr>
        <w:pStyle w:val="4"/>
        <w:rPr>
          <w:rFonts w:cs="Times New Roman"/>
        </w:rPr>
      </w:pPr>
      <w:bookmarkStart w:id="116" w:name="_Toc36634235"/>
      <w:r>
        <w:rPr>
          <w:rFonts w:hint="eastAsia" w:cs="Times New Roman"/>
        </w:rPr>
        <w:t>8.2  基本构成</w:t>
      </w:r>
      <w:bookmarkEnd w:id="116"/>
    </w:p>
    <w:p>
      <w:pPr>
        <w:ind w:firstLine="420"/>
        <w:rPr>
          <w:rFonts w:ascii="Times New Roman" w:hAnsi="Times New Roman" w:cs="Times New Roman"/>
        </w:rPr>
      </w:pPr>
      <w:r>
        <w:rPr>
          <w:rFonts w:ascii="Times New Roman" w:hAnsi="Times New Roman" w:cs="Times New Roman"/>
        </w:rPr>
        <w:t>能力建设预算由预算编制说明和相应的预算表构成。</w:t>
      </w:r>
    </w:p>
    <w:p>
      <w:pPr>
        <w:pStyle w:val="4"/>
        <w:rPr>
          <w:rFonts w:cs="Times New Roman"/>
        </w:rPr>
      </w:pPr>
      <w:bookmarkStart w:id="117" w:name="_Toc36634236"/>
      <w:r>
        <w:rPr>
          <w:rFonts w:hint="eastAsia" w:cs="Times New Roman"/>
        </w:rPr>
        <w:t>8.3  编制方法</w:t>
      </w:r>
      <w:bookmarkEnd w:id="117"/>
    </w:p>
    <w:p>
      <w:pPr>
        <w:pStyle w:val="228"/>
        <w:spacing w:before="120" w:after="120"/>
        <w:rPr>
          <w:rFonts w:ascii="黑体" w:cs="Times New Roman"/>
        </w:rPr>
      </w:pPr>
      <w:r>
        <w:rPr>
          <w:rFonts w:hint="eastAsia" w:ascii="黑体" w:cs="Times New Roman"/>
        </w:rPr>
        <w:t>8.3.1  防治机构及技术支撑机构装备能力建设预算</w:t>
      </w:r>
    </w:p>
    <w:p>
      <w:pPr>
        <w:ind w:firstLine="420" w:firstLineChars="200"/>
        <w:rPr>
          <w:rFonts w:ascii="Times New Roman" w:hAnsi="Times New Roman" w:cs="Times New Roman"/>
        </w:rPr>
      </w:pPr>
      <w:r>
        <w:rPr>
          <w:rFonts w:ascii="Times New Roman" w:hAnsi="Times New Roman" w:cs="Times New Roman"/>
        </w:rPr>
        <w:t>防治机构装备能力建设预算采用附录B的设备使用和购置费预算明细表（预工附-12表）进行预算，对所需购置的装备要充分论证其合理性和实用性，对设备市场价要有相关的询价程序。</w:t>
      </w:r>
    </w:p>
    <w:p>
      <w:pPr>
        <w:pStyle w:val="228"/>
        <w:spacing w:before="120" w:after="120"/>
        <w:rPr>
          <w:rFonts w:ascii="黑体" w:cs="Times New Roman"/>
        </w:rPr>
      </w:pPr>
      <w:r>
        <w:rPr>
          <w:rFonts w:hint="eastAsia" w:ascii="黑体" w:cs="Times New Roman"/>
        </w:rPr>
        <w:t>8.3.2  科普基地能力建设预算</w:t>
      </w:r>
    </w:p>
    <w:p>
      <w:pPr>
        <w:ind w:firstLine="420" w:firstLineChars="200"/>
        <w:rPr>
          <w:rFonts w:ascii="Times New Roman" w:hAnsi="Times New Roman" w:cs="Times New Roman"/>
        </w:rPr>
      </w:pPr>
      <w:r>
        <w:rPr>
          <w:rFonts w:ascii="Times New Roman" w:hAnsi="Times New Roman" w:cs="Times New Roman"/>
        </w:rPr>
        <w:t>科普基地能力建设分为科技场馆科普基地建设和科研实验类科普基地建设，采用湖北省建设工程标准定额管理总站《湖北省房屋建筑与装饰工程消耗量定额及全费用基价表》（2018版）定额进行预算编制。</w:t>
      </w:r>
    </w:p>
    <w:p>
      <w:pPr>
        <w:pStyle w:val="3"/>
        <w:spacing w:before="240" w:beforeLines="100" w:after="240" w:afterLines="100"/>
        <w:rPr>
          <w:rFonts w:ascii="黑体" w:cs="黑体"/>
        </w:rPr>
      </w:pPr>
      <w:bookmarkStart w:id="118" w:name="_Toc16760285"/>
      <w:bookmarkStart w:id="119" w:name="_Toc36634237"/>
      <w:r>
        <w:rPr>
          <w:rFonts w:hint="eastAsia" w:ascii="黑体" w:cs="黑体"/>
        </w:rPr>
        <w:t>9  信息化建设预算编制</w:t>
      </w:r>
      <w:bookmarkEnd w:id="118"/>
      <w:r>
        <w:rPr>
          <w:rFonts w:hint="eastAsia" w:ascii="黑体" w:cs="黑体"/>
        </w:rPr>
        <w:t>要求</w:t>
      </w:r>
      <w:bookmarkEnd w:id="119"/>
    </w:p>
    <w:p>
      <w:pPr>
        <w:pStyle w:val="4"/>
        <w:rPr>
          <w:rFonts w:cs="Times New Roman"/>
        </w:rPr>
      </w:pPr>
      <w:bookmarkStart w:id="120" w:name="_Toc36634238"/>
      <w:r>
        <w:rPr>
          <w:rFonts w:hint="eastAsia" w:cs="Times New Roman"/>
        </w:rPr>
        <w:t>9.1  基本内容</w:t>
      </w:r>
      <w:bookmarkEnd w:id="120"/>
    </w:p>
    <w:p>
      <w:pPr>
        <w:ind w:firstLine="0"/>
        <w:rPr>
          <w:rFonts w:ascii="Times New Roman" w:hAnsi="Times New Roman" w:cs="Times New Roman"/>
        </w:rPr>
      </w:pPr>
      <w:r>
        <w:rPr>
          <w:rFonts w:hint="eastAsia" w:ascii="黑体" w:eastAsia="黑体" w:cs="Times New Roman"/>
        </w:rPr>
        <w:t>9.1.1</w:t>
      </w:r>
      <w:r>
        <w:rPr>
          <w:rFonts w:ascii="Times New Roman" w:hAnsi="Times New Roman" w:cs="Times New Roman"/>
        </w:rPr>
        <w:t xml:space="preserve">  信息化建设项目是构建</w:t>
      </w:r>
      <w:r>
        <w:rPr>
          <w:rFonts w:ascii="宋体" w:cs="Times New Roman"/>
        </w:rPr>
        <w:t>“信息全、数据新、网络通、方便用”的地质</w:t>
      </w:r>
      <w:r>
        <w:rPr>
          <w:rFonts w:ascii="Times New Roman" w:hAnsi="Times New Roman" w:cs="Times New Roman"/>
        </w:rPr>
        <w:t>灾害防治信息化系统，开展基础数据库、信息管理系统、信息化基础设施及应用平台建设等工作的项目。</w:t>
      </w:r>
    </w:p>
    <w:p>
      <w:pPr>
        <w:ind w:firstLine="0"/>
        <w:rPr>
          <w:rFonts w:ascii="Times New Roman" w:hAnsi="Times New Roman" w:cs="Times New Roman"/>
        </w:rPr>
      </w:pPr>
      <w:r>
        <w:rPr>
          <w:rFonts w:hint="eastAsia" w:ascii="黑体" w:eastAsia="黑体" w:cs="Times New Roman"/>
        </w:rPr>
        <w:t>9.1.2</w:t>
      </w:r>
      <w:r>
        <w:rPr>
          <w:rFonts w:ascii="Times New Roman" w:hAnsi="Times New Roman" w:eastAsia="黑体" w:cs="Times New Roman"/>
        </w:rPr>
        <w:t xml:space="preserve">  </w:t>
      </w:r>
      <w:r>
        <w:rPr>
          <w:rFonts w:ascii="Times New Roman" w:hAnsi="Times New Roman" w:cs="Times New Roman"/>
        </w:rPr>
        <w:t>信息化建设预算采用</w:t>
      </w:r>
      <w:r>
        <w:rPr>
          <w:rFonts w:ascii="宋体" w:cs="Times New Roman"/>
        </w:rPr>
        <w:t>“经济科目”预算编</w:t>
      </w:r>
      <w:r>
        <w:rPr>
          <w:rFonts w:ascii="Times New Roman" w:hAnsi="Times New Roman" w:cs="Times New Roman"/>
        </w:rPr>
        <w:t>制方法进行编制，由预算编制说明、费用归集汇总预算表（预工-1）及其附表组成。</w:t>
      </w:r>
    </w:p>
    <w:p>
      <w:pPr>
        <w:pStyle w:val="4"/>
        <w:rPr>
          <w:rFonts w:cs="Times New Roman"/>
        </w:rPr>
      </w:pPr>
      <w:bookmarkStart w:id="121" w:name="_Toc36634239"/>
      <w:r>
        <w:rPr>
          <w:rFonts w:hint="eastAsia" w:cs="Times New Roman"/>
        </w:rPr>
        <w:t>9.2  主要编制依据</w:t>
      </w:r>
      <w:bookmarkEnd w:id="121"/>
    </w:p>
    <w:p>
      <w:pPr>
        <w:ind w:firstLine="420"/>
        <w:rPr>
          <w:rFonts w:ascii="Times New Roman" w:hAnsi="Times New Roman" w:cs="Times New Roman"/>
        </w:rPr>
      </w:pPr>
      <w:r>
        <w:rPr>
          <w:rFonts w:ascii="Times New Roman" w:hAnsi="Times New Roman" w:cs="Times New Roman"/>
        </w:rPr>
        <w:t>财政部《2020年政府收支分类科目》（财预〔20</w:t>
      </w:r>
      <w:r>
        <w:rPr>
          <w:rFonts w:hint="eastAsia" w:ascii="Times New Roman" w:hAnsi="Times New Roman" w:cs="Times New Roman"/>
        </w:rPr>
        <w:t>19</w:t>
      </w:r>
      <w:r>
        <w:rPr>
          <w:rFonts w:ascii="Times New Roman" w:hAnsi="Times New Roman" w:cs="Times New Roman"/>
        </w:rPr>
        <w:t>〕142号）</w:t>
      </w:r>
    </w:p>
    <w:p>
      <w:pPr>
        <w:ind w:firstLine="420"/>
        <w:rPr>
          <w:rFonts w:ascii="Times New Roman" w:hAnsi="Times New Roman" w:cs="Times New Roman"/>
        </w:rPr>
      </w:pPr>
      <w:r>
        <w:rPr>
          <w:rFonts w:ascii="Times New Roman" w:hAnsi="Times New Roman" w:cs="Times New Roman"/>
        </w:rPr>
        <w:t>中国地质调查局《地质调查项目预算标准（2010年试用）》</w:t>
      </w:r>
    </w:p>
    <w:p>
      <w:pPr>
        <w:ind w:firstLine="420"/>
        <w:rPr>
          <w:rFonts w:ascii="Times New Roman" w:hAnsi="Times New Roman" w:cs="Times New Roman"/>
        </w:rPr>
      </w:pPr>
      <w:r>
        <w:rPr>
          <w:rFonts w:ascii="Times New Roman" w:hAnsi="Times New Roman" w:cs="Times New Roman"/>
        </w:rPr>
        <w:t>中国地质调查局《地质调查项目立项论证（续作评估）预算编制与审查工作指南》（2019年6月）</w:t>
      </w:r>
    </w:p>
    <w:p>
      <w:pPr>
        <w:ind w:firstLine="420"/>
        <w:rPr>
          <w:rFonts w:ascii="Times New Roman" w:hAnsi="Times New Roman" w:cs="Times New Roman"/>
        </w:rPr>
      </w:pPr>
      <w:r>
        <w:rPr>
          <w:rFonts w:ascii="Times New Roman" w:hAnsi="Times New Roman" w:cs="Times New Roman"/>
        </w:rPr>
        <w:t>湖北省财政厅《湖北省省级党政机关评审费管理暂行办法》</w:t>
      </w:r>
      <w:r>
        <w:rPr>
          <w:rFonts w:hint="eastAsia" w:ascii="Times New Roman" w:hAnsi="Times New Roman" w:cs="Times New Roman"/>
        </w:rPr>
        <w:t>（</w:t>
      </w:r>
      <w:r>
        <w:rPr>
          <w:rFonts w:ascii="Times New Roman" w:hAnsi="Times New Roman" w:cs="Times New Roman"/>
        </w:rPr>
        <w:t>鄂财行发〔20</w:t>
      </w:r>
      <w:r>
        <w:rPr>
          <w:rFonts w:hint="eastAsia" w:ascii="Times New Roman" w:hAnsi="Times New Roman" w:cs="Times New Roman"/>
        </w:rPr>
        <w:t>18</w:t>
      </w:r>
      <w:r>
        <w:rPr>
          <w:rFonts w:ascii="Times New Roman" w:hAnsi="Times New Roman" w:cs="Times New Roman"/>
        </w:rPr>
        <w:t>〕31号</w:t>
      </w:r>
      <w:r>
        <w:rPr>
          <w:rFonts w:hint="eastAsia" w:ascii="Times New Roman" w:hAnsi="Times New Roman" w:cs="Times New Roman"/>
        </w:rPr>
        <w:t>）</w:t>
      </w:r>
    </w:p>
    <w:p>
      <w:pPr>
        <w:ind w:firstLine="420"/>
        <w:rPr>
          <w:rFonts w:ascii="Times New Roman" w:hAnsi="Times New Roman" w:cs="Times New Roman"/>
        </w:rPr>
      </w:pPr>
      <w:r>
        <w:rPr>
          <w:rFonts w:ascii="Times New Roman" w:hAnsi="Times New Roman" w:cs="Times New Roman"/>
        </w:rPr>
        <w:t>湖北省财政厅《关于印发〈湖北省省级党政机关差旅费管理办法〉的通知》（鄂财行发〔20</w:t>
      </w:r>
      <w:r>
        <w:rPr>
          <w:rFonts w:hint="eastAsia" w:ascii="Times New Roman" w:hAnsi="Times New Roman" w:cs="Times New Roman"/>
        </w:rPr>
        <w:t>14</w:t>
      </w:r>
      <w:r>
        <w:rPr>
          <w:rFonts w:ascii="Times New Roman" w:hAnsi="Times New Roman" w:cs="Times New Roman"/>
        </w:rPr>
        <w:t>〕  11号）</w:t>
      </w:r>
    </w:p>
    <w:p>
      <w:pPr>
        <w:ind w:firstLine="420"/>
        <w:rPr>
          <w:rFonts w:ascii="Times New Roman" w:hAnsi="Times New Roman" w:cs="Times New Roman"/>
        </w:rPr>
      </w:pPr>
      <w:r>
        <w:rPr>
          <w:rFonts w:ascii="Times New Roman" w:hAnsi="Times New Roman" w:cs="Times New Roman"/>
        </w:rPr>
        <w:t>湖北省财政厅《关于调整省级党政机关差旅住宿费标准等有关问题的通知》（鄂财行发〔20</w:t>
      </w:r>
      <w:r>
        <w:rPr>
          <w:rFonts w:hint="eastAsia" w:ascii="Times New Roman" w:hAnsi="Times New Roman" w:cs="Times New Roman"/>
        </w:rPr>
        <w:t>15</w:t>
      </w:r>
      <w:r>
        <w:rPr>
          <w:rFonts w:ascii="Times New Roman" w:hAnsi="Times New Roman" w:cs="Times New Roman"/>
        </w:rPr>
        <w:t>〕 90号）</w:t>
      </w:r>
    </w:p>
    <w:p>
      <w:pPr>
        <w:ind w:firstLine="420"/>
        <w:rPr>
          <w:rFonts w:ascii="Times New Roman" w:hAnsi="Times New Roman" w:cs="Times New Roman"/>
        </w:rPr>
      </w:pPr>
      <w:r>
        <w:rPr>
          <w:rFonts w:ascii="Times New Roman" w:hAnsi="Times New Roman" w:cs="Times New Roman"/>
        </w:rPr>
        <w:t>湖北省财政厅《关于印发〈湖北省省级党政机关会议费管理办法〉的通知》（鄂财行发〔20</w:t>
      </w:r>
      <w:r>
        <w:rPr>
          <w:rFonts w:hint="eastAsia" w:ascii="Times New Roman" w:hAnsi="Times New Roman" w:cs="Times New Roman"/>
        </w:rPr>
        <w:t>18</w:t>
      </w:r>
      <w:r>
        <w:rPr>
          <w:rFonts w:ascii="Times New Roman" w:hAnsi="Times New Roman" w:cs="Times New Roman"/>
        </w:rPr>
        <w:t>〕14号）</w:t>
      </w:r>
    </w:p>
    <w:p>
      <w:pPr>
        <w:ind w:firstLine="420"/>
        <w:rPr>
          <w:rFonts w:ascii="Times New Roman" w:hAnsi="Times New Roman" w:cs="Times New Roman"/>
        </w:rPr>
      </w:pPr>
      <w:r>
        <w:rPr>
          <w:rFonts w:ascii="Times New Roman" w:hAnsi="Times New Roman" w:cs="Times New Roman"/>
        </w:rPr>
        <w:t>湖北省财政厅、中共湖北省委组织部、湖北省公务员局《关于印发〈湖北省省级党政机关培训费管理办法〉的通知》（鄂财行发〔20</w:t>
      </w:r>
      <w:r>
        <w:rPr>
          <w:rFonts w:hint="eastAsia" w:ascii="Times New Roman" w:hAnsi="Times New Roman" w:cs="Times New Roman"/>
        </w:rPr>
        <w:t>17</w:t>
      </w:r>
      <w:r>
        <w:rPr>
          <w:rFonts w:ascii="Times New Roman" w:hAnsi="Times New Roman" w:cs="Times New Roman"/>
        </w:rPr>
        <w:t>〕20号）</w:t>
      </w:r>
    </w:p>
    <w:p>
      <w:pPr>
        <w:pStyle w:val="4"/>
        <w:rPr>
          <w:rFonts w:cs="Times New Roman"/>
        </w:rPr>
      </w:pPr>
      <w:bookmarkStart w:id="122" w:name="_Toc36634240"/>
      <w:r>
        <w:rPr>
          <w:rFonts w:hint="eastAsia" w:cs="Times New Roman"/>
        </w:rPr>
        <w:t>9.3  基本构成</w:t>
      </w:r>
      <w:bookmarkEnd w:id="122"/>
    </w:p>
    <w:p>
      <w:pPr>
        <w:pStyle w:val="228"/>
        <w:spacing w:before="120" w:after="120"/>
        <w:rPr>
          <w:rFonts w:ascii="黑体" w:cs="Times New Roman"/>
        </w:rPr>
      </w:pPr>
      <w:r>
        <w:rPr>
          <w:rFonts w:hint="eastAsia" w:ascii="黑体" w:cs="Times New Roman"/>
        </w:rPr>
        <w:t>9.3.1  预算基本构成</w:t>
      </w:r>
    </w:p>
    <w:p>
      <w:pPr>
        <w:ind w:firstLine="420"/>
        <w:rPr>
          <w:rFonts w:ascii="Times New Roman" w:hAnsi="Times New Roman" w:cs="Times New Roman"/>
        </w:rPr>
      </w:pPr>
      <w:r>
        <w:rPr>
          <w:rFonts w:ascii="Times New Roman" w:hAnsi="Times New Roman" w:cs="Times New Roman"/>
        </w:rPr>
        <w:t>信息化建设项目预算由预算编制说明和预算表构成。</w:t>
      </w:r>
    </w:p>
    <w:p>
      <w:pPr>
        <w:pStyle w:val="228"/>
        <w:spacing w:before="120" w:after="120"/>
        <w:rPr>
          <w:rFonts w:ascii="黑体" w:cs="Times New Roman"/>
        </w:rPr>
      </w:pPr>
      <w:r>
        <w:rPr>
          <w:rFonts w:hint="eastAsia" w:ascii="黑体" w:cs="Times New Roman"/>
        </w:rPr>
        <w:t>9.3.2  信息化建设项目预算构成</w:t>
      </w:r>
    </w:p>
    <w:p>
      <w:pPr>
        <w:ind w:left="840" w:leftChars="200" w:hanging="420" w:hangingChars="200"/>
        <w:rPr>
          <w:rFonts w:ascii="Times New Roman" w:hAnsi="Times New Roman" w:cs="Times New Roman"/>
        </w:rPr>
      </w:pPr>
      <w:r>
        <w:rPr>
          <w:rFonts w:ascii="Times New Roman" w:hAnsi="Times New Roman" w:cs="Times New Roman"/>
        </w:rPr>
        <w:t>a)  预算编制说明。</w:t>
      </w:r>
    </w:p>
    <w:p>
      <w:pPr>
        <w:ind w:left="840" w:leftChars="200" w:hanging="420" w:hangingChars="200"/>
        <w:rPr>
          <w:rFonts w:ascii="Times New Roman" w:hAnsi="Times New Roman" w:cs="Times New Roman"/>
        </w:rPr>
      </w:pPr>
      <w:r>
        <w:rPr>
          <w:rFonts w:ascii="Times New Roman" w:hAnsi="Times New Roman" w:cs="Times New Roman"/>
        </w:rPr>
        <w:t>b)  费用归集汇总预算表（预工-1）及其附表。</w:t>
      </w:r>
    </w:p>
    <w:p>
      <w:pPr>
        <w:pStyle w:val="4"/>
        <w:rPr>
          <w:rFonts w:cs="Times New Roman"/>
        </w:rPr>
      </w:pPr>
      <w:bookmarkStart w:id="123" w:name="_Toc36634241"/>
      <w:r>
        <w:rPr>
          <w:rFonts w:hint="eastAsia" w:cs="Times New Roman"/>
        </w:rPr>
        <w:t>9.4  编制方法</w:t>
      </w:r>
      <w:bookmarkEnd w:id="123"/>
    </w:p>
    <w:p>
      <w:pPr>
        <w:pStyle w:val="228"/>
        <w:spacing w:before="120" w:after="120"/>
        <w:rPr>
          <w:rFonts w:ascii="黑体" w:cs="Times New Roman"/>
        </w:rPr>
      </w:pPr>
      <w:r>
        <w:rPr>
          <w:rFonts w:hint="eastAsia" w:ascii="黑体" w:cs="Times New Roman"/>
        </w:rPr>
        <w:t>9.4.1  预算编制说明</w:t>
      </w:r>
    </w:p>
    <w:p>
      <w:pPr>
        <w:pStyle w:val="229"/>
        <w:spacing w:before="120" w:beforeLines="50" w:after="120" w:afterLines="50"/>
      </w:pPr>
      <w:r>
        <w:rPr>
          <w:rFonts w:hint="eastAsia"/>
        </w:rPr>
        <w:t>9.4.1.1  一般要求</w:t>
      </w:r>
    </w:p>
    <w:p>
      <w:pPr>
        <w:ind w:firstLine="0"/>
        <w:rPr>
          <w:rFonts w:ascii="Times New Roman" w:hAnsi="Times New Roman" w:cs="Times New Roman"/>
        </w:rPr>
      </w:pPr>
      <w:r>
        <w:rPr>
          <w:rFonts w:hint="eastAsia" w:ascii="黑体" w:eastAsia="黑体" w:cs="Times New Roman"/>
        </w:rPr>
        <w:t>9.4.1.1.1</w:t>
      </w:r>
      <w:r>
        <w:rPr>
          <w:rFonts w:ascii="Times New Roman" w:hAnsi="Times New Roman" w:cs="Times New Roman"/>
        </w:rPr>
        <w:t xml:space="preserve">  预算编制说明是项目预算文件的重要组成部分，是对项目支出预算的合规性、合理性、有效性及实施项目存在主要风险与不确定性的分析论证。</w:t>
      </w:r>
    </w:p>
    <w:p>
      <w:pPr>
        <w:ind w:firstLine="0"/>
        <w:rPr>
          <w:rFonts w:ascii="Times New Roman" w:hAnsi="Times New Roman" w:cs="Times New Roman"/>
        </w:rPr>
      </w:pPr>
      <w:r>
        <w:rPr>
          <w:rFonts w:hint="eastAsia" w:ascii="黑体" w:eastAsia="黑体" w:cs="Times New Roman"/>
        </w:rPr>
        <w:t xml:space="preserve">9.4.1.1.2 </w:t>
      </w:r>
      <w:r>
        <w:rPr>
          <w:rFonts w:ascii="Times New Roman" w:hAnsi="Times New Roman" w:cs="Times New Roman"/>
        </w:rPr>
        <w:t xml:space="preserve"> 预算编制说明是对项目预算表中不能直接表述内容的必要说明，应根据项目预算编制的实际情况和预算表及预算编制结果编写，内容做到齐全完整，条理清晰，文字叙述与预算表要有机对应。</w:t>
      </w:r>
    </w:p>
    <w:p>
      <w:pPr>
        <w:ind w:firstLine="0"/>
        <w:rPr>
          <w:rFonts w:ascii="Times New Roman" w:hAnsi="Times New Roman" w:cs="Times New Roman"/>
        </w:rPr>
      </w:pPr>
      <w:r>
        <w:rPr>
          <w:rFonts w:hint="eastAsia" w:ascii="黑体" w:eastAsia="黑体" w:cs="Times New Roman"/>
        </w:rPr>
        <w:t xml:space="preserve">9.4.1.1.3 </w:t>
      </w:r>
      <w:r>
        <w:rPr>
          <w:rFonts w:ascii="Times New Roman" w:hAnsi="Times New Roman" w:cs="Times New Roman"/>
        </w:rPr>
        <w:t xml:space="preserve"> 预算编制说明对项目预算编制方法与编制过程中的普遍性问题进行规律性总结与归纳，对项目预算编制方法与编制过程的特殊性问题进行说明。</w:t>
      </w:r>
    </w:p>
    <w:p>
      <w:pPr>
        <w:pStyle w:val="229"/>
        <w:spacing w:before="120" w:beforeLines="50" w:after="120" w:afterLines="50"/>
      </w:pPr>
      <w:r>
        <w:rPr>
          <w:rFonts w:hint="eastAsia"/>
        </w:rPr>
        <w:t>9.4.1.2  主要内容</w:t>
      </w:r>
    </w:p>
    <w:p>
      <w:pPr>
        <w:ind w:firstLine="420"/>
        <w:rPr>
          <w:rFonts w:ascii="Times New Roman" w:hAnsi="Times New Roman" w:cs="Times New Roman"/>
        </w:rPr>
      </w:pPr>
      <w:r>
        <w:rPr>
          <w:rFonts w:ascii="Times New Roman" w:hAnsi="Times New Roman" w:cs="Times New Roman"/>
        </w:rPr>
        <w:t>预算编制说明的主要内容包括：项目概况，预算编制依据，采用的费用标准和测算依据，项目预算的合理性及可靠性分析，需要说明的问题等。项目预算的经费来源、委托业务费、设备购置费，市场价等应予以重点说明。</w:t>
      </w:r>
    </w:p>
    <w:p>
      <w:pPr>
        <w:pStyle w:val="229"/>
        <w:spacing w:before="120" w:beforeLines="50" w:after="120" w:afterLines="50"/>
      </w:pPr>
      <w:r>
        <w:rPr>
          <w:rFonts w:hint="eastAsia"/>
        </w:rPr>
        <w:t>9.4.1.3  编制要求</w:t>
      </w:r>
    </w:p>
    <w:p>
      <w:pPr>
        <w:spacing w:before="120" w:beforeLines="50" w:after="120" w:afterLines="50" w:line="240" w:lineRule="auto"/>
        <w:ind w:firstLine="0"/>
        <w:rPr>
          <w:rFonts w:ascii="黑体" w:eastAsia="黑体" w:cs="Times New Roman"/>
        </w:rPr>
      </w:pPr>
      <w:r>
        <w:rPr>
          <w:rFonts w:hint="eastAsia" w:ascii="黑体" w:eastAsia="黑体" w:cs="Times New Roman"/>
        </w:rPr>
        <w:t>9.4.1.3.1  项目概况</w:t>
      </w:r>
    </w:p>
    <w:p>
      <w:pPr>
        <w:ind w:firstLine="420"/>
        <w:rPr>
          <w:rFonts w:ascii="Times New Roman" w:hAnsi="Times New Roman" w:cs="Times New Roman"/>
        </w:rPr>
      </w:pPr>
      <w:r>
        <w:rPr>
          <w:rFonts w:ascii="Times New Roman" w:hAnsi="Times New Roman" w:cs="Times New Roman"/>
        </w:rPr>
        <w:t>主要对项目的性质、类型、规模，目的和任务，项目工作条件，工作周期，资金来源渠道及额度，以往经费使用情况等内容进行详细说明。</w:t>
      </w:r>
    </w:p>
    <w:p>
      <w:pPr>
        <w:spacing w:before="120" w:beforeLines="50" w:after="120" w:afterLines="50" w:line="240" w:lineRule="auto"/>
        <w:ind w:firstLine="0"/>
        <w:rPr>
          <w:rFonts w:ascii="黑体" w:eastAsia="黑体" w:cs="Times New Roman"/>
        </w:rPr>
      </w:pPr>
      <w:r>
        <w:rPr>
          <w:rFonts w:hint="eastAsia" w:ascii="黑体" w:eastAsia="黑体" w:cs="Times New Roman"/>
        </w:rPr>
        <w:t>9.4.1.3.2  预算编制依据</w:t>
      </w:r>
    </w:p>
    <w:p>
      <w:pPr>
        <w:ind w:firstLine="420"/>
        <w:rPr>
          <w:rFonts w:ascii="Times New Roman" w:hAnsi="Times New Roman" w:cs="Times New Roman"/>
        </w:rPr>
      </w:pPr>
      <w:r>
        <w:rPr>
          <w:rFonts w:ascii="Times New Roman" w:hAnsi="Times New Roman" w:cs="Times New Roman"/>
        </w:rPr>
        <w:t>主要对项目预算编制时采用的有关预算标准及技术经济指标的依据进行详细说明。</w:t>
      </w:r>
    </w:p>
    <w:p>
      <w:pPr>
        <w:spacing w:before="120" w:beforeLines="50" w:after="120" w:afterLines="50" w:line="240" w:lineRule="auto"/>
        <w:ind w:firstLine="0"/>
        <w:rPr>
          <w:rFonts w:ascii="黑体" w:eastAsia="黑体" w:cs="Times New Roman"/>
        </w:rPr>
      </w:pPr>
      <w:r>
        <w:rPr>
          <w:rFonts w:hint="eastAsia" w:ascii="黑体" w:eastAsia="黑体" w:cs="Times New Roman"/>
        </w:rPr>
        <w:t>9.4.1.3.3  采用的费用标准和测算依据</w:t>
      </w:r>
    </w:p>
    <w:p>
      <w:pPr>
        <w:ind w:firstLine="420"/>
        <w:rPr>
          <w:rFonts w:ascii="Times New Roman" w:hAnsi="Times New Roman" w:cs="Times New Roman"/>
        </w:rPr>
      </w:pPr>
      <w:r>
        <w:rPr>
          <w:rFonts w:ascii="Times New Roman" w:hAnsi="Times New Roman" w:cs="Times New Roman"/>
        </w:rPr>
        <w:t>主要是对编制项目预算所采用的费用标准进行说明。</w:t>
      </w:r>
    </w:p>
    <w:p>
      <w:pPr>
        <w:spacing w:before="120" w:beforeLines="50" w:after="120" w:afterLines="50" w:line="240" w:lineRule="auto"/>
        <w:ind w:firstLine="0"/>
        <w:rPr>
          <w:rFonts w:ascii="黑体" w:eastAsia="黑体" w:cs="Times New Roman"/>
        </w:rPr>
      </w:pPr>
      <w:r>
        <w:rPr>
          <w:rFonts w:hint="eastAsia" w:ascii="黑体" w:eastAsia="黑体" w:cs="Times New Roman"/>
        </w:rPr>
        <w:t>9.4.1.3.4  项目预算的合理性及可靠性分析</w:t>
      </w:r>
    </w:p>
    <w:p>
      <w:pPr>
        <w:ind w:firstLine="420"/>
        <w:rPr>
          <w:rFonts w:ascii="Times New Roman" w:hAnsi="Times New Roman" w:cs="Times New Roman"/>
        </w:rPr>
      </w:pPr>
      <w:r>
        <w:rPr>
          <w:rFonts w:ascii="Times New Roman" w:hAnsi="Times New Roman" w:cs="Times New Roman"/>
        </w:rPr>
        <w:t>对项目预算与技术方案的协调性、一致性，各项预算费用占项目总费用比例及合理性等进行分析。</w:t>
      </w:r>
    </w:p>
    <w:p>
      <w:pPr>
        <w:spacing w:before="120" w:beforeLines="50" w:after="120" w:afterLines="50" w:line="240" w:lineRule="auto"/>
        <w:ind w:firstLine="0"/>
        <w:rPr>
          <w:rFonts w:ascii="黑体" w:eastAsia="黑体" w:cs="Times New Roman"/>
        </w:rPr>
      </w:pPr>
      <w:r>
        <w:rPr>
          <w:rFonts w:hint="eastAsia" w:ascii="黑体" w:eastAsia="黑体" w:cs="Times New Roman"/>
        </w:rPr>
        <w:t>9.4.1.3.5  需要说明的问题</w:t>
      </w:r>
    </w:p>
    <w:p>
      <w:pPr>
        <w:ind w:firstLine="420"/>
        <w:rPr>
          <w:rFonts w:ascii="Times New Roman" w:hAnsi="Times New Roman" w:cs="Times New Roman"/>
        </w:rPr>
      </w:pPr>
      <w:r>
        <w:rPr>
          <w:rFonts w:ascii="Times New Roman" w:hAnsi="Times New Roman" w:cs="Times New Roman"/>
        </w:rPr>
        <w:t>主要对预算编制过程中一些需要说明，但又不包括在上述四项说明内容中的事项进行说明。</w:t>
      </w:r>
      <w:bookmarkEnd w:id="100"/>
      <w:bookmarkEnd w:id="101"/>
    </w:p>
    <w:p>
      <w:pPr>
        <w:pStyle w:val="228"/>
        <w:spacing w:before="120" w:beforeLines="50" w:after="120" w:afterLines="50"/>
        <w:rPr>
          <w:rFonts w:ascii="黑体" w:cs="Times New Roman"/>
        </w:rPr>
      </w:pPr>
      <w:r>
        <w:rPr>
          <w:rFonts w:hint="eastAsia" w:ascii="黑体" w:cs="Times New Roman"/>
        </w:rPr>
        <w:t>9.4.2  “经济科目”预算表编制方法</w:t>
      </w:r>
    </w:p>
    <w:p>
      <w:pPr>
        <w:pStyle w:val="229"/>
        <w:spacing w:before="120" w:beforeLines="50" w:after="120" w:afterLines="50"/>
      </w:pPr>
      <w:r>
        <w:rPr>
          <w:rFonts w:hint="eastAsia"/>
        </w:rPr>
        <w:t>9.4.2.1  一般要求</w:t>
      </w:r>
    </w:p>
    <w:p>
      <w:pPr>
        <w:ind w:firstLine="420"/>
        <w:rPr>
          <w:rFonts w:ascii="Times New Roman" w:hAnsi="Times New Roman" w:cs="Times New Roman"/>
        </w:rPr>
      </w:pPr>
      <w:r>
        <w:rPr>
          <w:rFonts w:ascii="宋体" w:cs="Times New Roman"/>
        </w:rPr>
        <w:t>根据项目技术方案，单位以往类似工作的人工、材料、机械等消耗量情况，依照附录</w:t>
      </w:r>
      <w:r>
        <w:rPr>
          <w:rFonts w:ascii="Times New Roman" w:hAnsi="Times New Roman" w:cs="Times New Roman"/>
        </w:rPr>
        <w:t>A</w:t>
      </w:r>
      <w:r>
        <w:rPr>
          <w:rFonts w:ascii="宋体" w:cs="Times New Roman"/>
        </w:rPr>
        <w:t>“费用归集汇总预算目录”和附录</w:t>
      </w:r>
      <w:r>
        <w:rPr>
          <w:rFonts w:ascii="Times New Roman" w:hAnsi="Times New Roman" w:cs="Times New Roman"/>
        </w:rPr>
        <w:t>B</w:t>
      </w:r>
      <w:r>
        <w:rPr>
          <w:rFonts w:ascii="宋体" w:cs="Times New Roman"/>
        </w:rPr>
        <w:t>“费用归集汇总预算表及其附表样式”</w:t>
      </w:r>
      <w:r>
        <w:rPr>
          <w:rFonts w:ascii="Times New Roman" w:hAnsi="Times New Roman" w:cs="Times New Roman"/>
        </w:rPr>
        <w:t>，编制费用归集汇总预算表（预工-1）及其附表预工附-1～预工附-19。</w:t>
      </w:r>
    </w:p>
    <w:p>
      <w:pPr>
        <w:pStyle w:val="229"/>
        <w:spacing w:before="120" w:beforeLines="50" w:after="120" w:afterLines="50"/>
      </w:pPr>
      <w:r>
        <w:rPr>
          <w:rFonts w:hint="eastAsia"/>
        </w:rPr>
        <w:t>9.4.2.2  编制基本方法</w:t>
      </w:r>
    </w:p>
    <w:p>
      <w:pPr>
        <w:ind w:firstLine="0"/>
        <w:rPr>
          <w:rFonts w:ascii="Times New Roman" w:hAnsi="Times New Roman" w:cs="Times New Roman"/>
        </w:rPr>
      </w:pPr>
      <w:r>
        <w:rPr>
          <w:rFonts w:hint="eastAsia" w:ascii="黑体" w:eastAsia="黑体" w:cs="Times New Roman"/>
        </w:rPr>
        <w:t>9.4.2.2.1</w:t>
      </w:r>
      <w:r>
        <w:rPr>
          <w:rFonts w:ascii="Times New Roman" w:hAnsi="Times New Roman" w:cs="Times New Roman"/>
        </w:rPr>
        <w:t xml:space="preserve">  预工-1表的目录见附录A，预工-1表及其附表的样式见附录B。目录中缺项的可在同级项下据实补列，并在预算编制说明中详细说明。</w:t>
      </w:r>
    </w:p>
    <w:p>
      <w:pPr>
        <w:ind w:firstLine="0"/>
        <w:rPr>
          <w:rFonts w:ascii="Times New Roman" w:hAnsi="Times New Roman" w:cs="Times New Roman"/>
        </w:rPr>
      </w:pPr>
      <w:r>
        <w:rPr>
          <w:rFonts w:hint="eastAsia" w:ascii="黑体" w:eastAsia="黑体" w:cs="Times New Roman"/>
        </w:rPr>
        <w:t>9.4.2.2.2</w:t>
      </w:r>
      <w:r>
        <w:rPr>
          <w:rFonts w:ascii="Times New Roman" w:hAnsi="Times New Roman" w:eastAsia="黑体" w:cs="Times New Roman"/>
        </w:rPr>
        <w:t xml:space="preserve"> </w:t>
      </w:r>
      <w:r>
        <w:rPr>
          <w:rFonts w:ascii="Times New Roman" w:hAnsi="Times New Roman" w:cs="Times New Roman"/>
        </w:rPr>
        <w:t xml:space="preserve"> 根据附录A</w:t>
      </w:r>
      <w:r>
        <w:rPr>
          <w:rFonts w:ascii="宋体" w:cs="Times New Roman"/>
        </w:rPr>
        <w:t>“费用归集汇总预算目录”和</w:t>
      </w:r>
      <w:r>
        <w:rPr>
          <w:rFonts w:ascii="Times New Roman" w:hAnsi="Times New Roman" w:cs="Times New Roman"/>
        </w:rPr>
        <w:t>附录B</w:t>
      </w:r>
      <w:r>
        <w:rPr>
          <w:rFonts w:ascii="宋体" w:cs="Times New Roman"/>
        </w:rPr>
        <w:t>“费用归集汇总预算表及其附表样式”</w:t>
      </w:r>
      <w:r>
        <w:rPr>
          <w:rFonts w:ascii="Times New Roman" w:hAnsi="Times New Roman" w:cs="Times New Roman"/>
        </w:rPr>
        <w:t>分别测算出项目绩效工资、办公费、印刷费、水费、电费、邮电费、差旅费、维修（护）费、租赁费、会议费、培训费、专用材料费、专用燃料费、劳务费、委托业务费、设备购置费、其他商品和服务支出、利润、税金及附加费用19项费用。</w:t>
      </w:r>
    </w:p>
    <w:p>
      <w:pPr>
        <w:ind w:firstLine="0"/>
        <w:rPr>
          <w:rFonts w:ascii="Times New Roman" w:hAnsi="Times New Roman" w:cs="Times New Roman"/>
        </w:rPr>
      </w:pPr>
      <w:r>
        <w:rPr>
          <w:rFonts w:hint="eastAsia" w:ascii="黑体" w:eastAsia="黑体" w:cs="Times New Roman"/>
        </w:rPr>
        <w:t>9.4.2.2.3</w:t>
      </w:r>
      <w:r>
        <w:rPr>
          <w:rFonts w:ascii="Times New Roman" w:hAnsi="Times New Roman" w:eastAsia="黑体" w:cs="Times New Roman"/>
        </w:rPr>
        <w:t xml:space="preserve"> </w:t>
      </w:r>
      <w:r>
        <w:rPr>
          <w:rFonts w:ascii="Times New Roman" w:hAnsi="Times New Roman" w:cs="Times New Roman"/>
        </w:rPr>
        <w:t xml:space="preserve"> 预工-1表的19个附表分别为：绩效工资预算明细表（预工附-1）、办公费预算明细表（预工附-2）、印刷费预算明细表（预工附-3）、水费预算明细表（预工附-4）、电费预算明细表（预工附-5）、邮电费预算明细表（预工附-6）、差旅费预算明细表（预工附-7）、维修（护）费预算明细表（预工附-8）、租赁费预算明细表（预工附-9）、会议费预算明细表（预工附-10）、培训费预算明细表（预工附-11）、专用材料费预算明细表（预工附-12）、专用燃料费预算明细表（预工附-13）、劳务费预算明细表（预工附-14）、委托业务费预算明细表（预工附-15）、设备购置费预算明细表（预工附-16）、其他商品和服务支出预算明细表（预工附-17）、利润预算明细表（预工附-18）、税金及附加费用预算明细表（预工附-19）。</w:t>
      </w:r>
    </w:p>
    <w:p>
      <w:pPr>
        <w:ind w:firstLine="0"/>
        <w:rPr>
          <w:rFonts w:ascii="Times New Roman" w:hAnsi="Times New Roman" w:cs="Times New Roman"/>
        </w:rPr>
      </w:pPr>
      <w:r>
        <w:rPr>
          <w:rFonts w:hint="eastAsia" w:ascii="黑体" w:eastAsia="黑体" w:cs="Times New Roman"/>
        </w:rPr>
        <w:t>9.4.2.2.4</w:t>
      </w:r>
      <w:r>
        <w:rPr>
          <w:rFonts w:ascii="Times New Roman" w:hAnsi="Times New Roman" w:cs="Times New Roman"/>
        </w:rPr>
        <w:t xml:space="preserve">  费用归集汇总预算表（预工-1）由预工附-1～预工附-19这19个附表汇总编制，确保该表与19个附表数据的勾稽关系正确。</w:t>
      </w:r>
    </w:p>
    <w:p>
      <w:pPr>
        <w:pStyle w:val="4"/>
        <w:spacing w:beforeLines="50" w:afterLines="50"/>
        <w:rPr>
          <w:rFonts w:cs="Times New Roman"/>
        </w:rPr>
      </w:pPr>
      <w:bookmarkStart w:id="124" w:name="_Toc36634242"/>
      <w:r>
        <w:rPr>
          <w:rFonts w:hint="eastAsia" w:cs="Times New Roman"/>
        </w:rPr>
        <w:t>9.5  取费标准</w:t>
      </w:r>
      <w:bookmarkEnd w:id="124"/>
    </w:p>
    <w:p>
      <w:pPr>
        <w:pStyle w:val="229"/>
        <w:spacing w:before="120" w:beforeLines="50" w:after="120" w:afterLines="50"/>
        <w:outlineLvl w:val="3"/>
      </w:pPr>
      <w:r>
        <w:rPr>
          <w:rFonts w:hint="eastAsia"/>
        </w:rPr>
        <w:t>9.5.1  绩效工资预算明细表（预工附</w:t>
      </w:r>
      <w:r>
        <w:t>-</w:t>
      </w:r>
      <w:r>
        <w:rPr>
          <w:rFonts w:hint="eastAsia"/>
        </w:rPr>
        <w:t>1）</w:t>
      </w:r>
    </w:p>
    <w:p>
      <w:pPr>
        <w:ind w:firstLine="0"/>
        <w:rPr>
          <w:rFonts w:ascii="Times New Roman" w:hAnsi="Times New Roman" w:cs="Times New Roman"/>
        </w:rPr>
      </w:pPr>
      <w:r>
        <w:rPr>
          <w:rFonts w:hint="eastAsia" w:ascii="黑体" w:eastAsia="黑体" w:cs="Times New Roman"/>
        </w:rPr>
        <w:t>9.5.1.1</w:t>
      </w:r>
      <w:r>
        <w:rPr>
          <w:rFonts w:ascii="Times New Roman" w:hAnsi="Times New Roman" w:eastAsia="黑体" w:cs="Times New Roman"/>
        </w:rPr>
        <w:t xml:space="preserve">  </w:t>
      </w:r>
      <w:r>
        <w:rPr>
          <w:rFonts w:ascii="Times New Roman" w:hAnsi="Times New Roman" w:cs="Times New Roman"/>
        </w:rPr>
        <w:t>绩效工资指本单位项目工作人员的该项目绩效工资。计算方法为：绩效工资=∑直接人员工作人</w:t>
      </w:r>
      <w:r>
        <w:rPr>
          <w:rFonts w:hint="eastAsia" w:ascii="Times New Roman" w:hAnsi="Times New Roman" w:cs="Times New Roman"/>
        </w:rPr>
        <w:t>·</w:t>
      </w:r>
      <w:r>
        <w:rPr>
          <w:rFonts w:ascii="Times New Roman" w:hAnsi="Times New Roman" w:cs="Times New Roman"/>
        </w:rPr>
        <w:t>月数×从本项目支出的人</w:t>
      </w:r>
      <w:r>
        <w:rPr>
          <w:rFonts w:hint="eastAsia" w:ascii="Times New Roman" w:hAnsi="Times New Roman" w:cs="Times New Roman"/>
        </w:rPr>
        <w:t>·</w:t>
      </w:r>
      <w:r>
        <w:rPr>
          <w:rFonts w:ascii="Times New Roman" w:hAnsi="Times New Roman" w:cs="Times New Roman"/>
        </w:rPr>
        <w:t>月绩效工资。</w:t>
      </w:r>
    </w:p>
    <w:p>
      <w:pPr>
        <w:ind w:firstLine="0"/>
        <w:rPr>
          <w:rFonts w:ascii="Times New Roman" w:hAnsi="Times New Roman" w:cs="Times New Roman"/>
        </w:rPr>
      </w:pPr>
      <w:r>
        <w:rPr>
          <w:rFonts w:hint="eastAsia" w:ascii="黑体" w:eastAsia="黑体" w:cs="Times New Roman"/>
        </w:rPr>
        <w:t>9.5.1.2</w:t>
      </w:r>
      <w:r>
        <w:rPr>
          <w:rFonts w:ascii="Times New Roman" w:hAnsi="Times New Roman" w:eastAsia="黑体" w:cs="Times New Roman"/>
        </w:rPr>
        <w:t xml:space="preserve">  </w:t>
      </w:r>
      <w:r>
        <w:rPr>
          <w:rFonts w:ascii="Times New Roman" w:hAnsi="Times New Roman" w:cs="Times New Roman"/>
        </w:rPr>
        <w:t>绩效工资预算编制应统筹考虑，受单位工资总额控制，在项目中合规合理安排人员规模。</w:t>
      </w:r>
    </w:p>
    <w:p>
      <w:pPr>
        <w:ind w:firstLine="0"/>
        <w:rPr>
          <w:rFonts w:ascii="Times New Roman" w:hAnsi="Times New Roman" w:cs="Times New Roman"/>
        </w:rPr>
      </w:pPr>
      <w:r>
        <w:rPr>
          <w:rFonts w:hint="eastAsia" w:ascii="黑体" w:eastAsia="黑体" w:cs="Times New Roman"/>
        </w:rPr>
        <w:t>9.5.1.3</w:t>
      </w:r>
      <w:r>
        <w:rPr>
          <w:rFonts w:ascii="Times New Roman" w:hAnsi="Times New Roman" w:eastAsia="黑体" w:cs="Times New Roman"/>
        </w:rPr>
        <w:t xml:space="preserve">  </w:t>
      </w:r>
      <w:r>
        <w:rPr>
          <w:rFonts w:ascii="Times New Roman" w:hAnsi="Times New Roman" w:cs="Times New Roman"/>
        </w:rPr>
        <w:t>项目人员投入项目的人</w:t>
      </w:r>
      <w:r>
        <w:rPr>
          <w:rFonts w:hint="eastAsia" w:ascii="Times New Roman" w:hAnsi="Times New Roman" w:cs="Times New Roman"/>
        </w:rPr>
        <w:t>·</w:t>
      </w:r>
      <w:r>
        <w:rPr>
          <w:rFonts w:ascii="Times New Roman" w:hAnsi="Times New Roman" w:cs="Times New Roman"/>
        </w:rPr>
        <w:t>月数是指本单位在职人员参加项目的全时工作时间，不包括返聘、外聘人员及学生。项目人员参加各类项目的全时工作时间之和不能超过12个月/年。项目负责人投入项目的全时工作时间不应少于8个月/年。</w:t>
      </w:r>
    </w:p>
    <w:p>
      <w:pPr>
        <w:ind w:firstLine="0"/>
        <w:rPr>
          <w:rFonts w:ascii="Times New Roman" w:hAnsi="Times New Roman" w:cs="Times New Roman"/>
        </w:rPr>
      </w:pPr>
      <w:r>
        <w:rPr>
          <w:rFonts w:hint="eastAsia" w:ascii="黑体" w:eastAsia="黑体" w:cs="Times New Roman"/>
        </w:rPr>
        <w:t xml:space="preserve">9.5.1.4 </w:t>
      </w:r>
      <w:r>
        <w:rPr>
          <w:rFonts w:ascii="Times New Roman" w:hAnsi="Times New Roman" w:eastAsia="黑体" w:cs="Times New Roman"/>
        </w:rPr>
        <w:t xml:space="preserve"> </w:t>
      </w:r>
      <w:r>
        <w:rPr>
          <w:rFonts w:ascii="Times New Roman" w:hAnsi="Times New Roman" w:cs="Times New Roman"/>
        </w:rPr>
        <w:t>参加项目的非本单位人员不得编制人员费预算，其所发生的相关费用应通过劳务合同等方式，在劳务费、差旅费等费用项目中列支。</w:t>
      </w:r>
    </w:p>
    <w:p>
      <w:pPr>
        <w:pStyle w:val="229"/>
        <w:spacing w:before="120" w:beforeLines="50" w:after="120" w:afterLines="50"/>
        <w:outlineLvl w:val="3"/>
      </w:pPr>
      <w:r>
        <w:rPr>
          <w:rFonts w:hint="eastAsia"/>
        </w:rPr>
        <w:t>9.5.2  办公费预算明细表（预工附-2）</w:t>
      </w:r>
    </w:p>
    <w:p>
      <w:pPr>
        <w:ind w:firstLine="0"/>
        <w:rPr>
          <w:rFonts w:ascii="Times New Roman" w:hAnsi="Times New Roman" w:cs="Times New Roman"/>
        </w:rPr>
      </w:pPr>
      <w:r>
        <w:rPr>
          <w:rFonts w:hint="eastAsia" w:ascii="黑体" w:eastAsia="黑体" w:cs="Times New Roman"/>
        </w:rPr>
        <w:t>9.5.2.1</w:t>
      </w:r>
      <w:r>
        <w:rPr>
          <w:rFonts w:ascii="Times New Roman" w:hAnsi="Times New Roman" w:eastAsia="黑体" w:cs="Times New Roman"/>
        </w:rPr>
        <w:t xml:space="preserve">  </w:t>
      </w:r>
      <w:r>
        <w:rPr>
          <w:rFonts w:ascii="Times New Roman" w:hAnsi="Times New Roman" w:cs="Times New Roman"/>
        </w:rPr>
        <w:t>办公费是指项目实施过程中发生的购买按财务会计制度规定不符合固定资产确认标准的日常办公用品、书报杂志等发生的支出。</w:t>
      </w:r>
    </w:p>
    <w:p>
      <w:pPr>
        <w:ind w:firstLine="0"/>
        <w:rPr>
          <w:rFonts w:ascii="Times New Roman" w:hAnsi="Times New Roman" w:cs="Times New Roman"/>
        </w:rPr>
      </w:pPr>
      <w:r>
        <w:rPr>
          <w:rFonts w:hint="eastAsia" w:ascii="黑体" w:eastAsia="黑体" w:cs="Times New Roman"/>
        </w:rPr>
        <w:t>9.5.2.2</w:t>
      </w:r>
      <w:r>
        <w:rPr>
          <w:rFonts w:ascii="Times New Roman" w:hAnsi="Times New Roman" w:eastAsia="黑体" w:cs="Times New Roman"/>
        </w:rPr>
        <w:t xml:space="preserve">  </w:t>
      </w:r>
      <w:r>
        <w:rPr>
          <w:rFonts w:ascii="Times New Roman" w:hAnsi="Times New Roman" w:cs="Times New Roman"/>
        </w:rPr>
        <w:t>办公费按照项目投入的人</w:t>
      </w:r>
      <w:r>
        <w:rPr>
          <w:rFonts w:hint="eastAsia" w:ascii="Times New Roman" w:hAnsi="Times New Roman" w:cs="Times New Roman"/>
        </w:rPr>
        <w:t>·</w:t>
      </w:r>
      <w:r>
        <w:rPr>
          <w:rFonts w:ascii="Times New Roman" w:hAnsi="Times New Roman" w:cs="Times New Roman"/>
        </w:rPr>
        <w:t>月数及综合定额标准（180元/人</w:t>
      </w:r>
      <w:r>
        <w:rPr>
          <w:rFonts w:hint="eastAsia" w:ascii="Times New Roman" w:hAnsi="Times New Roman" w:cs="Times New Roman"/>
        </w:rPr>
        <w:t>·</w:t>
      </w:r>
      <w:r>
        <w:rPr>
          <w:rFonts w:ascii="Times New Roman" w:hAnsi="Times New Roman" w:cs="Times New Roman"/>
        </w:rPr>
        <w:t>月）控制编制。综合费用定额是办公费标准的上限值。</w:t>
      </w:r>
    </w:p>
    <w:p>
      <w:pPr>
        <w:pStyle w:val="229"/>
        <w:spacing w:before="120" w:beforeLines="50" w:after="120" w:afterLines="50"/>
        <w:outlineLvl w:val="3"/>
      </w:pPr>
      <w:r>
        <w:rPr>
          <w:rFonts w:hint="eastAsia"/>
        </w:rPr>
        <w:t>9.5.3  印刷费预算明细表（预工附-3）</w:t>
      </w:r>
    </w:p>
    <w:p>
      <w:pPr>
        <w:ind w:firstLine="0"/>
        <w:rPr>
          <w:rFonts w:ascii="Times New Roman" w:hAnsi="Times New Roman" w:cs="Times New Roman"/>
        </w:rPr>
      </w:pPr>
      <w:r>
        <w:rPr>
          <w:rFonts w:hint="eastAsia" w:ascii="黑体" w:eastAsia="黑体" w:cs="Times New Roman"/>
        </w:rPr>
        <w:t>9.5.3.1</w:t>
      </w:r>
      <w:r>
        <w:rPr>
          <w:rFonts w:ascii="Times New Roman" w:hAnsi="Times New Roman" w:eastAsia="黑体" w:cs="Times New Roman"/>
        </w:rPr>
        <w:t xml:space="preserve">  </w:t>
      </w:r>
      <w:r>
        <w:rPr>
          <w:rFonts w:ascii="Times New Roman" w:hAnsi="Times New Roman" w:cs="Times New Roman"/>
        </w:rPr>
        <w:t>印刷费是指项目实施过程中发生的报告印刷、出版、制图费用及其他一般性印刷费等支出。</w:t>
      </w:r>
    </w:p>
    <w:p>
      <w:pPr>
        <w:ind w:firstLine="0"/>
        <w:rPr>
          <w:rFonts w:ascii="Times New Roman" w:hAnsi="Times New Roman" w:cs="Times New Roman"/>
        </w:rPr>
      </w:pPr>
      <w:r>
        <w:rPr>
          <w:rFonts w:hint="eastAsia" w:ascii="黑体" w:eastAsia="黑体" w:cs="Times New Roman"/>
        </w:rPr>
        <w:t>9.5.3.2</w:t>
      </w:r>
      <w:r>
        <w:rPr>
          <w:rFonts w:ascii="Times New Roman" w:hAnsi="Times New Roman" w:eastAsia="黑体" w:cs="Times New Roman"/>
        </w:rPr>
        <w:t xml:space="preserve">  </w:t>
      </w:r>
      <w:r>
        <w:rPr>
          <w:rFonts w:ascii="Times New Roman" w:hAnsi="Times New Roman" w:cs="Times New Roman"/>
        </w:rPr>
        <w:t>在提交报告年度编制报告印刷费。</w:t>
      </w:r>
    </w:p>
    <w:p>
      <w:pPr>
        <w:wordWrap w:val="0"/>
        <w:topLinePunct/>
        <w:ind w:firstLine="0"/>
        <w:jc w:val="both"/>
        <w:rPr>
          <w:rFonts w:ascii="Times New Roman" w:hAnsi="Times New Roman" w:cs="Times New Roman"/>
        </w:rPr>
      </w:pPr>
      <w:r>
        <w:rPr>
          <w:rFonts w:hint="eastAsia" w:ascii="黑体" w:eastAsia="黑体" w:cs="Times New Roman"/>
        </w:rPr>
        <w:t>9.5.3.3</w:t>
      </w:r>
      <w:r>
        <w:rPr>
          <w:rFonts w:ascii="Times New Roman" w:hAnsi="Times New Roman" w:eastAsia="黑体" w:cs="Times New Roman"/>
        </w:rPr>
        <w:t xml:space="preserve">  </w:t>
      </w:r>
      <w:r>
        <w:rPr>
          <w:rFonts w:ascii="Times New Roman" w:hAnsi="Times New Roman" w:cs="Times New Roman"/>
        </w:rPr>
        <w:t>其他印刷费预算可按照项目实际需要编制，亦可根据项目投入的人</w:t>
      </w:r>
      <w:r>
        <w:rPr>
          <w:rFonts w:hint="eastAsia" w:ascii="Times New Roman" w:hAnsi="Times New Roman" w:cs="Times New Roman"/>
        </w:rPr>
        <w:t>·</w:t>
      </w:r>
      <w:r>
        <w:rPr>
          <w:rFonts w:ascii="Times New Roman" w:hAnsi="Times New Roman" w:cs="Times New Roman"/>
        </w:rPr>
        <w:t>月数及综合定额标准（200元/人</w:t>
      </w:r>
      <w:r>
        <w:rPr>
          <w:rFonts w:hint="eastAsia" w:ascii="Times New Roman" w:hAnsi="Times New Roman" w:cs="Times New Roman"/>
        </w:rPr>
        <w:t>·</w:t>
      </w:r>
      <w:r>
        <w:rPr>
          <w:rFonts w:ascii="Times New Roman" w:hAnsi="Times New Roman" w:cs="Times New Roman"/>
        </w:rPr>
        <w:t>月）控制编制，包括非结题年度的设计（评估）报告、年度成果报告以及日常办公印刷等印刷费用，不得重复编制。</w:t>
      </w:r>
    </w:p>
    <w:p>
      <w:pPr>
        <w:ind w:firstLine="0"/>
        <w:rPr>
          <w:rFonts w:ascii="Times New Roman" w:hAnsi="Times New Roman" w:cs="Times New Roman"/>
        </w:rPr>
      </w:pPr>
      <w:r>
        <w:rPr>
          <w:rFonts w:hint="eastAsia" w:ascii="黑体" w:eastAsia="黑体" w:cs="Times New Roman"/>
        </w:rPr>
        <w:t xml:space="preserve">9.5.3.4 </w:t>
      </w:r>
      <w:r>
        <w:rPr>
          <w:rFonts w:ascii="Times New Roman" w:hAnsi="Times New Roman" w:eastAsia="黑体" w:cs="Times New Roman"/>
        </w:rPr>
        <w:t xml:space="preserve"> </w:t>
      </w:r>
      <w:r>
        <w:rPr>
          <w:rFonts w:ascii="Times New Roman" w:hAnsi="Times New Roman" w:cs="Times New Roman"/>
        </w:rPr>
        <w:t>需要及时向社会发布公共产品的，可增加编制年度成果报告印刷费预算。要求在技术方案中明确安排，在预算编制中详细说明测算依据。</w:t>
      </w:r>
    </w:p>
    <w:p>
      <w:pPr>
        <w:ind w:firstLine="0"/>
        <w:rPr>
          <w:rFonts w:ascii="Times New Roman" w:hAnsi="Times New Roman" w:cs="Times New Roman"/>
        </w:rPr>
      </w:pPr>
      <w:r>
        <w:rPr>
          <w:rFonts w:hint="eastAsia" w:ascii="黑体" w:eastAsia="黑体" w:cs="Times New Roman"/>
        </w:rPr>
        <w:t>9.5.3.5</w:t>
      </w:r>
      <w:r>
        <w:rPr>
          <w:rFonts w:ascii="Times New Roman" w:hAnsi="Times New Roman" w:eastAsia="黑体" w:cs="Times New Roman"/>
        </w:rPr>
        <w:t xml:space="preserve">  </w:t>
      </w:r>
      <w:r>
        <w:rPr>
          <w:rFonts w:ascii="Times New Roman" w:hAnsi="Times New Roman" w:cs="Times New Roman"/>
        </w:rPr>
        <w:t>除技术方案及绩效目标申报表中明确的著作出版与论文外，与项目无关</w:t>
      </w:r>
      <w:r>
        <w:rPr>
          <w:rFonts w:ascii="宋体" w:cs="Times New Roman"/>
        </w:rPr>
        <w:t>的“论文版面费”</w:t>
      </w:r>
      <w:r>
        <w:rPr>
          <w:rFonts w:ascii="Times New Roman" w:hAnsi="Times New Roman" w:cs="Times New Roman"/>
        </w:rPr>
        <w:t>不得列入项目预算。</w:t>
      </w:r>
    </w:p>
    <w:p>
      <w:pPr>
        <w:pStyle w:val="229"/>
        <w:spacing w:before="120" w:beforeLines="50" w:after="120" w:afterLines="50"/>
        <w:outlineLvl w:val="3"/>
      </w:pPr>
      <w:r>
        <w:rPr>
          <w:rFonts w:hint="eastAsia"/>
        </w:rPr>
        <w:t>9.5.4  水费预算明细表（预工附-4）</w:t>
      </w:r>
    </w:p>
    <w:p>
      <w:pPr>
        <w:ind w:firstLine="0"/>
        <w:rPr>
          <w:rFonts w:ascii="Times New Roman" w:hAnsi="Times New Roman" w:cs="Times New Roman"/>
        </w:rPr>
      </w:pPr>
      <w:r>
        <w:rPr>
          <w:rFonts w:hint="eastAsia" w:ascii="黑体" w:eastAsia="黑体" w:cs="Times New Roman"/>
        </w:rPr>
        <w:t>9.5.4.1</w:t>
      </w:r>
      <w:r>
        <w:rPr>
          <w:rFonts w:ascii="Times New Roman" w:hAnsi="Times New Roman" w:eastAsia="黑体" w:cs="Times New Roman"/>
        </w:rPr>
        <w:t xml:space="preserve">  </w:t>
      </w:r>
      <w:r>
        <w:rPr>
          <w:rFonts w:ascii="Times New Roman" w:hAnsi="Times New Roman" w:cs="Times New Roman"/>
        </w:rPr>
        <w:t>水费是指项目实施过程中发生的水费、污水处理费支出。</w:t>
      </w:r>
    </w:p>
    <w:p>
      <w:pPr>
        <w:ind w:firstLine="0"/>
        <w:rPr>
          <w:rFonts w:ascii="Times New Roman" w:hAnsi="Times New Roman" w:cs="Times New Roman"/>
        </w:rPr>
      </w:pPr>
      <w:r>
        <w:rPr>
          <w:rFonts w:hint="eastAsia" w:ascii="黑体" w:eastAsia="黑体" w:cs="Times New Roman"/>
        </w:rPr>
        <w:t>9.5.4.2</w:t>
      </w:r>
      <w:r>
        <w:rPr>
          <w:rFonts w:ascii="Times New Roman" w:hAnsi="Times New Roman" w:eastAsia="黑体" w:cs="Times New Roman"/>
        </w:rPr>
        <w:t xml:space="preserve">  </w:t>
      </w:r>
      <w:r>
        <w:rPr>
          <w:rFonts w:ascii="Times New Roman" w:hAnsi="Times New Roman" w:cs="Times New Roman"/>
        </w:rPr>
        <w:t>水费预算按照预计消耗数量和项目所在地的实际价格编制。</w:t>
      </w:r>
    </w:p>
    <w:p>
      <w:pPr>
        <w:ind w:firstLine="0"/>
        <w:rPr>
          <w:rFonts w:ascii="Times New Roman" w:hAnsi="Times New Roman" w:cs="Times New Roman"/>
        </w:rPr>
      </w:pPr>
      <w:r>
        <w:rPr>
          <w:rFonts w:hint="eastAsia" w:ascii="黑体" w:eastAsia="黑体" w:cs="Times New Roman"/>
        </w:rPr>
        <w:t>9.5.4.3</w:t>
      </w:r>
      <w:r>
        <w:rPr>
          <w:rFonts w:ascii="Times New Roman" w:hAnsi="Times New Roman" w:eastAsia="黑体" w:cs="Times New Roman"/>
        </w:rPr>
        <w:t xml:space="preserve">  </w:t>
      </w:r>
      <w:r>
        <w:rPr>
          <w:rFonts w:ascii="Times New Roman" w:hAnsi="Times New Roman" w:cs="Times New Roman"/>
        </w:rPr>
        <w:t>水费预算应量价齐全，使用正确的计量单位。</w:t>
      </w:r>
    </w:p>
    <w:p>
      <w:pPr>
        <w:ind w:firstLine="0"/>
        <w:rPr>
          <w:rFonts w:ascii="Times New Roman" w:hAnsi="Times New Roman" w:cs="Times New Roman"/>
        </w:rPr>
      </w:pPr>
      <w:r>
        <w:rPr>
          <w:rFonts w:hint="eastAsia" w:ascii="黑体" w:eastAsia="黑体" w:cs="Times New Roman"/>
        </w:rPr>
        <w:t>9.5.4.4</w:t>
      </w:r>
      <w:r>
        <w:rPr>
          <w:rFonts w:ascii="Times New Roman" w:hAnsi="Times New Roman" w:eastAsia="黑体" w:cs="Times New Roman"/>
        </w:rPr>
        <w:t xml:space="preserve">  </w:t>
      </w:r>
      <w:r>
        <w:rPr>
          <w:rFonts w:ascii="Times New Roman" w:hAnsi="Times New Roman" w:cs="Times New Roman"/>
        </w:rPr>
        <w:t>注意水费预算的数量与技术方案的相关性及合理性。</w:t>
      </w:r>
    </w:p>
    <w:p>
      <w:pPr>
        <w:pStyle w:val="229"/>
        <w:spacing w:before="120" w:beforeLines="50" w:after="120" w:afterLines="50"/>
        <w:outlineLvl w:val="3"/>
      </w:pPr>
      <w:r>
        <w:rPr>
          <w:rFonts w:hint="eastAsia"/>
        </w:rPr>
        <w:t>9.5.5  电费预算明细表（预工附-5）</w:t>
      </w:r>
    </w:p>
    <w:p>
      <w:pPr>
        <w:ind w:firstLine="0"/>
        <w:rPr>
          <w:rFonts w:ascii="Times New Roman" w:hAnsi="Times New Roman" w:cs="Times New Roman"/>
        </w:rPr>
      </w:pPr>
      <w:r>
        <w:rPr>
          <w:rFonts w:hint="eastAsia" w:ascii="黑体" w:eastAsia="黑体" w:cs="Times New Roman"/>
        </w:rPr>
        <w:t>9.5.5.1</w:t>
      </w:r>
      <w:r>
        <w:rPr>
          <w:rFonts w:ascii="Times New Roman" w:hAnsi="Times New Roman" w:eastAsia="黑体" w:cs="Times New Roman"/>
        </w:rPr>
        <w:t xml:space="preserve">  </w:t>
      </w:r>
      <w:r>
        <w:rPr>
          <w:rFonts w:ascii="Times New Roman" w:hAnsi="Times New Roman" w:cs="Times New Roman"/>
        </w:rPr>
        <w:t>电费是指项目实施过程中发生的电费支出。</w:t>
      </w:r>
    </w:p>
    <w:p>
      <w:pPr>
        <w:ind w:firstLine="0"/>
        <w:rPr>
          <w:rFonts w:ascii="Times New Roman" w:hAnsi="Times New Roman" w:cs="Times New Roman"/>
        </w:rPr>
      </w:pPr>
      <w:r>
        <w:rPr>
          <w:rFonts w:hint="eastAsia" w:ascii="黑体" w:eastAsia="黑体" w:cs="Times New Roman"/>
        </w:rPr>
        <w:t>9.5.5.2</w:t>
      </w:r>
      <w:r>
        <w:rPr>
          <w:rFonts w:ascii="Times New Roman" w:hAnsi="Times New Roman" w:eastAsia="黑体" w:cs="Times New Roman"/>
        </w:rPr>
        <w:t xml:space="preserve">  </w:t>
      </w:r>
      <w:r>
        <w:rPr>
          <w:rFonts w:ascii="Times New Roman" w:hAnsi="Times New Roman" w:cs="Times New Roman"/>
        </w:rPr>
        <w:t>电费预算按照预计消耗数量和项目所在地的实际价格编制。</w:t>
      </w:r>
    </w:p>
    <w:p>
      <w:pPr>
        <w:ind w:firstLine="0"/>
        <w:rPr>
          <w:rFonts w:ascii="Times New Roman" w:hAnsi="Times New Roman" w:cs="Times New Roman"/>
        </w:rPr>
      </w:pPr>
      <w:r>
        <w:rPr>
          <w:rFonts w:hint="eastAsia" w:ascii="黑体" w:eastAsia="黑体" w:cs="Times New Roman"/>
        </w:rPr>
        <w:t>9.5.5.3</w:t>
      </w:r>
      <w:r>
        <w:rPr>
          <w:rFonts w:ascii="Times New Roman" w:hAnsi="Times New Roman" w:eastAsia="黑体" w:cs="Times New Roman"/>
        </w:rPr>
        <w:t xml:space="preserve">  </w:t>
      </w:r>
      <w:r>
        <w:rPr>
          <w:rFonts w:ascii="Times New Roman" w:hAnsi="Times New Roman" w:cs="Times New Roman"/>
        </w:rPr>
        <w:t>电费预算应量价齐全，使用正确的计量单位。</w:t>
      </w:r>
    </w:p>
    <w:p>
      <w:pPr>
        <w:ind w:firstLine="0"/>
        <w:rPr>
          <w:rFonts w:ascii="Times New Roman" w:hAnsi="Times New Roman" w:cs="Times New Roman"/>
        </w:rPr>
      </w:pPr>
      <w:r>
        <w:rPr>
          <w:rFonts w:hint="eastAsia" w:ascii="黑体" w:eastAsia="黑体" w:cs="Times New Roman"/>
        </w:rPr>
        <w:t>9.5.5.4</w:t>
      </w:r>
      <w:r>
        <w:rPr>
          <w:rFonts w:ascii="Times New Roman" w:hAnsi="Times New Roman" w:eastAsia="黑体" w:cs="Times New Roman"/>
        </w:rPr>
        <w:t xml:space="preserve">  </w:t>
      </w:r>
      <w:r>
        <w:rPr>
          <w:rFonts w:ascii="Times New Roman" w:hAnsi="Times New Roman" w:cs="Times New Roman"/>
        </w:rPr>
        <w:t>注意电费预算的数量与技术方案的相关性及合理性。</w:t>
      </w:r>
    </w:p>
    <w:p>
      <w:pPr>
        <w:pStyle w:val="229"/>
        <w:spacing w:before="120" w:beforeLines="50" w:after="120" w:afterLines="50"/>
        <w:outlineLvl w:val="3"/>
      </w:pPr>
      <w:r>
        <w:rPr>
          <w:rFonts w:hint="eastAsia"/>
        </w:rPr>
        <w:t>9.5.6  邮电费预算明细表（预工附-6）</w:t>
      </w:r>
    </w:p>
    <w:p>
      <w:pPr>
        <w:ind w:firstLine="0"/>
        <w:rPr>
          <w:rFonts w:ascii="Times New Roman" w:hAnsi="Times New Roman" w:cs="Times New Roman"/>
        </w:rPr>
      </w:pPr>
      <w:r>
        <w:rPr>
          <w:rFonts w:hint="eastAsia" w:ascii="黑体" w:eastAsia="黑体" w:cs="Times New Roman"/>
        </w:rPr>
        <w:t>9.5.6.1</w:t>
      </w:r>
      <w:r>
        <w:rPr>
          <w:rFonts w:ascii="Times New Roman" w:hAnsi="Times New Roman" w:eastAsia="黑体" w:cs="Times New Roman"/>
        </w:rPr>
        <w:t xml:space="preserve">  </w:t>
      </w:r>
      <w:r>
        <w:rPr>
          <w:rFonts w:ascii="Times New Roman" w:hAnsi="Times New Roman" w:cs="Times New Roman"/>
        </w:rPr>
        <w:t>邮电费是指项目实施过程中发生的信函、包裹、货物等物品的邮寄费及电话费、电报费、传真费、网络通讯费等支出。</w:t>
      </w:r>
    </w:p>
    <w:p>
      <w:pPr>
        <w:ind w:firstLine="0"/>
        <w:rPr>
          <w:rFonts w:ascii="Times New Roman" w:hAnsi="Times New Roman" w:cs="Times New Roman"/>
        </w:rPr>
      </w:pPr>
      <w:r>
        <w:rPr>
          <w:rFonts w:hint="eastAsia" w:ascii="黑体" w:eastAsia="黑体" w:cs="Times New Roman"/>
        </w:rPr>
        <w:t>9.5.6.2</w:t>
      </w:r>
      <w:r>
        <w:rPr>
          <w:rFonts w:ascii="Times New Roman" w:hAnsi="Times New Roman" w:eastAsia="黑体" w:cs="Times New Roman"/>
        </w:rPr>
        <w:t xml:space="preserve">  </w:t>
      </w:r>
      <w:r>
        <w:rPr>
          <w:rFonts w:ascii="Times New Roman" w:hAnsi="Times New Roman" w:cs="Times New Roman"/>
        </w:rPr>
        <w:t>一般性邮电费按照项目实际需要，根据项目投入的人</w:t>
      </w:r>
      <w:r>
        <w:rPr>
          <w:rFonts w:hint="eastAsia" w:ascii="Times New Roman" w:hAnsi="Times New Roman" w:cs="Times New Roman"/>
        </w:rPr>
        <w:t>·</w:t>
      </w:r>
      <w:r>
        <w:rPr>
          <w:rFonts w:ascii="Times New Roman" w:hAnsi="Times New Roman" w:cs="Times New Roman"/>
        </w:rPr>
        <w:t>月数及综合定额标准（180元/人</w:t>
      </w:r>
      <w:r>
        <w:rPr>
          <w:rFonts w:hint="eastAsia" w:ascii="Times New Roman" w:hAnsi="Times New Roman" w:cs="Times New Roman"/>
        </w:rPr>
        <w:t>·</w:t>
      </w:r>
      <w:r>
        <w:rPr>
          <w:rFonts w:ascii="Times New Roman" w:hAnsi="Times New Roman" w:cs="Times New Roman"/>
        </w:rPr>
        <w:t>月）控制标准，大宗实物样品邮寄支出预算据实编制。</w:t>
      </w:r>
    </w:p>
    <w:p>
      <w:pPr>
        <w:ind w:firstLine="0"/>
        <w:rPr>
          <w:rFonts w:ascii="Times New Roman" w:hAnsi="Times New Roman" w:cs="Times New Roman"/>
        </w:rPr>
      </w:pPr>
      <w:r>
        <w:rPr>
          <w:rFonts w:hint="eastAsia" w:ascii="黑体" w:eastAsia="黑体" w:cs="Times New Roman"/>
        </w:rPr>
        <w:t>9.5.6.3</w:t>
      </w:r>
      <w:r>
        <w:rPr>
          <w:rFonts w:ascii="Times New Roman" w:hAnsi="Times New Roman" w:eastAsia="黑体" w:cs="Times New Roman"/>
        </w:rPr>
        <w:t xml:space="preserve">  </w:t>
      </w:r>
      <w:r>
        <w:rPr>
          <w:rFonts w:ascii="Times New Roman" w:hAnsi="Times New Roman" w:cs="Times New Roman"/>
        </w:rPr>
        <w:t>按综合定额测算的邮电费包含项目发生的信函、包裹、货物等物品的邮寄费及电话费、电报费、传真费、网络通讯费等。无特殊情况，上述费用不得在综合定额之外单独预算。</w:t>
      </w:r>
    </w:p>
    <w:p>
      <w:pPr>
        <w:ind w:firstLine="0"/>
        <w:rPr>
          <w:rFonts w:ascii="Times New Roman" w:hAnsi="Times New Roman" w:cs="Times New Roman"/>
        </w:rPr>
      </w:pPr>
      <w:r>
        <w:rPr>
          <w:rFonts w:hint="eastAsia" w:ascii="黑体" w:eastAsia="黑体" w:cs="Times New Roman"/>
        </w:rPr>
        <w:t>9.5.6.4</w:t>
      </w:r>
      <w:r>
        <w:rPr>
          <w:rFonts w:ascii="Times New Roman" w:hAnsi="Times New Roman" w:eastAsia="黑体" w:cs="Times New Roman"/>
        </w:rPr>
        <w:t xml:space="preserve">  </w:t>
      </w:r>
      <w:r>
        <w:rPr>
          <w:rFonts w:ascii="Times New Roman" w:hAnsi="Times New Roman" w:cs="Times New Roman"/>
        </w:rPr>
        <w:t>如项目中编列其他邮电费预算，注意需说明预算的合理性、合规性以及与项目业务工作的相关性。</w:t>
      </w:r>
    </w:p>
    <w:p>
      <w:pPr>
        <w:pStyle w:val="229"/>
        <w:spacing w:before="120" w:beforeLines="50" w:after="120" w:afterLines="50"/>
        <w:outlineLvl w:val="3"/>
      </w:pPr>
      <w:r>
        <w:rPr>
          <w:rFonts w:hint="eastAsia"/>
        </w:rPr>
        <w:t>9.5.7  差旅费预算明细表（预工附</w:t>
      </w:r>
      <w:r>
        <w:t>-</w:t>
      </w:r>
      <w:r>
        <w:rPr>
          <w:rFonts w:hint="eastAsia"/>
        </w:rPr>
        <w:t>7）</w:t>
      </w:r>
    </w:p>
    <w:p>
      <w:pPr>
        <w:ind w:firstLine="0"/>
        <w:rPr>
          <w:rFonts w:ascii="Times New Roman" w:hAnsi="Times New Roman" w:cs="Times New Roman"/>
        </w:rPr>
      </w:pPr>
      <w:r>
        <w:rPr>
          <w:rFonts w:hint="eastAsia" w:ascii="黑体" w:eastAsia="黑体" w:cs="Times New Roman"/>
        </w:rPr>
        <w:t>9.5.7.1</w:t>
      </w:r>
      <w:r>
        <w:rPr>
          <w:rFonts w:ascii="Times New Roman" w:hAnsi="Times New Roman" w:eastAsia="黑体" w:cs="Times New Roman"/>
        </w:rPr>
        <w:t xml:space="preserve">  </w:t>
      </w:r>
      <w:r>
        <w:rPr>
          <w:rFonts w:ascii="Times New Roman" w:hAnsi="Times New Roman" w:cs="Times New Roman"/>
        </w:rPr>
        <w:t>差旅费是指项目工作人员开展野外工作、业务调研、学术交流等所发生的城市间交通费、住宿费、伙食补助费和市内交通费。</w:t>
      </w:r>
    </w:p>
    <w:p>
      <w:pPr>
        <w:ind w:firstLine="0"/>
        <w:rPr>
          <w:rFonts w:ascii="Times New Roman" w:hAnsi="Times New Roman" w:cs="Times New Roman"/>
        </w:rPr>
      </w:pPr>
      <w:r>
        <w:rPr>
          <w:rFonts w:hint="eastAsia" w:ascii="黑体" w:eastAsia="黑体" w:cs="Times New Roman"/>
        </w:rPr>
        <w:t>9.5.7.2</w:t>
      </w:r>
      <w:r>
        <w:rPr>
          <w:rFonts w:ascii="Times New Roman" w:hAnsi="Times New Roman" w:eastAsia="黑体" w:cs="Times New Roman"/>
        </w:rPr>
        <w:t xml:space="preserve">  </w:t>
      </w:r>
      <w:r>
        <w:rPr>
          <w:rFonts w:ascii="Times New Roman" w:hAnsi="Times New Roman" w:cs="Times New Roman"/>
        </w:rPr>
        <w:t>差旅费预算根据湖北省财政厅《关于印发〈湖北省省级党政机关差旅费管理办法〉的通知》（鄂财行发〔2014〕11号）、《关于调整省级党政机关差旅住宿费标准等有关问题的通知》（鄂财行发〔2015〕90号）、《关于明确省级党政机关省外差旅住宿费标准的通知》（鄂财行发〔2016〕17号）的规定执行：一般人员省内出差，城市间交通费据实预算；武汉市出差住宿费每人每天350元，其它省内城市住宿费每人每天320元；伙食补助费每人每天100元；市内交通费每人每天50元。</w:t>
      </w:r>
    </w:p>
    <w:p>
      <w:pPr>
        <w:ind w:firstLine="0"/>
        <w:rPr>
          <w:rFonts w:ascii="Times New Roman" w:hAnsi="Times New Roman" w:cs="Times New Roman"/>
        </w:rPr>
      </w:pPr>
      <w:r>
        <w:rPr>
          <w:rFonts w:hint="eastAsia" w:ascii="黑体" w:eastAsia="黑体" w:cs="Times New Roman"/>
        </w:rPr>
        <w:t>9.5.7.3</w:t>
      </w:r>
      <w:r>
        <w:rPr>
          <w:rFonts w:ascii="Times New Roman" w:hAnsi="Times New Roman" w:eastAsia="黑体" w:cs="Times New Roman"/>
        </w:rPr>
        <w:t xml:space="preserve">  </w:t>
      </w:r>
      <w:r>
        <w:rPr>
          <w:rFonts w:ascii="Times New Roman" w:hAnsi="Times New Roman" w:cs="Times New Roman"/>
        </w:rPr>
        <w:t>野外差旅期间已租用车辆的，不得再编制野外差旅期间市内交通费预算。</w:t>
      </w:r>
    </w:p>
    <w:p>
      <w:pPr>
        <w:ind w:firstLine="0"/>
        <w:rPr>
          <w:rFonts w:ascii="Times New Roman" w:hAnsi="Times New Roman" w:cs="Times New Roman"/>
        </w:rPr>
      </w:pPr>
      <w:r>
        <w:rPr>
          <w:rFonts w:hint="eastAsia" w:ascii="黑体" w:eastAsia="黑体" w:cs="Times New Roman"/>
        </w:rPr>
        <w:t xml:space="preserve">9.5.7.4 </w:t>
      </w:r>
      <w:r>
        <w:rPr>
          <w:rFonts w:ascii="Times New Roman" w:hAnsi="Times New Roman" w:eastAsia="黑体" w:cs="Times New Roman"/>
        </w:rPr>
        <w:t xml:space="preserve"> </w:t>
      </w:r>
      <w:r>
        <w:rPr>
          <w:rFonts w:ascii="Times New Roman" w:hAnsi="Times New Roman" w:cs="Times New Roman"/>
        </w:rPr>
        <w:t>差旅费预算按照单位规定和项目差旅计划编制，上述标准为差旅费预算上限值。项目差旅计划在技术方案中要进行安排和说明，出差目的地和次数不能确定的需说明原因。</w:t>
      </w:r>
    </w:p>
    <w:p>
      <w:pPr>
        <w:pStyle w:val="229"/>
        <w:spacing w:before="120" w:beforeLines="50" w:after="120" w:afterLines="50"/>
        <w:outlineLvl w:val="3"/>
      </w:pPr>
      <w:r>
        <w:rPr>
          <w:rFonts w:hint="eastAsia"/>
        </w:rPr>
        <w:t>9.5.8  维修（护）费预算明细表（预工附</w:t>
      </w:r>
      <w:r>
        <w:t>-</w:t>
      </w:r>
      <w:r>
        <w:rPr>
          <w:rFonts w:hint="eastAsia"/>
        </w:rPr>
        <w:t>8）</w:t>
      </w:r>
    </w:p>
    <w:p>
      <w:pPr>
        <w:ind w:firstLine="0"/>
        <w:rPr>
          <w:rFonts w:ascii="Times New Roman" w:hAnsi="Times New Roman" w:cs="Times New Roman"/>
        </w:rPr>
      </w:pPr>
      <w:r>
        <w:rPr>
          <w:rFonts w:hint="eastAsia" w:ascii="黑体" w:eastAsia="黑体" w:cs="Times New Roman"/>
        </w:rPr>
        <w:t>9.5.8.1</w:t>
      </w:r>
      <w:r>
        <w:rPr>
          <w:rFonts w:ascii="Times New Roman" w:hAnsi="Times New Roman" w:eastAsia="黑体" w:cs="Times New Roman"/>
        </w:rPr>
        <w:t xml:space="preserve">  </w:t>
      </w:r>
      <w:r>
        <w:rPr>
          <w:rFonts w:ascii="Times New Roman" w:hAnsi="Times New Roman" w:cs="Times New Roman"/>
        </w:rPr>
        <w:t>维修（护）费是指项目实施过程中必须开支的固定资产（不包括交通工具）的修理和维护费用、网络和信息系统的运行和维护费用，以及按规定提取的修购基金。</w:t>
      </w:r>
    </w:p>
    <w:p>
      <w:pPr>
        <w:ind w:firstLine="0"/>
        <w:rPr>
          <w:rFonts w:ascii="Times New Roman" w:hAnsi="Times New Roman" w:cs="Times New Roman"/>
        </w:rPr>
      </w:pPr>
      <w:r>
        <w:rPr>
          <w:rFonts w:hint="eastAsia" w:ascii="黑体" w:eastAsia="黑体" w:cs="Times New Roman"/>
        </w:rPr>
        <w:t>9.5.8.2</w:t>
      </w:r>
      <w:r>
        <w:rPr>
          <w:rFonts w:ascii="Times New Roman" w:hAnsi="Times New Roman" w:eastAsia="黑体" w:cs="Times New Roman"/>
        </w:rPr>
        <w:t xml:space="preserve">  </w:t>
      </w:r>
      <w:r>
        <w:rPr>
          <w:rFonts w:ascii="Times New Roman" w:hAnsi="Times New Roman" w:cs="Times New Roman"/>
        </w:rPr>
        <w:t>维修（护）费预算应按具体维修或运行维护项目及量价编制，需说明与项目的相关性及费用的合理性。</w:t>
      </w:r>
    </w:p>
    <w:p>
      <w:pPr>
        <w:pStyle w:val="229"/>
        <w:spacing w:before="120" w:beforeLines="50" w:after="120" w:afterLines="50"/>
        <w:outlineLvl w:val="3"/>
      </w:pPr>
      <w:r>
        <w:rPr>
          <w:rFonts w:hint="eastAsia"/>
        </w:rPr>
        <w:t>9.5.9  租赁费预算明细表（预工附-9）</w:t>
      </w:r>
    </w:p>
    <w:p>
      <w:pPr>
        <w:ind w:firstLine="0"/>
        <w:rPr>
          <w:rFonts w:ascii="Times New Roman" w:hAnsi="Times New Roman" w:cs="Times New Roman"/>
        </w:rPr>
      </w:pPr>
      <w:r>
        <w:rPr>
          <w:rFonts w:hint="eastAsia" w:ascii="黑体" w:eastAsia="黑体" w:cs="Times New Roman"/>
        </w:rPr>
        <w:t>9.5.9.1</w:t>
      </w:r>
      <w:r>
        <w:rPr>
          <w:rFonts w:ascii="Times New Roman" w:hAnsi="Times New Roman" w:eastAsia="黑体" w:cs="Times New Roman"/>
        </w:rPr>
        <w:t xml:space="preserve">  </w:t>
      </w:r>
      <w:r>
        <w:rPr>
          <w:rFonts w:ascii="Times New Roman" w:hAnsi="Times New Roman" w:cs="Times New Roman"/>
        </w:rPr>
        <w:t>租赁费是指项目实施过程中租赁办公用房、宿舍、专用通讯网以及其他设备等的费用。</w:t>
      </w:r>
    </w:p>
    <w:p>
      <w:pPr>
        <w:ind w:firstLine="0"/>
        <w:rPr>
          <w:rFonts w:ascii="Times New Roman" w:hAnsi="Times New Roman" w:cs="Times New Roman"/>
        </w:rPr>
      </w:pPr>
      <w:r>
        <w:rPr>
          <w:rFonts w:hint="eastAsia" w:ascii="黑体" w:eastAsia="黑体" w:cs="Times New Roman"/>
        </w:rPr>
        <w:t>9.5.9.2</w:t>
      </w:r>
      <w:r>
        <w:rPr>
          <w:rFonts w:ascii="Times New Roman" w:hAnsi="Times New Roman" w:eastAsia="黑体" w:cs="Times New Roman"/>
        </w:rPr>
        <w:t xml:space="preserve">  </w:t>
      </w:r>
      <w:r>
        <w:rPr>
          <w:rFonts w:ascii="Times New Roman" w:hAnsi="Times New Roman" w:cs="Times New Roman"/>
        </w:rPr>
        <w:t>租赁费预算应按具体租赁方式及量价编制，需说明与项目的相关性及费用的合理性。</w:t>
      </w:r>
    </w:p>
    <w:p>
      <w:pPr>
        <w:pStyle w:val="229"/>
        <w:spacing w:before="120" w:beforeLines="50" w:after="120" w:afterLines="50"/>
        <w:outlineLvl w:val="3"/>
      </w:pPr>
      <w:r>
        <w:rPr>
          <w:rFonts w:hint="eastAsia"/>
        </w:rPr>
        <w:t>9.5.10  会议费预算明细表（预工附</w:t>
      </w:r>
      <w:r>
        <w:t>-</w:t>
      </w:r>
      <w:r>
        <w:rPr>
          <w:rFonts w:hint="eastAsia"/>
        </w:rPr>
        <w:t>10）</w:t>
      </w:r>
    </w:p>
    <w:p>
      <w:pPr>
        <w:ind w:firstLine="0"/>
        <w:rPr>
          <w:rFonts w:ascii="Times New Roman" w:hAnsi="Times New Roman" w:cs="Times New Roman"/>
        </w:rPr>
      </w:pPr>
      <w:r>
        <w:rPr>
          <w:rFonts w:hint="eastAsia" w:ascii="黑体" w:eastAsia="黑体" w:cs="Times New Roman"/>
        </w:rPr>
        <w:t>9.5.10.1</w:t>
      </w:r>
      <w:r>
        <w:rPr>
          <w:rFonts w:ascii="Times New Roman" w:hAnsi="Times New Roman" w:eastAsia="黑体" w:cs="Times New Roman"/>
        </w:rPr>
        <w:t xml:space="preserve">  </w:t>
      </w:r>
      <w:r>
        <w:rPr>
          <w:rFonts w:ascii="Times New Roman" w:hAnsi="Times New Roman" w:cs="Times New Roman"/>
        </w:rPr>
        <w:t>会议费是指项目实施过程中开展与项目相关的专题研究、学术研讨、设计审查、成果验收等活动所发生的会议费支出。会议费开支范围包含住宿费、伙食费、会议场地租金、交通费、文件印刷费、医药费等。</w:t>
      </w:r>
    </w:p>
    <w:p>
      <w:pPr>
        <w:ind w:firstLine="0"/>
        <w:rPr>
          <w:rFonts w:ascii="Times New Roman" w:hAnsi="Times New Roman" w:cs="Times New Roman"/>
        </w:rPr>
      </w:pPr>
      <w:r>
        <w:rPr>
          <w:rFonts w:hint="eastAsia" w:ascii="黑体" w:eastAsia="黑体" w:cs="Times New Roman"/>
        </w:rPr>
        <w:t>9.5.10.2</w:t>
      </w:r>
      <w:r>
        <w:rPr>
          <w:rFonts w:ascii="Times New Roman" w:hAnsi="Times New Roman" w:eastAsia="黑体" w:cs="Times New Roman"/>
        </w:rPr>
        <w:t xml:space="preserve">  </w:t>
      </w:r>
      <w:r>
        <w:rPr>
          <w:rFonts w:ascii="Times New Roman" w:hAnsi="Times New Roman" w:cs="Times New Roman"/>
        </w:rPr>
        <w:t>会议费的编制，严禁超人数、超时间、超标准、在不符合规定的地点安排与项目无关的会议。项目中不得编列国际会议费预算。</w:t>
      </w:r>
    </w:p>
    <w:p>
      <w:pPr>
        <w:ind w:firstLine="0"/>
        <w:rPr>
          <w:rFonts w:ascii="Times New Roman" w:hAnsi="Times New Roman" w:cs="Times New Roman"/>
        </w:rPr>
      </w:pPr>
      <w:r>
        <w:rPr>
          <w:rFonts w:hint="eastAsia" w:ascii="黑体" w:eastAsia="黑体" w:cs="Times New Roman"/>
        </w:rPr>
        <w:t>9.5.10.3</w:t>
      </w:r>
      <w:r>
        <w:rPr>
          <w:rFonts w:ascii="Times New Roman" w:hAnsi="Times New Roman" w:eastAsia="黑体" w:cs="Times New Roman"/>
        </w:rPr>
        <w:t xml:space="preserve">  </w:t>
      </w:r>
      <w:r>
        <w:rPr>
          <w:rFonts w:ascii="Times New Roman" w:hAnsi="Times New Roman" w:cs="Times New Roman"/>
        </w:rPr>
        <w:t>会议尽量使用单位内部的宾馆、招待所、会议室和车辆。内部的宾馆、招待所、会议室不具备承接条件的，应到定点饭店召开并可按定点饭店的收费标准执行。不得租用高级宾馆、饭店召开会议，也不得到党中央、国务院严禁召开会议的风景名胜区等地方召开会议。</w:t>
      </w:r>
    </w:p>
    <w:p>
      <w:pPr>
        <w:ind w:firstLine="0"/>
        <w:rPr>
          <w:rFonts w:ascii="Times New Roman" w:hAnsi="Times New Roman" w:cs="Times New Roman"/>
        </w:rPr>
      </w:pPr>
      <w:r>
        <w:rPr>
          <w:rFonts w:hint="eastAsia" w:ascii="黑体" w:eastAsia="黑体" w:cs="Times New Roman"/>
        </w:rPr>
        <w:t xml:space="preserve">9.5.10.4 </w:t>
      </w:r>
      <w:r>
        <w:rPr>
          <w:rFonts w:ascii="Times New Roman" w:hAnsi="Times New Roman" w:eastAsia="黑体" w:cs="Times New Roman"/>
        </w:rPr>
        <w:t xml:space="preserve"> </w:t>
      </w:r>
      <w:r>
        <w:rPr>
          <w:rFonts w:ascii="Times New Roman" w:hAnsi="Times New Roman" w:cs="Times New Roman"/>
        </w:rPr>
        <w:t>严格控制会议次数和规模，压缩会议支出。除论证评估和成果验收外，会议安排一般不得超过3次。重大综合性研究项目等特殊情况，会议次数和经费额度超出规定的，应在技术方案中说明原因。</w:t>
      </w:r>
    </w:p>
    <w:p>
      <w:pPr>
        <w:ind w:firstLine="0"/>
        <w:rPr>
          <w:rFonts w:ascii="Times New Roman" w:hAnsi="Times New Roman" w:cs="Times New Roman"/>
        </w:rPr>
      </w:pPr>
      <w:r>
        <w:rPr>
          <w:rFonts w:hint="eastAsia" w:ascii="黑体" w:eastAsia="黑体" w:cs="Times New Roman"/>
        </w:rPr>
        <w:t>9.5.10.5</w:t>
      </w:r>
      <w:r>
        <w:rPr>
          <w:rFonts w:ascii="Times New Roman" w:hAnsi="Times New Roman" w:eastAsia="黑体" w:cs="Times New Roman"/>
        </w:rPr>
        <w:t xml:space="preserve">  </w:t>
      </w:r>
      <w:r>
        <w:rPr>
          <w:rFonts w:ascii="Times New Roman" w:hAnsi="Times New Roman" w:cs="Times New Roman"/>
        </w:rPr>
        <w:t>会议费预算根据湖北省财政厅《关于印发〈湖北省省级党政机关会议费管理办法〉的通知》（鄂财行发〔201</w:t>
      </w:r>
      <w:r>
        <w:rPr>
          <w:rFonts w:hint="eastAsia" w:ascii="Times New Roman" w:hAnsi="Times New Roman" w:cs="Times New Roman"/>
        </w:rPr>
        <w:t>8</w:t>
      </w:r>
      <w:r>
        <w:rPr>
          <w:rFonts w:ascii="Times New Roman" w:hAnsi="Times New Roman" w:cs="Times New Roman"/>
        </w:rPr>
        <w:t>〕14号）的相关规定，住宿费每人每天300元，伙食费每人每天110元，其他费用每人每天40元，合计会议费每人每天450元。该标准是会议费标准的上限值。</w:t>
      </w:r>
    </w:p>
    <w:p>
      <w:pPr>
        <w:ind w:firstLine="0"/>
        <w:rPr>
          <w:rFonts w:ascii="Times New Roman" w:hAnsi="Times New Roman" w:cs="Times New Roman"/>
        </w:rPr>
      </w:pPr>
      <w:r>
        <w:rPr>
          <w:rFonts w:hint="eastAsia" w:ascii="黑体" w:eastAsia="黑体" w:cs="Times New Roman"/>
        </w:rPr>
        <w:t>9.5.10.6</w:t>
      </w:r>
      <w:r>
        <w:rPr>
          <w:rFonts w:ascii="Times New Roman" w:hAnsi="Times New Roman" w:eastAsia="黑体" w:cs="Times New Roman"/>
        </w:rPr>
        <w:t xml:space="preserve">  </w:t>
      </w:r>
      <w:r>
        <w:rPr>
          <w:rFonts w:ascii="Times New Roman" w:hAnsi="Times New Roman" w:cs="Times New Roman"/>
        </w:rPr>
        <w:t>会议期间发生的劳务费支出，在</w:t>
      </w:r>
      <w:r>
        <w:rPr>
          <w:rFonts w:hint="eastAsia" w:ascii="宋体" w:cs="Times New Roman"/>
        </w:rPr>
        <w:t>“劳务费预算明细表”</w:t>
      </w:r>
      <w:r>
        <w:rPr>
          <w:rFonts w:ascii="Times New Roman" w:hAnsi="Times New Roman" w:cs="Times New Roman"/>
        </w:rPr>
        <w:t>中编列预算。</w:t>
      </w:r>
    </w:p>
    <w:p>
      <w:pPr>
        <w:pStyle w:val="229"/>
        <w:spacing w:before="120" w:beforeLines="50" w:after="120" w:afterLines="50"/>
        <w:outlineLvl w:val="3"/>
      </w:pPr>
      <w:r>
        <w:rPr>
          <w:rFonts w:hint="eastAsia"/>
        </w:rPr>
        <w:t>9.5.11  培训费预算明细表（预工附-11）</w:t>
      </w:r>
    </w:p>
    <w:p>
      <w:pPr>
        <w:ind w:firstLine="0"/>
        <w:rPr>
          <w:rFonts w:ascii="Times New Roman" w:hAnsi="Times New Roman" w:cs="Times New Roman"/>
        </w:rPr>
      </w:pPr>
      <w:r>
        <w:rPr>
          <w:rFonts w:hint="eastAsia" w:ascii="黑体" w:eastAsia="黑体" w:cs="Times New Roman"/>
        </w:rPr>
        <w:t>9.5.11.1</w:t>
      </w:r>
      <w:r>
        <w:rPr>
          <w:rFonts w:ascii="Times New Roman" w:hAnsi="Times New Roman" w:eastAsia="黑体" w:cs="Times New Roman"/>
        </w:rPr>
        <w:t xml:space="preserve">  </w:t>
      </w:r>
      <w:r>
        <w:rPr>
          <w:rFonts w:ascii="Times New Roman" w:hAnsi="Times New Roman" w:cs="Times New Roman"/>
        </w:rPr>
        <w:t>培训费指项目培训期间发生的师资费、住宿费、伙食费、培训场地费、培训资料费、交通费等各类培训费用。</w:t>
      </w:r>
    </w:p>
    <w:p>
      <w:pPr>
        <w:ind w:firstLine="0"/>
        <w:rPr>
          <w:rFonts w:ascii="Times New Roman" w:hAnsi="Times New Roman" w:cs="Times New Roman"/>
        </w:rPr>
      </w:pPr>
      <w:r>
        <w:rPr>
          <w:rFonts w:hint="eastAsia" w:ascii="黑体" w:eastAsia="黑体" w:cs="Times New Roman"/>
        </w:rPr>
        <w:t>9.5.11.2</w:t>
      </w:r>
      <w:r>
        <w:rPr>
          <w:rFonts w:ascii="Times New Roman" w:hAnsi="Times New Roman" w:eastAsia="黑体" w:cs="Times New Roman"/>
        </w:rPr>
        <w:t xml:space="preserve">  </w:t>
      </w:r>
      <w:r>
        <w:rPr>
          <w:rFonts w:ascii="Times New Roman" w:hAnsi="Times New Roman" w:cs="Times New Roman"/>
        </w:rPr>
        <w:t>根据湖北省财政厅、中共湖北省委组织部、湖北省公务员局《关于印发〈湖北省省级党政机关培训费管理办法〉的通知》（鄂财行发〔201</w:t>
      </w:r>
      <w:r>
        <w:rPr>
          <w:rFonts w:hint="eastAsia" w:ascii="Times New Roman" w:hAnsi="Times New Roman" w:cs="Times New Roman"/>
        </w:rPr>
        <w:t>7</w:t>
      </w:r>
      <w:r>
        <w:rPr>
          <w:rFonts w:ascii="Times New Roman" w:hAnsi="Times New Roman" w:cs="Times New Roman"/>
        </w:rPr>
        <w:t>〕20号）的相关规定，住宿费每人每天260元，伙食费每人每天110元，场地、资料和交通费每人每天50元，其他费用30元，合计每人每天450元。该标准是培训费预算的上限，标准内各项费用之间可以调剂使用，培训时间不宜超过30天。</w:t>
      </w:r>
    </w:p>
    <w:p>
      <w:pPr>
        <w:ind w:firstLine="0"/>
        <w:rPr>
          <w:rFonts w:ascii="Times New Roman" w:hAnsi="Times New Roman" w:cs="Times New Roman"/>
          <w:b/>
        </w:rPr>
      </w:pPr>
      <w:r>
        <w:rPr>
          <w:rFonts w:hint="eastAsia" w:ascii="黑体" w:eastAsia="黑体" w:cs="Times New Roman"/>
        </w:rPr>
        <w:t xml:space="preserve">9.5.11.3 </w:t>
      </w:r>
      <w:r>
        <w:rPr>
          <w:rFonts w:ascii="Times New Roman" w:hAnsi="Times New Roman" w:eastAsia="黑体" w:cs="Times New Roman"/>
        </w:rPr>
        <w:t xml:space="preserve"> </w:t>
      </w:r>
      <w:r>
        <w:rPr>
          <w:rFonts w:ascii="Times New Roman" w:hAnsi="Times New Roman" w:cs="Times New Roman"/>
        </w:rPr>
        <w:t>根据湖北省财政厅、中共湖北省委组织部、湖北省公务员局《关于印发〈湖北省省级党政机关培训费管理办法〉的通知》（鄂财行发〔201</w:t>
      </w:r>
      <w:r>
        <w:rPr>
          <w:rFonts w:hint="eastAsia" w:ascii="Times New Roman" w:hAnsi="Times New Roman" w:cs="Times New Roman"/>
        </w:rPr>
        <w:t>7</w:t>
      </w:r>
      <w:r>
        <w:rPr>
          <w:rFonts w:ascii="Times New Roman" w:hAnsi="Times New Roman" w:cs="Times New Roman"/>
        </w:rPr>
        <w:t>〕20号）的规定，师资费（税后）副高级技术职称专业人员每学时最高不超过500元，正高级技术职称专业人员每学时最高不超过1</w:t>
      </w:r>
      <w:r>
        <w:rPr>
          <w:rFonts w:hint="eastAsia" w:ascii="Times New Roman" w:hAnsi="Times New Roman" w:cs="Times New Roman"/>
        </w:rPr>
        <w:t xml:space="preserve"> </w:t>
      </w:r>
      <w:r>
        <w:rPr>
          <w:rFonts w:ascii="Times New Roman" w:hAnsi="Times New Roman" w:cs="Times New Roman"/>
        </w:rPr>
        <w:t>000元，院士、全国知名专家每学时不超过1</w:t>
      </w:r>
      <w:r>
        <w:rPr>
          <w:rFonts w:hint="eastAsia" w:ascii="Times New Roman" w:hAnsi="Times New Roman" w:cs="Times New Roman"/>
        </w:rPr>
        <w:t xml:space="preserve"> </w:t>
      </w:r>
      <w:r>
        <w:rPr>
          <w:rFonts w:ascii="Times New Roman" w:hAnsi="Times New Roman" w:cs="Times New Roman"/>
        </w:rPr>
        <w:t>500元。师资费按设计学时计算，每半天最多按4小时计算，同时为多班次一并授课的，不重复计算。</w:t>
      </w:r>
    </w:p>
    <w:p>
      <w:pPr>
        <w:pStyle w:val="229"/>
        <w:spacing w:before="120" w:beforeLines="50" w:after="120" w:afterLines="50"/>
        <w:outlineLvl w:val="3"/>
      </w:pPr>
      <w:r>
        <w:rPr>
          <w:rFonts w:hint="eastAsia"/>
        </w:rPr>
        <w:t>9.5.12  专用材料费预算明细表（预工附-12）</w:t>
      </w:r>
    </w:p>
    <w:p>
      <w:pPr>
        <w:ind w:firstLine="0"/>
        <w:rPr>
          <w:rFonts w:ascii="Times New Roman" w:hAnsi="Times New Roman" w:cs="Times New Roman"/>
        </w:rPr>
      </w:pPr>
      <w:r>
        <w:rPr>
          <w:rFonts w:hint="eastAsia" w:ascii="黑体" w:eastAsia="黑体" w:cs="Times New Roman"/>
        </w:rPr>
        <w:t>9.5.12.1</w:t>
      </w:r>
      <w:r>
        <w:rPr>
          <w:rFonts w:ascii="Times New Roman" w:hAnsi="Times New Roman" w:eastAsia="黑体" w:cs="Times New Roman"/>
        </w:rPr>
        <w:t xml:space="preserve">  </w:t>
      </w:r>
      <w:r>
        <w:rPr>
          <w:rFonts w:ascii="Times New Roman" w:hAnsi="Times New Roman" w:cs="Times New Roman"/>
        </w:rPr>
        <w:t>专用材料费是指在项目实施过程中购买的日常专用材料费。具体包括项目耗用的原材料，专用管材，消耗性用品，技术资料，药品及医疗耗材，农用材料，实验室用品，专用服装，专用工具和仪器等。</w:t>
      </w:r>
    </w:p>
    <w:p>
      <w:pPr>
        <w:ind w:firstLine="0"/>
        <w:rPr>
          <w:rFonts w:ascii="Times New Roman" w:hAnsi="Times New Roman" w:cs="Times New Roman"/>
        </w:rPr>
      </w:pPr>
      <w:r>
        <w:rPr>
          <w:rFonts w:hint="eastAsia" w:ascii="黑体" w:eastAsia="黑体" w:cs="Times New Roman"/>
        </w:rPr>
        <w:t xml:space="preserve">9.5.12.2 </w:t>
      </w:r>
      <w:r>
        <w:rPr>
          <w:rFonts w:ascii="Times New Roman" w:hAnsi="Times New Roman" w:eastAsia="黑体" w:cs="Times New Roman"/>
        </w:rPr>
        <w:t xml:space="preserve"> </w:t>
      </w:r>
      <w:r>
        <w:rPr>
          <w:rFonts w:ascii="Times New Roman" w:hAnsi="Times New Roman" w:cs="Times New Roman"/>
        </w:rPr>
        <w:t>项目实施过程中消耗的专用材料费，按市场报（询）价以及完成项目所需的合理数量编制预算。</w:t>
      </w:r>
      <w:r>
        <w:rPr>
          <w:rFonts w:ascii="宋体" w:cs="Times New Roman"/>
        </w:rPr>
        <w:t>“野外应急药品及简单医疗器具”应在</w:t>
      </w:r>
      <w:r>
        <w:rPr>
          <w:rFonts w:ascii="Times New Roman" w:hAnsi="Times New Roman" w:cs="Times New Roman"/>
        </w:rPr>
        <w:t>此项下预算。</w:t>
      </w:r>
    </w:p>
    <w:p>
      <w:pPr>
        <w:ind w:firstLine="0"/>
        <w:rPr>
          <w:rFonts w:ascii="Times New Roman" w:hAnsi="Times New Roman" w:cs="Times New Roman"/>
        </w:rPr>
      </w:pPr>
      <w:r>
        <w:rPr>
          <w:rFonts w:hint="eastAsia" w:ascii="黑体" w:eastAsia="黑体" w:cs="Times New Roman"/>
        </w:rPr>
        <w:t>9.5.12.3</w:t>
      </w:r>
      <w:r>
        <w:rPr>
          <w:rFonts w:ascii="Times New Roman" w:hAnsi="Times New Roman" w:eastAsia="黑体" w:cs="Times New Roman"/>
        </w:rPr>
        <w:t xml:space="preserve">  </w:t>
      </w:r>
      <w:r>
        <w:rPr>
          <w:rFonts w:ascii="Times New Roman" w:hAnsi="Times New Roman" w:cs="Times New Roman"/>
        </w:rPr>
        <w:t>应说明专用材料费与项目的相关性，其数量、单价的合理性。</w:t>
      </w:r>
    </w:p>
    <w:p>
      <w:pPr>
        <w:pStyle w:val="229"/>
        <w:spacing w:before="120" w:beforeLines="50" w:after="120" w:afterLines="50"/>
        <w:outlineLvl w:val="3"/>
      </w:pPr>
      <w:r>
        <w:rPr>
          <w:rFonts w:hint="eastAsia"/>
        </w:rPr>
        <w:t>9.5.13  专用燃料费预算明细表（预工附-13）</w:t>
      </w:r>
    </w:p>
    <w:p>
      <w:pPr>
        <w:ind w:firstLine="0"/>
        <w:rPr>
          <w:rFonts w:ascii="Times New Roman" w:hAnsi="Times New Roman" w:cs="Times New Roman"/>
        </w:rPr>
      </w:pPr>
      <w:r>
        <w:rPr>
          <w:rFonts w:hint="eastAsia" w:ascii="黑体" w:eastAsia="黑体" w:cs="Times New Roman"/>
        </w:rPr>
        <w:t xml:space="preserve">9.5.13.1 </w:t>
      </w:r>
      <w:r>
        <w:rPr>
          <w:rFonts w:ascii="Times New Roman" w:hAnsi="Times New Roman" w:eastAsia="黑体" w:cs="Times New Roman"/>
        </w:rPr>
        <w:t xml:space="preserve"> </w:t>
      </w:r>
      <w:r>
        <w:rPr>
          <w:rFonts w:ascii="Times New Roman" w:hAnsi="Times New Roman" w:cs="Times New Roman"/>
        </w:rPr>
        <w:t>专用燃料费指用于项目工作的设备、车（不含公务用车）、船等设施的油料费用。</w:t>
      </w:r>
    </w:p>
    <w:p>
      <w:pPr>
        <w:ind w:firstLine="0"/>
        <w:rPr>
          <w:rFonts w:ascii="Times New Roman" w:hAnsi="Times New Roman" w:cs="Times New Roman"/>
        </w:rPr>
      </w:pPr>
      <w:r>
        <w:rPr>
          <w:rFonts w:hint="eastAsia" w:ascii="黑体" w:eastAsia="黑体" w:cs="Times New Roman"/>
        </w:rPr>
        <w:t>9.5.13.2</w:t>
      </w:r>
      <w:r>
        <w:rPr>
          <w:rFonts w:ascii="Times New Roman" w:hAnsi="Times New Roman" w:eastAsia="黑体" w:cs="Times New Roman"/>
        </w:rPr>
        <w:t xml:space="preserve">  </w:t>
      </w:r>
      <w:r>
        <w:rPr>
          <w:rFonts w:ascii="Times New Roman" w:hAnsi="Times New Roman" w:cs="Times New Roman"/>
        </w:rPr>
        <w:t>应说明专用燃料费与项目的相关性，其数量、单价的合理性。</w:t>
      </w:r>
    </w:p>
    <w:p>
      <w:pPr>
        <w:pStyle w:val="229"/>
        <w:spacing w:before="120" w:beforeLines="50" w:after="120" w:afterLines="50"/>
        <w:outlineLvl w:val="3"/>
      </w:pPr>
      <w:r>
        <w:rPr>
          <w:rFonts w:hint="eastAsia"/>
        </w:rPr>
        <w:t>9.5.14  劳务费预算明细表（预工附-14）</w:t>
      </w:r>
    </w:p>
    <w:p>
      <w:pPr>
        <w:spacing w:before="120" w:beforeLines="50" w:after="120" w:afterLines="50" w:line="240" w:lineRule="auto"/>
        <w:ind w:firstLine="0"/>
        <w:rPr>
          <w:rFonts w:ascii="黑体" w:eastAsia="黑体" w:cs="Times New Roman"/>
        </w:rPr>
      </w:pPr>
      <w:r>
        <w:rPr>
          <w:rFonts w:hint="eastAsia" w:ascii="黑体" w:eastAsia="黑体" w:cs="Times New Roman"/>
        </w:rPr>
        <w:t>9.5.14.1  劳务费</w:t>
      </w:r>
    </w:p>
    <w:p>
      <w:pPr>
        <w:ind w:firstLine="420"/>
        <w:rPr>
          <w:rFonts w:ascii="Times New Roman" w:hAnsi="Times New Roman" w:cs="Times New Roman"/>
        </w:rPr>
      </w:pPr>
      <w:r>
        <w:rPr>
          <w:rFonts w:ascii="Times New Roman" w:hAnsi="Times New Roman" w:cs="Times New Roman"/>
        </w:rPr>
        <w:t>指项目支付给单位和个人的劳务费用，如评审费、临时聘用人员和野外雇工费、钟点工工资、稿费、翻译费、租车费等。</w:t>
      </w:r>
    </w:p>
    <w:p>
      <w:pPr>
        <w:spacing w:before="120" w:beforeLines="50" w:after="120" w:afterLines="50" w:line="240" w:lineRule="auto"/>
        <w:ind w:firstLine="0"/>
        <w:rPr>
          <w:rFonts w:ascii="黑体" w:eastAsia="黑体" w:cs="Times New Roman"/>
        </w:rPr>
      </w:pPr>
      <w:r>
        <w:rPr>
          <w:rFonts w:hint="eastAsia" w:ascii="黑体" w:eastAsia="黑体" w:cs="Times New Roman"/>
        </w:rPr>
        <w:t>9.5.14.2  专家咨询费、评审费</w:t>
      </w:r>
    </w:p>
    <w:p>
      <w:pPr>
        <w:ind w:firstLine="420" w:firstLineChars="200"/>
        <w:rPr>
          <w:rFonts w:ascii="Times New Roman" w:hAnsi="Times New Roman" w:cs="Times New Roman"/>
        </w:rPr>
      </w:pPr>
      <w:r>
        <w:rPr>
          <w:rFonts w:ascii="Times New Roman" w:hAnsi="Times New Roman" w:cs="Times New Roman"/>
        </w:rPr>
        <w:t>专家咨询、评审，应列明人数，预算依据湖北省财政厅《湖北省省级党政机关评审费管理暂行办法》（鄂财行发〔2018〕31号），其标准如下：</w:t>
      </w:r>
    </w:p>
    <w:p>
      <w:pPr>
        <w:ind w:left="840" w:leftChars="200" w:hanging="420"/>
        <w:jc w:val="both"/>
        <w:rPr>
          <w:rFonts w:ascii="Times New Roman" w:hAnsi="Times New Roman" w:cs="Times New Roman"/>
        </w:rPr>
      </w:pPr>
      <w:r>
        <w:rPr>
          <w:rFonts w:ascii="Times New Roman" w:hAnsi="Times New Roman" w:cs="Times New Roman"/>
        </w:rPr>
        <w:t>a)  评委劳务费（税后）标准：院士、中国社会科学院学部委员、入选国家人才计划专家、省部级干部每半天（不得少于三小时，下同）不超过2</w:t>
      </w:r>
      <w:r>
        <w:rPr>
          <w:rFonts w:hint="eastAsia" w:ascii="Times New Roman" w:hAnsi="Times New Roman" w:cs="Times New Roman"/>
        </w:rPr>
        <w:t xml:space="preserve"> </w:t>
      </w:r>
      <w:r>
        <w:rPr>
          <w:rFonts w:ascii="Times New Roman" w:hAnsi="Times New Roman" w:cs="Times New Roman"/>
        </w:rPr>
        <w:t>000元；正高级技术职称专家、厅局级干部每半天不超过1</w:t>
      </w:r>
      <w:r>
        <w:rPr>
          <w:rFonts w:hint="eastAsia" w:ascii="Times New Roman" w:hAnsi="Times New Roman" w:cs="Times New Roman"/>
        </w:rPr>
        <w:t xml:space="preserve"> </w:t>
      </w:r>
      <w:r>
        <w:rPr>
          <w:rFonts w:ascii="Times New Roman" w:hAnsi="Times New Roman" w:cs="Times New Roman"/>
        </w:rPr>
        <w:t>500元；副高级技术职称专家、县处级干部每半天不超过1</w:t>
      </w:r>
      <w:r>
        <w:rPr>
          <w:rFonts w:hint="eastAsia" w:ascii="Times New Roman" w:hAnsi="Times New Roman" w:cs="Times New Roman"/>
        </w:rPr>
        <w:t xml:space="preserve"> </w:t>
      </w:r>
      <w:r>
        <w:rPr>
          <w:rFonts w:ascii="Times New Roman" w:hAnsi="Times New Roman" w:cs="Times New Roman"/>
        </w:rPr>
        <w:t>000元；其他人员每半天不超过500元。</w:t>
      </w:r>
    </w:p>
    <w:p>
      <w:pPr>
        <w:ind w:left="840" w:leftChars="200" w:hanging="420"/>
        <w:jc w:val="both"/>
        <w:rPr>
          <w:rFonts w:ascii="Times New Roman" w:hAnsi="Times New Roman" w:cs="Times New Roman"/>
        </w:rPr>
      </w:pPr>
      <w:r>
        <w:rPr>
          <w:rFonts w:ascii="Times New Roman" w:hAnsi="Times New Roman" w:cs="Times New Roman"/>
        </w:rPr>
        <w:t>b)  评审时间超过1天不超过3天的（含3天），评委劳务费按不超过上述标准的80%执行；评审时间超过3天不超过5天的（含5天），评委劳务费按不超过上述标准的60%执行；评审时间超过5天的，评委劳务费按不超过上述标准的50%执行。</w:t>
      </w:r>
    </w:p>
    <w:p>
      <w:pPr>
        <w:ind w:left="840" w:leftChars="200" w:hanging="420"/>
        <w:jc w:val="both"/>
        <w:rPr>
          <w:rFonts w:ascii="Times New Roman" w:hAnsi="Times New Roman" w:cs="Times New Roman"/>
        </w:rPr>
      </w:pPr>
      <w:r>
        <w:rPr>
          <w:rFonts w:ascii="Times New Roman" w:hAnsi="Times New Roman" w:cs="Times New Roman"/>
        </w:rPr>
        <w:t>c)  上述标准为评委劳务费标准上限，评审单位可根据实际情况酌情降低。</w:t>
      </w:r>
    </w:p>
    <w:p>
      <w:pPr>
        <w:spacing w:before="120" w:beforeLines="50" w:after="120" w:afterLines="50" w:line="240" w:lineRule="auto"/>
        <w:ind w:firstLine="0"/>
        <w:rPr>
          <w:rFonts w:ascii="黑体" w:eastAsia="黑体" w:cs="Times New Roman"/>
        </w:rPr>
      </w:pPr>
      <w:r>
        <w:rPr>
          <w:rFonts w:hint="eastAsia" w:ascii="黑体" w:eastAsia="黑体" w:cs="Times New Roman"/>
        </w:rPr>
        <w:t>9.5.14.3  租车费</w:t>
      </w:r>
    </w:p>
    <w:p>
      <w:pPr>
        <w:ind w:firstLine="420"/>
        <w:rPr>
          <w:rFonts w:ascii="Times New Roman" w:hAnsi="Times New Roman" w:cs="Times New Roman"/>
        </w:rPr>
      </w:pPr>
      <w:r>
        <w:rPr>
          <w:rFonts w:ascii="Times New Roman" w:hAnsi="Times New Roman" w:cs="Times New Roman"/>
        </w:rPr>
        <w:t>租用各类交通工具，采用包干方式签订租用合同的，在此项下列支预算费用。没有野外工作任务的项目，不得预算租车费。注意租车数量、时间与野外工作任务安排的相关性及合理性。</w:t>
      </w:r>
    </w:p>
    <w:p>
      <w:pPr>
        <w:pStyle w:val="229"/>
        <w:spacing w:before="120" w:beforeLines="50" w:after="120" w:afterLines="50"/>
        <w:outlineLvl w:val="3"/>
      </w:pPr>
      <w:r>
        <w:rPr>
          <w:rFonts w:hint="eastAsia"/>
        </w:rPr>
        <w:t>9.5.15  委托业务费预算明细表（预工附-15）</w:t>
      </w:r>
    </w:p>
    <w:p>
      <w:pPr>
        <w:ind w:firstLine="0"/>
        <w:rPr>
          <w:rFonts w:ascii="Times New Roman" w:hAnsi="Times New Roman" w:cs="Times New Roman"/>
        </w:rPr>
      </w:pPr>
      <w:r>
        <w:rPr>
          <w:rFonts w:hint="eastAsia" w:ascii="黑体" w:eastAsia="黑体" w:cs="Times New Roman"/>
        </w:rPr>
        <w:t>9.5.15.1</w:t>
      </w:r>
      <w:r>
        <w:rPr>
          <w:rFonts w:ascii="Times New Roman" w:hAnsi="Times New Roman" w:eastAsia="黑体" w:cs="Times New Roman"/>
        </w:rPr>
        <w:t xml:space="preserve">  </w:t>
      </w:r>
      <w:r>
        <w:rPr>
          <w:rFonts w:ascii="Times New Roman" w:hAnsi="Times New Roman" w:cs="Times New Roman"/>
        </w:rPr>
        <w:t>委托业务费是指项目承担单位在项目实施过程中，本单位没有能力实施的工程、技术、工艺、数据获取、分析测试及加工、软科学研究等全部或部分业务，确实需要委托外单位协助完成所发生的支出。</w:t>
      </w:r>
    </w:p>
    <w:p>
      <w:pPr>
        <w:ind w:firstLine="0"/>
        <w:rPr>
          <w:rFonts w:ascii="Times New Roman" w:hAnsi="Times New Roman" w:cs="Times New Roman"/>
        </w:rPr>
      </w:pPr>
      <w:r>
        <w:rPr>
          <w:rFonts w:hint="eastAsia" w:ascii="黑体" w:eastAsia="黑体" w:cs="Times New Roman"/>
        </w:rPr>
        <w:t>9.5.15.2</w:t>
      </w:r>
      <w:r>
        <w:rPr>
          <w:rFonts w:ascii="Times New Roman" w:hAnsi="Times New Roman" w:eastAsia="黑体" w:cs="Times New Roman"/>
        </w:rPr>
        <w:t xml:space="preserve">  </w:t>
      </w:r>
      <w:r>
        <w:rPr>
          <w:rFonts w:ascii="Times New Roman" w:hAnsi="Times New Roman" w:cs="Times New Roman"/>
        </w:rPr>
        <w:t>项目主体或核心任务、科技创新任务等不得委托，项目承担单位有相关技术和研究能力的不得委托。委托业务应在技术方案中以独立章节作出安排，明确设置的必要性、工作方案、经费测算、委托方式等。</w:t>
      </w:r>
    </w:p>
    <w:p>
      <w:pPr>
        <w:ind w:firstLine="0"/>
        <w:rPr>
          <w:rFonts w:ascii="Times New Roman" w:hAnsi="Times New Roman" w:cs="Times New Roman"/>
        </w:rPr>
      </w:pPr>
      <w:r>
        <w:rPr>
          <w:rFonts w:hint="eastAsia" w:ascii="黑体" w:eastAsia="黑体" w:cs="Times New Roman"/>
        </w:rPr>
        <w:t>9.5.15.3</w:t>
      </w:r>
      <w:r>
        <w:rPr>
          <w:rFonts w:ascii="Times New Roman" w:hAnsi="Times New Roman" w:eastAsia="黑体" w:cs="Times New Roman"/>
        </w:rPr>
        <w:t xml:space="preserve">  </w:t>
      </w:r>
      <w:r>
        <w:rPr>
          <w:rFonts w:ascii="Times New Roman" w:hAnsi="Times New Roman" w:cs="Times New Roman"/>
        </w:rPr>
        <w:t>委托业务费一般不得超过项目预算总额的30%。项目任务中辅助性的测试、加工、野外施工、软件研制等工作，经专家论证必须进行委托的，委托业务费可以超过30%，但应控制在50%之内。项目工程量需要委托给本单位下属独立法人企业的，不受委托业务费控制比例限制，相关情况应在预算编制说明中予以说明。</w:t>
      </w:r>
    </w:p>
    <w:p>
      <w:pPr>
        <w:ind w:firstLine="0"/>
        <w:rPr>
          <w:rFonts w:ascii="Times New Roman" w:hAnsi="Times New Roman" w:cs="Times New Roman"/>
        </w:rPr>
      </w:pPr>
      <w:r>
        <w:rPr>
          <w:rFonts w:hint="eastAsia" w:ascii="黑体" w:eastAsia="黑体" w:cs="Times New Roman"/>
        </w:rPr>
        <w:t>9.5.15.4</w:t>
      </w:r>
      <w:r>
        <w:rPr>
          <w:rFonts w:ascii="Times New Roman" w:hAnsi="Times New Roman" w:eastAsia="黑体" w:cs="Times New Roman"/>
        </w:rPr>
        <w:t xml:space="preserve">  </w:t>
      </w:r>
      <w:r>
        <w:rPr>
          <w:rFonts w:ascii="Times New Roman" w:hAnsi="Times New Roman" w:cs="Times New Roman"/>
        </w:rPr>
        <w:t>委托业务中不得编制设备购置费。</w:t>
      </w:r>
    </w:p>
    <w:p>
      <w:pPr>
        <w:ind w:firstLine="0"/>
        <w:rPr>
          <w:rFonts w:ascii="Times New Roman" w:hAnsi="Times New Roman" w:cs="Times New Roman"/>
        </w:rPr>
      </w:pPr>
      <w:r>
        <w:rPr>
          <w:rFonts w:hint="eastAsia" w:ascii="黑体" w:eastAsia="黑体" w:cs="Times New Roman"/>
        </w:rPr>
        <w:t>9.5.15.5</w:t>
      </w:r>
      <w:r>
        <w:rPr>
          <w:rFonts w:ascii="Times New Roman" w:hAnsi="Times New Roman" w:eastAsia="黑体" w:cs="Times New Roman"/>
        </w:rPr>
        <w:t xml:space="preserve">  </w:t>
      </w:r>
      <w:r>
        <w:rPr>
          <w:rFonts w:ascii="Times New Roman" w:hAnsi="Times New Roman" w:cs="Times New Roman"/>
        </w:rPr>
        <w:t>每次不超过2</w:t>
      </w:r>
      <w:r>
        <w:rPr>
          <w:rFonts w:hint="eastAsia" w:ascii="Times New Roman" w:hAnsi="Times New Roman" w:cs="Times New Roman"/>
        </w:rPr>
        <w:t xml:space="preserve"> 000</w:t>
      </w:r>
      <w:r>
        <w:rPr>
          <w:rFonts w:ascii="Times New Roman" w:hAnsi="Times New Roman" w:cs="Times New Roman"/>
        </w:rPr>
        <w:t>元且总额不超过项目总预算2‰的零星支付给其他单位、不需要签订合同或协议的支出，不作为委托业务费，直接在相关支出经济科目中列支。</w:t>
      </w:r>
    </w:p>
    <w:p>
      <w:pPr>
        <w:pStyle w:val="229"/>
        <w:spacing w:before="120" w:beforeLines="50" w:after="120" w:afterLines="50"/>
        <w:outlineLvl w:val="3"/>
      </w:pPr>
      <w:r>
        <w:rPr>
          <w:rFonts w:hint="eastAsia"/>
        </w:rPr>
        <w:t>9.5.16  设备购置费预算明细表（预工附-16）</w:t>
      </w:r>
    </w:p>
    <w:p>
      <w:pPr>
        <w:ind w:firstLine="0"/>
        <w:rPr>
          <w:rFonts w:ascii="Times New Roman" w:hAnsi="Times New Roman" w:cs="Times New Roman"/>
        </w:rPr>
      </w:pPr>
      <w:r>
        <w:rPr>
          <w:rFonts w:hint="eastAsia" w:ascii="黑体" w:eastAsia="黑体" w:cs="Times New Roman"/>
        </w:rPr>
        <w:t xml:space="preserve">9.5.16.1 </w:t>
      </w:r>
      <w:r>
        <w:rPr>
          <w:rFonts w:ascii="Times New Roman" w:hAnsi="Times New Roman" w:eastAsia="黑体" w:cs="Times New Roman"/>
        </w:rPr>
        <w:t xml:space="preserve"> </w:t>
      </w:r>
      <w:r>
        <w:rPr>
          <w:rFonts w:ascii="Times New Roman" w:hAnsi="Times New Roman" w:cs="Times New Roman"/>
        </w:rPr>
        <w:t>设备购置费是指项目实施过程中，用于购置具有专门用途、并按财务会计制度规定纳入固定资产核算范围的各类专用设备发生的支出。包括：专用仪器设备购置费、专用软件购置费。</w:t>
      </w:r>
    </w:p>
    <w:p>
      <w:pPr>
        <w:ind w:firstLine="0"/>
        <w:rPr>
          <w:rFonts w:ascii="Times New Roman" w:hAnsi="Times New Roman" w:cs="Times New Roman"/>
        </w:rPr>
      </w:pPr>
      <w:r>
        <w:rPr>
          <w:rFonts w:hint="eastAsia" w:ascii="黑体" w:eastAsia="黑体" w:cs="Times New Roman"/>
        </w:rPr>
        <w:t xml:space="preserve">9.5.16.2 </w:t>
      </w:r>
      <w:r>
        <w:rPr>
          <w:rFonts w:ascii="Times New Roman" w:hAnsi="Times New Roman" w:eastAsia="黑体" w:cs="Times New Roman"/>
        </w:rPr>
        <w:t xml:space="preserve"> </w:t>
      </w:r>
      <w:r>
        <w:rPr>
          <w:rFonts w:ascii="Times New Roman" w:hAnsi="Times New Roman" w:cs="Times New Roman"/>
        </w:rPr>
        <w:t>设备购置是为完成项目任务、而本单位又不具备设备条件的一种补充。已由其他资金安排购置或现有设备能够满足项目工作需要的，不得在项目中重复列支。</w:t>
      </w:r>
    </w:p>
    <w:p>
      <w:pPr>
        <w:ind w:firstLine="0"/>
        <w:rPr>
          <w:rFonts w:ascii="Times New Roman" w:hAnsi="Times New Roman" w:cs="Times New Roman"/>
        </w:rPr>
      </w:pPr>
      <w:r>
        <w:rPr>
          <w:rFonts w:hint="eastAsia" w:ascii="黑体" w:eastAsia="黑体" w:cs="Times New Roman"/>
        </w:rPr>
        <w:t>9.5.16.3</w:t>
      </w:r>
      <w:r>
        <w:rPr>
          <w:rFonts w:ascii="Times New Roman" w:hAnsi="Times New Roman" w:eastAsia="黑体" w:cs="Times New Roman"/>
        </w:rPr>
        <w:t xml:space="preserve">  </w:t>
      </w:r>
      <w:r>
        <w:rPr>
          <w:rFonts w:ascii="Times New Roman" w:hAnsi="Times New Roman" w:cs="Times New Roman"/>
        </w:rPr>
        <w:t>设备购置费应控制在扣除委托业务费后项目预算的10%之内。</w:t>
      </w:r>
    </w:p>
    <w:p>
      <w:pPr>
        <w:ind w:firstLine="0"/>
        <w:rPr>
          <w:rFonts w:ascii="Times New Roman" w:hAnsi="Times New Roman" w:cs="Times New Roman"/>
        </w:rPr>
      </w:pPr>
      <w:r>
        <w:rPr>
          <w:rFonts w:hint="eastAsia" w:ascii="黑体" w:eastAsia="黑体" w:cs="Times New Roman"/>
        </w:rPr>
        <w:t xml:space="preserve">9.5.16.4 </w:t>
      </w:r>
      <w:r>
        <w:rPr>
          <w:rFonts w:ascii="Times New Roman" w:hAnsi="Times New Roman" w:eastAsia="黑体" w:cs="Times New Roman"/>
        </w:rPr>
        <w:t xml:space="preserve"> </w:t>
      </w:r>
      <w:r>
        <w:rPr>
          <w:rFonts w:ascii="Times New Roman" w:hAnsi="Times New Roman" w:cs="Times New Roman"/>
        </w:rPr>
        <w:t>注意使用设备与项目的相关性，避免重复及超标准配置。对设备购置费的编制要充分论证其合理性和实用性，对设备市场价的确定要有相关的询价程序。</w:t>
      </w:r>
    </w:p>
    <w:p>
      <w:pPr>
        <w:pStyle w:val="229"/>
        <w:spacing w:before="120" w:beforeLines="50" w:after="120" w:afterLines="50"/>
        <w:outlineLvl w:val="3"/>
      </w:pPr>
      <w:r>
        <w:rPr>
          <w:rFonts w:hint="eastAsia"/>
        </w:rPr>
        <w:t>9.5.17  其他商品和服务支出预算明细表（预工附-17）</w:t>
      </w:r>
    </w:p>
    <w:p>
      <w:pPr>
        <w:ind w:firstLine="0"/>
        <w:rPr>
          <w:rFonts w:ascii="Times New Roman" w:hAnsi="Times New Roman" w:cs="Times New Roman"/>
        </w:rPr>
      </w:pPr>
      <w:r>
        <w:rPr>
          <w:rFonts w:hint="eastAsia" w:ascii="黑体" w:eastAsia="黑体" w:cs="Times New Roman"/>
        </w:rPr>
        <w:t xml:space="preserve">9.5.17.1 </w:t>
      </w:r>
      <w:r>
        <w:rPr>
          <w:rFonts w:ascii="Times New Roman" w:hAnsi="Times New Roman" w:eastAsia="黑体" w:cs="Times New Roman"/>
        </w:rPr>
        <w:t xml:space="preserve"> </w:t>
      </w:r>
      <w:r>
        <w:rPr>
          <w:rFonts w:ascii="Times New Roman" w:hAnsi="Times New Roman" w:cs="Times New Roman"/>
        </w:rPr>
        <w:t>其他商品和服务支出是指项目实施过程中发生的除上述费用之外的其他支出，包括土地及青苗补偿费、招待费、劳动保护费、保险等。其预算额度一般控制在项目扣除委托业务后预算总额的5%之内。</w:t>
      </w:r>
    </w:p>
    <w:p>
      <w:pPr>
        <w:ind w:firstLine="0"/>
        <w:rPr>
          <w:rFonts w:ascii="Times New Roman" w:hAnsi="Times New Roman" w:cs="Times New Roman"/>
        </w:rPr>
      </w:pPr>
      <w:r>
        <w:rPr>
          <w:rFonts w:hint="eastAsia" w:ascii="黑体" w:eastAsia="黑体" w:cs="Times New Roman"/>
        </w:rPr>
        <w:t xml:space="preserve">9.5.17.2 </w:t>
      </w:r>
      <w:r>
        <w:rPr>
          <w:rFonts w:ascii="Times New Roman" w:hAnsi="Times New Roman" w:eastAsia="黑体" w:cs="Times New Roman"/>
        </w:rPr>
        <w:t xml:space="preserve"> </w:t>
      </w:r>
      <w:r>
        <w:rPr>
          <w:rFonts w:ascii="Times New Roman" w:hAnsi="Times New Roman" w:cs="Times New Roman"/>
        </w:rPr>
        <w:t>土地及青苗补偿费：已出台相关政策的地区，应根据技术方案，按地方标准计算，同时附标准来源扫描件。无相关标准的地区，应根据以往经验计算，并进行必要说明。</w:t>
      </w:r>
    </w:p>
    <w:p>
      <w:pPr>
        <w:ind w:firstLine="0"/>
        <w:rPr>
          <w:rFonts w:ascii="宋体" w:cs="Times New Roman"/>
        </w:rPr>
      </w:pPr>
      <w:r>
        <w:rPr>
          <w:rFonts w:hint="eastAsia" w:ascii="黑体" w:eastAsia="黑体" w:cs="Times New Roman"/>
        </w:rPr>
        <w:t>9.5.17.3</w:t>
      </w:r>
      <w:r>
        <w:rPr>
          <w:rFonts w:ascii="Times New Roman" w:hAnsi="Times New Roman" w:eastAsia="黑体" w:cs="Times New Roman"/>
        </w:rPr>
        <w:t xml:space="preserve">  </w:t>
      </w:r>
      <w:r>
        <w:rPr>
          <w:rFonts w:hint="eastAsia" w:ascii="宋体" w:cs="Times New Roman"/>
        </w:rPr>
        <w:t>劳动保护费：分内业和外业分别预算。计量单位为“人</w:t>
      </w:r>
      <w:r>
        <w:rPr>
          <w:rFonts w:ascii="Times New Roman" w:hAnsi="Times New Roman" w:cs="Times New Roman"/>
        </w:rPr>
        <w:t>·</w:t>
      </w:r>
      <w:r>
        <w:rPr>
          <w:rFonts w:hint="eastAsia" w:ascii="宋体" w:cs="Times New Roman"/>
        </w:rPr>
        <w:t>年”，需将内、外业“人</w:t>
      </w:r>
      <w:r>
        <w:rPr>
          <w:rFonts w:ascii="Times New Roman" w:hAnsi="Times New Roman" w:cs="Times New Roman"/>
        </w:rPr>
        <w:t>·</w:t>
      </w:r>
      <w:r>
        <w:rPr>
          <w:rFonts w:hint="eastAsia" w:ascii="宋体" w:cs="Times New Roman"/>
        </w:rPr>
        <w:t>月”数分别统计后折算成人</w:t>
      </w:r>
      <w:r>
        <w:rPr>
          <w:rFonts w:ascii="Times New Roman" w:hAnsi="Times New Roman" w:cs="Times New Roman"/>
        </w:rPr>
        <w:t>·</w:t>
      </w:r>
      <w:r>
        <w:rPr>
          <w:rFonts w:hint="eastAsia" w:ascii="宋体" w:cs="Times New Roman"/>
        </w:rPr>
        <w:t>年数核定。</w:t>
      </w:r>
    </w:p>
    <w:p>
      <w:pPr>
        <w:ind w:firstLine="420"/>
        <w:rPr>
          <w:rFonts w:ascii="Times New Roman" w:hAnsi="Times New Roman" w:cs="Times New Roman"/>
        </w:rPr>
      </w:pPr>
      <w:r>
        <w:rPr>
          <w:rFonts w:ascii="Times New Roman" w:hAnsi="Times New Roman" w:cs="Times New Roman"/>
        </w:rPr>
        <w:t>外</w:t>
      </w:r>
      <w:r>
        <w:rPr>
          <w:rFonts w:ascii="宋体" w:cs="Times New Roman"/>
        </w:rPr>
        <w:t>业“人</w:t>
      </w:r>
      <w:r>
        <w:rPr>
          <w:rFonts w:ascii="Times New Roman" w:hAnsi="Times New Roman" w:cs="Times New Roman"/>
        </w:rPr>
        <w:t>·</w:t>
      </w:r>
      <w:r>
        <w:rPr>
          <w:rFonts w:ascii="宋体" w:cs="Times New Roman"/>
        </w:rPr>
        <w:t>年”数</w:t>
      </w:r>
      <w:r>
        <w:rPr>
          <w:rFonts w:ascii="Times New Roman" w:hAnsi="Times New Roman" w:cs="Times New Roman"/>
        </w:rPr>
        <w:t>=（∑出差人数×出差天数）÷365；</w:t>
      </w:r>
    </w:p>
    <w:p>
      <w:pPr>
        <w:ind w:firstLine="420"/>
        <w:rPr>
          <w:rFonts w:ascii="Times New Roman" w:hAnsi="Times New Roman" w:cs="Times New Roman"/>
        </w:rPr>
      </w:pPr>
      <w:r>
        <w:rPr>
          <w:rFonts w:ascii="宋体" w:cs="Times New Roman"/>
        </w:rPr>
        <w:t>内业“人</w:t>
      </w:r>
      <w:r>
        <w:rPr>
          <w:rFonts w:ascii="Times New Roman" w:hAnsi="Times New Roman" w:cs="Times New Roman"/>
        </w:rPr>
        <w:t>·</w:t>
      </w:r>
      <w:r>
        <w:rPr>
          <w:rFonts w:ascii="宋体" w:cs="Times New Roman"/>
        </w:rPr>
        <w:t>年”数</w:t>
      </w:r>
      <w:r>
        <w:rPr>
          <w:rFonts w:ascii="Times New Roman" w:hAnsi="Times New Roman" w:cs="Times New Roman"/>
        </w:rPr>
        <w:t>=预工附-1表的总</w:t>
      </w:r>
      <w:r>
        <w:rPr>
          <w:rFonts w:ascii="宋体" w:cs="Times New Roman"/>
        </w:rPr>
        <w:t>“人</w:t>
      </w:r>
      <w:r>
        <w:rPr>
          <w:rFonts w:hint="eastAsia" w:ascii="Times New Roman" w:hAnsi="Times New Roman" w:cs="Times New Roman"/>
        </w:rPr>
        <w:t>·</w:t>
      </w:r>
      <w:r>
        <w:rPr>
          <w:rFonts w:ascii="宋体" w:cs="Times New Roman"/>
        </w:rPr>
        <w:t>月”</w:t>
      </w:r>
      <w:r>
        <w:rPr>
          <w:rFonts w:ascii="Times New Roman" w:hAnsi="Times New Roman" w:cs="Times New Roman"/>
        </w:rPr>
        <w:t>数÷12－</w:t>
      </w:r>
      <w:r>
        <w:rPr>
          <w:rFonts w:ascii="宋体" w:cs="Times New Roman"/>
        </w:rPr>
        <w:t>外业“人</w:t>
      </w:r>
      <w:r>
        <w:rPr>
          <w:rFonts w:hint="eastAsia" w:ascii="Times New Roman" w:hAnsi="Times New Roman" w:cs="Times New Roman"/>
        </w:rPr>
        <w:t>·</w:t>
      </w:r>
      <w:r>
        <w:rPr>
          <w:rFonts w:ascii="宋体" w:cs="Times New Roman"/>
        </w:rPr>
        <w:t>年”数</w:t>
      </w:r>
      <w:r>
        <w:rPr>
          <w:rFonts w:ascii="Times New Roman" w:hAnsi="Times New Roman" w:cs="Times New Roman"/>
        </w:rPr>
        <w:t>。</w:t>
      </w:r>
    </w:p>
    <w:p>
      <w:pPr>
        <w:ind w:firstLine="420"/>
        <w:rPr>
          <w:rFonts w:ascii="Times New Roman" w:hAnsi="Times New Roman" w:cs="Times New Roman"/>
        </w:rPr>
      </w:pPr>
      <w:r>
        <w:rPr>
          <w:rFonts w:ascii="Times New Roman" w:hAnsi="Times New Roman" w:cs="Times New Roman"/>
        </w:rPr>
        <w:t>劳动保护费外业标准按照2</w:t>
      </w:r>
      <w:r>
        <w:rPr>
          <w:rFonts w:hint="eastAsia" w:ascii="Times New Roman" w:hAnsi="Times New Roman" w:cs="Times New Roman"/>
        </w:rPr>
        <w:t xml:space="preserve"> </w:t>
      </w:r>
      <w:r>
        <w:rPr>
          <w:rFonts w:ascii="Times New Roman" w:hAnsi="Times New Roman" w:cs="Times New Roman"/>
        </w:rPr>
        <w:t>400元/人</w:t>
      </w:r>
      <w:r>
        <w:rPr>
          <w:rFonts w:hint="eastAsia" w:ascii="Times New Roman" w:hAnsi="Times New Roman" w:cs="Times New Roman"/>
        </w:rPr>
        <w:t>·</w:t>
      </w:r>
      <w:r>
        <w:rPr>
          <w:rFonts w:ascii="Times New Roman" w:hAnsi="Times New Roman" w:cs="Times New Roman"/>
        </w:rPr>
        <w:t>年控制编制，编制时不再采取地区调整系数调整，劳动保护费内业标准为1</w:t>
      </w:r>
      <w:r>
        <w:rPr>
          <w:rFonts w:hint="eastAsia" w:ascii="Times New Roman" w:hAnsi="Times New Roman" w:cs="Times New Roman"/>
        </w:rPr>
        <w:t xml:space="preserve"> </w:t>
      </w:r>
      <w:r>
        <w:rPr>
          <w:rFonts w:ascii="Times New Roman" w:hAnsi="Times New Roman" w:cs="Times New Roman"/>
        </w:rPr>
        <w:t>200元/人</w:t>
      </w:r>
      <w:r>
        <w:rPr>
          <w:rFonts w:hint="eastAsia" w:ascii="Times New Roman" w:hAnsi="Times New Roman" w:cs="Times New Roman"/>
        </w:rPr>
        <w:t>·</w:t>
      </w:r>
      <w:r>
        <w:rPr>
          <w:rFonts w:ascii="Times New Roman" w:hAnsi="Times New Roman" w:cs="Times New Roman"/>
        </w:rPr>
        <w:t>年。</w:t>
      </w:r>
    </w:p>
    <w:p>
      <w:pPr>
        <w:ind w:firstLine="0"/>
        <w:rPr>
          <w:rFonts w:ascii="Times New Roman" w:hAnsi="Times New Roman" w:cs="Times New Roman"/>
        </w:rPr>
      </w:pPr>
      <w:r>
        <w:rPr>
          <w:rFonts w:hint="eastAsia" w:ascii="黑体" w:eastAsia="黑体" w:cs="Times New Roman"/>
        </w:rPr>
        <w:t xml:space="preserve">9.5.17.4 </w:t>
      </w:r>
      <w:r>
        <w:rPr>
          <w:rFonts w:ascii="Times New Roman" w:hAnsi="Times New Roman" w:eastAsia="黑体" w:cs="Times New Roman"/>
        </w:rPr>
        <w:t xml:space="preserve"> </w:t>
      </w:r>
      <w:r>
        <w:rPr>
          <w:rFonts w:ascii="Times New Roman" w:hAnsi="Times New Roman" w:cs="Times New Roman"/>
        </w:rPr>
        <w:t>保险：按财务制度规定的险种和标准，为项目工作人员购买的安全生产责任险或人身意外伤害险等。</w:t>
      </w:r>
    </w:p>
    <w:p>
      <w:pPr>
        <w:pStyle w:val="229"/>
        <w:spacing w:before="120" w:beforeLines="50" w:after="120" w:afterLines="50"/>
        <w:outlineLvl w:val="3"/>
      </w:pPr>
      <w:r>
        <w:rPr>
          <w:rFonts w:hint="eastAsia"/>
        </w:rPr>
        <w:t>9.5.18  利润预算明细表（预工附-18）</w:t>
      </w:r>
    </w:p>
    <w:p>
      <w:pPr>
        <w:ind w:firstLine="420"/>
        <w:rPr>
          <w:rFonts w:ascii="Times New Roman" w:hAnsi="Times New Roman" w:cs="Times New Roman"/>
        </w:rPr>
      </w:pPr>
      <w:r>
        <w:rPr>
          <w:rFonts w:ascii="Times New Roman" w:hAnsi="Times New Roman" w:cs="Times New Roman"/>
        </w:rPr>
        <w:t>利润是指单位在本项目的计划利润，其预算不宜超过以上费用之和的7%。若项目资金由财政直接拨款则不计利润。</w:t>
      </w:r>
    </w:p>
    <w:p>
      <w:pPr>
        <w:pStyle w:val="229"/>
        <w:spacing w:before="120" w:beforeLines="50" w:after="120" w:afterLines="50"/>
        <w:outlineLvl w:val="3"/>
      </w:pPr>
      <w:r>
        <w:rPr>
          <w:rFonts w:hint="eastAsia"/>
        </w:rPr>
        <w:t>9.5.19  税金及附加费用预算明细表（预工附-19）</w:t>
      </w:r>
    </w:p>
    <w:p>
      <w:pPr>
        <w:ind w:firstLine="420"/>
        <w:rPr>
          <w:rFonts w:ascii="Times New Roman" w:hAnsi="Times New Roman" w:cs="Times New Roman"/>
        </w:rPr>
      </w:pPr>
      <w:r>
        <w:rPr>
          <w:rFonts w:ascii="Times New Roman" w:hAnsi="Times New Roman" w:cs="Times New Roman"/>
        </w:rPr>
        <w:t>税金及附加费用是指本项目单位应负担的税金及附加费用，包括增值税、城市维护建设税、教育费附加和所得税等。若项目未经招投标，资金为财政直接拨款，则不计税金。</w:t>
      </w:r>
    </w:p>
    <w:p>
      <w:pPr>
        <w:pStyle w:val="4"/>
        <w:spacing w:beforeLines="50" w:afterLines="50"/>
        <w:rPr>
          <w:rFonts w:cs="Times New Roman"/>
        </w:rPr>
      </w:pPr>
      <w:bookmarkStart w:id="125" w:name="_Toc36634243"/>
      <w:r>
        <w:rPr>
          <w:rFonts w:hint="eastAsia" w:cs="Times New Roman"/>
        </w:rPr>
        <w:t>9.6  编制格式</w:t>
      </w:r>
      <w:bookmarkEnd w:id="125"/>
    </w:p>
    <w:p>
      <w:pPr>
        <w:pStyle w:val="229"/>
        <w:spacing w:before="120" w:beforeLines="50" w:after="120" w:afterLines="50"/>
        <w:outlineLvl w:val="3"/>
      </w:pPr>
      <w:r>
        <w:rPr>
          <w:rFonts w:hint="eastAsia"/>
        </w:rPr>
        <w:t>9.6.1  一般格式</w:t>
      </w:r>
    </w:p>
    <w:p>
      <w:pPr>
        <w:ind w:firstLine="420"/>
        <w:rPr>
          <w:rFonts w:ascii="Times New Roman" w:hAnsi="Times New Roman" w:cs="Times New Roman"/>
        </w:rPr>
      </w:pPr>
      <w:r>
        <w:rPr>
          <w:rFonts w:ascii="Times New Roman" w:hAnsi="Times New Roman" w:cs="Times New Roman"/>
        </w:rPr>
        <w:t>预算由预算编制说明和预算表组成</w:t>
      </w:r>
      <w:r>
        <w:rPr>
          <w:rFonts w:hint="eastAsia" w:ascii="Times New Roman" w:hAnsi="Times New Roman" w:cs="Times New Roman"/>
        </w:rPr>
        <w:t>，“</w:t>
      </w:r>
      <w:r>
        <w:rPr>
          <w:rFonts w:ascii="Times New Roman" w:hAnsi="Times New Roman" w:cs="Times New Roman"/>
        </w:rPr>
        <w:t>经济科目</w:t>
      </w:r>
      <w:r>
        <w:rPr>
          <w:rFonts w:hint="eastAsia" w:ascii="Times New Roman" w:hAnsi="Times New Roman" w:cs="Times New Roman"/>
        </w:rPr>
        <w:t>”</w:t>
      </w:r>
      <w:r>
        <w:rPr>
          <w:rFonts w:ascii="Times New Roman" w:hAnsi="Times New Roman" w:cs="Times New Roman"/>
        </w:rPr>
        <w:t>预算的表格样式见附录B。</w:t>
      </w:r>
    </w:p>
    <w:p>
      <w:pPr>
        <w:pStyle w:val="229"/>
        <w:spacing w:before="120" w:beforeLines="50" w:after="120" w:afterLines="50"/>
        <w:outlineLvl w:val="3"/>
      </w:pPr>
      <w:r>
        <w:rPr>
          <w:rFonts w:hint="eastAsia"/>
        </w:rPr>
        <w:t>9.6.2  格式要求</w:t>
      </w:r>
    </w:p>
    <w:p>
      <w:pPr>
        <w:pStyle w:val="229"/>
        <w:spacing w:before="120" w:beforeLines="50" w:after="120" w:afterLines="50"/>
      </w:pPr>
      <w:r>
        <w:rPr>
          <w:rFonts w:hint="eastAsia"/>
        </w:rPr>
        <w:t>9.6.2.1  预算表名称和编号</w:t>
      </w:r>
    </w:p>
    <w:p>
      <w:pPr>
        <w:ind w:firstLine="420"/>
        <w:rPr>
          <w:rFonts w:ascii="Times New Roman" w:hAnsi="Times New Roman" w:cs="Times New Roman"/>
        </w:rPr>
      </w:pPr>
      <w:r>
        <w:rPr>
          <w:rFonts w:ascii="Times New Roman" w:hAnsi="Times New Roman" w:cs="Times New Roman"/>
        </w:rPr>
        <w:t>预算表的名称和编号应与附录B所示一致。</w:t>
      </w:r>
    </w:p>
    <w:p>
      <w:pPr>
        <w:pStyle w:val="229"/>
        <w:spacing w:before="120" w:beforeLines="50" w:after="120" w:afterLines="50"/>
      </w:pPr>
      <w:r>
        <w:rPr>
          <w:rFonts w:hint="eastAsia"/>
        </w:rPr>
        <w:t>9.6.2.2  主词栏的横行标题</w:t>
      </w:r>
    </w:p>
    <w:p>
      <w:pPr>
        <w:ind w:firstLine="420"/>
        <w:rPr>
          <w:rFonts w:ascii="Times New Roman" w:hAnsi="Times New Roman" w:cs="Times New Roman"/>
        </w:rPr>
      </w:pPr>
      <w:r>
        <w:rPr>
          <w:rFonts w:ascii="Times New Roman" w:hAnsi="Times New Roman" w:cs="Times New Roman"/>
        </w:rPr>
        <w:t>按照附录A所示目录编制，做到顺序一致。</w:t>
      </w:r>
    </w:p>
    <w:p>
      <w:pPr>
        <w:pStyle w:val="229"/>
        <w:spacing w:before="120" w:beforeLines="50" w:after="120" w:afterLines="50"/>
      </w:pPr>
      <w:r>
        <w:rPr>
          <w:rFonts w:hint="eastAsia"/>
        </w:rPr>
        <w:t>9.6.2.3  宾词栏的纵栏标题</w:t>
      </w:r>
    </w:p>
    <w:p>
      <w:pPr>
        <w:ind w:firstLine="420"/>
        <w:rPr>
          <w:rFonts w:ascii="Times New Roman" w:hAnsi="Times New Roman" w:cs="Times New Roman"/>
        </w:rPr>
      </w:pPr>
      <w:r>
        <w:rPr>
          <w:rFonts w:ascii="Times New Roman" w:hAnsi="Times New Roman" w:cs="Times New Roman"/>
        </w:rPr>
        <w:t>应与附录B所示一致。</w:t>
      </w:r>
    </w:p>
    <w:p>
      <w:pPr>
        <w:pStyle w:val="229"/>
        <w:spacing w:before="120" w:beforeLines="50" w:after="120" w:afterLines="50"/>
      </w:pPr>
      <w:r>
        <w:rPr>
          <w:rFonts w:hint="eastAsia"/>
        </w:rPr>
        <w:t>9.6.2.4  计算单位</w:t>
      </w:r>
    </w:p>
    <w:p>
      <w:pPr>
        <w:ind w:firstLine="420"/>
        <w:rPr>
          <w:rFonts w:ascii="Times New Roman" w:hAnsi="Times New Roman" w:cs="Times New Roman"/>
        </w:rPr>
      </w:pPr>
      <w:r>
        <w:rPr>
          <w:rFonts w:ascii="Times New Roman" w:hAnsi="Times New Roman" w:cs="Times New Roman"/>
        </w:rPr>
        <w:t>各类指标的计算单位应与采用预算标准的规定一致。</w:t>
      </w:r>
    </w:p>
    <w:p>
      <w:pPr>
        <w:pStyle w:val="229"/>
        <w:spacing w:before="120" w:beforeLines="50" w:after="120" w:afterLines="50"/>
      </w:pPr>
      <w:r>
        <w:rPr>
          <w:rFonts w:hint="eastAsia"/>
        </w:rPr>
        <w:t>9.6.2.5  表底资料</w:t>
      </w:r>
    </w:p>
    <w:p>
      <w:pPr>
        <w:ind w:firstLine="420"/>
        <w:rPr>
          <w:rFonts w:ascii="Times New Roman" w:hAnsi="Times New Roman" w:cs="Times New Roman"/>
        </w:rPr>
      </w:pPr>
      <w:r>
        <w:rPr>
          <w:rFonts w:ascii="Times New Roman" w:hAnsi="Times New Roman" w:cs="Times New Roman"/>
        </w:rPr>
        <w:t>项目预算编制人员和审核人员的签字或盖章必须齐全。</w:t>
      </w:r>
    </w:p>
    <w:p>
      <w:pPr>
        <w:pStyle w:val="229"/>
        <w:spacing w:before="120" w:beforeLines="50" w:after="120" w:afterLines="50"/>
      </w:pPr>
      <w:r>
        <w:rPr>
          <w:rFonts w:hint="eastAsia"/>
        </w:rPr>
        <w:t>9.6.2.6  对齐</w:t>
      </w:r>
    </w:p>
    <w:p>
      <w:pPr>
        <w:ind w:left="840" w:leftChars="200" w:hanging="420"/>
        <w:rPr>
          <w:rFonts w:ascii="Times New Roman" w:hAnsi="Times New Roman" w:cs="Times New Roman"/>
        </w:rPr>
      </w:pPr>
      <w:r>
        <w:rPr>
          <w:rFonts w:ascii="Times New Roman" w:hAnsi="Times New Roman" w:cs="Times New Roman"/>
        </w:rPr>
        <w:t>a)  数字位置对齐：工作量居中对齐，金额类右对齐。</w:t>
      </w:r>
    </w:p>
    <w:p>
      <w:pPr>
        <w:ind w:left="840" w:leftChars="200" w:hanging="420"/>
        <w:rPr>
          <w:rFonts w:ascii="Times New Roman" w:hAnsi="Times New Roman" w:cs="Times New Roman"/>
        </w:rPr>
      </w:pPr>
      <w:r>
        <w:rPr>
          <w:rFonts w:ascii="Times New Roman" w:hAnsi="Times New Roman" w:cs="Times New Roman"/>
        </w:rPr>
        <w:t>b)  文字位置对齐：主词栏左对齐，计量单位居中对齐。</w:t>
      </w:r>
    </w:p>
    <w:p>
      <w:pPr>
        <w:pStyle w:val="229"/>
        <w:spacing w:before="120" w:beforeLines="50" w:after="120" w:afterLines="50"/>
      </w:pPr>
      <w:r>
        <w:rPr>
          <w:rFonts w:hint="eastAsia"/>
        </w:rPr>
        <w:t>9.6.2.7  小数位数</w:t>
      </w:r>
    </w:p>
    <w:p>
      <w:pPr>
        <w:ind w:firstLine="420"/>
        <w:rPr>
          <w:rFonts w:ascii="Times New Roman" w:hAnsi="Times New Roman" w:cs="Times New Roman"/>
        </w:rPr>
      </w:pPr>
      <w:r>
        <w:rPr>
          <w:rFonts w:ascii="Times New Roman" w:hAnsi="Times New Roman" w:cs="Times New Roman"/>
        </w:rPr>
        <w:t>工作量根据实际情况一般保留1位小数，金额保留2位小数（无论元或万元）。</w:t>
      </w:r>
    </w:p>
    <w:p>
      <w:pPr>
        <w:ind w:firstLine="0"/>
        <w:rPr>
          <w:rFonts w:ascii="Times New Roman" w:hAnsi="Times New Roman" w:cs="Times New Roman"/>
        </w:rPr>
      </w:pPr>
      <w:r>
        <w:br w:type="page"/>
      </w:r>
    </w:p>
    <w:p>
      <w:pPr>
        <w:pStyle w:val="234"/>
        <w:rPr>
          <w:rFonts w:ascii="黑体"/>
        </w:rPr>
      </w:pPr>
      <w:bookmarkStart w:id="126" w:name="_Toc16760288"/>
      <w:bookmarkStart w:id="127" w:name="_Toc36634244"/>
      <w:r>
        <w:rPr>
          <w:rFonts w:hint="eastAsia" w:ascii="黑体"/>
        </w:rPr>
        <w:t>附  录  A</w:t>
      </w:r>
      <w:r>
        <w:rPr>
          <w:rFonts w:hint="eastAsia" w:ascii="黑体"/>
          <w:kern w:val="32"/>
          <w:lang w:bidi="en-US"/>
        </w:rPr>
        <w:br w:type="textWrapping"/>
      </w:r>
      <w:r>
        <w:rPr>
          <w:rFonts w:hint="eastAsia" w:ascii="黑体"/>
        </w:rPr>
        <w:t>（规范性附录）</w:t>
      </w:r>
      <w:r>
        <w:rPr>
          <w:rFonts w:hint="eastAsia" w:ascii="黑体"/>
        </w:rPr>
        <w:br w:type="textWrapping"/>
      </w:r>
      <w:bookmarkEnd w:id="126"/>
      <w:r>
        <w:rPr>
          <w:rFonts w:hint="eastAsia" w:ascii="黑体"/>
        </w:rPr>
        <w:t>费用归集汇总预算目录</w:t>
      </w:r>
      <w:bookmarkEnd w:id="127"/>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975"/>
        <w:gridCol w:w="6130"/>
        <w:gridCol w:w="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blHeader/>
          <w:jc w:val="center"/>
        </w:trPr>
        <w:tc>
          <w:tcPr>
            <w:tcW w:w="951"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支出经济分类科目</w:t>
            </w:r>
          </w:p>
        </w:tc>
        <w:tc>
          <w:tcPr>
            <w:tcW w:w="514" w:type="pct"/>
            <w:shd w:val="clear" w:color="auto" w:fill="auto"/>
            <w:vAlign w:val="center"/>
          </w:tcPr>
          <w:p>
            <w:pPr>
              <w:adjustRightInd w:val="0"/>
              <w:snapToGrid w:val="0"/>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计量</w:t>
            </w:r>
          </w:p>
          <w:p>
            <w:pPr>
              <w:adjustRightInd w:val="0"/>
              <w:snapToGrid w:val="0"/>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单位</w:t>
            </w:r>
          </w:p>
        </w:tc>
        <w:tc>
          <w:tcPr>
            <w:tcW w:w="3230"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说明</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一、绩效工资</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人·月</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指本单位项目工作人员的该项目绩效工资。</w:t>
            </w: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二、办公费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人·月</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指购买按财务会计制度规定不符合固定资产确认标准的日常办公用品和专业书刊、报纸、杂志等支出。</w:t>
            </w: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三、印刷费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指项目发生的报告印刷、出版、制图费用及其他印刷支出。</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1.报告印刷</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份</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在提交报告年度，按预算标准编制报告编写与出版印刷预算。</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2.其他印刷</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人·月</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指非报告印刷的一般性印刷，按照综合定额编制预算。</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　</w:t>
            </w: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四、水费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吨</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指项目实施过程中发生的水费、污水处理费。</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五、电费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度</w:t>
            </w:r>
          </w:p>
        </w:tc>
        <w:tc>
          <w:tcPr>
            <w:tcW w:w="3230" w:type="pct"/>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指项目实施过程中发生的电费。</w:t>
            </w: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六、邮电费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人·月</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指项目发生的信函、包裹、货物等物品的邮寄费及电话费、电报费、传真费、网络通讯费等。</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七、差旅费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指项目工作人员开展野外作业、业务调研、学术交流等工作所发生的城市间交通费、住宿费、伙食补助费和市内交通费。</w:t>
            </w: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八、维修（护）费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指项目实施必须开支的固定资产（不包括交通工具）的修理和维护费用，网络信息系统运行与维护费用，以及按规定提取的修购基金。</w:t>
            </w: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九、租赁费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1.设备租赁费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vMerge w:val="restar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指租赁办公用房、宿舍、专用通讯网以及其他设备等方面的费用。</w:t>
            </w:r>
          </w:p>
        </w:tc>
        <w:tc>
          <w:tcPr>
            <w:tcW w:w="302" w:type="pct"/>
            <w:vMerge w:val="restar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2.租房费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vMerge w:val="continue"/>
            <w:shd w:val="clear" w:color="auto" w:fill="auto"/>
            <w:vAlign w:val="center"/>
          </w:tcPr>
          <w:p/>
        </w:tc>
        <w:tc>
          <w:tcPr>
            <w:tcW w:w="302" w:type="pct"/>
            <w:vMerge w:val="continue"/>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3.租赁网络费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vMerge w:val="continue"/>
            <w:shd w:val="clear" w:color="auto" w:fill="auto"/>
            <w:vAlign w:val="center"/>
          </w:tcPr>
          <w:p/>
        </w:tc>
        <w:tc>
          <w:tcPr>
            <w:tcW w:w="302" w:type="pct"/>
            <w:vMerge w:val="continue"/>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vMerge w:val="continue"/>
            <w:shd w:val="clear" w:color="auto" w:fill="auto"/>
            <w:vAlign w:val="center"/>
          </w:tcPr>
          <w:p/>
        </w:tc>
        <w:tc>
          <w:tcPr>
            <w:tcW w:w="302" w:type="pct"/>
            <w:vMerge w:val="continue"/>
            <w:shd w:val="clear" w:color="auto" w:fill="auto"/>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十、会议费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　</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1.设计审查</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restar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指项目相关专题研究、学术研讨、设计审查、成果验收等会议活动而发生的住宿费、伙食费、会议场地租金、交通费、文件印刷费、医药费等费用。</w:t>
            </w:r>
          </w:p>
        </w:tc>
        <w:tc>
          <w:tcPr>
            <w:tcW w:w="302" w:type="pct"/>
            <w:vMerge w:val="restar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2.成果验收</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十一、培训费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指项目培训期间发生的师资费、住宿费、伙食费、培训场地费、培训资料费、交通费等各类培训费用。</w:t>
            </w:r>
          </w:p>
        </w:tc>
        <w:tc>
          <w:tcPr>
            <w:tcW w:w="302" w:type="pct"/>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十二、专用材料费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1.原材料</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restar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指在项目实施过程中购买的日常专用材料费。具体包括项目耗用的原材料，专用管材，消耗性用品，技术资料，药品及医疗耗材，农用材料，实验室用品，专用服装，专用工具和仪器等。</w:t>
            </w:r>
          </w:p>
          <w:p>
            <w:pPr>
              <w:adjustRightInd w:val="0"/>
              <w:snapToGrid w:val="0"/>
              <w:spacing w:before="120" w:beforeLines="50" w:line="240" w:lineRule="auto"/>
              <w:ind w:firstLine="0"/>
              <w:rPr>
                <w:rFonts w:ascii="Times New Roman" w:hAnsi="Times New Roman" w:cs="Times New Roman"/>
                <w:sz w:val="18"/>
                <w:szCs w:val="18"/>
              </w:rPr>
            </w:pPr>
          </w:p>
        </w:tc>
        <w:tc>
          <w:tcPr>
            <w:tcW w:w="302" w:type="pct"/>
            <w:vMerge w:val="restar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2.专用管材</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3.低值易耗品</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4.技术资料</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5.……</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十三、专用燃料费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指用于项目工作的设备、车（不含公务用车）、船等设施的油料费用。</w:t>
            </w:r>
          </w:p>
        </w:tc>
        <w:tc>
          <w:tcPr>
            <w:tcW w:w="302" w:type="pct"/>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十四、劳务费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　</w:t>
            </w: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1.设计审查</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restar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指项目支付给单位和个人的劳务费用，如评审费、临时聘用人员和野外雇工费、钟点工工资、稿费、翻译费、租车费等。</w:t>
            </w:r>
          </w:p>
        </w:tc>
        <w:tc>
          <w:tcPr>
            <w:tcW w:w="302" w:type="pct"/>
            <w:vMerge w:val="restar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2.成果验收</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3.临时聘用人员</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4.野外雇工</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5.租车费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6.……</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十五、委托业务费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　</w:t>
            </w: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1.协作研究费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restar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指项目实施过程中委托外单位进行研究、测试、施工、加工、软件研制等工作发生的费用。</w:t>
            </w:r>
          </w:p>
        </w:tc>
        <w:tc>
          <w:tcPr>
            <w:tcW w:w="302" w:type="pct"/>
            <w:vMerge w:val="restar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2.测试费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3.施工费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4.加工费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5.软件研制费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6.……</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十六、设备购置费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1.专用设备购置</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restar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实施过程中，用于购置具有专门用途、并按财务会计制度规定纳入固定资产核算范围的各类专用设备发生的支出。包括：专用仪器设备购置费、专用软件购置费。已由其他资金安排购置或现有仪器设备已能满足项目工作需要的，不得在项目经费中重复列支。</w:t>
            </w:r>
          </w:p>
        </w:tc>
        <w:tc>
          <w:tcPr>
            <w:tcW w:w="302" w:type="pct"/>
            <w:vMerge w:val="restar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2.专用软件购置</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十七、其他商品和服务支出</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项目实施过程中发生的除上述费用之外的其他支出，包括土地及青苗补偿费、招待费、劳动保护费、保险等。</w:t>
            </w:r>
          </w:p>
        </w:tc>
        <w:tc>
          <w:tcPr>
            <w:tcW w:w="302"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1.土地及青苗补偿费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　</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（1）临时性土地占用</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restar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指项目实施过程中占用土地需支付的临时性土地占用费、青苗树木草场赔偿费、临时性设施拆建费等。</w:t>
            </w:r>
          </w:p>
        </w:tc>
        <w:tc>
          <w:tcPr>
            <w:tcW w:w="302" w:type="pct"/>
            <w:vMerge w:val="restar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（2）青苗树木草场赔偿</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（3）临时性设施拆建</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vMerge w:val="continue"/>
            <w:vAlign w:val="center"/>
          </w:tcPr>
          <w:p/>
        </w:tc>
        <w:tc>
          <w:tcPr>
            <w:tcW w:w="30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2.劳动保护费</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人·年</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指从事项目工作人员的劳动保护用品支出。</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3.保险</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指按单位财务制度规定的险种和标准，为项目工作人员购买的安全生产责任险或人身意外伤害险等。</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指上述科目未包括的与项目相关的其他支出。据实逐项填列。</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十八、利润</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指单位在本项目的计划利润，其预算不宜超过以上费用之和的7%。若项目资金由财政直接拨款则不计利润。</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51" w:type="pct"/>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十九、税金及附加费用</w:t>
            </w:r>
          </w:p>
        </w:tc>
        <w:tc>
          <w:tcPr>
            <w:tcW w:w="514" w:type="pct"/>
            <w:shd w:val="clear" w:color="auto" w:fill="auto"/>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c>
          <w:tcPr>
            <w:tcW w:w="3230" w:type="pct"/>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指本项目单位应负担的税金及附加费用，包括增值税、城市维护建设税、教育费附加和所得税等。若项目未经招投标，资金为财政直接拨款，则不计税金。</w:t>
            </w:r>
          </w:p>
        </w:tc>
        <w:tc>
          <w:tcPr>
            <w:tcW w:w="302" w:type="pct"/>
            <w:shd w:val="clear" w:color="auto" w:fill="auto"/>
            <w:noWrap/>
            <w:vAlign w:val="center"/>
          </w:tcPr>
          <w:p>
            <w:pPr>
              <w:adjustRightInd w:val="0"/>
              <w:snapToGrid w:val="0"/>
              <w:spacing w:before="120" w:beforeLines="50" w:line="240" w:lineRule="auto"/>
              <w:ind w:firstLine="0"/>
              <w:jc w:val="center"/>
              <w:rPr>
                <w:rFonts w:ascii="Times New Roman" w:hAnsi="Times New Roman" w:cs="Times New Roman"/>
                <w:sz w:val="18"/>
                <w:szCs w:val="18"/>
              </w:rPr>
            </w:pPr>
          </w:p>
        </w:tc>
      </w:tr>
    </w:tbl>
    <w:p>
      <w:pPr>
        <w:adjustRightInd w:val="0"/>
        <w:snapToGrid w:val="0"/>
        <w:spacing w:line="240" w:lineRule="auto"/>
        <w:ind w:firstLine="0"/>
        <w:jc w:val="center"/>
        <w:rPr>
          <w:rFonts w:ascii="Times New Roman" w:hAnsi="Times New Roman" w:cs="Times New Roman"/>
          <w:sz w:val="18"/>
        </w:rPr>
      </w:pPr>
    </w:p>
    <w:p>
      <w:pPr>
        <w:adjustRightInd w:val="0"/>
        <w:snapToGrid w:val="0"/>
        <w:spacing w:line="240" w:lineRule="auto"/>
        <w:ind w:firstLine="0"/>
        <w:jc w:val="center"/>
        <w:outlineLvl w:val="0"/>
        <w:rPr>
          <w:rFonts w:ascii="黑体" w:eastAsia="黑体"/>
        </w:rPr>
      </w:pPr>
      <w:r>
        <w:rPr>
          <w:rFonts w:ascii="Times New Roman" w:hAnsi="Times New Roman" w:cs="Times New Roman"/>
          <w:sz w:val="18"/>
        </w:rPr>
        <w:br w:type="page"/>
      </w:r>
      <w:bookmarkStart w:id="128" w:name="_Toc36634245"/>
      <w:r>
        <w:rPr>
          <w:rFonts w:hint="eastAsia" w:ascii="黑体" w:eastAsia="黑体"/>
        </w:rPr>
        <w:t>附  录  B</w:t>
      </w:r>
      <w:r>
        <w:rPr>
          <w:rFonts w:hint="eastAsia" w:ascii="黑体" w:eastAsia="黑体"/>
          <w:kern w:val="32"/>
          <w:lang w:bidi="en-US"/>
        </w:rPr>
        <w:br w:type="textWrapping"/>
      </w:r>
      <w:r>
        <w:rPr>
          <w:rFonts w:hint="eastAsia" w:ascii="黑体" w:eastAsia="黑体"/>
        </w:rPr>
        <w:t>（规范性附录）</w:t>
      </w:r>
      <w:r>
        <w:rPr>
          <w:rFonts w:hint="eastAsia" w:ascii="黑体" w:eastAsia="黑体"/>
          <w:kern w:val="32"/>
          <w:lang w:bidi="en-US"/>
        </w:rPr>
        <w:br w:type="textWrapping"/>
      </w:r>
      <w:r>
        <w:rPr>
          <w:rFonts w:hint="eastAsia" w:ascii="黑体" w:eastAsia="黑体"/>
        </w:rPr>
        <w:t>费用归集汇总预算表及其附表样式</w:t>
      </w:r>
      <w:bookmarkEnd w:id="128"/>
    </w:p>
    <w:p>
      <w:pPr>
        <w:rPr>
          <w:rFonts w:ascii="Times New Roman" w:hAnsi="Times New Roman" w:cs="Times New Roman"/>
        </w:rPr>
      </w:pPr>
    </w:p>
    <w:p>
      <w:pPr>
        <w:pStyle w:val="121"/>
        <w:jc w:val="right"/>
      </w:pPr>
      <w:r>
        <w:t>预工</w:t>
      </w:r>
      <w:r>
        <w:rPr>
          <w:rFonts w:ascii="宋体"/>
        </w:rPr>
        <w:t>-</w:t>
      </w:r>
      <w:r>
        <w:t>1</w:t>
      </w:r>
    </w:p>
    <w:p>
      <w:pPr>
        <w:pStyle w:val="119"/>
      </w:pPr>
      <w:r>
        <w:t>费用归集汇总预算表</w:t>
      </w:r>
    </w:p>
    <w:p>
      <w:pPr>
        <w:pStyle w:val="119"/>
      </w:pPr>
      <w:r>
        <w:t>（</w:t>
      </w:r>
      <w:r>
        <w:rPr>
          <w:rFonts w:hint="eastAsia"/>
        </w:rPr>
        <w:t xml:space="preserve">    </w:t>
      </w:r>
      <w:r>
        <w:t>年度）</w:t>
      </w:r>
    </w:p>
    <w:p>
      <w:pPr>
        <w:pStyle w:val="121"/>
        <w:spacing w:before="120" w:beforeLines="50" w:after="120" w:afterLines="50"/>
        <w:jc w:val="left"/>
      </w:pPr>
      <w:r>
        <w:t>工作项目名称：                                                     起止年限：      年至      年</w:t>
      </w:r>
    </w:p>
    <w:tbl>
      <w:tblPr>
        <w:tblStyle w:val="36"/>
        <w:tblW w:w="4998" w:type="pct"/>
        <w:jc w:val="center"/>
        <w:tblLayout w:type="autofit"/>
        <w:tblCellMar>
          <w:top w:w="0" w:type="dxa"/>
          <w:left w:w="108" w:type="dxa"/>
          <w:bottom w:w="0" w:type="dxa"/>
          <w:right w:w="108" w:type="dxa"/>
        </w:tblCellMar>
      </w:tblPr>
      <w:tblGrid>
        <w:gridCol w:w="3402"/>
        <w:gridCol w:w="1233"/>
        <w:gridCol w:w="1648"/>
        <w:gridCol w:w="1663"/>
        <w:gridCol w:w="1534"/>
      </w:tblGrid>
      <w:tr>
        <w:tblPrEx>
          <w:tblCellMar>
            <w:top w:w="0" w:type="dxa"/>
            <w:left w:w="108" w:type="dxa"/>
            <w:bottom w:w="0" w:type="dxa"/>
            <w:right w:w="108" w:type="dxa"/>
          </w:tblCellMar>
        </w:tblPrEx>
        <w:trPr>
          <w:trHeight w:val="169" w:hRule="atLeast"/>
          <w:tblHeader/>
          <w:jc w:val="center"/>
        </w:trPr>
        <w:tc>
          <w:tcPr>
            <w:tcW w:w="1794" w:type="pct"/>
            <w:vMerge w:val="restart"/>
            <w:tcBorders>
              <w:top w:val="single" w:color="auto" w:sz="4" w:space="0"/>
              <w:left w:val="single" w:color="auto" w:sz="4" w:space="0"/>
              <w:bottom w:val="nil"/>
              <w:right w:val="single" w:color="auto" w:sz="4" w:space="0"/>
            </w:tcBorders>
            <w:shd w:val="clear" w:color="auto" w:fill="auto"/>
            <w:vAlign w:val="center"/>
          </w:tcPr>
          <w:p>
            <w:pPr>
              <w:pStyle w:val="121"/>
            </w:pPr>
            <w:r>
              <w:t>经济分类科目</w:t>
            </w:r>
          </w:p>
        </w:tc>
        <w:tc>
          <w:tcPr>
            <w:tcW w:w="2396" w:type="pct"/>
            <w:gridSpan w:val="3"/>
            <w:tcBorders>
              <w:top w:val="single" w:color="auto" w:sz="4" w:space="0"/>
              <w:left w:val="nil"/>
              <w:bottom w:val="single" w:color="auto" w:sz="4" w:space="0"/>
              <w:right w:val="nil"/>
            </w:tcBorders>
            <w:shd w:val="clear" w:color="auto" w:fill="auto"/>
            <w:vAlign w:val="center"/>
          </w:tcPr>
          <w:p>
            <w:pPr>
              <w:pStyle w:val="121"/>
            </w:pPr>
            <w:r>
              <w:t>预算（万元）</w:t>
            </w:r>
          </w:p>
        </w:tc>
        <w:tc>
          <w:tcPr>
            <w:tcW w:w="809" w:type="pct"/>
            <w:vMerge w:val="restart"/>
            <w:tcBorders>
              <w:top w:val="single" w:color="auto" w:sz="4" w:space="0"/>
              <w:left w:val="single" w:color="auto" w:sz="4" w:space="0"/>
              <w:bottom w:val="nil"/>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169" w:hRule="atLeast"/>
          <w:tblHeader/>
          <w:jc w:val="center"/>
        </w:trPr>
        <w:tc>
          <w:tcPr>
            <w:tcW w:w="1794" w:type="pct"/>
            <w:vMerge w:val="continue"/>
            <w:tcBorders>
              <w:top w:val="single" w:color="auto" w:sz="4" w:space="0"/>
              <w:left w:val="single" w:color="auto" w:sz="4" w:space="0"/>
              <w:bottom w:val="nil"/>
              <w:right w:val="single" w:color="auto" w:sz="4" w:space="0"/>
            </w:tcBorders>
            <w:vAlign w:val="center"/>
          </w:tcPr>
          <w:p/>
        </w:tc>
        <w:tc>
          <w:tcPr>
            <w:tcW w:w="1519" w:type="pct"/>
            <w:gridSpan w:val="2"/>
            <w:tcBorders>
              <w:top w:val="single" w:color="auto" w:sz="4" w:space="0"/>
              <w:left w:val="nil"/>
              <w:bottom w:val="single" w:color="auto" w:sz="4" w:space="0"/>
              <w:right w:val="single" w:color="000000" w:sz="4" w:space="0"/>
            </w:tcBorders>
            <w:shd w:val="clear" w:color="auto" w:fill="auto"/>
            <w:vAlign w:val="center"/>
          </w:tcPr>
          <w:p>
            <w:pPr>
              <w:pStyle w:val="121"/>
            </w:pPr>
            <w:r>
              <w:t>总预算</w:t>
            </w:r>
          </w:p>
        </w:tc>
        <w:tc>
          <w:tcPr>
            <w:tcW w:w="877" w:type="pct"/>
            <w:tcBorders>
              <w:top w:val="nil"/>
              <w:left w:val="nil"/>
              <w:bottom w:val="single" w:color="auto" w:sz="4" w:space="0"/>
              <w:right w:val="single" w:color="auto" w:sz="4" w:space="0"/>
            </w:tcBorders>
            <w:shd w:val="clear" w:color="auto" w:fill="auto"/>
            <w:vAlign w:val="center"/>
          </w:tcPr>
          <w:p>
            <w:pPr>
              <w:pStyle w:val="121"/>
            </w:pPr>
            <w:r>
              <w:t>本年度预算</w:t>
            </w:r>
          </w:p>
        </w:tc>
        <w:tc>
          <w:tcPr>
            <w:tcW w:w="809" w:type="pct"/>
            <w:vMerge w:val="continue"/>
            <w:tcBorders>
              <w:top w:val="single" w:color="auto" w:sz="4" w:space="0"/>
              <w:left w:val="single" w:color="auto" w:sz="4" w:space="0"/>
              <w:bottom w:val="nil"/>
              <w:right w:val="single" w:color="auto" w:sz="4" w:space="0"/>
            </w:tcBorders>
            <w:vAlign w:val="center"/>
          </w:tcPr>
          <w:p/>
        </w:tc>
      </w:tr>
      <w:tr>
        <w:tblPrEx>
          <w:tblCellMar>
            <w:top w:w="0" w:type="dxa"/>
            <w:left w:w="108" w:type="dxa"/>
            <w:bottom w:w="0" w:type="dxa"/>
            <w:right w:w="108" w:type="dxa"/>
          </w:tblCellMar>
        </w:tblPrEx>
        <w:trPr>
          <w:trHeight w:val="169" w:hRule="atLeast"/>
          <w:tblHeader/>
          <w:jc w:val="center"/>
        </w:trPr>
        <w:tc>
          <w:tcPr>
            <w:tcW w:w="1794"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甲</w:t>
            </w:r>
          </w:p>
        </w:tc>
        <w:tc>
          <w:tcPr>
            <w:tcW w:w="1519" w:type="pct"/>
            <w:gridSpan w:val="2"/>
            <w:tcBorders>
              <w:top w:val="single" w:color="auto" w:sz="4" w:space="0"/>
              <w:left w:val="nil"/>
              <w:bottom w:val="single" w:color="auto" w:sz="4" w:space="0"/>
              <w:right w:val="single" w:color="000000" w:sz="4" w:space="0"/>
            </w:tcBorders>
            <w:shd w:val="clear" w:color="auto" w:fill="auto"/>
            <w:vAlign w:val="center"/>
          </w:tcPr>
          <w:p>
            <w:pPr>
              <w:pStyle w:val="121"/>
            </w:pPr>
            <w:r>
              <w:t>1</w:t>
            </w:r>
          </w:p>
        </w:tc>
        <w:tc>
          <w:tcPr>
            <w:tcW w:w="877" w:type="pct"/>
            <w:tcBorders>
              <w:top w:val="nil"/>
              <w:left w:val="nil"/>
              <w:bottom w:val="single" w:color="auto" w:sz="4" w:space="0"/>
              <w:right w:val="single" w:color="auto" w:sz="4" w:space="0"/>
            </w:tcBorders>
            <w:shd w:val="clear" w:color="auto" w:fill="auto"/>
            <w:vAlign w:val="center"/>
          </w:tcPr>
          <w:p>
            <w:pPr>
              <w:pStyle w:val="121"/>
            </w:pPr>
            <w:r>
              <w:t>2</w:t>
            </w:r>
          </w:p>
        </w:tc>
        <w:tc>
          <w:tcPr>
            <w:tcW w:w="809" w:type="pct"/>
            <w:tcBorders>
              <w:top w:val="single" w:color="auto" w:sz="4" w:space="0"/>
              <w:left w:val="nil"/>
              <w:bottom w:val="single" w:color="auto" w:sz="4" w:space="0"/>
              <w:right w:val="single" w:color="auto" w:sz="4" w:space="0"/>
            </w:tcBorders>
            <w:shd w:val="clear" w:color="auto" w:fill="auto"/>
            <w:vAlign w:val="center"/>
          </w:tcPr>
          <w:p>
            <w:pPr>
              <w:pStyle w:val="121"/>
            </w:pPr>
            <w:r>
              <w:t>3</w:t>
            </w: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noWrap/>
            <w:vAlign w:val="center"/>
          </w:tcPr>
          <w:p>
            <w:pPr>
              <w:pStyle w:val="121"/>
              <w:jc w:val="left"/>
            </w:pPr>
            <w:r>
              <w:t>收入合计</w:t>
            </w:r>
          </w:p>
        </w:tc>
        <w:tc>
          <w:tcPr>
            <w:tcW w:w="650" w:type="pct"/>
            <w:tcBorders>
              <w:top w:val="nil"/>
              <w:left w:val="nil"/>
              <w:bottom w:val="nil"/>
              <w:right w:val="nil"/>
            </w:tcBorders>
            <w:shd w:val="clear" w:color="auto" w:fill="auto"/>
            <w:noWrap/>
          </w:tcPr>
          <w:p>
            <w:pPr>
              <w:pStyle w:val="121"/>
            </w:pPr>
            <w:r>
              <w:t>　</w:t>
            </w:r>
          </w:p>
        </w:tc>
        <w:tc>
          <w:tcPr>
            <w:tcW w:w="869" w:type="pct"/>
            <w:tcBorders>
              <w:top w:val="nil"/>
              <w:left w:val="nil"/>
              <w:bottom w:val="nil"/>
              <w:right w:val="nil"/>
            </w:tcBorders>
            <w:shd w:val="clear" w:color="auto" w:fill="auto"/>
            <w:noWrap/>
          </w:tcPr>
          <w:p>
            <w:pPr>
              <w:pStyle w:val="121"/>
            </w:pPr>
            <w:r>
              <w:t>　</w:t>
            </w:r>
          </w:p>
        </w:tc>
        <w:tc>
          <w:tcPr>
            <w:tcW w:w="877" w:type="pct"/>
            <w:tcBorders>
              <w:top w:val="nil"/>
              <w:left w:val="nil"/>
              <w:bottom w:val="nil"/>
              <w:right w:val="nil"/>
            </w:tcBorders>
            <w:shd w:val="clear" w:color="auto" w:fill="auto"/>
            <w:noWrap/>
          </w:tcPr>
          <w:p>
            <w:pPr>
              <w:pStyle w:val="121"/>
            </w:pPr>
            <w:r>
              <w:t>　</w:t>
            </w:r>
          </w:p>
        </w:tc>
        <w:tc>
          <w:tcPr>
            <w:tcW w:w="809" w:type="pct"/>
            <w:tcBorders>
              <w:top w:val="nil"/>
              <w:left w:val="nil"/>
              <w:bottom w:val="nil"/>
              <w:right w:val="single" w:color="auto" w:sz="4" w:space="0"/>
            </w:tcBorders>
            <w:shd w:val="clear" w:color="auto" w:fill="auto"/>
            <w:noWrap/>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noWrap/>
            <w:vAlign w:val="center"/>
          </w:tcPr>
          <w:p>
            <w:pPr>
              <w:pStyle w:val="121"/>
              <w:jc w:val="left"/>
            </w:pPr>
            <w:r>
              <w:t>一、财政拨款</w:t>
            </w:r>
          </w:p>
        </w:tc>
        <w:tc>
          <w:tcPr>
            <w:tcW w:w="2396" w:type="pct"/>
            <w:gridSpan w:val="3"/>
            <w:vMerge w:val="restart"/>
            <w:tcBorders>
              <w:top w:val="nil"/>
              <w:left w:val="single" w:color="auto" w:sz="4" w:space="0"/>
              <w:bottom w:val="nil"/>
              <w:right w:val="nil"/>
            </w:tcBorders>
            <w:shd w:val="clear" w:color="auto" w:fill="auto"/>
            <w:vAlign w:val="center"/>
          </w:tcPr>
          <w:p>
            <w:pPr>
              <w:pStyle w:val="121"/>
            </w:pPr>
            <w:r>
              <w:t>　</w:t>
            </w:r>
          </w:p>
        </w:tc>
        <w:tc>
          <w:tcPr>
            <w:tcW w:w="809" w:type="pct"/>
            <w:tcBorders>
              <w:top w:val="nil"/>
              <w:left w:val="nil"/>
              <w:right w:val="single" w:color="auto" w:sz="4" w:space="0"/>
            </w:tcBorders>
            <w:shd w:val="clear" w:color="auto" w:fill="auto"/>
            <w:noWrap/>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noWrap/>
            <w:vAlign w:val="center"/>
          </w:tcPr>
          <w:p>
            <w:pPr>
              <w:pStyle w:val="121"/>
              <w:jc w:val="left"/>
            </w:pPr>
            <w:r>
              <w:t>二、地方政府拨款</w:t>
            </w:r>
          </w:p>
        </w:tc>
        <w:tc>
          <w:tcPr>
            <w:tcW w:w="2396" w:type="pct"/>
            <w:gridSpan w:val="3"/>
            <w:vMerge w:val="continue"/>
            <w:tcBorders>
              <w:top w:val="nil"/>
              <w:left w:val="nil"/>
            </w:tcBorders>
            <w:vAlign w:val="center"/>
          </w:tcPr>
          <w:p/>
        </w:tc>
        <w:tc>
          <w:tcPr>
            <w:tcW w:w="809" w:type="pct"/>
            <w:tcBorders>
              <w:top w:val="nil"/>
              <w:right w:val="single" w:color="auto" w:sz="4" w:space="0"/>
            </w:tcBorders>
            <w:shd w:val="clear" w:color="auto" w:fill="auto"/>
            <w:noWrap/>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noWrap/>
            <w:vAlign w:val="center"/>
          </w:tcPr>
          <w:p>
            <w:pPr>
              <w:pStyle w:val="121"/>
              <w:jc w:val="left"/>
            </w:pPr>
            <w:r>
              <w:t>三、单位自筹</w:t>
            </w:r>
          </w:p>
        </w:tc>
        <w:tc>
          <w:tcPr>
            <w:tcW w:w="3205" w:type="pct"/>
            <w:gridSpan w:val="4"/>
            <w:vMerge w:val="restart"/>
            <w:tcBorders>
              <w:top w:val="nil"/>
              <w:left w:val="single" w:color="auto" w:sz="4" w:space="0"/>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right w:val="single" w:color="auto" w:sz="4" w:space="0"/>
            </w:tcBorders>
            <w:shd w:val="clear" w:color="auto" w:fill="auto"/>
            <w:noWrap/>
            <w:vAlign w:val="center"/>
          </w:tcPr>
          <w:p>
            <w:pPr>
              <w:pStyle w:val="121"/>
              <w:jc w:val="left"/>
            </w:pPr>
            <w:r>
              <w:t>四、其他资金</w:t>
            </w:r>
          </w:p>
        </w:tc>
        <w:tc>
          <w:tcPr>
            <w:tcW w:w="3205" w:type="pct"/>
            <w:gridSpan w:val="4"/>
            <w:vMerge w:val="continue"/>
            <w:tcBorders>
              <w:top w:val="nil"/>
              <w:left w:val="single" w:color="auto" w:sz="4" w:space="0"/>
              <w:bottom w:val="nil"/>
              <w:right w:val="single" w:color="auto" w:sz="4" w:space="0"/>
            </w:tcBorders>
            <w:vAlign w:val="center"/>
          </w:tc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noWrap/>
            <w:vAlign w:val="center"/>
          </w:tcPr>
          <w:p>
            <w:pPr>
              <w:pStyle w:val="121"/>
              <w:jc w:val="left"/>
            </w:pPr>
            <w:r>
              <w:t>支出合计</w:t>
            </w:r>
          </w:p>
        </w:tc>
        <w:tc>
          <w:tcPr>
            <w:tcW w:w="650" w:type="pct"/>
            <w:tcBorders>
              <w:top w:val="nil"/>
              <w:left w:val="nil"/>
              <w:bottom w:val="nil"/>
              <w:right w:val="nil"/>
            </w:tcBorders>
            <w:shd w:val="clear" w:color="auto" w:fill="auto"/>
          </w:tcPr>
          <w:p>
            <w:pPr>
              <w:pStyle w:val="121"/>
            </w:pPr>
          </w:p>
        </w:tc>
        <w:tc>
          <w:tcPr>
            <w:tcW w:w="2555" w:type="pct"/>
            <w:gridSpan w:val="3"/>
            <w:vMerge w:val="restart"/>
            <w:tcBorders>
              <w:top w:val="nil"/>
              <w:left w:val="nil"/>
              <w:bottom w:val="nil"/>
              <w:right w:val="single" w:color="auto" w:sz="4" w:space="0"/>
            </w:tcBorders>
            <w:shd w:val="clear" w:color="auto" w:fill="auto"/>
          </w:tcPr>
          <w:p>
            <w:pPr>
              <w:pStyle w:val="121"/>
              <w:jc w:val="left"/>
            </w:pPr>
            <w:r>
              <w:t>1.本表适用于项目费用归集汇总预算。项目收入预算与支出预算同时填报，收入合计等于支出合计。</w:t>
            </w: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一、绩效工资</w:t>
            </w:r>
          </w:p>
        </w:tc>
        <w:tc>
          <w:tcPr>
            <w:tcW w:w="650" w:type="pct"/>
            <w:tcBorders>
              <w:top w:val="nil"/>
              <w:left w:val="single" w:color="auto" w:sz="4" w:space="0"/>
              <w:bottom w:val="nil"/>
              <w:right w:val="nil"/>
            </w:tcBorders>
            <w:shd w:val="clear" w:color="auto" w:fill="auto"/>
            <w:noWrap/>
            <w:vAlign w:val="bottom"/>
          </w:tcPr>
          <w:p>
            <w:pPr>
              <w:pStyle w:val="121"/>
            </w:pPr>
            <w:r>
              <w:t>　</w:t>
            </w:r>
          </w:p>
        </w:tc>
        <w:tc>
          <w:tcPr>
            <w:tcW w:w="2554" w:type="pct"/>
            <w:gridSpan w:val="3"/>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二、办公费</w:t>
            </w:r>
          </w:p>
        </w:tc>
        <w:tc>
          <w:tcPr>
            <w:tcW w:w="650" w:type="pct"/>
            <w:tcBorders>
              <w:top w:val="nil"/>
              <w:left w:val="single" w:color="auto" w:sz="4" w:space="0"/>
              <w:bottom w:val="nil"/>
              <w:right w:val="nil"/>
            </w:tcBorders>
            <w:shd w:val="clear" w:color="auto" w:fill="auto"/>
          </w:tcPr>
          <w:p>
            <w:pPr>
              <w:pStyle w:val="121"/>
            </w:pPr>
          </w:p>
        </w:tc>
        <w:tc>
          <w:tcPr>
            <w:tcW w:w="2555" w:type="pct"/>
            <w:gridSpan w:val="3"/>
            <w:vMerge w:val="restart"/>
            <w:tcBorders>
              <w:top w:val="nil"/>
              <w:left w:val="nil"/>
              <w:bottom w:val="nil"/>
              <w:right w:val="single" w:color="auto" w:sz="4" w:space="0"/>
            </w:tcBorders>
            <w:shd w:val="clear" w:color="auto" w:fill="auto"/>
          </w:tcPr>
          <w:p>
            <w:pPr>
              <w:pStyle w:val="121"/>
              <w:jc w:val="left"/>
            </w:pPr>
            <w:r>
              <w:t>2.甲栏:按《费用归集汇总预算目录》明细逐项填列。目录中缺少的费用项目，可在一级项下据实补列，并作相应说明。预算金额对应相关预工附表。</w:t>
            </w: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三、印刷费</w:t>
            </w:r>
          </w:p>
        </w:tc>
        <w:tc>
          <w:tcPr>
            <w:tcW w:w="650" w:type="pct"/>
            <w:tcBorders>
              <w:top w:val="nil"/>
              <w:left w:val="single" w:color="auto" w:sz="4" w:space="0"/>
              <w:bottom w:val="nil"/>
              <w:right w:val="nil"/>
            </w:tcBorders>
            <w:shd w:val="clear" w:color="auto" w:fill="auto"/>
          </w:tcPr>
          <w:p>
            <w:pPr>
              <w:pStyle w:val="121"/>
            </w:pPr>
          </w:p>
        </w:tc>
        <w:tc>
          <w:tcPr>
            <w:tcW w:w="2554" w:type="pct"/>
            <w:gridSpan w:val="3"/>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1.报告印刷</w:t>
            </w:r>
          </w:p>
        </w:tc>
        <w:tc>
          <w:tcPr>
            <w:tcW w:w="650" w:type="pct"/>
            <w:tcBorders>
              <w:top w:val="nil"/>
              <w:left w:val="single" w:color="auto" w:sz="4" w:space="0"/>
              <w:bottom w:val="nil"/>
              <w:right w:val="nil"/>
            </w:tcBorders>
            <w:shd w:val="clear" w:color="auto" w:fill="auto"/>
            <w:noWrap/>
          </w:tcPr>
          <w:p>
            <w:pPr>
              <w:pStyle w:val="121"/>
            </w:pPr>
            <w:r>
              <w:t>　</w:t>
            </w:r>
          </w:p>
        </w:tc>
        <w:tc>
          <w:tcPr>
            <w:tcW w:w="2554" w:type="pct"/>
            <w:gridSpan w:val="3"/>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2.其他印刷</w:t>
            </w:r>
          </w:p>
        </w:tc>
        <w:tc>
          <w:tcPr>
            <w:tcW w:w="650" w:type="pct"/>
            <w:tcBorders>
              <w:top w:val="nil"/>
              <w:left w:val="single" w:color="auto" w:sz="4" w:space="0"/>
              <w:bottom w:val="nil"/>
              <w:right w:val="nil"/>
            </w:tcBorders>
            <w:shd w:val="clear" w:color="auto" w:fill="auto"/>
            <w:noWrap/>
          </w:tcPr>
          <w:p>
            <w:pPr>
              <w:pStyle w:val="121"/>
            </w:pPr>
            <w:r>
              <w:t>　</w:t>
            </w: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w:t>
            </w:r>
          </w:p>
        </w:tc>
        <w:tc>
          <w:tcPr>
            <w:tcW w:w="650" w:type="pct"/>
            <w:tcBorders>
              <w:top w:val="nil"/>
              <w:left w:val="single" w:color="auto" w:sz="4" w:space="0"/>
              <w:bottom w:val="nil"/>
              <w:right w:val="nil"/>
            </w:tcBorders>
            <w:shd w:val="clear" w:color="auto" w:fill="auto"/>
            <w:noWrap/>
          </w:tcPr>
          <w:p>
            <w:pPr>
              <w:pStyle w:val="121"/>
            </w:pPr>
            <w:r>
              <w:t>　</w:t>
            </w: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四、水费</w:t>
            </w:r>
          </w:p>
        </w:tc>
        <w:tc>
          <w:tcPr>
            <w:tcW w:w="650" w:type="pct"/>
            <w:tcBorders>
              <w:top w:val="nil"/>
              <w:left w:val="single" w:color="auto" w:sz="4" w:space="0"/>
              <w:bottom w:val="nil"/>
              <w:right w:val="nil"/>
            </w:tcBorders>
            <w:shd w:val="clear" w:color="auto" w:fill="auto"/>
            <w:noWrap/>
          </w:tcPr>
          <w:p>
            <w:pPr>
              <w:pStyle w:val="121"/>
            </w:pP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五、电费</w:t>
            </w:r>
          </w:p>
        </w:tc>
        <w:tc>
          <w:tcPr>
            <w:tcW w:w="650" w:type="pct"/>
            <w:tcBorders>
              <w:top w:val="nil"/>
              <w:left w:val="single" w:color="auto" w:sz="4" w:space="0"/>
              <w:bottom w:val="nil"/>
              <w:right w:val="nil"/>
            </w:tcBorders>
            <w:shd w:val="clear" w:color="auto" w:fill="auto"/>
            <w:noWrap/>
          </w:tcPr>
          <w:p>
            <w:pPr>
              <w:pStyle w:val="121"/>
            </w:pP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六、邮电费</w:t>
            </w:r>
          </w:p>
        </w:tc>
        <w:tc>
          <w:tcPr>
            <w:tcW w:w="650" w:type="pct"/>
            <w:tcBorders>
              <w:top w:val="nil"/>
              <w:left w:val="single" w:color="auto" w:sz="4" w:space="0"/>
              <w:bottom w:val="nil"/>
              <w:right w:val="nil"/>
            </w:tcBorders>
            <w:shd w:val="clear" w:color="auto" w:fill="auto"/>
            <w:noWrap/>
          </w:tcPr>
          <w:p>
            <w:pPr>
              <w:pStyle w:val="121"/>
            </w:pP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七、差旅费</w:t>
            </w:r>
          </w:p>
        </w:tc>
        <w:tc>
          <w:tcPr>
            <w:tcW w:w="650" w:type="pct"/>
            <w:tcBorders>
              <w:top w:val="nil"/>
              <w:left w:val="single" w:color="auto" w:sz="4" w:space="0"/>
              <w:bottom w:val="nil"/>
              <w:right w:val="nil"/>
            </w:tcBorders>
            <w:shd w:val="clear" w:color="auto" w:fill="auto"/>
            <w:noWrap/>
          </w:tcPr>
          <w:p>
            <w:pPr>
              <w:pStyle w:val="121"/>
            </w:pP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八、维修（护）费</w:t>
            </w:r>
          </w:p>
        </w:tc>
        <w:tc>
          <w:tcPr>
            <w:tcW w:w="650" w:type="pct"/>
            <w:tcBorders>
              <w:top w:val="nil"/>
              <w:left w:val="single" w:color="auto" w:sz="4" w:space="0"/>
              <w:bottom w:val="nil"/>
              <w:right w:val="nil"/>
            </w:tcBorders>
            <w:shd w:val="clear" w:color="auto" w:fill="auto"/>
            <w:noWrap/>
          </w:tcPr>
          <w:p>
            <w:pPr>
              <w:pStyle w:val="121"/>
            </w:pP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九、租赁费</w:t>
            </w:r>
          </w:p>
        </w:tc>
        <w:tc>
          <w:tcPr>
            <w:tcW w:w="650" w:type="pct"/>
            <w:tcBorders>
              <w:top w:val="nil"/>
              <w:left w:val="single" w:color="auto" w:sz="4" w:space="0"/>
              <w:bottom w:val="nil"/>
              <w:right w:val="nil"/>
            </w:tcBorders>
            <w:shd w:val="clear" w:color="auto" w:fill="auto"/>
            <w:noWrap/>
          </w:tcPr>
          <w:p>
            <w:pPr>
              <w:pStyle w:val="121"/>
            </w:pP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1.设备租赁费</w:t>
            </w:r>
          </w:p>
        </w:tc>
        <w:tc>
          <w:tcPr>
            <w:tcW w:w="650" w:type="pct"/>
            <w:tcBorders>
              <w:top w:val="nil"/>
              <w:left w:val="single" w:color="auto" w:sz="4" w:space="0"/>
              <w:bottom w:val="nil"/>
              <w:right w:val="nil"/>
            </w:tcBorders>
            <w:shd w:val="clear" w:color="auto" w:fill="auto"/>
            <w:noWrap/>
          </w:tcPr>
          <w:p>
            <w:pPr>
              <w:pStyle w:val="121"/>
            </w:pP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2.租房费</w:t>
            </w:r>
          </w:p>
        </w:tc>
        <w:tc>
          <w:tcPr>
            <w:tcW w:w="650" w:type="pct"/>
            <w:tcBorders>
              <w:top w:val="nil"/>
              <w:left w:val="single" w:color="auto" w:sz="4" w:space="0"/>
              <w:bottom w:val="nil"/>
              <w:right w:val="nil"/>
            </w:tcBorders>
            <w:shd w:val="clear" w:color="auto" w:fill="auto"/>
            <w:noWrap/>
          </w:tcPr>
          <w:p>
            <w:pPr>
              <w:pStyle w:val="121"/>
            </w:pPr>
          </w:p>
        </w:tc>
        <w:tc>
          <w:tcPr>
            <w:tcW w:w="869" w:type="pct"/>
            <w:tcBorders>
              <w:top w:val="nil"/>
              <w:left w:val="nil"/>
              <w:bottom w:val="nil"/>
              <w:right w:val="nil"/>
            </w:tcBorders>
            <w:shd w:val="clear" w:color="auto" w:fill="auto"/>
            <w:noWrap/>
          </w:tcPr>
          <w:p>
            <w:pPr>
              <w:pStyle w:val="121"/>
            </w:pPr>
          </w:p>
        </w:tc>
        <w:tc>
          <w:tcPr>
            <w:tcW w:w="877" w:type="pct"/>
            <w:tcBorders>
              <w:top w:val="nil"/>
              <w:left w:val="nil"/>
              <w:bottom w:val="nil"/>
              <w:right w:val="nil"/>
            </w:tcBorders>
            <w:shd w:val="clear" w:color="auto" w:fill="auto"/>
            <w:noWrap/>
          </w:tcPr>
          <w:p>
            <w:pPr>
              <w:pStyle w:val="121"/>
            </w:pPr>
          </w:p>
        </w:tc>
        <w:tc>
          <w:tcPr>
            <w:tcW w:w="809" w:type="pct"/>
            <w:tcBorders>
              <w:top w:val="nil"/>
              <w:left w:val="nil"/>
              <w:bottom w:val="nil"/>
              <w:right w:val="single" w:color="auto" w:sz="4" w:space="0"/>
            </w:tcBorders>
            <w:shd w:val="clear" w:color="auto" w:fill="auto"/>
            <w:noWrap/>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3.租赁网络费</w:t>
            </w:r>
          </w:p>
        </w:tc>
        <w:tc>
          <w:tcPr>
            <w:tcW w:w="650" w:type="pct"/>
            <w:tcBorders>
              <w:top w:val="nil"/>
              <w:left w:val="single" w:color="auto" w:sz="4" w:space="0"/>
              <w:bottom w:val="nil"/>
              <w:right w:val="nil"/>
            </w:tcBorders>
            <w:shd w:val="clear" w:color="auto" w:fill="auto"/>
          </w:tcPr>
          <w:p>
            <w:pPr>
              <w:pStyle w:val="121"/>
            </w:pPr>
            <w:r>
              <w:t>　</w:t>
            </w:r>
          </w:p>
        </w:tc>
        <w:tc>
          <w:tcPr>
            <w:tcW w:w="2555" w:type="pct"/>
            <w:gridSpan w:val="3"/>
            <w:vMerge w:val="restart"/>
            <w:tcBorders>
              <w:top w:val="nil"/>
              <w:left w:val="nil"/>
              <w:bottom w:val="nil"/>
              <w:right w:val="single" w:color="auto" w:sz="4" w:space="0"/>
            </w:tcBorders>
            <w:shd w:val="clear" w:color="auto" w:fill="auto"/>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w:t>
            </w:r>
          </w:p>
        </w:tc>
        <w:tc>
          <w:tcPr>
            <w:tcW w:w="650" w:type="pct"/>
            <w:tcBorders>
              <w:top w:val="nil"/>
              <w:left w:val="single" w:color="auto" w:sz="4" w:space="0"/>
              <w:bottom w:val="nil"/>
              <w:right w:val="nil"/>
            </w:tcBorders>
            <w:shd w:val="clear" w:color="auto" w:fill="auto"/>
          </w:tcPr>
          <w:p>
            <w:pPr>
              <w:pStyle w:val="121"/>
            </w:pPr>
            <w:r>
              <w:t>　</w:t>
            </w:r>
          </w:p>
        </w:tc>
        <w:tc>
          <w:tcPr>
            <w:tcW w:w="2554" w:type="pct"/>
            <w:gridSpan w:val="3"/>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十、会议费</w:t>
            </w:r>
          </w:p>
        </w:tc>
        <w:tc>
          <w:tcPr>
            <w:tcW w:w="650" w:type="pct"/>
            <w:tcBorders>
              <w:top w:val="nil"/>
              <w:left w:val="single" w:color="auto" w:sz="4" w:space="0"/>
              <w:bottom w:val="nil"/>
              <w:right w:val="nil"/>
            </w:tcBorders>
            <w:shd w:val="clear" w:color="auto" w:fill="auto"/>
          </w:tcPr>
          <w:p>
            <w:pPr>
              <w:pStyle w:val="121"/>
            </w:pPr>
            <w:r>
              <w:t>　</w:t>
            </w:r>
          </w:p>
        </w:tc>
        <w:tc>
          <w:tcPr>
            <w:tcW w:w="2554" w:type="pct"/>
            <w:gridSpan w:val="3"/>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1.设计审查</w:t>
            </w:r>
          </w:p>
        </w:tc>
        <w:tc>
          <w:tcPr>
            <w:tcW w:w="650" w:type="pct"/>
            <w:tcBorders>
              <w:top w:val="nil"/>
              <w:left w:val="single" w:color="auto" w:sz="4" w:space="0"/>
              <w:bottom w:val="nil"/>
              <w:right w:val="nil"/>
            </w:tcBorders>
            <w:shd w:val="clear" w:color="auto" w:fill="auto"/>
          </w:tcPr>
          <w:p>
            <w:pPr>
              <w:pStyle w:val="121"/>
            </w:pPr>
            <w:r>
              <w:t>　</w:t>
            </w:r>
          </w:p>
        </w:tc>
        <w:tc>
          <w:tcPr>
            <w:tcW w:w="2554" w:type="pct"/>
            <w:gridSpan w:val="3"/>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2.成果验收</w:t>
            </w:r>
          </w:p>
        </w:tc>
        <w:tc>
          <w:tcPr>
            <w:tcW w:w="650" w:type="pct"/>
            <w:tcBorders>
              <w:top w:val="nil"/>
              <w:left w:val="single" w:color="auto" w:sz="4" w:space="0"/>
              <w:bottom w:val="nil"/>
              <w:right w:val="nil"/>
            </w:tcBorders>
            <w:shd w:val="clear" w:color="auto" w:fill="auto"/>
          </w:tcPr>
          <w:p>
            <w:pPr>
              <w:pStyle w:val="121"/>
            </w:pPr>
            <w:r>
              <w:t>　</w:t>
            </w:r>
          </w:p>
        </w:tc>
        <w:tc>
          <w:tcPr>
            <w:tcW w:w="2554" w:type="pct"/>
            <w:gridSpan w:val="3"/>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w:t>
            </w:r>
          </w:p>
        </w:tc>
        <w:tc>
          <w:tcPr>
            <w:tcW w:w="650" w:type="pct"/>
            <w:tcBorders>
              <w:top w:val="nil"/>
              <w:left w:val="single" w:color="auto" w:sz="4" w:space="0"/>
              <w:bottom w:val="nil"/>
              <w:right w:val="nil"/>
            </w:tcBorders>
            <w:shd w:val="clear" w:color="auto" w:fill="auto"/>
          </w:tcPr>
          <w:p>
            <w:pPr>
              <w:pStyle w:val="121"/>
            </w:pPr>
            <w:r>
              <w:t>　</w:t>
            </w:r>
          </w:p>
        </w:tc>
        <w:tc>
          <w:tcPr>
            <w:tcW w:w="2554" w:type="pct"/>
            <w:gridSpan w:val="3"/>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十一、培训费</w:t>
            </w:r>
          </w:p>
        </w:tc>
        <w:tc>
          <w:tcPr>
            <w:tcW w:w="650" w:type="pct"/>
            <w:tcBorders>
              <w:top w:val="nil"/>
              <w:left w:val="single" w:color="auto" w:sz="4" w:space="0"/>
              <w:bottom w:val="nil"/>
              <w:right w:val="nil"/>
            </w:tcBorders>
            <w:shd w:val="clear" w:color="auto" w:fill="auto"/>
          </w:tcPr>
          <w:p>
            <w:pPr>
              <w:pStyle w:val="121"/>
            </w:pPr>
            <w:r>
              <w:t>　</w:t>
            </w:r>
          </w:p>
        </w:tc>
        <w:tc>
          <w:tcPr>
            <w:tcW w:w="869"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十二、专用材料费</w:t>
            </w:r>
          </w:p>
        </w:tc>
        <w:tc>
          <w:tcPr>
            <w:tcW w:w="650" w:type="pct"/>
            <w:tcBorders>
              <w:top w:val="nil"/>
              <w:left w:val="single" w:color="auto" w:sz="4" w:space="0"/>
              <w:bottom w:val="nil"/>
              <w:right w:val="nil"/>
            </w:tcBorders>
            <w:shd w:val="clear" w:color="auto" w:fill="auto"/>
          </w:tcPr>
          <w:p>
            <w:pPr>
              <w:pStyle w:val="121"/>
            </w:pPr>
            <w:r>
              <w:t>　</w:t>
            </w:r>
          </w:p>
        </w:tc>
        <w:tc>
          <w:tcPr>
            <w:tcW w:w="869"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1.原材料</w:t>
            </w:r>
          </w:p>
        </w:tc>
        <w:tc>
          <w:tcPr>
            <w:tcW w:w="650" w:type="pct"/>
            <w:tcBorders>
              <w:top w:val="nil"/>
              <w:left w:val="single" w:color="auto" w:sz="4" w:space="0"/>
              <w:bottom w:val="nil"/>
              <w:right w:val="nil"/>
            </w:tcBorders>
            <w:shd w:val="clear" w:color="auto" w:fill="auto"/>
          </w:tcPr>
          <w:p>
            <w:pPr>
              <w:pStyle w:val="121"/>
            </w:pPr>
            <w:r>
              <w:t>　</w:t>
            </w:r>
          </w:p>
        </w:tc>
        <w:tc>
          <w:tcPr>
            <w:tcW w:w="869"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2.专用管材</w:t>
            </w:r>
          </w:p>
        </w:tc>
        <w:tc>
          <w:tcPr>
            <w:tcW w:w="650" w:type="pct"/>
            <w:tcBorders>
              <w:top w:val="nil"/>
              <w:left w:val="single" w:color="auto" w:sz="4" w:space="0"/>
              <w:bottom w:val="nil"/>
              <w:right w:val="nil"/>
            </w:tcBorders>
            <w:shd w:val="clear" w:color="auto" w:fill="auto"/>
          </w:tcPr>
          <w:p>
            <w:pPr>
              <w:pStyle w:val="121"/>
            </w:pPr>
          </w:p>
        </w:tc>
        <w:tc>
          <w:tcPr>
            <w:tcW w:w="869"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3.低值易耗品</w:t>
            </w:r>
          </w:p>
        </w:tc>
        <w:tc>
          <w:tcPr>
            <w:tcW w:w="650" w:type="pct"/>
            <w:tcBorders>
              <w:top w:val="nil"/>
              <w:left w:val="single" w:color="auto" w:sz="4" w:space="0"/>
              <w:bottom w:val="nil"/>
              <w:right w:val="nil"/>
            </w:tcBorders>
            <w:shd w:val="clear" w:color="auto" w:fill="auto"/>
          </w:tcPr>
          <w:p>
            <w:pPr>
              <w:pStyle w:val="121"/>
            </w:pPr>
            <w:r>
              <w:t>　</w:t>
            </w:r>
          </w:p>
        </w:tc>
        <w:tc>
          <w:tcPr>
            <w:tcW w:w="869"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left w:val="single" w:color="auto" w:sz="4" w:space="0"/>
              <w:bottom w:val="single" w:color="auto" w:sz="4" w:space="0"/>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4.技术资料</w:t>
            </w:r>
          </w:p>
        </w:tc>
        <w:tc>
          <w:tcPr>
            <w:tcW w:w="650" w:type="pct"/>
            <w:tcBorders>
              <w:top w:val="nil"/>
              <w:left w:val="single" w:color="auto" w:sz="4" w:space="0"/>
              <w:bottom w:val="single" w:color="auto" w:sz="4" w:space="0"/>
              <w:right w:val="nil"/>
            </w:tcBorders>
            <w:shd w:val="clear" w:color="auto" w:fill="auto"/>
          </w:tcPr>
          <w:p>
            <w:pPr>
              <w:pStyle w:val="121"/>
            </w:pPr>
            <w:r>
              <w:t>　</w:t>
            </w:r>
          </w:p>
        </w:tc>
        <w:tc>
          <w:tcPr>
            <w:tcW w:w="869" w:type="pct"/>
            <w:tcBorders>
              <w:top w:val="nil"/>
              <w:left w:val="nil"/>
              <w:bottom w:val="single" w:color="auto" w:sz="4" w:space="0"/>
              <w:right w:val="nil"/>
            </w:tcBorders>
            <w:shd w:val="clear" w:color="auto" w:fill="auto"/>
          </w:tcPr>
          <w:p>
            <w:pPr>
              <w:pStyle w:val="121"/>
            </w:pPr>
          </w:p>
        </w:tc>
        <w:tc>
          <w:tcPr>
            <w:tcW w:w="877" w:type="pct"/>
            <w:tcBorders>
              <w:top w:val="nil"/>
              <w:left w:val="nil"/>
              <w:bottom w:val="single" w:color="auto" w:sz="4" w:space="0"/>
              <w:right w:val="nil"/>
            </w:tcBorders>
            <w:shd w:val="clear" w:color="auto" w:fill="auto"/>
            <w:vAlign w:val="bottom"/>
          </w:tcPr>
          <w:p>
            <w:pPr>
              <w:pStyle w:val="121"/>
            </w:pPr>
          </w:p>
        </w:tc>
        <w:tc>
          <w:tcPr>
            <w:tcW w:w="809" w:type="pct"/>
            <w:tcBorders>
              <w:top w:val="nil"/>
              <w:left w:val="nil"/>
              <w:bottom w:val="single" w:color="auto" w:sz="4" w:space="0"/>
              <w:right w:val="single" w:color="auto" w:sz="4" w:space="0"/>
            </w:tcBorders>
            <w:shd w:val="clear" w:color="auto" w:fill="auto"/>
            <w:vAlign w:val="bottom"/>
          </w:tcPr>
          <w:p>
            <w:pPr>
              <w:pStyle w:val="121"/>
            </w:pPr>
          </w:p>
        </w:tc>
      </w:tr>
    </w:tbl>
    <w:p>
      <w:pPr>
        <w:pStyle w:val="121"/>
      </w:pPr>
    </w:p>
    <w:p>
      <w:pPr>
        <w:pStyle w:val="121"/>
        <w:jc w:val="right"/>
      </w:pPr>
      <w:r>
        <w:t>预工</w:t>
      </w:r>
      <w:r>
        <w:rPr>
          <w:rFonts w:ascii="宋体"/>
        </w:rPr>
        <w:t>-</w:t>
      </w:r>
      <w:r>
        <w:t>1</w:t>
      </w:r>
    </w:p>
    <w:p>
      <w:pPr>
        <w:pStyle w:val="119"/>
      </w:pPr>
      <w:r>
        <w:t>费用归集汇总预算表（续表）</w:t>
      </w:r>
    </w:p>
    <w:tbl>
      <w:tblPr>
        <w:tblStyle w:val="36"/>
        <w:tblW w:w="5000" w:type="pct"/>
        <w:jc w:val="center"/>
        <w:tblLayout w:type="autofit"/>
        <w:tblCellMar>
          <w:top w:w="0" w:type="dxa"/>
          <w:left w:w="108" w:type="dxa"/>
          <w:bottom w:w="0" w:type="dxa"/>
          <w:right w:w="108" w:type="dxa"/>
        </w:tblCellMar>
      </w:tblPr>
      <w:tblGrid>
        <w:gridCol w:w="3404"/>
        <w:gridCol w:w="1233"/>
        <w:gridCol w:w="1647"/>
        <w:gridCol w:w="1664"/>
        <w:gridCol w:w="1536"/>
      </w:tblGrid>
      <w:tr>
        <w:tblPrEx>
          <w:tblCellMar>
            <w:top w:w="0" w:type="dxa"/>
            <w:left w:w="108" w:type="dxa"/>
            <w:bottom w:w="0" w:type="dxa"/>
            <w:right w:w="108" w:type="dxa"/>
          </w:tblCellMar>
        </w:tblPrEx>
        <w:trPr>
          <w:trHeight w:val="169" w:hRule="atLeast"/>
          <w:tblHeader/>
          <w:jc w:val="center"/>
        </w:trPr>
        <w:tc>
          <w:tcPr>
            <w:tcW w:w="1794" w:type="pct"/>
            <w:vMerge w:val="restart"/>
            <w:tcBorders>
              <w:top w:val="single" w:color="auto" w:sz="4" w:space="0"/>
              <w:left w:val="single" w:color="auto" w:sz="4" w:space="0"/>
              <w:bottom w:val="nil"/>
              <w:right w:val="single" w:color="auto" w:sz="4" w:space="0"/>
            </w:tcBorders>
            <w:shd w:val="clear" w:color="auto" w:fill="auto"/>
            <w:vAlign w:val="center"/>
          </w:tcPr>
          <w:p>
            <w:pPr>
              <w:pStyle w:val="121"/>
            </w:pPr>
            <w:r>
              <w:t>经济分类科目</w:t>
            </w:r>
          </w:p>
        </w:tc>
        <w:tc>
          <w:tcPr>
            <w:tcW w:w="2395" w:type="pct"/>
            <w:gridSpan w:val="3"/>
            <w:tcBorders>
              <w:top w:val="single" w:color="auto" w:sz="4" w:space="0"/>
              <w:left w:val="nil"/>
              <w:bottom w:val="single" w:color="auto" w:sz="4" w:space="0"/>
              <w:right w:val="nil"/>
            </w:tcBorders>
            <w:shd w:val="clear" w:color="auto" w:fill="auto"/>
            <w:vAlign w:val="center"/>
          </w:tcPr>
          <w:p>
            <w:pPr>
              <w:pStyle w:val="121"/>
            </w:pPr>
            <w:r>
              <w:t>预算（万元）</w:t>
            </w:r>
          </w:p>
        </w:tc>
        <w:tc>
          <w:tcPr>
            <w:tcW w:w="809" w:type="pct"/>
            <w:vMerge w:val="restart"/>
            <w:tcBorders>
              <w:top w:val="single" w:color="auto" w:sz="4" w:space="0"/>
              <w:left w:val="single" w:color="auto" w:sz="4" w:space="0"/>
              <w:bottom w:val="nil"/>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169" w:hRule="atLeast"/>
          <w:tblHeader/>
          <w:jc w:val="center"/>
        </w:trPr>
        <w:tc>
          <w:tcPr>
            <w:tcW w:w="1794" w:type="pct"/>
            <w:vMerge w:val="continue"/>
            <w:tcBorders>
              <w:top w:val="single" w:color="auto" w:sz="4" w:space="0"/>
              <w:left w:val="single" w:color="auto" w:sz="4" w:space="0"/>
              <w:bottom w:val="nil"/>
              <w:right w:val="single" w:color="auto" w:sz="4" w:space="0"/>
            </w:tcBorders>
            <w:vAlign w:val="center"/>
          </w:tcPr>
          <w:p/>
        </w:tc>
        <w:tc>
          <w:tcPr>
            <w:tcW w:w="1518" w:type="pct"/>
            <w:gridSpan w:val="2"/>
            <w:tcBorders>
              <w:top w:val="single" w:color="auto" w:sz="4" w:space="0"/>
              <w:left w:val="nil"/>
              <w:bottom w:val="single" w:color="auto" w:sz="4" w:space="0"/>
              <w:right w:val="single" w:color="000000" w:sz="4" w:space="0"/>
            </w:tcBorders>
            <w:shd w:val="clear" w:color="auto" w:fill="auto"/>
            <w:vAlign w:val="center"/>
          </w:tcPr>
          <w:p>
            <w:pPr>
              <w:pStyle w:val="121"/>
            </w:pPr>
            <w:r>
              <w:t>总预算</w:t>
            </w:r>
          </w:p>
        </w:tc>
        <w:tc>
          <w:tcPr>
            <w:tcW w:w="877" w:type="pct"/>
            <w:tcBorders>
              <w:top w:val="nil"/>
              <w:left w:val="nil"/>
              <w:bottom w:val="single" w:color="auto" w:sz="4" w:space="0"/>
              <w:right w:val="single" w:color="auto" w:sz="4" w:space="0"/>
            </w:tcBorders>
            <w:shd w:val="clear" w:color="auto" w:fill="auto"/>
            <w:vAlign w:val="center"/>
          </w:tcPr>
          <w:p>
            <w:pPr>
              <w:pStyle w:val="121"/>
            </w:pPr>
            <w:r>
              <w:t>本年度预算</w:t>
            </w:r>
          </w:p>
        </w:tc>
        <w:tc>
          <w:tcPr>
            <w:tcW w:w="809" w:type="pct"/>
            <w:vMerge w:val="continue"/>
            <w:tcBorders>
              <w:top w:val="single" w:color="auto" w:sz="4" w:space="0"/>
              <w:left w:val="single" w:color="auto" w:sz="4" w:space="0"/>
              <w:bottom w:val="nil"/>
              <w:right w:val="single" w:color="auto" w:sz="4" w:space="0"/>
            </w:tcBorders>
            <w:vAlign w:val="center"/>
          </w:tcPr>
          <w:p/>
        </w:tc>
      </w:tr>
      <w:tr>
        <w:tblPrEx>
          <w:tblCellMar>
            <w:top w:w="0" w:type="dxa"/>
            <w:left w:w="108" w:type="dxa"/>
            <w:bottom w:w="0" w:type="dxa"/>
            <w:right w:w="108" w:type="dxa"/>
          </w:tblCellMar>
        </w:tblPrEx>
        <w:trPr>
          <w:trHeight w:val="169" w:hRule="atLeast"/>
          <w:tblHeader/>
          <w:jc w:val="center"/>
        </w:trPr>
        <w:tc>
          <w:tcPr>
            <w:tcW w:w="1794"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甲</w:t>
            </w:r>
          </w:p>
        </w:tc>
        <w:tc>
          <w:tcPr>
            <w:tcW w:w="1518" w:type="pct"/>
            <w:gridSpan w:val="2"/>
            <w:tcBorders>
              <w:top w:val="single" w:color="auto" w:sz="4" w:space="0"/>
              <w:left w:val="nil"/>
              <w:bottom w:val="single" w:color="auto" w:sz="4" w:space="0"/>
              <w:right w:val="single" w:color="000000" w:sz="4" w:space="0"/>
            </w:tcBorders>
            <w:shd w:val="clear" w:color="auto" w:fill="auto"/>
            <w:vAlign w:val="center"/>
          </w:tcPr>
          <w:p>
            <w:pPr>
              <w:pStyle w:val="121"/>
            </w:pPr>
            <w:r>
              <w:t>1</w:t>
            </w:r>
          </w:p>
        </w:tc>
        <w:tc>
          <w:tcPr>
            <w:tcW w:w="877" w:type="pct"/>
            <w:tcBorders>
              <w:top w:val="nil"/>
              <w:left w:val="nil"/>
              <w:bottom w:val="single" w:color="auto" w:sz="4" w:space="0"/>
              <w:right w:val="single" w:color="auto" w:sz="4" w:space="0"/>
            </w:tcBorders>
            <w:shd w:val="clear" w:color="auto" w:fill="auto"/>
            <w:vAlign w:val="center"/>
          </w:tcPr>
          <w:p>
            <w:pPr>
              <w:pStyle w:val="121"/>
            </w:pPr>
            <w:r>
              <w:t>2</w:t>
            </w:r>
          </w:p>
        </w:tc>
        <w:tc>
          <w:tcPr>
            <w:tcW w:w="809" w:type="pct"/>
            <w:tcBorders>
              <w:top w:val="single" w:color="auto" w:sz="4" w:space="0"/>
              <w:left w:val="nil"/>
              <w:bottom w:val="single" w:color="auto" w:sz="4" w:space="0"/>
              <w:right w:val="single" w:color="auto" w:sz="4" w:space="0"/>
            </w:tcBorders>
            <w:shd w:val="clear" w:color="auto" w:fill="auto"/>
            <w:vAlign w:val="center"/>
          </w:tcPr>
          <w:p>
            <w:pPr>
              <w:pStyle w:val="121"/>
            </w:pPr>
            <w:r>
              <w:t>3</w:t>
            </w: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5.……</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十三、专用燃料费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十四、劳务费</w:t>
            </w:r>
          </w:p>
        </w:tc>
        <w:tc>
          <w:tcPr>
            <w:tcW w:w="650" w:type="pct"/>
            <w:tcBorders>
              <w:top w:val="nil"/>
              <w:left w:val="single" w:color="auto" w:sz="4" w:space="0"/>
              <w:bottom w:val="nil"/>
              <w:right w:val="nil"/>
            </w:tcBorders>
            <w:shd w:val="clear" w:color="auto" w:fill="auto"/>
          </w:tcPr>
          <w:p>
            <w:pPr>
              <w:pStyle w:val="121"/>
            </w:pP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1.设计审查</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2.成果验收</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3.临时聘用人员</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nil"/>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4.野外雇工</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r>
              <w:t>　</w:t>
            </w:r>
          </w:p>
        </w:tc>
        <w:tc>
          <w:tcPr>
            <w:tcW w:w="877" w:type="pct"/>
            <w:tcBorders>
              <w:top w:val="nil"/>
              <w:left w:val="nil"/>
              <w:bottom w:val="nil"/>
              <w:right w:val="nil"/>
            </w:tcBorders>
            <w:shd w:val="clear" w:color="auto" w:fill="auto"/>
            <w:vAlign w:val="bottom"/>
          </w:tcPr>
          <w:p>
            <w:pPr>
              <w:pStyle w:val="121"/>
            </w:pPr>
            <w:r>
              <w:t>　</w:t>
            </w:r>
          </w:p>
        </w:tc>
        <w:tc>
          <w:tcPr>
            <w:tcW w:w="809" w:type="pct"/>
            <w:tcBorders>
              <w:top w:val="nil"/>
              <w:left w:val="nil"/>
              <w:bottom w:val="nil"/>
              <w:right w:val="single" w:color="auto" w:sz="4" w:space="0"/>
            </w:tcBorders>
            <w:shd w:val="clear" w:color="auto" w:fill="auto"/>
            <w:vAlign w:val="bottom"/>
          </w:tcPr>
          <w:p>
            <w:pPr>
              <w:pStyle w:val="121"/>
            </w:pPr>
            <w:r>
              <w:t>　</w:t>
            </w: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nil"/>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5.租车费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nil"/>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6.……</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nil"/>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十五、委托业务费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nil"/>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1.协作研究费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nil"/>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2.测试费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3.施工费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4.加工费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5.软件研制费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6.……</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十六、设备购置费</w:t>
            </w:r>
          </w:p>
        </w:tc>
        <w:tc>
          <w:tcPr>
            <w:tcW w:w="650" w:type="pct"/>
            <w:tcBorders>
              <w:top w:val="nil"/>
              <w:left w:val="single" w:color="auto" w:sz="4" w:space="0"/>
              <w:bottom w:val="nil"/>
              <w:right w:val="nil"/>
            </w:tcBorders>
            <w:shd w:val="clear" w:color="auto" w:fill="auto"/>
          </w:tcPr>
          <w:p>
            <w:pPr>
              <w:pStyle w:val="121"/>
            </w:pP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1.专用设备购置</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2.专用软件购置</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w:t>
            </w:r>
          </w:p>
        </w:tc>
        <w:tc>
          <w:tcPr>
            <w:tcW w:w="650" w:type="pct"/>
            <w:tcBorders>
              <w:top w:val="nil"/>
              <w:left w:val="single" w:color="auto" w:sz="4" w:space="0"/>
              <w:bottom w:val="nil"/>
              <w:right w:val="nil"/>
            </w:tcBorders>
            <w:shd w:val="clear" w:color="auto" w:fill="auto"/>
          </w:tcPr>
          <w:p>
            <w:pPr>
              <w:pStyle w:val="121"/>
            </w:pP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十七、其他商品和服务支出</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1.土地及青苗补偿费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（1）临时性土地占用</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（2）青苗树木赔偿</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（3）临时性设施拆建</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2.劳动保护费</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3.保险</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4.……</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十八、利润</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nil"/>
              <w:right w:val="single" w:color="auto" w:sz="4" w:space="0"/>
            </w:tcBorders>
            <w:shd w:val="clear" w:color="auto" w:fill="auto"/>
            <w:vAlign w:val="center"/>
          </w:tcPr>
          <w:p>
            <w:pPr>
              <w:adjustRightInd w:val="0"/>
              <w:snapToGrid w:val="0"/>
              <w:spacing w:before="120" w:beforeLines="50" w:line="240" w:lineRule="auto"/>
              <w:ind w:firstLine="0"/>
              <w:rPr>
                <w:rFonts w:ascii="Times New Roman" w:hAnsi="Times New Roman" w:cs="Times New Roman"/>
                <w:sz w:val="18"/>
                <w:szCs w:val="18"/>
              </w:rPr>
            </w:pPr>
            <w:r>
              <w:rPr>
                <w:rFonts w:ascii="Times New Roman" w:hAnsi="Times New Roman" w:cs="Times New Roman"/>
                <w:sz w:val="18"/>
                <w:szCs w:val="18"/>
              </w:rPr>
              <w:t>十九、税金及附加费用</w:t>
            </w:r>
          </w:p>
        </w:tc>
        <w:tc>
          <w:tcPr>
            <w:tcW w:w="650" w:type="pct"/>
            <w:tcBorders>
              <w:top w:val="nil"/>
              <w:left w:val="single" w:color="auto" w:sz="4" w:space="0"/>
              <w:bottom w:val="nil"/>
              <w:right w:val="nil"/>
            </w:tcBorders>
            <w:shd w:val="clear" w:color="auto" w:fill="auto"/>
          </w:tcPr>
          <w:p>
            <w:pPr>
              <w:pStyle w:val="121"/>
            </w:pPr>
            <w:r>
              <w:t>　</w:t>
            </w:r>
          </w:p>
        </w:tc>
        <w:tc>
          <w:tcPr>
            <w:tcW w:w="868" w:type="pct"/>
            <w:tcBorders>
              <w:top w:val="nil"/>
              <w:left w:val="nil"/>
              <w:bottom w:val="nil"/>
              <w:right w:val="nil"/>
            </w:tcBorders>
            <w:shd w:val="clear" w:color="auto" w:fill="auto"/>
          </w:tcPr>
          <w:p>
            <w:pPr>
              <w:pStyle w:val="121"/>
            </w:pPr>
          </w:p>
        </w:tc>
        <w:tc>
          <w:tcPr>
            <w:tcW w:w="877" w:type="pct"/>
            <w:tcBorders>
              <w:top w:val="nil"/>
              <w:left w:val="nil"/>
              <w:bottom w:val="nil"/>
              <w:right w:val="nil"/>
            </w:tcBorders>
            <w:shd w:val="clear" w:color="auto" w:fill="auto"/>
            <w:vAlign w:val="bottom"/>
          </w:tcPr>
          <w:p>
            <w:pPr>
              <w:pStyle w:val="121"/>
            </w:pPr>
          </w:p>
        </w:tc>
        <w:tc>
          <w:tcPr>
            <w:tcW w:w="809"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169" w:hRule="atLeast"/>
          <w:jc w:val="center"/>
        </w:trPr>
        <w:tc>
          <w:tcPr>
            <w:tcW w:w="1794" w:type="pct"/>
            <w:tcBorders>
              <w:top w:val="nil"/>
              <w:left w:val="single" w:color="auto" w:sz="4" w:space="0"/>
              <w:bottom w:val="single" w:color="auto" w:sz="4" w:space="0"/>
              <w:right w:val="single" w:color="auto" w:sz="4" w:space="0"/>
            </w:tcBorders>
            <w:shd w:val="clear" w:color="auto" w:fill="auto"/>
            <w:vAlign w:val="center"/>
          </w:tcPr>
          <w:p>
            <w:pPr>
              <w:pStyle w:val="121"/>
              <w:jc w:val="left"/>
            </w:pPr>
          </w:p>
        </w:tc>
        <w:tc>
          <w:tcPr>
            <w:tcW w:w="650" w:type="pct"/>
            <w:tcBorders>
              <w:top w:val="nil"/>
              <w:left w:val="nil"/>
              <w:bottom w:val="single" w:color="auto" w:sz="4" w:space="0"/>
              <w:right w:val="nil"/>
            </w:tcBorders>
            <w:shd w:val="clear" w:color="auto" w:fill="auto"/>
            <w:vAlign w:val="center"/>
          </w:tcPr>
          <w:p>
            <w:pPr>
              <w:pStyle w:val="121"/>
            </w:pPr>
            <w:r>
              <w:t>　</w:t>
            </w:r>
          </w:p>
        </w:tc>
        <w:tc>
          <w:tcPr>
            <w:tcW w:w="868" w:type="pct"/>
            <w:tcBorders>
              <w:top w:val="nil"/>
              <w:left w:val="nil"/>
              <w:bottom w:val="single" w:color="auto" w:sz="4" w:space="0"/>
              <w:right w:val="nil"/>
            </w:tcBorders>
            <w:shd w:val="clear" w:color="auto" w:fill="auto"/>
            <w:vAlign w:val="center"/>
          </w:tcPr>
          <w:p>
            <w:pPr>
              <w:pStyle w:val="121"/>
            </w:pPr>
            <w:r>
              <w:t>　</w:t>
            </w:r>
          </w:p>
        </w:tc>
        <w:tc>
          <w:tcPr>
            <w:tcW w:w="877" w:type="pct"/>
            <w:tcBorders>
              <w:top w:val="nil"/>
              <w:left w:val="nil"/>
              <w:bottom w:val="single" w:color="auto" w:sz="4" w:space="0"/>
              <w:right w:val="nil"/>
            </w:tcBorders>
            <w:shd w:val="clear" w:color="auto" w:fill="auto"/>
            <w:vAlign w:val="center"/>
          </w:tcPr>
          <w:p>
            <w:pPr>
              <w:pStyle w:val="121"/>
            </w:pPr>
            <w:r>
              <w:t>　</w:t>
            </w:r>
          </w:p>
        </w:tc>
        <w:tc>
          <w:tcPr>
            <w:tcW w:w="809"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794" w:type="pct"/>
            <w:tcBorders>
              <w:top w:val="nil"/>
              <w:left w:val="nil"/>
              <w:bottom w:val="nil"/>
              <w:right w:val="nil"/>
            </w:tcBorders>
            <w:shd w:val="clear" w:color="auto" w:fill="auto"/>
            <w:vAlign w:val="bottom"/>
          </w:tcPr>
          <w:p>
            <w:pPr>
              <w:pStyle w:val="121"/>
              <w:jc w:val="both"/>
            </w:pPr>
            <w:r>
              <w:t>预算编制人：（签章）</w:t>
            </w:r>
          </w:p>
        </w:tc>
        <w:tc>
          <w:tcPr>
            <w:tcW w:w="650" w:type="pct"/>
            <w:tcBorders>
              <w:top w:val="nil"/>
              <w:left w:val="nil"/>
              <w:bottom w:val="nil"/>
              <w:right w:val="nil"/>
            </w:tcBorders>
            <w:shd w:val="clear" w:color="auto" w:fill="auto"/>
            <w:vAlign w:val="bottom"/>
          </w:tcPr>
          <w:p>
            <w:pPr>
              <w:pStyle w:val="121"/>
              <w:jc w:val="both"/>
            </w:pPr>
          </w:p>
        </w:tc>
        <w:tc>
          <w:tcPr>
            <w:tcW w:w="868" w:type="pct"/>
            <w:tcBorders>
              <w:top w:val="nil"/>
              <w:left w:val="nil"/>
              <w:bottom w:val="nil"/>
              <w:right w:val="nil"/>
            </w:tcBorders>
            <w:shd w:val="clear" w:color="auto" w:fill="auto"/>
            <w:vAlign w:val="bottom"/>
          </w:tcPr>
          <w:p>
            <w:pPr>
              <w:pStyle w:val="121"/>
              <w:jc w:val="both"/>
            </w:pPr>
          </w:p>
        </w:tc>
        <w:tc>
          <w:tcPr>
            <w:tcW w:w="1686" w:type="pct"/>
            <w:gridSpan w:val="2"/>
            <w:tcBorders>
              <w:top w:val="single" w:color="auto" w:sz="4" w:space="0"/>
              <w:left w:val="nil"/>
              <w:bottom w:val="nil"/>
              <w:right w:val="nil"/>
            </w:tcBorders>
            <w:shd w:val="clear" w:color="auto" w:fill="auto"/>
            <w:vAlign w:val="bottom"/>
          </w:tcPr>
          <w:p>
            <w:pPr>
              <w:pStyle w:val="121"/>
              <w:jc w:val="both"/>
            </w:pPr>
            <w:r>
              <w:t>预算审核人：（签章）</w:t>
            </w:r>
          </w:p>
        </w:tc>
      </w:tr>
    </w:tbl>
    <w:p>
      <w:pPr>
        <w:pStyle w:val="121"/>
      </w:pPr>
      <w:r>
        <w:br w:type="page"/>
      </w:r>
    </w:p>
    <w:p>
      <w:pPr>
        <w:pStyle w:val="121"/>
        <w:jc w:val="right"/>
      </w:pPr>
      <w:r>
        <w:t>预工附</w:t>
      </w:r>
      <w:r>
        <w:rPr>
          <w:rFonts w:ascii="宋体"/>
        </w:rPr>
        <w:t>-</w:t>
      </w:r>
      <w:r>
        <w:t>1</w:t>
      </w:r>
    </w:p>
    <w:p>
      <w:pPr>
        <w:pStyle w:val="119"/>
      </w:pPr>
      <w:r>
        <w:t>绩效工资预算明细表</w:t>
      </w:r>
    </w:p>
    <w:p>
      <w:pPr>
        <w:pStyle w:val="119"/>
      </w:pPr>
      <w:r>
        <w:t>（    年度）</w:t>
      </w:r>
    </w:p>
    <w:p>
      <w:pPr>
        <w:pStyle w:val="121"/>
        <w:spacing w:before="120" w:beforeLines="50" w:after="120" w:afterLines="50"/>
        <w:jc w:val="left"/>
        <w:rPr>
          <w:rFonts w:ascii="宋体"/>
        </w:rPr>
      </w:pPr>
      <w:r>
        <w:rPr>
          <w:rFonts w:hint="eastAsia" w:ascii="宋体"/>
        </w:rPr>
        <w:t>工作项目名称：                                                                             单位为万元</w:t>
      </w:r>
    </w:p>
    <w:tbl>
      <w:tblPr>
        <w:tblStyle w:val="36"/>
        <w:tblW w:w="4998" w:type="pct"/>
        <w:jc w:val="center"/>
        <w:tblLayout w:type="autofit"/>
        <w:tblCellMar>
          <w:top w:w="0" w:type="dxa"/>
          <w:left w:w="108" w:type="dxa"/>
          <w:bottom w:w="0" w:type="dxa"/>
          <w:right w:w="108" w:type="dxa"/>
        </w:tblCellMar>
      </w:tblPr>
      <w:tblGrid>
        <w:gridCol w:w="625"/>
        <w:gridCol w:w="825"/>
        <w:gridCol w:w="897"/>
        <w:gridCol w:w="611"/>
        <w:gridCol w:w="588"/>
        <w:gridCol w:w="760"/>
        <w:gridCol w:w="1193"/>
        <w:gridCol w:w="867"/>
        <w:gridCol w:w="434"/>
        <w:gridCol w:w="1309"/>
        <w:gridCol w:w="241"/>
        <w:gridCol w:w="658"/>
        <w:gridCol w:w="472"/>
      </w:tblGrid>
      <w:tr>
        <w:tblPrEx>
          <w:tblCellMar>
            <w:top w:w="0" w:type="dxa"/>
            <w:left w:w="108" w:type="dxa"/>
            <w:bottom w:w="0" w:type="dxa"/>
            <w:right w:w="108" w:type="dxa"/>
          </w:tblCellMar>
        </w:tblPrEx>
        <w:trPr>
          <w:trHeight w:val="510" w:hRule="atLeast"/>
          <w:jc w:val="center"/>
        </w:trPr>
        <w:tc>
          <w:tcPr>
            <w:tcW w:w="3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43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姓名</w:t>
            </w:r>
          </w:p>
        </w:tc>
        <w:tc>
          <w:tcPr>
            <w:tcW w:w="47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年龄</w:t>
            </w:r>
          </w:p>
        </w:tc>
        <w:tc>
          <w:tcPr>
            <w:tcW w:w="3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现工作单位</w:t>
            </w:r>
          </w:p>
        </w:tc>
        <w:tc>
          <w:tcPr>
            <w:tcW w:w="31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职务/职称</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在本项目中的作用</w:t>
            </w:r>
          </w:p>
        </w:tc>
        <w:tc>
          <w:tcPr>
            <w:tcW w:w="62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投入本项目的全时工作时间（月）</w:t>
            </w:r>
          </w:p>
        </w:tc>
        <w:tc>
          <w:tcPr>
            <w:tcW w:w="1376" w:type="pct"/>
            <w:gridSpan w:val="3"/>
            <w:tcBorders>
              <w:top w:val="single" w:color="auto" w:sz="4" w:space="0"/>
              <w:left w:val="nil"/>
              <w:bottom w:val="single" w:color="auto" w:sz="4" w:space="0"/>
              <w:right w:val="single" w:color="auto" w:sz="4" w:space="0"/>
            </w:tcBorders>
            <w:shd w:val="clear" w:color="auto" w:fill="auto"/>
            <w:vAlign w:val="center"/>
          </w:tcPr>
          <w:p>
            <w:pPr>
              <w:pStyle w:val="121"/>
            </w:pPr>
            <w:r>
              <w:t>从本项目支出的人员绩效工资</w:t>
            </w:r>
          </w:p>
        </w:tc>
        <w:tc>
          <w:tcPr>
            <w:tcW w:w="723" w:type="pct"/>
            <w:gridSpan w:val="3"/>
            <w:vMerge w:val="restart"/>
            <w:tcBorders>
              <w:top w:val="single" w:color="auto" w:sz="4" w:space="0"/>
              <w:left w:val="nil"/>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645" w:hRule="atLeast"/>
          <w:jc w:val="center"/>
        </w:trPr>
        <w:tc>
          <w:tcPr>
            <w:tcW w:w="330" w:type="pct"/>
            <w:vMerge w:val="continue"/>
            <w:tcBorders>
              <w:top w:val="single" w:color="auto" w:sz="4" w:space="0"/>
              <w:left w:val="single" w:color="auto" w:sz="4" w:space="0"/>
              <w:bottom w:val="single" w:color="auto" w:sz="4" w:space="0"/>
              <w:right w:val="single" w:color="auto" w:sz="4" w:space="0"/>
            </w:tcBorders>
            <w:vAlign w:val="center"/>
          </w:tcPr>
          <w:p/>
        </w:tc>
        <w:tc>
          <w:tcPr>
            <w:tcW w:w="435" w:type="pct"/>
            <w:vMerge w:val="continue"/>
            <w:tcBorders>
              <w:top w:val="single" w:color="auto" w:sz="4" w:space="0"/>
              <w:left w:val="single" w:color="auto" w:sz="4" w:space="0"/>
              <w:bottom w:val="single" w:color="auto" w:sz="4" w:space="0"/>
              <w:right w:val="single" w:color="auto" w:sz="4" w:space="0"/>
            </w:tcBorders>
            <w:vAlign w:val="center"/>
          </w:tcPr>
          <w:p/>
        </w:tc>
        <w:tc>
          <w:tcPr>
            <w:tcW w:w="473" w:type="pct"/>
            <w:vMerge w:val="continue"/>
            <w:tcBorders>
              <w:top w:val="single" w:color="auto" w:sz="4" w:space="0"/>
              <w:left w:val="single" w:color="auto" w:sz="4" w:space="0"/>
              <w:bottom w:val="single" w:color="auto" w:sz="4" w:space="0"/>
              <w:right w:val="single" w:color="auto" w:sz="4" w:space="0"/>
            </w:tcBorders>
            <w:vAlign w:val="center"/>
          </w:tcPr>
          <w:p/>
        </w:tc>
        <w:tc>
          <w:tcPr>
            <w:tcW w:w="320" w:type="pct"/>
            <w:vMerge w:val="continue"/>
            <w:tcBorders>
              <w:top w:val="single" w:color="auto" w:sz="4" w:space="0"/>
              <w:left w:val="single" w:color="auto" w:sz="4" w:space="0"/>
              <w:bottom w:val="single" w:color="auto" w:sz="4" w:space="0"/>
              <w:right w:val="single" w:color="auto" w:sz="4" w:space="0"/>
            </w:tcBorders>
            <w:vAlign w:val="center"/>
          </w:tcPr>
          <w:p/>
        </w:tc>
        <w:tc>
          <w:tcPr>
            <w:tcW w:w="310" w:type="pct"/>
            <w:vMerge w:val="continue"/>
            <w:tcBorders>
              <w:top w:val="single" w:color="auto" w:sz="4" w:space="0"/>
              <w:left w:val="single" w:color="auto" w:sz="4" w:space="0"/>
              <w:bottom w:val="single" w:color="auto" w:sz="4" w:space="0"/>
              <w:right w:val="single" w:color="auto" w:sz="4" w:space="0"/>
            </w:tcBorders>
            <w:vAlign w:val="center"/>
          </w:tcPr>
          <w:p/>
        </w:tc>
        <w:tc>
          <w:tcPr>
            <w:tcW w:w="401" w:type="pct"/>
            <w:vMerge w:val="continue"/>
            <w:tcBorders>
              <w:top w:val="single" w:color="auto" w:sz="4" w:space="0"/>
              <w:left w:val="single" w:color="auto" w:sz="4" w:space="0"/>
              <w:bottom w:val="single" w:color="auto" w:sz="4" w:space="0"/>
              <w:right w:val="single" w:color="auto" w:sz="4" w:space="0"/>
            </w:tcBorders>
            <w:vAlign w:val="center"/>
          </w:tcPr>
          <w:p/>
        </w:tc>
        <w:tc>
          <w:tcPr>
            <w:tcW w:w="629" w:type="pct"/>
            <w:vMerge w:val="continue"/>
            <w:tcBorders>
              <w:top w:val="single" w:color="auto" w:sz="4" w:space="0"/>
              <w:left w:val="single" w:color="auto" w:sz="4" w:space="0"/>
              <w:bottom w:val="single" w:color="auto" w:sz="4" w:space="0"/>
              <w:right w:val="single" w:color="auto" w:sz="4" w:space="0"/>
            </w:tcBorders>
            <w:vAlign w:val="center"/>
          </w:tcPr>
          <w:p/>
        </w:tc>
        <w:tc>
          <w:tcPr>
            <w:tcW w:w="686" w:type="pct"/>
            <w:gridSpan w:val="2"/>
            <w:tcBorders>
              <w:top w:val="nil"/>
              <w:left w:val="nil"/>
              <w:bottom w:val="single" w:color="auto" w:sz="4" w:space="0"/>
              <w:right w:val="single" w:color="auto" w:sz="4" w:space="0"/>
            </w:tcBorders>
            <w:shd w:val="clear" w:color="auto" w:fill="auto"/>
            <w:vAlign w:val="center"/>
          </w:tcPr>
          <w:p>
            <w:pPr>
              <w:pStyle w:val="121"/>
            </w:pPr>
            <w:r>
              <w:t>支出标准</w:t>
            </w:r>
          </w:p>
          <w:p>
            <w:pPr>
              <w:pStyle w:val="121"/>
            </w:pPr>
            <w:r>
              <w:t>（元/人</w:t>
            </w:r>
            <w:r>
              <w:rPr>
                <w:rFonts w:hint="eastAsia"/>
              </w:rPr>
              <w:t>·</w:t>
            </w:r>
            <w:r>
              <w:t>月）</w:t>
            </w:r>
          </w:p>
        </w:tc>
        <w:tc>
          <w:tcPr>
            <w:tcW w:w="690" w:type="pct"/>
            <w:tcBorders>
              <w:top w:val="nil"/>
              <w:left w:val="nil"/>
              <w:bottom w:val="single" w:color="auto" w:sz="4" w:space="0"/>
              <w:right w:val="single" w:color="auto" w:sz="4" w:space="0"/>
            </w:tcBorders>
            <w:shd w:val="clear" w:color="auto" w:fill="auto"/>
            <w:vAlign w:val="center"/>
          </w:tcPr>
          <w:p>
            <w:pPr>
              <w:pStyle w:val="121"/>
            </w:pPr>
            <w:r>
              <w:t>金额</w:t>
            </w:r>
          </w:p>
        </w:tc>
        <w:tc>
          <w:tcPr>
            <w:tcW w:w="720" w:type="pct"/>
            <w:gridSpan w:val="3"/>
            <w:vMerge w:val="continue"/>
            <w:tcBorders>
              <w:left w:val="nil"/>
              <w:bottom w:val="single" w:color="auto" w:sz="4" w:space="0"/>
              <w:right w:val="single" w:color="auto" w:sz="4" w:space="0"/>
            </w:tcBorders>
            <w:shd w:val="clear" w:color="auto" w:fill="auto"/>
            <w:vAlign w:val="center"/>
          </w:tcPr>
          <w:p/>
        </w:tc>
      </w:tr>
      <w:tr>
        <w:tblPrEx>
          <w:tblCellMar>
            <w:top w:w="0" w:type="dxa"/>
            <w:left w:w="108" w:type="dxa"/>
            <w:bottom w:w="0" w:type="dxa"/>
            <w:right w:w="108" w:type="dxa"/>
          </w:tblCellMar>
        </w:tblPrEx>
        <w:trPr>
          <w:trHeight w:val="510" w:hRule="atLeast"/>
          <w:jc w:val="center"/>
        </w:trPr>
        <w:tc>
          <w:tcPr>
            <w:tcW w:w="330"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435" w:type="pct"/>
            <w:tcBorders>
              <w:top w:val="nil"/>
              <w:left w:val="nil"/>
              <w:bottom w:val="single" w:color="auto" w:sz="4" w:space="0"/>
              <w:right w:val="single" w:color="auto" w:sz="4" w:space="0"/>
            </w:tcBorders>
            <w:shd w:val="clear" w:color="auto" w:fill="auto"/>
            <w:vAlign w:val="center"/>
          </w:tcPr>
          <w:p>
            <w:pPr>
              <w:pStyle w:val="121"/>
            </w:pPr>
            <w:r>
              <w:t>乙</w:t>
            </w:r>
          </w:p>
        </w:tc>
        <w:tc>
          <w:tcPr>
            <w:tcW w:w="473" w:type="pct"/>
            <w:tcBorders>
              <w:top w:val="nil"/>
              <w:left w:val="nil"/>
              <w:bottom w:val="single" w:color="auto" w:sz="4" w:space="0"/>
              <w:right w:val="single" w:color="auto" w:sz="4" w:space="0"/>
            </w:tcBorders>
            <w:shd w:val="clear" w:color="auto" w:fill="auto"/>
            <w:vAlign w:val="center"/>
          </w:tcPr>
          <w:p>
            <w:pPr>
              <w:pStyle w:val="121"/>
            </w:pPr>
            <w:r>
              <w:t>丙</w:t>
            </w:r>
          </w:p>
        </w:tc>
        <w:tc>
          <w:tcPr>
            <w:tcW w:w="322" w:type="pct"/>
            <w:tcBorders>
              <w:top w:val="nil"/>
              <w:left w:val="nil"/>
              <w:bottom w:val="single" w:color="auto" w:sz="4" w:space="0"/>
              <w:right w:val="single" w:color="auto" w:sz="4" w:space="0"/>
            </w:tcBorders>
            <w:shd w:val="clear" w:color="auto" w:fill="auto"/>
            <w:vAlign w:val="center"/>
          </w:tcPr>
          <w:p>
            <w:pPr>
              <w:pStyle w:val="121"/>
            </w:pPr>
            <w:r>
              <w:t>丁</w:t>
            </w:r>
          </w:p>
        </w:tc>
        <w:tc>
          <w:tcPr>
            <w:tcW w:w="310" w:type="pct"/>
            <w:tcBorders>
              <w:top w:val="nil"/>
              <w:left w:val="nil"/>
              <w:bottom w:val="single" w:color="auto" w:sz="4" w:space="0"/>
              <w:right w:val="single" w:color="auto" w:sz="4" w:space="0"/>
            </w:tcBorders>
            <w:shd w:val="clear" w:color="auto" w:fill="auto"/>
            <w:vAlign w:val="center"/>
          </w:tcPr>
          <w:p>
            <w:pPr>
              <w:pStyle w:val="121"/>
            </w:pPr>
            <w:r>
              <w:t>戊</w:t>
            </w:r>
          </w:p>
        </w:tc>
        <w:tc>
          <w:tcPr>
            <w:tcW w:w="401" w:type="pct"/>
            <w:tcBorders>
              <w:top w:val="nil"/>
              <w:left w:val="nil"/>
              <w:bottom w:val="single" w:color="auto" w:sz="4" w:space="0"/>
              <w:right w:val="single" w:color="auto" w:sz="4" w:space="0"/>
            </w:tcBorders>
            <w:shd w:val="clear" w:color="auto" w:fill="auto"/>
            <w:vAlign w:val="center"/>
          </w:tcPr>
          <w:p>
            <w:pPr>
              <w:pStyle w:val="121"/>
            </w:pPr>
            <w:r>
              <w:t>己</w:t>
            </w:r>
          </w:p>
        </w:tc>
        <w:tc>
          <w:tcPr>
            <w:tcW w:w="629" w:type="pct"/>
            <w:tcBorders>
              <w:top w:val="nil"/>
              <w:left w:val="nil"/>
              <w:bottom w:val="single" w:color="auto" w:sz="4" w:space="0"/>
              <w:right w:val="single" w:color="auto" w:sz="4" w:space="0"/>
            </w:tcBorders>
            <w:shd w:val="clear" w:color="auto" w:fill="auto"/>
            <w:vAlign w:val="center"/>
          </w:tcPr>
          <w:p>
            <w:pPr>
              <w:pStyle w:val="121"/>
            </w:pPr>
            <w:r>
              <w:t>1</w:t>
            </w:r>
          </w:p>
        </w:tc>
        <w:tc>
          <w:tcPr>
            <w:tcW w:w="686" w:type="pct"/>
            <w:gridSpan w:val="2"/>
            <w:tcBorders>
              <w:top w:val="nil"/>
              <w:left w:val="nil"/>
              <w:bottom w:val="single" w:color="auto" w:sz="4" w:space="0"/>
              <w:right w:val="single" w:color="auto" w:sz="4" w:space="0"/>
            </w:tcBorders>
            <w:shd w:val="clear" w:color="auto" w:fill="auto"/>
            <w:vAlign w:val="center"/>
          </w:tcPr>
          <w:p>
            <w:pPr>
              <w:pStyle w:val="121"/>
            </w:pPr>
            <w:r>
              <w:t>2</w:t>
            </w:r>
          </w:p>
        </w:tc>
        <w:tc>
          <w:tcPr>
            <w:tcW w:w="690" w:type="pct"/>
            <w:tcBorders>
              <w:top w:val="nil"/>
              <w:left w:val="nil"/>
              <w:bottom w:val="single" w:color="auto" w:sz="4" w:space="0"/>
              <w:right w:val="single" w:color="auto" w:sz="4" w:space="0"/>
            </w:tcBorders>
            <w:shd w:val="clear" w:color="auto" w:fill="auto"/>
            <w:vAlign w:val="center"/>
          </w:tcPr>
          <w:p>
            <w:pPr>
              <w:pStyle w:val="121"/>
            </w:pPr>
            <w:r>
              <w:t>3=1×2</w:t>
            </w:r>
          </w:p>
        </w:tc>
        <w:tc>
          <w:tcPr>
            <w:tcW w:w="723" w:type="pct"/>
            <w:gridSpan w:val="3"/>
            <w:tcBorders>
              <w:top w:val="nil"/>
              <w:left w:val="nil"/>
              <w:bottom w:val="single" w:color="auto" w:sz="4" w:space="0"/>
              <w:right w:val="single" w:color="auto" w:sz="4" w:space="0"/>
            </w:tcBorders>
            <w:shd w:val="clear" w:color="auto" w:fill="auto"/>
            <w:vAlign w:val="center"/>
          </w:tcPr>
          <w:p>
            <w:pPr>
              <w:pStyle w:val="121"/>
            </w:pPr>
            <w:r>
              <w:t>4</w:t>
            </w:r>
          </w:p>
        </w:tc>
      </w:tr>
      <w:tr>
        <w:trPr>
          <w:trHeight w:val="510" w:hRule="atLeast"/>
          <w:jc w:val="center"/>
        </w:trPr>
        <w:tc>
          <w:tcPr>
            <w:tcW w:w="330" w:type="pct"/>
            <w:tcBorders>
              <w:top w:val="nil"/>
              <w:left w:val="single" w:color="auto" w:sz="4" w:space="0"/>
              <w:bottom w:val="nil"/>
              <w:right w:val="single" w:color="auto" w:sz="4" w:space="0"/>
            </w:tcBorders>
            <w:shd w:val="clear" w:color="auto" w:fill="auto"/>
            <w:vAlign w:val="center"/>
          </w:tcPr>
          <w:p>
            <w:pPr>
              <w:pStyle w:val="121"/>
            </w:pPr>
            <w:r>
              <w:t>　</w:t>
            </w:r>
          </w:p>
        </w:tc>
        <w:tc>
          <w:tcPr>
            <w:tcW w:w="435" w:type="pct"/>
            <w:tcBorders>
              <w:top w:val="nil"/>
              <w:left w:val="nil"/>
              <w:bottom w:val="nil"/>
              <w:right w:val="single" w:color="auto" w:sz="4" w:space="0"/>
            </w:tcBorders>
            <w:shd w:val="clear" w:color="auto" w:fill="auto"/>
            <w:vAlign w:val="center"/>
          </w:tcPr>
          <w:p>
            <w:pPr>
              <w:pStyle w:val="121"/>
            </w:pPr>
            <w:r>
              <w:t>　</w:t>
            </w:r>
          </w:p>
        </w:tc>
        <w:tc>
          <w:tcPr>
            <w:tcW w:w="4234" w:type="pct"/>
            <w:gridSpan w:val="11"/>
            <w:vMerge w:val="restart"/>
            <w:tcBorders>
              <w:top w:val="single" w:color="auto" w:sz="4" w:space="0"/>
              <w:left w:val="single" w:color="auto" w:sz="4" w:space="0"/>
              <w:bottom w:val="nil"/>
              <w:right w:val="single" w:color="auto" w:sz="4" w:space="0"/>
            </w:tcBorders>
            <w:shd w:val="clear" w:color="auto" w:fill="auto"/>
            <w:vAlign w:val="center"/>
          </w:tcPr>
          <w:p>
            <w:pPr>
              <w:pStyle w:val="121"/>
              <w:ind w:firstLine="3573" w:firstLineChars="1985"/>
              <w:jc w:val="left"/>
            </w:pPr>
            <w:r>
              <w:t>填表说明</w:t>
            </w:r>
          </w:p>
        </w:tc>
      </w:tr>
      <w:tr>
        <w:tblPrEx>
          <w:tblCellMar>
            <w:top w:w="0" w:type="dxa"/>
            <w:left w:w="108" w:type="dxa"/>
            <w:bottom w:w="0" w:type="dxa"/>
            <w:right w:w="108" w:type="dxa"/>
          </w:tblCellMar>
        </w:tblPrEx>
        <w:trPr>
          <w:trHeight w:val="510" w:hRule="atLeast"/>
          <w:jc w:val="center"/>
        </w:trPr>
        <w:tc>
          <w:tcPr>
            <w:tcW w:w="330" w:type="pct"/>
            <w:tcBorders>
              <w:top w:val="nil"/>
              <w:left w:val="single" w:color="auto" w:sz="4" w:space="0"/>
              <w:bottom w:val="nil"/>
              <w:right w:val="single" w:color="auto" w:sz="4" w:space="0"/>
            </w:tcBorders>
            <w:shd w:val="clear" w:color="auto" w:fill="auto"/>
            <w:vAlign w:val="center"/>
          </w:tcPr>
          <w:p>
            <w:pPr>
              <w:pStyle w:val="121"/>
            </w:pPr>
            <w:r>
              <w:t>　</w:t>
            </w:r>
          </w:p>
        </w:tc>
        <w:tc>
          <w:tcPr>
            <w:tcW w:w="435" w:type="pct"/>
            <w:tcBorders>
              <w:top w:val="nil"/>
              <w:left w:val="nil"/>
              <w:bottom w:val="nil"/>
              <w:right w:val="single" w:color="auto" w:sz="4" w:space="0"/>
            </w:tcBorders>
            <w:shd w:val="clear" w:color="auto" w:fill="auto"/>
            <w:vAlign w:val="center"/>
          </w:tcPr>
          <w:p>
            <w:pPr>
              <w:pStyle w:val="121"/>
            </w:pPr>
            <w:r>
              <w:t>　</w:t>
            </w:r>
          </w:p>
        </w:tc>
        <w:tc>
          <w:tcPr>
            <w:tcW w:w="4234" w:type="pct"/>
            <w:gridSpan w:val="11"/>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645" w:hRule="atLeast"/>
          <w:jc w:val="center"/>
        </w:trPr>
        <w:tc>
          <w:tcPr>
            <w:tcW w:w="330" w:type="pct"/>
            <w:tcBorders>
              <w:top w:val="nil"/>
              <w:left w:val="single" w:color="auto" w:sz="4" w:space="0"/>
              <w:bottom w:val="nil"/>
              <w:right w:val="single" w:color="auto" w:sz="4" w:space="0"/>
            </w:tcBorders>
            <w:shd w:val="clear" w:color="auto" w:fill="auto"/>
            <w:vAlign w:val="center"/>
          </w:tcPr>
          <w:p>
            <w:pPr>
              <w:pStyle w:val="121"/>
            </w:pPr>
            <w:r>
              <w:t>　</w:t>
            </w:r>
          </w:p>
        </w:tc>
        <w:tc>
          <w:tcPr>
            <w:tcW w:w="435" w:type="pct"/>
            <w:tcBorders>
              <w:top w:val="nil"/>
              <w:left w:val="nil"/>
              <w:bottom w:val="nil"/>
              <w:right w:val="single" w:color="auto" w:sz="4" w:space="0"/>
            </w:tcBorders>
            <w:shd w:val="clear" w:color="auto" w:fill="auto"/>
            <w:vAlign w:val="center"/>
          </w:tcPr>
          <w:p>
            <w:pPr>
              <w:pStyle w:val="121"/>
            </w:pPr>
            <w:r>
              <w:t>　</w:t>
            </w:r>
          </w:p>
        </w:tc>
        <w:tc>
          <w:tcPr>
            <w:tcW w:w="473" w:type="pct"/>
            <w:tcBorders>
              <w:top w:val="nil"/>
              <w:left w:val="nil"/>
              <w:bottom w:val="nil"/>
              <w:right w:val="nil"/>
            </w:tcBorders>
            <w:shd w:val="clear" w:color="auto" w:fill="auto"/>
          </w:tcPr>
          <w:p>
            <w:pPr>
              <w:pStyle w:val="121"/>
            </w:pPr>
          </w:p>
        </w:tc>
        <w:tc>
          <w:tcPr>
            <w:tcW w:w="3761" w:type="pct"/>
            <w:gridSpan w:val="10"/>
            <w:tcBorders>
              <w:top w:val="nil"/>
              <w:left w:val="nil"/>
              <w:bottom w:val="nil"/>
              <w:right w:val="single" w:color="auto" w:sz="4" w:space="0"/>
            </w:tcBorders>
            <w:shd w:val="clear" w:color="auto" w:fill="auto"/>
          </w:tcPr>
          <w:p>
            <w:pPr>
              <w:pStyle w:val="121"/>
            </w:pPr>
            <w:r>
              <w:t>乙栏：按从事项目工作人员逐项填列。</w:t>
            </w:r>
          </w:p>
        </w:tc>
      </w:tr>
      <w:tr>
        <w:tblPrEx>
          <w:tblCellMar>
            <w:top w:w="0" w:type="dxa"/>
            <w:left w:w="108" w:type="dxa"/>
            <w:bottom w:w="0" w:type="dxa"/>
            <w:right w:w="108" w:type="dxa"/>
          </w:tblCellMar>
        </w:tblPrEx>
        <w:trPr>
          <w:trHeight w:val="510" w:hRule="atLeast"/>
          <w:jc w:val="center"/>
        </w:trPr>
        <w:tc>
          <w:tcPr>
            <w:tcW w:w="33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435"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473" w:type="pct"/>
            <w:tcBorders>
              <w:top w:val="single" w:color="auto" w:sz="4" w:space="0"/>
              <w:left w:val="nil"/>
              <w:bottom w:val="single" w:color="auto" w:sz="4" w:space="0"/>
              <w:right w:val="nil"/>
            </w:tcBorders>
            <w:shd w:val="clear" w:color="auto" w:fill="auto"/>
            <w:vAlign w:val="center"/>
          </w:tcPr>
          <w:p>
            <w:pPr>
              <w:pStyle w:val="121"/>
            </w:pPr>
            <w:r>
              <w:t>　</w:t>
            </w:r>
          </w:p>
        </w:tc>
        <w:tc>
          <w:tcPr>
            <w:tcW w:w="322" w:type="pct"/>
            <w:tcBorders>
              <w:top w:val="single" w:color="auto" w:sz="4" w:space="0"/>
              <w:left w:val="nil"/>
              <w:bottom w:val="single" w:color="auto" w:sz="4" w:space="0"/>
              <w:right w:val="nil"/>
            </w:tcBorders>
            <w:shd w:val="clear" w:color="auto" w:fill="auto"/>
            <w:vAlign w:val="center"/>
          </w:tcPr>
          <w:p>
            <w:pPr>
              <w:pStyle w:val="121"/>
            </w:pPr>
            <w:r>
              <w:t>　</w:t>
            </w:r>
          </w:p>
        </w:tc>
        <w:tc>
          <w:tcPr>
            <w:tcW w:w="310" w:type="pct"/>
            <w:tcBorders>
              <w:top w:val="single" w:color="auto" w:sz="4" w:space="0"/>
              <w:left w:val="nil"/>
              <w:bottom w:val="single" w:color="auto" w:sz="4" w:space="0"/>
              <w:right w:val="nil"/>
            </w:tcBorders>
            <w:shd w:val="clear" w:color="auto" w:fill="auto"/>
            <w:vAlign w:val="center"/>
          </w:tcPr>
          <w:p>
            <w:pPr>
              <w:pStyle w:val="121"/>
            </w:pPr>
            <w:r>
              <w:t>　</w:t>
            </w:r>
          </w:p>
        </w:tc>
        <w:tc>
          <w:tcPr>
            <w:tcW w:w="401" w:type="pct"/>
            <w:tcBorders>
              <w:top w:val="single" w:color="auto" w:sz="4" w:space="0"/>
              <w:left w:val="nil"/>
              <w:bottom w:val="single" w:color="auto" w:sz="4" w:space="0"/>
              <w:right w:val="nil"/>
            </w:tcBorders>
            <w:shd w:val="clear" w:color="auto" w:fill="auto"/>
            <w:vAlign w:val="center"/>
          </w:tcPr>
          <w:p>
            <w:pPr>
              <w:pStyle w:val="121"/>
            </w:pPr>
            <w:r>
              <w:t>　</w:t>
            </w:r>
          </w:p>
        </w:tc>
        <w:tc>
          <w:tcPr>
            <w:tcW w:w="629" w:type="pct"/>
            <w:tcBorders>
              <w:top w:val="single" w:color="auto" w:sz="4" w:space="0"/>
              <w:left w:val="nil"/>
              <w:bottom w:val="single" w:color="auto" w:sz="4" w:space="0"/>
              <w:right w:val="nil"/>
            </w:tcBorders>
            <w:shd w:val="clear" w:color="auto" w:fill="auto"/>
            <w:vAlign w:val="center"/>
          </w:tcPr>
          <w:p>
            <w:pPr>
              <w:pStyle w:val="121"/>
            </w:pPr>
            <w:r>
              <w:t>　</w:t>
            </w:r>
          </w:p>
        </w:tc>
        <w:tc>
          <w:tcPr>
            <w:tcW w:w="686"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690" w:type="pct"/>
            <w:tcBorders>
              <w:top w:val="single" w:color="auto" w:sz="4" w:space="0"/>
              <w:left w:val="nil"/>
              <w:bottom w:val="single" w:color="auto" w:sz="4" w:space="0"/>
              <w:right w:val="nil"/>
            </w:tcBorders>
            <w:shd w:val="clear" w:color="auto" w:fill="auto"/>
            <w:vAlign w:val="center"/>
          </w:tcPr>
          <w:p>
            <w:pPr>
              <w:pStyle w:val="121"/>
            </w:pPr>
            <w:r>
              <w:t>　</w:t>
            </w:r>
          </w:p>
        </w:tc>
        <w:tc>
          <w:tcPr>
            <w:tcW w:w="127" w:type="pct"/>
            <w:tcBorders>
              <w:top w:val="single" w:color="auto" w:sz="4" w:space="0"/>
              <w:left w:val="nil"/>
              <w:bottom w:val="single" w:color="auto" w:sz="4" w:space="0"/>
              <w:right w:val="nil"/>
            </w:tcBorders>
            <w:shd w:val="clear" w:color="auto" w:fill="auto"/>
            <w:vAlign w:val="center"/>
          </w:tcPr>
          <w:p>
            <w:pPr>
              <w:pStyle w:val="121"/>
            </w:pPr>
            <w:r>
              <w:t>　</w:t>
            </w:r>
          </w:p>
        </w:tc>
        <w:tc>
          <w:tcPr>
            <w:tcW w:w="347" w:type="pct"/>
            <w:tcBorders>
              <w:top w:val="single" w:color="auto" w:sz="4" w:space="0"/>
              <w:left w:val="nil"/>
              <w:bottom w:val="single" w:color="auto" w:sz="4" w:space="0"/>
              <w:right w:val="nil"/>
            </w:tcBorders>
            <w:shd w:val="clear" w:color="auto" w:fill="auto"/>
            <w:vAlign w:val="center"/>
          </w:tcPr>
          <w:p>
            <w:pPr>
              <w:pStyle w:val="121"/>
            </w:pPr>
            <w:r>
              <w:t>　</w:t>
            </w:r>
          </w:p>
        </w:tc>
        <w:tc>
          <w:tcPr>
            <w:tcW w:w="249" w:type="pct"/>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560" w:type="pct"/>
            <w:gridSpan w:val="4"/>
            <w:tcBorders>
              <w:top w:val="nil"/>
              <w:left w:val="nil"/>
              <w:bottom w:val="nil"/>
              <w:right w:val="nil"/>
            </w:tcBorders>
            <w:shd w:val="clear" w:color="auto" w:fill="auto"/>
            <w:noWrap/>
            <w:vAlign w:val="bottom"/>
          </w:tcPr>
          <w:p>
            <w:pPr>
              <w:pStyle w:val="121"/>
              <w:jc w:val="both"/>
            </w:pPr>
            <w:r>
              <w:t>预算编制人：（签章）</w:t>
            </w:r>
          </w:p>
        </w:tc>
        <w:tc>
          <w:tcPr>
            <w:tcW w:w="310" w:type="pct"/>
            <w:tcBorders>
              <w:top w:val="nil"/>
              <w:left w:val="nil"/>
              <w:bottom w:val="nil"/>
              <w:right w:val="nil"/>
            </w:tcBorders>
            <w:shd w:val="clear" w:color="auto" w:fill="auto"/>
            <w:noWrap/>
            <w:vAlign w:val="bottom"/>
          </w:tcPr>
          <w:p>
            <w:pPr>
              <w:pStyle w:val="121"/>
              <w:jc w:val="both"/>
            </w:pPr>
          </w:p>
        </w:tc>
        <w:tc>
          <w:tcPr>
            <w:tcW w:w="401" w:type="pct"/>
            <w:tcBorders>
              <w:top w:val="nil"/>
              <w:left w:val="nil"/>
              <w:bottom w:val="nil"/>
              <w:right w:val="nil"/>
            </w:tcBorders>
            <w:shd w:val="clear" w:color="auto" w:fill="auto"/>
            <w:noWrap/>
            <w:vAlign w:val="bottom"/>
          </w:tcPr>
          <w:p>
            <w:pPr>
              <w:pStyle w:val="121"/>
              <w:jc w:val="both"/>
            </w:pPr>
          </w:p>
        </w:tc>
        <w:tc>
          <w:tcPr>
            <w:tcW w:w="629" w:type="pct"/>
            <w:tcBorders>
              <w:top w:val="nil"/>
              <w:left w:val="nil"/>
              <w:bottom w:val="nil"/>
              <w:right w:val="nil"/>
            </w:tcBorders>
            <w:shd w:val="clear" w:color="auto" w:fill="auto"/>
            <w:noWrap/>
            <w:vAlign w:val="bottom"/>
          </w:tcPr>
          <w:p>
            <w:pPr>
              <w:pStyle w:val="121"/>
              <w:jc w:val="both"/>
            </w:pPr>
          </w:p>
        </w:tc>
        <w:tc>
          <w:tcPr>
            <w:tcW w:w="457" w:type="pct"/>
            <w:tcBorders>
              <w:top w:val="nil"/>
              <w:left w:val="nil"/>
              <w:bottom w:val="nil"/>
              <w:right w:val="nil"/>
            </w:tcBorders>
            <w:shd w:val="clear" w:color="auto" w:fill="auto"/>
            <w:noWrap/>
            <w:vAlign w:val="bottom"/>
          </w:tcPr>
          <w:p>
            <w:pPr>
              <w:pStyle w:val="121"/>
              <w:jc w:val="both"/>
            </w:pPr>
          </w:p>
        </w:tc>
        <w:tc>
          <w:tcPr>
            <w:tcW w:w="1641" w:type="pct"/>
            <w:gridSpan w:val="5"/>
            <w:tcBorders>
              <w:top w:val="nil"/>
              <w:left w:val="nil"/>
              <w:bottom w:val="nil"/>
              <w:right w:val="nil"/>
            </w:tcBorders>
            <w:shd w:val="clear" w:color="auto" w:fill="auto"/>
            <w:noWrap/>
            <w:vAlign w:val="bottom"/>
          </w:tcPr>
          <w:p>
            <w:pPr>
              <w:pStyle w:val="121"/>
              <w:jc w:val="both"/>
            </w:pPr>
            <w:r>
              <w:t>预算审核人：（签章）</w:t>
            </w:r>
          </w:p>
        </w:tc>
      </w:tr>
    </w:tbl>
    <w:p>
      <w:pPr>
        <w:pStyle w:val="121"/>
      </w:pPr>
      <w:r>
        <w:br w:type="page"/>
      </w:r>
    </w:p>
    <w:p>
      <w:pPr>
        <w:pStyle w:val="121"/>
        <w:jc w:val="right"/>
      </w:pPr>
      <w:r>
        <w:t>预工附-2</w:t>
      </w:r>
    </w:p>
    <w:p>
      <w:pPr>
        <w:pStyle w:val="119"/>
      </w:pPr>
      <w:r>
        <w:t>办公费预算明细表</w:t>
      </w:r>
    </w:p>
    <w:p>
      <w:pPr>
        <w:pStyle w:val="119"/>
      </w:pPr>
      <w:r>
        <w:t>（   年度）</w:t>
      </w:r>
    </w:p>
    <w:p>
      <w:pPr>
        <w:pStyle w:val="121"/>
        <w:spacing w:before="120" w:beforeLines="50" w:after="120" w:afterLines="50"/>
        <w:jc w:val="left"/>
        <w:rPr>
          <w:rFonts w:ascii="黑体" w:eastAsia="黑体"/>
        </w:rPr>
      </w:pPr>
      <w:r>
        <w:t xml:space="preserve">工作项目名称：                                                                               </w:t>
      </w:r>
      <w:r>
        <w:rPr>
          <w:rFonts w:hint="eastAsia" w:ascii="宋体"/>
        </w:rPr>
        <w:t>单位为万元</w:t>
      </w:r>
    </w:p>
    <w:tbl>
      <w:tblPr>
        <w:tblStyle w:val="36"/>
        <w:tblW w:w="5000" w:type="pct"/>
        <w:jc w:val="center"/>
        <w:tblLayout w:type="autofit"/>
        <w:tblCellMar>
          <w:top w:w="0" w:type="dxa"/>
          <w:left w:w="108" w:type="dxa"/>
          <w:bottom w:w="0" w:type="dxa"/>
          <w:right w:w="108" w:type="dxa"/>
        </w:tblCellMar>
      </w:tblPr>
      <w:tblGrid>
        <w:gridCol w:w="764"/>
        <w:gridCol w:w="2136"/>
        <w:gridCol w:w="962"/>
        <w:gridCol w:w="1193"/>
        <w:gridCol w:w="1153"/>
        <w:gridCol w:w="1153"/>
        <w:gridCol w:w="2123"/>
      </w:tblGrid>
      <w:tr>
        <w:tblPrEx>
          <w:tblCellMar>
            <w:top w:w="0" w:type="dxa"/>
            <w:left w:w="108" w:type="dxa"/>
            <w:bottom w:w="0" w:type="dxa"/>
            <w:right w:w="108" w:type="dxa"/>
          </w:tblCellMar>
        </w:tblPrEx>
        <w:trPr>
          <w:trHeight w:val="585" w:hRule="atLeast"/>
          <w:jc w:val="center"/>
        </w:trPr>
        <w:tc>
          <w:tcPr>
            <w:tcW w:w="40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1126" w:type="pct"/>
            <w:tcBorders>
              <w:top w:val="single" w:color="auto" w:sz="4" w:space="0"/>
              <w:left w:val="nil"/>
              <w:bottom w:val="single" w:color="auto" w:sz="4" w:space="0"/>
              <w:right w:val="single" w:color="auto" w:sz="4" w:space="0"/>
            </w:tcBorders>
            <w:shd w:val="clear" w:color="auto" w:fill="auto"/>
            <w:vAlign w:val="center"/>
          </w:tcPr>
          <w:p>
            <w:pPr>
              <w:pStyle w:val="121"/>
            </w:pPr>
            <w:r>
              <w:t>名称</w:t>
            </w:r>
          </w:p>
        </w:tc>
        <w:tc>
          <w:tcPr>
            <w:tcW w:w="507" w:type="pct"/>
            <w:tcBorders>
              <w:top w:val="single" w:color="auto" w:sz="4" w:space="0"/>
              <w:left w:val="nil"/>
              <w:bottom w:val="single" w:color="auto" w:sz="4" w:space="0"/>
              <w:right w:val="single" w:color="auto" w:sz="4" w:space="0"/>
            </w:tcBorders>
            <w:shd w:val="clear" w:color="auto" w:fill="auto"/>
            <w:vAlign w:val="center"/>
          </w:tcPr>
          <w:p>
            <w:pPr>
              <w:pStyle w:val="121"/>
            </w:pPr>
            <w:r>
              <w:t>计量</w:t>
            </w:r>
          </w:p>
          <w:p>
            <w:pPr>
              <w:pStyle w:val="121"/>
            </w:pPr>
            <w:r>
              <w:t>单位</w:t>
            </w:r>
          </w:p>
        </w:tc>
        <w:tc>
          <w:tcPr>
            <w:tcW w:w="629" w:type="pct"/>
            <w:tcBorders>
              <w:top w:val="single" w:color="auto" w:sz="4" w:space="0"/>
              <w:left w:val="nil"/>
              <w:bottom w:val="single" w:color="auto" w:sz="4" w:space="0"/>
              <w:right w:val="single" w:color="auto" w:sz="4" w:space="0"/>
            </w:tcBorders>
            <w:shd w:val="clear" w:color="auto" w:fill="auto"/>
            <w:vAlign w:val="center"/>
          </w:tcPr>
          <w:p>
            <w:pPr>
              <w:pStyle w:val="121"/>
            </w:pPr>
            <w:r>
              <w:t>单价</w:t>
            </w:r>
          </w:p>
          <w:p>
            <w:pPr>
              <w:pStyle w:val="121"/>
            </w:pPr>
            <w:r>
              <w:t>元</w:t>
            </w:r>
          </w:p>
        </w:tc>
        <w:tc>
          <w:tcPr>
            <w:tcW w:w="608" w:type="pct"/>
            <w:tcBorders>
              <w:top w:val="single" w:color="auto" w:sz="4" w:space="0"/>
              <w:left w:val="nil"/>
              <w:bottom w:val="single" w:color="auto" w:sz="4" w:space="0"/>
              <w:right w:val="single" w:color="auto" w:sz="4" w:space="0"/>
            </w:tcBorders>
            <w:shd w:val="clear" w:color="auto" w:fill="auto"/>
            <w:vAlign w:val="center"/>
          </w:tcPr>
          <w:p>
            <w:pPr>
              <w:pStyle w:val="121"/>
            </w:pPr>
            <w:r>
              <w:t>数量</w:t>
            </w:r>
          </w:p>
        </w:tc>
        <w:tc>
          <w:tcPr>
            <w:tcW w:w="608" w:type="pct"/>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1119"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85" w:hRule="atLeast"/>
          <w:jc w:val="center"/>
        </w:trPr>
        <w:tc>
          <w:tcPr>
            <w:tcW w:w="403"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1126" w:type="pct"/>
            <w:tcBorders>
              <w:top w:val="nil"/>
              <w:left w:val="nil"/>
              <w:bottom w:val="single" w:color="auto" w:sz="4" w:space="0"/>
              <w:right w:val="single" w:color="auto" w:sz="4" w:space="0"/>
            </w:tcBorders>
            <w:shd w:val="clear" w:color="auto" w:fill="auto"/>
            <w:vAlign w:val="center"/>
          </w:tcPr>
          <w:p>
            <w:pPr>
              <w:pStyle w:val="121"/>
            </w:pPr>
            <w:r>
              <w:t>乙</w:t>
            </w:r>
          </w:p>
        </w:tc>
        <w:tc>
          <w:tcPr>
            <w:tcW w:w="507" w:type="pct"/>
            <w:tcBorders>
              <w:top w:val="nil"/>
              <w:left w:val="nil"/>
              <w:bottom w:val="single" w:color="auto" w:sz="4" w:space="0"/>
              <w:right w:val="single" w:color="auto" w:sz="4" w:space="0"/>
            </w:tcBorders>
            <w:shd w:val="clear" w:color="auto" w:fill="auto"/>
            <w:vAlign w:val="center"/>
          </w:tcPr>
          <w:p>
            <w:pPr>
              <w:pStyle w:val="121"/>
            </w:pPr>
            <w:r>
              <w:t>丙</w:t>
            </w:r>
          </w:p>
        </w:tc>
        <w:tc>
          <w:tcPr>
            <w:tcW w:w="629" w:type="pct"/>
            <w:tcBorders>
              <w:top w:val="nil"/>
              <w:left w:val="nil"/>
              <w:bottom w:val="single" w:color="auto" w:sz="4" w:space="0"/>
              <w:right w:val="single" w:color="auto" w:sz="4" w:space="0"/>
            </w:tcBorders>
            <w:shd w:val="clear" w:color="auto" w:fill="auto"/>
            <w:vAlign w:val="center"/>
          </w:tcPr>
          <w:p>
            <w:pPr>
              <w:pStyle w:val="121"/>
            </w:pPr>
            <w:r>
              <w:t>1</w:t>
            </w:r>
          </w:p>
        </w:tc>
        <w:tc>
          <w:tcPr>
            <w:tcW w:w="608" w:type="pct"/>
            <w:tcBorders>
              <w:top w:val="nil"/>
              <w:left w:val="nil"/>
              <w:bottom w:val="single" w:color="auto" w:sz="4" w:space="0"/>
              <w:right w:val="single" w:color="auto" w:sz="4" w:space="0"/>
            </w:tcBorders>
            <w:shd w:val="clear" w:color="auto" w:fill="auto"/>
            <w:vAlign w:val="center"/>
          </w:tcPr>
          <w:p>
            <w:pPr>
              <w:pStyle w:val="121"/>
            </w:pPr>
            <w:r>
              <w:t>2</w:t>
            </w:r>
          </w:p>
        </w:tc>
        <w:tc>
          <w:tcPr>
            <w:tcW w:w="608" w:type="pct"/>
            <w:tcBorders>
              <w:top w:val="nil"/>
              <w:left w:val="nil"/>
              <w:bottom w:val="single" w:color="auto" w:sz="4" w:space="0"/>
              <w:right w:val="single" w:color="auto" w:sz="4" w:space="0"/>
            </w:tcBorders>
            <w:shd w:val="clear" w:color="auto" w:fill="auto"/>
            <w:vAlign w:val="center"/>
          </w:tcPr>
          <w:p>
            <w:pPr>
              <w:pStyle w:val="121"/>
            </w:pPr>
            <w:r>
              <w:t>3</w:t>
            </w:r>
          </w:p>
        </w:tc>
        <w:tc>
          <w:tcPr>
            <w:tcW w:w="1119" w:type="pct"/>
            <w:tcBorders>
              <w:top w:val="nil"/>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85" w:hRule="atLeast"/>
          <w:jc w:val="center"/>
        </w:trPr>
        <w:tc>
          <w:tcPr>
            <w:tcW w:w="403" w:type="pct"/>
            <w:tcBorders>
              <w:top w:val="nil"/>
              <w:left w:val="single" w:color="auto" w:sz="4" w:space="0"/>
              <w:bottom w:val="nil"/>
              <w:right w:val="single" w:color="auto" w:sz="4" w:space="0"/>
            </w:tcBorders>
            <w:shd w:val="clear" w:color="auto" w:fill="auto"/>
            <w:vAlign w:val="center"/>
          </w:tcPr>
          <w:p>
            <w:pPr>
              <w:pStyle w:val="121"/>
            </w:pPr>
            <w:r>
              <w:t>　</w:t>
            </w:r>
          </w:p>
        </w:tc>
        <w:tc>
          <w:tcPr>
            <w:tcW w:w="1126" w:type="pct"/>
            <w:tcBorders>
              <w:top w:val="nil"/>
              <w:left w:val="nil"/>
              <w:bottom w:val="nil"/>
              <w:right w:val="single" w:color="auto" w:sz="4" w:space="0"/>
            </w:tcBorders>
            <w:shd w:val="clear" w:color="auto" w:fill="auto"/>
            <w:vAlign w:val="center"/>
          </w:tcPr>
          <w:p>
            <w:pPr>
              <w:pStyle w:val="121"/>
            </w:pPr>
            <w:r>
              <w:t>　</w:t>
            </w:r>
          </w:p>
        </w:tc>
        <w:tc>
          <w:tcPr>
            <w:tcW w:w="507" w:type="pct"/>
            <w:tcBorders>
              <w:top w:val="nil"/>
              <w:left w:val="nil"/>
              <w:bottom w:val="nil"/>
              <w:right w:val="nil"/>
            </w:tcBorders>
            <w:shd w:val="clear" w:color="auto" w:fill="auto"/>
            <w:vAlign w:val="center"/>
          </w:tcPr>
          <w:p>
            <w:pPr>
              <w:pStyle w:val="121"/>
            </w:pPr>
            <w:r>
              <w:t>　</w:t>
            </w:r>
          </w:p>
        </w:tc>
        <w:tc>
          <w:tcPr>
            <w:tcW w:w="629" w:type="pct"/>
            <w:tcBorders>
              <w:top w:val="nil"/>
              <w:left w:val="nil"/>
              <w:bottom w:val="nil"/>
              <w:right w:val="nil"/>
            </w:tcBorders>
            <w:shd w:val="clear" w:color="auto" w:fill="auto"/>
            <w:vAlign w:val="center"/>
          </w:tcPr>
          <w:p>
            <w:pPr>
              <w:pStyle w:val="121"/>
            </w:pPr>
            <w:r>
              <w:t>　</w:t>
            </w:r>
          </w:p>
        </w:tc>
        <w:tc>
          <w:tcPr>
            <w:tcW w:w="608" w:type="pct"/>
            <w:tcBorders>
              <w:top w:val="nil"/>
              <w:left w:val="nil"/>
              <w:bottom w:val="nil"/>
              <w:right w:val="nil"/>
            </w:tcBorders>
            <w:shd w:val="clear" w:color="auto" w:fill="auto"/>
            <w:vAlign w:val="center"/>
          </w:tcPr>
          <w:p>
            <w:pPr>
              <w:pStyle w:val="121"/>
            </w:pPr>
            <w:r>
              <w:t>　</w:t>
            </w:r>
          </w:p>
        </w:tc>
        <w:tc>
          <w:tcPr>
            <w:tcW w:w="608" w:type="pct"/>
            <w:tcBorders>
              <w:top w:val="nil"/>
              <w:left w:val="nil"/>
              <w:bottom w:val="nil"/>
              <w:right w:val="nil"/>
            </w:tcBorders>
            <w:shd w:val="clear" w:color="auto" w:fill="auto"/>
            <w:vAlign w:val="center"/>
          </w:tcPr>
          <w:p>
            <w:pPr>
              <w:pStyle w:val="121"/>
            </w:pPr>
            <w:r>
              <w:t>　</w:t>
            </w:r>
          </w:p>
        </w:tc>
        <w:tc>
          <w:tcPr>
            <w:tcW w:w="1119" w:type="pct"/>
            <w:tcBorders>
              <w:top w:val="nil"/>
              <w:left w:val="nil"/>
              <w:bottom w:val="nil"/>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585" w:hRule="atLeast"/>
          <w:jc w:val="center"/>
        </w:trPr>
        <w:tc>
          <w:tcPr>
            <w:tcW w:w="403" w:type="pct"/>
            <w:tcBorders>
              <w:top w:val="nil"/>
              <w:left w:val="single" w:color="auto" w:sz="4" w:space="0"/>
              <w:bottom w:val="nil"/>
              <w:right w:val="single" w:color="auto" w:sz="4" w:space="0"/>
            </w:tcBorders>
            <w:shd w:val="clear" w:color="auto" w:fill="auto"/>
            <w:vAlign w:val="center"/>
          </w:tcPr>
          <w:p>
            <w:pPr>
              <w:pStyle w:val="121"/>
            </w:pPr>
            <w:r>
              <w:t>　</w:t>
            </w:r>
          </w:p>
        </w:tc>
        <w:tc>
          <w:tcPr>
            <w:tcW w:w="1126" w:type="pct"/>
            <w:tcBorders>
              <w:top w:val="nil"/>
              <w:left w:val="nil"/>
              <w:bottom w:val="nil"/>
              <w:right w:val="single" w:color="auto" w:sz="4" w:space="0"/>
            </w:tcBorders>
            <w:shd w:val="clear" w:color="auto" w:fill="auto"/>
            <w:vAlign w:val="center"/>
          </w:tcPr>
          <w:p>
            <w:pPr>
              <w:pStyle w:val="121"/>
            </w:pPr>
            <w:r>
              <w:t>　</w:t>
            </w:r>
          </w:p>
        </w:tc>
        <w:tc>
          <w:tcPr>
            <w:tcW w:w="3471" w:type="pct"/>
            <w:gridSpan w:val="5"/>
            <w:tcBorders>
              <w:top w:val="nil"/>
              <w:left w:val="nil"/>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585" w:hRule="atLeast"/>
          <w:jc w:val="center"/>
        </w:trPr>
        <w:tc>
          <w:tcPr>
            <w:tcW w:w="403" w:type="pct"/>
            <w:tcBorders>
              <w:top w:val="nil"/>
              <w:left w:val="single" w:color="auto" w:sz="4" w:space="0"/>
              <w:bottom w:val="nil"/>
              <w:right w:val="single" w:color="auto" w:sz="4" w:space="0"/>
            </w:tcBorders>
            <w:shd w:val="clear" w:color="auto" w:fill="auto"/>
            <w:vAlign w:val="center"/>
          </w:tcPr>
          <w:p>
            <w:pPr>
              <w:pStyle w:val="121"/>
            </w:pPr>
            <w:r>
              <w:t>　</w:t>
            </w:r>
          </w:p>
        </w:tc>
        <w:tc>
          <w:tcPr>
            <w:tcW w:w="1126" w:type="pct"/>
            <w:tcBorders>
              <w:top w:val="nil"/>
              <w:left w:val="nil"/>
              <w:bottom w:val="nil"/>
              <w:right w:val="single" w:color="auto" w:sz="4" w:space="0"/>
            </w:tcBorders>
            <w:shd w:val="clear" w:color="auto" w:fill="auto"/>
            <w:vAlign w:val="center"/>
          </w:tcPr>
          <w:p>
            <w:pPr>
              <w:pStyle w:val="121"/>
            </w:pPr>
            <w:r>
              <w:t>　</w:t>
            </w:r>
          </w:p>
        </w:tc>
        <w:tc>
          <w:tcPr>
            <w:tcW w:w="3471" w:type="pct"/>
            <w:gridSpan w:val="5"/>
            <w:tcBorders>
              <w:top w:val="nil"/>
              <w:left w:val="nil"/>
              <w:bottom w:val="nil"/>
              <w:right w:val="single" w:color="auto" w:sz="4" w:space="0"/>
            </w:tcBorders>
            <w:shd w:val="clear" w:color="auto" w:fill="auto"/>
            <w:vAlign w:val="center"/>
          </w:tcPr>
          <w:p>
            <w:pPr>
              <w:pStyle w:val="121"/>
            </w:pPr>
            <w:r>
              <w:t>根据参加项目人</w:t>
            </w:r>
            <w:r>
              <w:rPr>
                <w:rFonts w:hint="eastAsia"/>
              </w:rPr>
              <w:t>·</w:t>
            </w:r>
            <w:r>
              <w:t>月数，按综合定额标准计算。</w:t>
            </w:r>
          </w:p>
        </w:tc>
      </w:tr>
      <w:tr>
        <w:tblPrEx>
          <w:tblCellMar>
            <w:top w:w="0" w:type="dxa"/>
            <w:left w:w="108" w:type="dxa"/>
            <w:bottom w:w="0" w:type="dxa"/>
            <w:right w:w="108" w:type="dxa"/>
          </w:tblCellMar>
        </w:tblPrEx>
        <w:trPr>
          <w:trHeight w:val="585" w:hRule="atLeast"/>
          <w:jc w:val="center"/>
        </w:trPr>
        <w:tc>
          <w:tcPr>
            <w:tcW w:w="403" w:type="pct"/>
            <w:tcBorders>
              <w:top w:val="nil"/>
              <w:left w:val="single" w:color="auto" w:sz="4" w:space="0"/>
              <w:bottom w:val="nil"/>
              <w:right w:val="single" w:color="auto" w:sz="4" w:space="0"/>
            </w:tcBorders>
            <w:shd w:val="clear" w:color="auto" w:fill="auto"/>
            <w:vAlign w:val="center"/>
          </w:tcPr>
          <w:p>
            <w:pPr>
              <w:pStyle w:val="121"/>
            </w:pPr>
            <w:r>
              <w:t>　</w:t>
            </w:r>
          </w:p>
        </w:tc>
        <w:tc>
          <w:tcPr>
            <w:tcW w:w="1126" w:type="pct"/>
            <w:tcBorders>
              <w:top w:val="nil"/>
              <w:left w:val="nil"/>
              <w:bottom w:val="nil"/>
              <w:right w:val="single" w:color="auto" w:sz="4" w:space="0"/>
            </w:tcBorders>
            <w:shd w:val="clear" w:color="auto" w:fill="auto"/>
            <w:vAlign w:val="center"/>
          </w:tcPr>
          <w:p>
            <w:pPr>
              <w:pStyle w:val="121"/>
            </w:pPr>
            <w:r>
              <w:t>　</w:t>
            </w:r>
          </w:p>
        </w:tc>
        <w:tc>
          <w:tcPr>
            <w:tcW w:w="507" w:type="pct"/>
            <w:tcBorders>
              <w:top w:val="nil"/>
              <w:left w:val="nil"/>
              <w:bottom w:val="nil"/>
              <w:right w:val="nil"/>
            </w:tcBorders>
            <w:shd w:val="clear" w:color="auto" w:fill="auto"/>
          </w:tcPr>
          <w:p>
            <w:pPr>
              <w:pStyle w:val="121"/>
            </w:pPr>
            <w:r>
              <w:t>　</w:t>
            </w:r>
          </w:p>
        </w:tc>
        <w:tc>
          <w:tcPr>
            <w:tcW w:w="2964" w:type="pct"/>
            <w:gridSpan w:val="4"/>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585" w:hRule="atLeast"/>
          <w:jc w:val="center"/>
        </w:trPr>
        <w:tc>
          <w:tcPr>
            <w:tcW w:w="403" w:type="pct"/>
            <w:tcBorders>
              <w:top w:val="nil"/>
              <w:left w:val="single" w:color="auto" w:sz="4" w:space="0"/>
              <w:bottom w:val="nil"/>
              <w:right w:val="single" w:color="auto" w:sz="4" w:space="0"/>
            </w:tcBorders>
            <w:shd w:val="clear" w:color="auto" w:fill="auto"/>
            <w:vAlign w:val="center"/>
          </w:tcPr>
          <w:p>
            <w:pPr>
              <w:pStyle w:val="121"/>
            </w:pPr>
            <w:r>
              <w:t>　</w:t>
            </w:r>
          </w:p>
        </w:tc>
        <w:tc>
          <w:tcPr>
            <w:tcW w:w="1126" w:type="pct"/>
            <w:tcBorders>
              <w:top w:val="nil"/>
              <w:left w:val="nil"/>
              <w:bottom w:val="nil"/>
              <w:right w:val="single" w:color="auto" w:sz="4" w:space="0"/>
            </w:tcBorders>
            <w:shd w:val="clear" w:color="auto" w:fill="auto"/>
            <w:vAlign w:val="center"/>
          </w:tcPr>
          <w:p>
            <w:pPr>
              <w:pStyle w:val="121"/>
            </w:pPr>
            <w:r>
              <w:t>　</w:t>
            </w:r>
          </w:p>
        </w:tc>
        <w:tc>
          <w:tcPr>
            <w:tcW w:w="507" w:type="pct"/>
            <w:tcBorders>
              <w:top w:val="nil"/>
              <w:left w:val="nil"/>
              <w:bottom w:val="nil"/>
              <w:right w:val="nil"/>
            </w:tcBorders>
            <w:shd w:val="clear" w:color="auto" w:fill="auto"/>
            <w:vAlign w:val="center"/>
          </w:tcPr>
          <w:p>
            <w:pPr>
              <w:pStyle w:val="121"/>
            </w:pPr>
            <w:r>
              <w:t>　</w:t>
            </w:r>
          </w:p>
        </w:tc>
        <w:tc>
          <w:tcPr>
            <w:tcW w:w="629" w:type="pct"/>
            <w:tcBorders>
              <w:top w:val="nil"/>
              <w:left w:val="nil"/>
              <w:bottom w:val="nil"/>
              <w:right w:val="nil"/>
            </w:tcBorders>
            <w:shd w:val="clear" w:color="auto" w:fill="auto"/>
            <w:vAlign w:val="center"/>
          </w:tcPr>
          <w:p>
            <w:pPr>
              <w:pStyle w:val="121"/>
            </w:pPr>
          </w:p>
        </w:tc>
        <w:tc>
          <w:tcPr>
            <w:tcW w:w="608" w:type="pct"/>
            <w:tcBorders>
              <w:top w:val="nil"/>
              <w:left w:val="nil"/>
              <w:bottom w:val="nil"/>
              <w:right w:val="nil"/>
            </w:tcBorders>
            <w:shd w:val="clear" w:color="auto" w:fill="auto"/>
            <w:vAlign w:val="center"/>
          </w:tcPr>
          <w:p>
            <w:pPr>
              <w:pStyle w:val="121"/>
            </w:pPr>
          </w:p>
        </w:tc>
        <w:tc>
          <w:tcPr>
            <w:tcW w:w="608" w:type="pct"/>
            <w:tcBorders>
              <w:top w:val="nil"/>
              <w:left w:val="nil"/>
              <w:bottom w:val="nil"/>
              <w:right w:val="nil"/>
            </w:tcBorders>
            <w:shd w:val="clear" w:color="auto" w:fill="auto"/>
            <w:vAlign w:val="center"/>
          </w:tcPr>
          <w:p>
            <w:pPr>
              <w:pStyle w:val="121"/>
            </w:pPr>
          </w:p>
        </w:tc>
        <w:tc>
          <w:tcPr>
            <w:tcW w:w="1119"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585" w:hRule="atLeast"/>
          <w:jc w:val="center"/>
        </w:trPr>
        <w:tc>
          <w:tcPr>
            <w:tcW w:w="403"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1126" w:type="pct"/>
            <w:tcBorders>
              <w:top w:val="nil"/>
              <w:left w:val="nil"/>
              <w:bottom w:val="nil"/>
              <w:right w:val="single" w:color="auto" w:sz="4" w:space="0"/>
            </w:tcBorders>
            <w:shd w:val="clear" w:color="auto" w:fill="auto"/>
            <w:vAlign w:val="center"/>
          </w:tcPr>
          <w:p>
            <w:pPr>
              <w:pStyle w:val="121"/>
            </w:pPr>
            <w:r>
              <w:t>　</w:t>
            </w:r>
          </w:p>
        </w:tc>
        <w:tc>
          <w:tcPr>
            <w:tcW w:w="507" w:type="pct"/>
            <w:tcBorders>
              <w:top w:val="nil"/>
              <w:left w:val="nil"/>
              <w:bottom w:val="single" w:color="auto" w:sz="4" w:space="0"/>
              <w:right w:val="nil"/>
            </w:tcBorders>
            <w:shd w:val="clear" w:color="auto" w:fill="auto"/>
            <w:vAlign w:val="center"/>
          </w:tcPr>
          <w:p>
            <w:pPr>
              <w:pStyle w:val="121"/>
            </w:pPr>
            <w:r>
              <w:t>　</w:t>
            </w:r>
          </w:p>
        </w:tc>
        <w:tc>
          <w:tcPr>
            <w:tcW w:w="629" w:type="pct"/>
            <w:tcBorders>
              <w:top w:val="nil"/>
              <w:left w:val="nil"/>
              <w:bottom w:val="nil"/>
              <w:right w:val="nil"/>
            </w:tcBorders>
            <w:shd w:val="clear" w:color="auto" w:fill="auto"/>
            <w:vAlign w:val="center"/>
          </w:tcPr>
          <w:p>
            <w:pPr>
              <w:pStyle w:val="121"/>
            </w:pPr>
          </w:p>
        </w:tc>
        <w:tc>
          <w:tcPr>
            <w:tcW w:w="608" w:type="pct"/>
            <w:tcBorders>
              <w:top w:val="nil"/>
              <w:left w:val="nil"/>
              <w:bottom w:val="nil"/>
              <w:right w:val="nil"/>
            </w:tcBorders>
            <w:shd w:val="clear" w:color="auto" w:fill="auto"/>
            <w:vAlign w:val="center"/>
          </w:tcPr>
          <w:p>
            <w:pPr>
              <w:pStyle w:val="121"/>
            </w:pPr>
          </w:p>
        </w:tc>
        <w:tc>
          <w:tcPr>
            <w:tcW w:w="608" w:type="pct"/>
            <w:tcBorders>
              <w:top w:val="nil"/>
              <w:left w:val="nil"/>
              <w:bottom w:val="nil"/>
              <w:right w:val="nil"/>
            </w:tcBorders>
            <w:shd w:val="clear" w:color="auto" w:fill="auto"/>
            <w:vAlign w:val="center"/>
          </w:tcPr>
          <w:p>
            <w:pPr>
              <w:pStyle w:val="121"/>
            </w:pPr>
          </w:p>
        </w:tc>
        <w:tc>
          <w:tcPr>
            <w:tcW w:w="1119"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585" w:hRule="atLeast"/>
          <w:jc w:val="center"/>
        </w:trPr>
        <w:tc>
          <w:tcPr>
            <w:tcW w:w="403"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1126"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507" w:type="pct"/>
            <w:tcBorders>
              <w:top w:val="nil"/>
              <w:left w:val="nil"/>
              <w:bottom w:val="single" w:color="auto" w:sz="4" w:space="0"/>
              <w:right w:val="nil"/>
            </w:tcBorders>
            <w:shd w:val="clear" w:color="auto" w:fill="auto"/>
            <w:vAlign w:val="center"/>
          </w:tcPr>
          <w:p>
            <w:pPr>
              <w:pStyle w:val="121"/>
            </w:pPr>
            <w:r>
              <w:t>　</w:t>
            </w:r>
          </w:p>
        </w:tc>
        <w:tc>
          <w:tcPr>
            <w:tcW w:w="629" w:type="pct"/>
            <w:tcBorders>
              <w:top w:val="single" w:color="auto" w:sz="4" w:space="0"/>
              <w:left w:val="nil"/>
              <w:bottom w:val="single" w:color="auto" w:sz="4" w:space="0"/>
              <w:right w:val="nil"/>
            </w:tcBorders>
            <w:shd w:val="clear" w:color="auto" w:fill="auto"/>
            <w:vAlign w:val="center"/>
          </w:tcPr>
          <w:p>
            <w:pPr>
              <w:pStyle w:val="121"/>
            </w:pPr>
            <w:r>
              <w:t>　</w:t>
            </w:r>
          </w:p>
        </w:tc>
        <w:tc>
          <w:tcPr>
            <w:tcW w:w="608" w:type="pct"/>
            <w:tcBorders>
              <w:top w:val="single" w:color="auto" w:sz="4" w:space="0"/>
              <w:left w:val="nil"/>
              <w:bottom w:val="single" w:color="auto" w:sz="4" w:space="0"/>
              <w:right w:val="nil"/>
            </w:tcBorders>
            <w:shd w:val="clear" w:color="auto" w:fill="auto"/>
            <w:vAlign w:val="center"/>
          </w:tcPr>
          <w:p>
            <w:pPr>
              <w:pStyle w:val="121"/>
            </w:pPr>
            <w:r>
              <w:t>　</w:t>
            </w:r>
          </w:p>
        </w:tc>
        <w:tc>
          <w:tcPr>
            <w:tcW w:w="608" w:type="pct"/>
            <w:tcBorders>
              <w:top w:val="single" w:color="auto" w:sz="4" w:space="0"/>
              <w:left w:val="nil"/>
              <w:bottom w:val="single" w:color="auto" w:sz="4" w:space="0"/>
              <w:right w:val="nil"/>
            </w:tcBorders>
            <w:shd w:val="clear" w:color="auto" w:fill="auto"/>
            <w:vAlign w:val="center"/>
          </w:tcPr>
          <w:p>
            <w:pPr>
              <w:pStyle w:val="121"/>
            </w:pPr>
            <w:r>
              <w:t>　</w:t>
            </w:r>
          </w:p>
        </w:tc>
        <w:tc>
          <w:tcPr>
            <w:tcW w:w="1119" w:type="pct"/>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529" w:type="pct"/>
            <w:gridSpan w:val="2"/>
            <w:tcBorders>
              <w:top w:val="single" w:color="auto" w:sz="4" w:space="0"/>
              <w:left w:val="nil"/>
              <w:bottom w:val="nil"/>
              <w:right w:val="nil"/>
            </w:tcBorders>
            <w:shd w:val="clear" w:color="auto" w:fill="auto"/>
            <w:vAlign w:val="bottom"/>
          </w:tcPr>
          <w:p>
            <w:pPr>
              <w:pStyle w:val="121"/>
              <w:jc w:val="both"/>
            </w:pPr>
            <w:r>
              <w:t>预算编制人：（签章）</w:t>
            </w:r>
          </w:p>
        </w:tc>
        <w:tc>
          <w:tcPr>
            <w:tcW w:w="507" w:type="pct"/>
            <w:tcBorders>
              <w:top w:val="nil"/>
              <w:left w:val="nil"/>
              <w:bottom w:val="nil"/>
              <w:right w:val="nil"/>
            </w:tcBorders>
            <w:shd w:val="clear" w:color="auto" w:fill="auto"/>
            <w:vAlign w:val="bottom"/>
          </w:tcPr>
          <w:p>
            <w:pPr>
              <w:pStyle w:val="121"/>
              <w:jc w:val="both"/>
            </w:pPr>
          </w:p>
        </w:tc>
        <w:tc>
          <w:tcPr>
            <w:tcW w:w="629" w:type="pct"/>
            <w:tcBorders>
              <w:top w:val="nil"/>
              <w:left w:val="nil"/>
              <w:bottom w:val="nil"/>
              <w:right w:val="nil"/>
            </w:tcBorders>
            <w:shd w:val="clear" w:color="auto" w:fill="auto"/>
            <w:vAlign w:val="bottom"/>
          </w:tcPr>
          <w:p>
            <w:pPr>
              <w:pStyle w:val="121"/>
              <w:jc w:val="both"/>
            </w:pPr>
          </w:p>
        </w:tc>
        <w:tc>
          <w:tcPr>
            <w:tcW w:w="608" w:type="pct"/>
            <w:tcBorders>
              <w:top w:val="nil"/>
              <w:left w:val="nil"/>
              <w:bottom w:val="nil"/>
              <w:right w:val="nil"/>
            </w:tcBorders>
            <w:shd w:val="clear" w:color="auto" w:fill="auto"/>
            <w:vAlign w:val="bottom"/>
          </w:tcPr>
          <w:p>
            <w:pPr>
              <w:pStyle w:val="121"/>
              <w:jc w:val="both"/>
            </w:pPr>
          </w:p>
        </w:tc>
        <w:tc>
          <w:tcPr>
            <w:tcW w:w="1727" w:type="pct"/>
            <w:gridSpan w:val="2"/>
            <w:tcBorders>
              <w:top w:val="single" w:color="auto" w:sz="4" w:space="0"/>
              <w:left w:val="nil"/>
              <w:bottom w:val="nil"/>
              <w:right w:val="nil"/>
            </w:tcBorders>
            <w:shd w:val="clear" w:color="auto" w:fill="auto"/>
            <w:vAlign w:val="bottom"/>
          </w:tcPr>
          <w:p>
            <w:pPr>
              <w:pStyle w:val="121"/>
              <w:jc w:val="both"/>
            </w:pPr>
            <w:r>
              <w:t>预算审核人：（签章）</w:t>
            </w:r>
          </w:p>
        </w:tc>
      </w:tr>
    </w:tbl>
    <w:p>
      <w:pPr>
        <w:pStyle w:val="121"/>
      </w:pPr>
    </w:p>
    <w:p>
      <w:pPr>
        <w:pStyle w:val="121"/>
      </w:pPr>
      <w:r>
        <w:br w:type="page"/>
      </w:r>
    </w:p>
    <w:p>
      <w:pPr>
        <w:pStyle w:val="121"/>
        <w:jc w:val="right"/>
      </w:pPr>
      <w:r>
        <w:t>预工附-3</w:t>
      </w:r>
    </w:p>
    <w:p>
      <w:pPr>
        <w:pStyle w:val="119"/>
      </w:pPr>
      <w:r>
        <w:t>印刷费预算明细表</w:t>
      </w:r>
    </w:p>
    <w:p>
      <w:pPr>
        <w:pStyle w:val="119"/>
      </w:pPr>
      <w:r>
        <w:t>（   年度）</w:t>
      </w:r>
    </w:p>
    <w:p>
      <w:pPr>
        <w:pStyle w:val="121"/>
        <w:spacing w:before="120" w:beforeLines="50" w:after="120" w:afterLines="50"/>
        <w:jc w:val="left"/>
        <w:rPr>
          <w:rFonts w:ascii="黑体" w:eastAsia="黑体"/>
        </w:rPr>
      </w:pPr>
      <w:r>
        <w:t xml:space="preserve">工作项目名称：                                                                               </w:t>
      </w:r>
      <w:r>
        <w:rPr>
          <w:rFonts w:hint="eastAsia" w:ascii="宋体"/>
        </w:rPr>
        <w:t>单位为万元</w:t>
      </w:r>
    </w:p>
    <w:tbl>
      <w:tblPr>
        <w:tblStyle w:val="36"/>
        <w:tblW w:w="5000" w:type="pct"/>
        <w:jc w:val="center"/>
        <w:tblLayout w:type="autofit"/>
        <w:tblCellMar>
          <w:top w:w="0" w:type="dxa"/>
          <w:left w:w="108" w:type="dxa"/>
          <w:bottom w:w="0" w:type="dxa"/>
          <w:right w:w="108" w:type="dxa"/>
        </w:tblCellMar>
      </w:tblPr>
      <w:tblGrid>
        <w:gridCol w:w="776"/>
        <w:gridCol w:w="1878"/>
        <w:gridCol w:w="1448"/>
        <w:gridCol w:w="935"/>
        <w:gridCol w:w="1081"/>
        <w:gridCol w:w="252"/>
        <w:gridCol w:w="945"/>
        <w:gridCol w:w="2169"/>
      </w:tblGrid>
      <w:tr>
        <w:tblPrEx>
          <w:tblCellMar>
            <w:top w:w="0" w:type="dxa"/>
            <w:left w:w="108" w:type="dxa"/>
            <w:bottom w:w="0" w:type="dxa"/>
            <w:right w:w="108" w:type="dxa"/>
          </w:tblCellMar>
        </w:tblPrEx>
        <w:trPr>
          <w:trHeight w:val="885" w:hRule="atLeast"/>
          <w:jc w:val="center"/>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990" w:type="pct"/>
            <w:tcBorders>
              <w:top w:val="single" w:color="auto" w:sz="4" w:space="0"/>
              <w:left w:val="nil"/>
              <w:bottom w:val="single" w:color="auto" w:sz="4" w:space="0"/>
              <w:right w:val="single" w:color="auto" w:sz="4" w:space="0"/>
            </w:tcBorders>
            <w:shd w:val="clear" w:color="auto" w:fill="auto"/>
            <w:vAlign w:val="center"/>
          </w:tcPr>
          <w:p>
            <w:pPr>
              <w:pStyle w:val="121"/>
            </w:pPr>
            <w:r>
              <w:t>名称</w:t>
            </w:r>
          </w:p>
        </w:tc>
        <w:tc>
          <w:tcPr>
            <w:tcW w:w="763" w:type="pct"/>
            <w:tcBorders>
              <w:top w:val="single" w:color="auto" w:sz="4" w:space="0"/>
              <w:left w:val="nil"/>
              <w:bottom w:val="single" w:color="auto" w:sz="4" w:space="0"/>
              <w:right w:val="single" w:color="auto" w:sz="4" w:space="0"/>
            </w:tcBorders>
            <w:shd w:val="clear" w:color="auto" w:fill="auto"/>
            <w:vAlign w:val="center"/>
          </w:tcPr>
          <w:p>
            <w:pPr>
              <w:pStyle w:val="121"/>
            </w:pPr>
            <w:r>
              <w:t>计量单位</w:t>
            </w:r>
          </w:p>
        </w:tc>
        <w:tc>
          <w:tcPr>
            <w:tcW w:w="493" w:type="pct"/>
            <w:tcBorders>
              <w:top w:val="single" w:color="auto" w:sz="4" w:space="0"/>
              <w:left w:val="nil"/>
              <w:bottom w:val="single" w:color="auto" w:sz="4" w:space="0"/>
              <w:right w:val="single" w:color="auto" w:sz="4" w:space="0"/>
            </w:tcBorders>
            <w:shd w:val="clear" w:color="auto" w:fill="auto"/>
            <w:vAlign w:val="center"/>
          </w:tcPr>
          <w:p>
            <w:pPr>
              <w:pStyle w:val="121"/>
            </w:pPr>
            <w:r>
              <w:t>单价</w:t>
            </w:r>
          </w:p>
          <w:p>
            <w:pPr>
              <w:pStyle w:val="121"/>
            </w:pPr>
            <w:r>
              <w:t>元</w:t>
            </w:r>
          </w:p>
        </w:tc>
        <w:tc>
          <w:tcPr>
            <w:tcW w:w="570" w:type="pct"/>
            <w:tcBorders>
              <w:top w:val="single" w:color="auto" w:sz="4" w:space="0"/>
              <w:left w:val="nil"/>
              <w:bottom w:val="single" w:color="auto" w:sz="4" w:space="0"/>
              <w:right w:val="single" w:color="auto" w:sz="4" w:space="0"/>
            </w:tcBorders>
            <w:shd w:val="clear" w:color="auto" w:fill="auto"/>
            <w:vAlign w:val="center"/>
          </w:tcPr>
          <w:p>
            <w:pPr>
              <w:pStyle w:val="121"/>
            </w:pPr>
            <w:r>
              <w:t>数量</w:t>
            </w:r>
          </w:p>
        </w:tc>
        <w:tc>
          <w:tcPr>
            <w:tcW w:w="631"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1143"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390" w:hRule="atLeast"/>
          <w:jc w:val="center"/>
        </w:trPr>
        <w:tc>
          <w:tcPr>
            <w:tcW w:w="409"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990" w:type="pct"/>
            <w:tcBorders>
              <w:top w:val="nil"/>
              <w:left w:val="nil"/>
              <w:bottom w:val="single" w:color="auto" w:sz="4" w:space="0"/>
              <w:right w:val="single" w:color="auto" w:sz="4" w:space="0"/>
            </w:tcBorders>
            <w:shd w:val="clear" w:color="auto" w:fill="auto"/>
            <w:vAlign w:val="center"/>
          </w:tcPr>
          <w:p>
            <w:pPr>
              <w:pStyle w:val="121"/>
            </w:pPr>
            <w:r>
              <w:t>乙</w:t>
            </w:r>
          </w:p>
        </w:tc>
        <w:tc>
          <w:tcPr>
            <w:tcW w:w="763" w:type="pct"/>
            <w:tcBorders>
              <w:top w:val="nil"/>
              <w:left w:val="nil"/>
              <w:bottom w:val="single" w:color="auto" w:sz="4" w:space="0"/>
              <w:right w:val="single" w:color="auto" w:sz="4" w:space="0"/>
            </w:tcBorders>
            <w:shd w:val="clear" w:color="auto" w:fill="auto"/>
            <w:vAlign w:val="center"/>
          </w:tcPr>
          <w:p>
            <w:pPr>
              <w:pStyle w:val="121"/>
            </w:pPr>
            <w:r>
              <w:t>丙</w:t>
            </w:r>
          </w:p>
        </w:tc>
        <w:tc>
          <w:tcPr>
            <w:tcW w:w="493" w:type="pct"/>
            <w:tcBorders>
              <w:top w:val="nil"/>
              <w:left w:val="nil"/>
              <w:bottom w:val="single" w:color="auto" w:sz="4" w:space="0"/>
              <w:right w:val="single" w:color="auto" w:sz="4" w:space="0"/>
            </w:tcBorders>
            <w:shd w:val="clear" w:color="auto" w:fill="auto"/>
            <w:vAlign w:val="center"/>
          </w:tcPr>
          <w:p>
            <w:pPr>
              <w:pStyle w:val="121"/>
            </w:pPr>
            <w:r>
              <w:t>1</w:t>
            </w:r>
          </w:p>
        </w:tc>
        <w:tc>
          <w:tcPr>
            <w:tcW w:w="570" w:type="pct"/>
            <w:tcBorders>
              <w:top w:val="nil"/>
              <w:left w:val="nil"/>
              <w:bottom w:val="single" w:color="auto" w:sz="4" w:space="0"/>
              <w:right w:val="single" w:color="auto" w:sz="4" w:space="0"/>
            </w:tcBorders>
            <w:shd w:val="clear" w:color="auto" w:fill="auto"/>
            <w:vAlign w:val="center"/>
          </w:tcPr>
          <w:p>
            <w:pPr>
              <w:pStyle w:val="121"/>
            </w:pPr>
            <w:r>
              <w:t>2</w:t>
            </w:r>
          </w:p>
        </w:tc>
        <w:tc>
          <w:tcPr>
            <w:tcW w:w="631" w:type="pct"/>
            <w:gridSpan w:val="2"/>
            <w:tcBorders>
              <w:top w:val="nil"/>
              <w:left w:val="nil"/>
              <w:bottom w:val="single" w:color="auto" w:sz="4" w:space="0"/>
              <w:right w:val="single" w:color="auto" w:sz="4" w:space="0"/>
            </w:tcBorders>
            <w:shd w:val="clear" w:color="auto" w:fill="auto"/>
            <w:vAlign w:val="center"/>
          </w:tcPr>
          <w:p>
            <w:pPr>
              <w:pStyle w:val="121"/>
            </w:pPr>
            <w:r>
              <w:t>3</w:t>
            </w:r>
          </w:p>
        </w:tc>
        <w:tc>
          <w:tcPr>
            <w:tcW w:w="1143" w:type="pct"/>
            <w:tcBorders>
              <w:top w:val="nil"/>
              <w:left w:val="nil"/>
              <w:bottom w:val="single" w:color="auto" w:sz="4" w:space="0"/>
              <w:right w:val="single" w:color="auto" w:sz="4" w:space="0"/>
            </w:tcBorders>
            <w:shd w:val="clear" w:color="auto" w:fill="auto"/>
            <w:vAlign w:val="center"/>
          </w:tcPr>
          <w:p>
            <w:pPr>
              <w:pStyle w:val="121"/>
            </w:pPr>
            <w:r>
              <w:t>4</w:t>
            </w:r>
          </w:p>
        </w:tc>
      </w:tr>
      <w:tr>
        <w:trPr>
          <w:trHeight w:val="390" w:hRule="atLeast"/>
          <w:jc w:val="center"/>
        </w:trPr>
        <w:tc>
          <w:tcPr>
            <w:tcW w:w="409" w:type="pct"/>
            <w:tcBorders>
              <w:top w:val="nil"/>
              <w:left w:val="single" w:color="auto" w:sz="4" w:space="0"/>
              <w:bottom w:val="nil"/>
              <w:right w:val="single" w:color="auto" w:sz="4" w:space="0"/>
            </w:tcBorders>
            <w:shd w:val="clear" w:color="auto" w:fill="auto"/>
            <w:vAlign w:val="center"/>
          </w:tcPr>
          <w:p>
            <w:pPr>
              <w:pStyle w:val="121"/>
            </w:pPr>
          </w:p>
        </w:tc>
        <w:tc>
          <w:tcPr>
            <w:tcW w:w="990" w:type="pct"/>
            <w:tcBorders>
              <w:top w:val="nil"/>
              <w:left w:val="nil"/>
              <w:bottom w:val="nil"/>
              <w:right w:val="single" w:color="auto" w:sz="4" w:space="0"/>
            </w:tcBorders>
            <w:shd w:val="clear" w:color="auto" w:fill="auto"/>
            <w:vAlign w:val="center"/>
          </w:tcPr>
          <w:p>
            <w:pPr>
              <w:pStyle w:val="121"/>
            </w:pPr>
          </w:p>
        </w:tc>
        <w:tc>
          <w:tcPr>
            <w:tcW w:w="3600" w:type="pct"/>
            <w:gridSpan w:val="6"/>
            <w:vMerge w:val="restart"/>
            <w:tcBorders>
              <w:top w:val="single" w:color="auto" w:sz="4" w:space="0"/>
              <w:left w:val="single" w:color="auto" w:sz="4" w:space="0"/>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390" w:hRule="atLeast"/>
          <w:jc w:val="center"/>
        </w:trPr>
        <w:tc>
          <w:tcPr>
            <w:tcW w:w="409" w:type="pct"/>
            <w:tcBorders>
              <w:top w:val="nil"/>
              <w:left w:val="single" w:color="auto" w:sz="4" w:space="0"/>
              <w:bottom w:val="nil"/>
              <w:right w:val="single" w:color="auto" w:sz="4" w:space="0"/>
            </w:tcBorders>
            <w:shd w:val="clear" w:color="auto" w:fill="auto"/>
            <w:vAlign w:val="center"/>
          </w:tcPr>
          <w:p>
            <w:pPr>
              <w:pStyle w:val="121"/>
            </w:pPr>
          </w:p>
        </w:tc>
        <w:tc>
          <w:tcPr>
            <w:tcW w:w="990" w:type="pct"/>
            <w:tcBorders>
              <w:top w:val="nil"/>
              <w:left w:val="nil"/>
              <w:bottom w:val="nil"/>
              <w:right w:val="single" w:color="auto" w:sz="4" w:space="0"/>
            </w:tcBorders>
            <w:shd w:val="clear" w:color="auto" w:fill="auto"/>
            <w:vAlign w:val="center"/>
          </w:tcPr>
          <w:p>
            <w:pPr>
              <w:pStyle w:val="121"/>
            </w:pPr>
          </w:p>
        </w:tc>
        <w:tc>
          <w:tcPr>
            <w:tcW w:w="3600" w:type="pct"/>
            <w:gridSpan w:val="6"/>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495" w:hRule="atLeast"/>
          <w:jc w:val="center"/>
        </w:trPr>
        <w:tc>
          <w:tcPr>
            <w:tcW w:w="409" w:type="pct"/>
            <w:tcBorders>
              <w:top w:val="nil"/>
              <w:left w:val="single" w:color="auto" w:sz="4" w:space="0"/>
              <w:bottom w:val="nil"/>
              <w:right w:val="single" w:color="auto" w:sz="4" w:space="0"/>
            </w:tcBorders>
            <w:shd w:val="clear" w:color="auto" w:fill="auto"/>
            <w:vAlign w:val="center"/>
          </w:tcPr>
          <w:p>
            <w:pPr>
              <w:pStyle w:val="121"/>
            </w:pPr>
            <w:r>
              <w:t>　</w:t>
            </w:r>
          </w:p>
        </w:tc>
        <w:tc>
          <w:tcPr>
            <w:tcW w:w="990" w:type="pct"/>
            <w:tcBorders>
              <w:top w:val="nil"/>
              <w:left w:val="nil"/>
              <w:bottom w:val="nil"/>
              <w:right w:val="single" w:color="auto" w:sz="4" w:space="0"/>
            </w:tcBorders>
            <w:shd w:val="clear" w:color="auto" w:fill="auto"/>
            <w:vAlign w:val="center"/>
          </w:tcPr>
          <w:p>
            <w:pPr>
              <w:pStyle w:val="121"/>
            </w:pPr>
            <w:r>
              <w:t>　</w:t>
            </w:r>
          </w:p>
        </w:tc>
        <w:tc>
          <w:tcPr>
            <w:tcW w:w="3600" w:type="pct"/>
            <w:gridSpan w:val="6"/>
            <w:tcBorders>
              <w:top w:val="nil"/>
              <w:left w:val="nil"/>
              <w:bottom w:val="nil"/>
              <w:right w:val="single" w:color="auto" w:sz="4" w:space="0"/>
            </w:tcBorders>
            <w:shd w:val="clear" w:color="auto" w:fill="auto"/>
            <w:vAlign w:val="center"/>
          </w:tcPr>
          <w:p>
            <w:pPr>
              <w:pStyle w:val="121"/>
              <w:ind w:left="130" w:leftChars="62"/>
              <w:jc w:val="left"/>
            </w:pPr>
            <w:r>
              <w:t>乙栏：报告印刷按份数填列；其他印刷可按人</w:t>
            </w:r>
            <w:r>
              <w:rPr>
                <w:rFonts w:hint="eastAsia"/>
              </w:rPr>
              <w:t>·</w:t>
            </w:r>
            <w:r>
              <w:t>月数和综合定额预算，也可以按照计划印刷情况预算。</w:t>
            </w:r>
          </w:p>
        </w:tc>
      </w:tr>
      <w:tr>
        <w:tblPrEx>
          <w:tblCellMar>
            <w:top w:w="0" w:type="dxa"/>
            <w:left w:w="108" w:type="dxa"/>
            <w:bottom w:w="0" w:type="dxa"/>
            <w:right w:w="108" w:type="dxa"/>
          </w:tblCellMar>
        </w:tblPrEx>
        <w:trPr>
          <w:trHeight w:val="390" w:hRule="atLeast"/>
          <w:jc w:val="center"/>
        </w:trPr>
        <w:tc>
          <w:tcPr>
            <w:tcW w:w="409" w:type="pct"/>
            <w:tcBorders>
              <w:top w:val="nil"/>
              <w:left w:val="single" w:color="auto" w:sz="4" w:space="0"/>
              <w:bottom w:val="nil"/>
              <w:right w:val="single" w:color="auto" w:sz="4" w:space="0"/>
            </w:tcBorders>
            <w:shd w:val="clear" w:color="auto" w:fill="auto"/>
            <w:vAlign w:val="center"/>
          </w:tcPr>
          <w:p>
            <w:pPr>
              <w:pStyle w:val="121"/>
            </w:pPr>
            <w:r>
              <w:t>　</w:t>
            </w:r>
          </w:p>
        </w:tc>
        <w:tc>
          <w:tcPr>
            <w:tcW w:w="990" w:type="pct"/>
            <w:tcBorders>
              <w:top w:val="nil"/>
              <w:left w:val="nil"/>
              <w:bottom w:val="nil"/>
              <w:right w:val="single" w:color="auto" w:sz="4" w:space="0"/>
            </w:tcBorders>
            <w:shd w:val="clear" w:color="auto" w:fill="auto"/>
            <w:vAlign w:val="center"/>
          </w:tcPr>
          <w:p>
            <w:pPr>
              <w:pStyle w:val="121"/>
            </w:pPr>
            <w:r>
              <w:t>　</w:t>
            </w:r>
          </w:p>
        </w:tc>
        <w:tc>
          <w:tcPr>
            <w:tcW w:w="3600" w:type="pct"/>
            <w:gridSpan w:val="6"/>
            <w:tcBorders>
              <w:top w:val="nil"/>
              <w:left w:val="nil"/>
              <w:bottom w:val="nil"/>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390" w:hRule="atLeast"/>
          <w:jc w:val="center"/>
        </w:trPr>
        <w:tc>
          <w:tcPr>
            <w:tcW w:w="409" w:type="pct"/>
            <w:tcBorders>
              <w:top w:val="nil"/>
              <w:left w:val="single" w:color="auto" w:sz="4" w:space="0"/>
              <w:bottom w:val="nil"/>
              <w:right w:val="single" w:color="auto" w:sz="4" w:space="0"/>
            </w:tcBorders>
            <w:shd w:val="clear" w:color="auto" w:fill="auto"/>
            <w:vAlign w:val="center"/>
          </w:tcPr>
          <w:p>
            <w:pPr>
              <w:pStyle w:val="121"/>
            </w:pPr>
            <w:r>
              <w:t>　</w:t>
            </w:r>
          </w:p>
        </w:tc>
        <w:tc>
          <w:tcPr>
            <w:tcW w:w="990" w:type="pct"/>
            <w:tcBorders>
              <w:top w:val="nil"/>
              <w:left w:val="nil"/>
              <w:bottom w:val="nil"/>
              <w:right w:val="single" w:color="auto" w:sz="4" w:space="0"/>
            </w:tcBorders>
            <w:shd w:val="clear" w:color="auto" w:fill="auto"/>
            <w:vAlign w:val="center"/>
          </w:tcPr>
          <w:p>
            <w:pPr>
              <w:pStyle w:val="121"/>
            </w:pPr>
            <w:r>
              <w:t>　</w:t>
            </w:r>
          </w:p>
        </w:tc>
        <w:tc>
          <w:tcPr>
            <w:tcW w:w="763" w:type="pct"/>
            <w:tcBorders>
              <w:top w:val="nil"/>
              <w:left w:val="nil"/>
              <w:bottom w:val="nil"/>
              <w:right w:val="nil"/>
            </w:tcBorders>
            <w:shd w:val="clear" w:color="auto" w:fill="auto"/>
            <w:vAlign w:val="center"/>
          </w:tcPr>
          <w:p>
            <w:pPr>
              <w:pStyle w:val="121"/>
            </w:pPr>
            <w:r>
              <w:t>　</w:t>
            </w:r>
          </w:p>
        </w:tc>
        <w:tc>
          <w:tcPr>
            <w:tcW w:w="493" w:type="pct"/>
            <w:tcBorders>
              <w:top w:val="nil"/>
              <w:left w:val="nil"/>
              <w:bottom w:val="nil"/>
              <w:right w:val="nil"/>
            </w:tcBorders>
            <w:shd w:val="clear" w:color="auto" w:fill="auto"/>
            <w:vAlign w:val="center"/>
          </w:tcPr>
          <w:p>
            <w:pPr>
              <w:pStyle w:val="121"/>
            </w:pPr>
          </w:p>
        </w:tc>
        <w:tc>
          <w:tcPr>
            <w:tcW w:w="570" w:type="pct"/>
            <w:tcBorders>
              <w:top w:val="nil"/>
              <w:left w:val="nil"/>
              <w:bottom w:val="nil"/>
              <w:right w:val="nil"/>
            </w:tcBorders>
            <w:shd w:val="clear" w:color="auto" w:fill="auto"/>
            <w:vAlign w:val="center"/>
          </w:tcPr>
          <w:p>
            <w:pPr>
              <w:pStyle w:val="121"/>
            </w:pPr>
          </w:p>
        </w:tc>
        <w:tc>
          <w:tcPr>
            <w:tcW w:w="631" w:type="pct"/>
            <w:gridSpan w:val="2"/>
            <w:tcBorders>
              <w:top w:val="nil"/>
              <w:left w:val="nil"/>
              <w:bottom w:val="nil"/>
              <w:right w:val="nil"/>
            </w:tcBorders>
            <w:shd w:val="clear" w:color="auto" w:fill="auto"/>
            <w:vAlign w:val="center"/>
          </w:tcPr>
          <w:p>
            <w:pPr>
              <w:pStyle w:val="121"/>
            </w:pPr>
          </w:p>
        </w:tc>
        <w:tc>
          <w:tcPr>
            <w:tcW w:w="1143"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89" w:hRule="atLeast"/>
          <w:jc w:val="center"/>
        </w:trPr>
        <w:tc>
          <w:tcPr>
            <w:tcW w:w="409" w:type="pct"/>
            <w:tcBorders>
              <w:top w:val="nil"/>
              <w:left w:val="single" w:color="auto" w:sz="4" w:space="0"/>
              <w:bottom w:val="nil"/>
              <w:right w:val="single" w:color="auto" w:sz="4" w:space="0"/>
            </w:tcBorders>
            <w:shd w:val="clear" w:color="auto" w:fill="auto"/>
            <w:vAlign w:val="center"/>
          </w:tcPr>
          <w:p>
            <w:pPr>
              <w:pStyle w:val="121"/>
            </w:pPr>
          </w:p>
        </w:tc>
        <w:tc>
          <w:tcPr>
            <w:tcW w:w="990" w:type="pct"/>
            <w:tcBorders>
              <w:top w:val="nil"/>
              <w:left w:val="nil"/>
              <w:bottom w:val="nil"/>
              <w:right w:val="single" w:color="auto" w:sz="4" w:space="0"/>
            </w:tcBorders>
            <w:shd w:val="clear" w:color="auto" w:fill="auto"/>
            <w:vAlign w:val="center"/>
          </w:tcPr>
          <w:p>
            <w:pPr>
              <w:pStyle w:val="121"/>
            </w:pPr>
          </w:p>
        </w:tc>
        <w:tc>
          <w:tcPr>
            <w:tcW w:w="763" w:type="pct"/>
            <w:tcBorders>
              <w:top w:val="nil"/>
              <w:left w:val="nil"/>
              <w:bottom w:val="nil"/>
              <w:right w:val="nil"/>
            </w:tcBorders>
            <w:shd w:val="clear" w:color="auto" w:fill="auto"/>
            <w:vAlign w:val="center"/>
          </w:tcPr>
          <w:p>
            <w:pPr>
              <w:pStyle w:val="121"/>
            </w:pPr>
          </w:p>
        </w:tc>
        <w:tc>
          <w:tcPr>
            <w:tcW w:w="493" w:type="pct"/>
            <w:tcBorders>
              <w:top w:val="nil"/>
              <w:left w:val="nil"/>
              <w:bottom w:val="nil"/>
              <w:right w:val="nil"/>
            </w:tcBorders>
            <w:shd w:val="clear" w:color="auto" w:fill="auto"/>
            <w:vAlign w:val="center"/>
          </w:tcPr>
          <w:p>
            <w:pPr>
              <w:pStyle w:val="121"/>
            </w:pPr>
          </w:p>
        </w:tc>
        <w:tc>
          <w:tcPr>
            <w:tcW w:w="570" w:type="pct"/>
            <w:tcBorders>
              <w:top w:val="nil"/>
              <w:left w:val="nil"/>
              <w:bottom w:val="nil"/>
              <w:right w:val="nil"/>
            </w:tcBorders>
            <w:shd w:val="clear" w:color="auto" w:fill="auto"/>
            <w:vAlign w:val="center"/>
          </w:tcPr>
          <w:p>
            <w:pPr>
              <w:pStyle w:val="121"/>
            </w:pPr>
          </w:p>
        </w:tc>
        <w:tc>
          <w:tcPr>
            <w:tcW w:w="631" w:type="pct"/>
            <w:gridSpan w:val="2"/>
            <w:tcBorders>
              <w:top w:val="nil"/>
              <w:left w:val="nil"/>
              <w:bottom w:val="nil"/>
              <w:right w:val="nil"/>
            </w:tcBorders>
            <w:shd w:val="clear" w:color="auto" w:fill="auto"/>
            <w:vAlign w:val="center"/>
          </w:tcPr>
          <w:p>
            <w:pPr>
              <w:pStyle w:val="121"/>
            </w:pPr>
          </w:p>
        </w:tc>
        <w:tc>
          <w:tcPr>
            <w:tcW w:w="1143"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90" w:hRule="atLeast"/>
          <w:jc w:val="center"/>
        </w:trPr>
        <w:tc>
          <w:tcPr>
            <w:tcW w:w="409"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990" w:type="pct"/>
            <w:tcBorders>
              <w:top w:val="nil"/>
              <w:left w:val="nil"/>
              <w:bottom w:val="single" w:color="auto" w:sz="4" w:space="0"/>
              <w:right w:val="single" w:color="auto" w:sz="4" w:space="0"/>
            </w:tcBorders>
            <w:shd w:val="clear" w:color="auto" w:fill="auto"/>
            <w:vAlign w:val="center"/>
          </w:tcPr>
          <w:p>
            <w:pPr>
              <w:pStyle w:val="121"/>
            </w:pPr>
            <w:r>
              <w:t>　</w:t>
            </w:r>
          </w:p>
        </w:tc>
        <w:tc>
          <w:tcPr>
            <w:tcW w:w="763" w:type="pct"/>
            <w:tcBorders>
              <w:top w:val="nil"/>
              <w:left w:val="nil"/>
              <w:bottom w:val="single" w:color="auto" w:sz="4" w:space="0"/>
              <w:right w:val="nil"/>
            </w:tcBorders>
            <w:shd w:val="clear" w:color="auto" w:fill="auto"/>
            <w:vAlign w:val="center"/>
          </w:tcPr>
          <w:p>
            <w:pPr>
              <w:pStyle w:val="121"/>
            </w:pPr>
            <w:r>
              <w:t>　</w:t>
            </w:r>
          </w:p>
        </w:tc>
        <w:tc>
          <w:tcPr>
            <w:tcW w:w="493" w:type="pct"/>
            <w:tcBorders>
              <w:top w:val="nil"/>
              <w:left w:val="nil"/>
              <w:bottom w:val="single" w:color="auto" w:sz="4" w:space="0"/>
              <w:right w:val="nil"/>
            </w:tcBorders>
            <w:shd w:val="clear" w:color="auto" w:fill="auto"/>
            <w:vAlign w:val="center"/>
          </w:tcPr>
          <w:p>
            <w:pPr>
              <w:pStyle w:val="121"/>
            </w:pPr>
            <w:r>
              <w:t>　</w:t>
            </w:r>
          </w:p>
        </w:tc>
        <w:tc>
          <w:tcPr>
            <w:tcW w:w="570" w:type="pct"/>
            <w:tcBorders>
              <w:top w:val="nil"/>
              <w:left w:val="nil"/>
              <w:bottom w:val="single" w:color="auto" w:sz="4" w:space="0"/>
              <w:right w:val="nil"/>
            </w:tcBorders>
            <w:shd w:val="clear" w:color="auto" w:fill="auto"/>
            <w:vAlign w:val="center"/>
          </w:tcPr>
          <w:p>
            <w:pPr>
              <w:pStyle w:val="121"/>
            </w:pPr>
            <w:r>
              <w:t>　</w:t>
            </w:r>
          </w:p>
        </w:tc>
        <w:tc>
          <w:tcPr>
            <w:tcW w:w="631" w:type="pct"/>
            <w:gridSpan w:val="2"/>
            <w:tcBorders>
              <w:top w:val="nil"/>
              <w:left w:val="nil"/>
              <w:bottom w:val="single" w:color="auto" w:sz="4" w:space="0"/>
              <w:right w:val="nil"/>
            </w:tcBorders>
            <w:shd w:val="clear" w:color="auto" w:fill="auto"/>
            <w:vAlign w:val="center"/>
          </w:tcPr>
          <w:p>
            <w:pPr>
              <w:pStyle w:val="121"/>
            </w:pPr>
            <w:r>
              <w:t>　</w:t>
            </w:r>
          </w:p>
        </w:tc>
        <w:tc>
          <w:tcPr>
            <w:tcW w:w="1143"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390" w:hRule="atLeast"/>
          <w:jc w:val="center"/>
        </w:trPr>
        <w:tc>
          <w:tcPr>
            <w:tcW w:w="409"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990" w:type="pct"/>
            <w:tcBorders>
              <w:top w:val="nil"/>
              <w:left w:val="nil"/>
              <w:bottom w:val="single" w:color="auto" w:sz="4" w:space="0"/>
              <w:right w:val="single" w:color="auto" w:sz="4" w:space="0"/>
            </w:tcBorders>
            <w:shd w:val="clear" w:color="auto" w:fill="auto"/>
            <w:vAlign w:val="center"/>
          </w:tcPr>
          <w:p>
            <w:pPr>
              <w:pStyle w:val="121"/>
            </w:pPr>
            <w:r>
              <w:t>合计</w:t>
            </w:r>
          </w:p>
        </w:tc>
        <w:tc>
          <w:tcPr>
            <w:tcW w:w="3600" w:type="pct"/>
            <w:gridSpan w:val="6"/>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2162" w:type="pct"/>
            <w:gridSpan w:val="3"/>
            <w:tcBorders>
              <w:top w:val="single" w:color="auto" w:sz="4" w:space="0"/>
              <w:left w:val="nil"/>
              <w:bottom w:val="nil"/>
              <w:right w:val="nil"/>
            </w:tcBorders>
            <w:shd w:val="clear" w:color="auto" w:fill="auto"/>
            <w:vAlign w:val="bottom"/>
          </w:tcPr>
          <w:p>
            <w:pPr>
              <w:pStyle w:val="121"/>
              <w:jc w:val="both"/>
            </w:pPr>
            <w:r>
              <w:t>预算编制人：（签章）</w:t>
            </w:r>
          </w:p>
        </w:tc>
        <w:tc>
          <w:tcPr>
            <w:tcW w:w="1196" w:type="pct"/>
            <w:gridSpan w:val="3"/>
            <w:tcBorders>
              <w:top w:val="nil"/>
              <w:left w:val="nil"/>
              <w:bottom w:val="nil"/>
              <w:right w:val="nil"/>
            </w:tcBorders>
            <w:shd w:val="clear" w:color="auto" w:fill="auto"/>
            <w:vAlign w:val="bottom"/>
          </w:tcPr>
          <w:p>
            <w:pPr>
              <w:pStyle w:val="121"/>
              <w:jc w:val="both"/>
            </w:pPr>
          </w:p>
        </w:tc>
        <w:tc>
          <w:tcPr>
            <w:tcW w:w="1641" w:type="pct"/>
            <w:gridSpan w:val="2"/>
            <w:tcBorders>
              <w:top w:val="nil"/>
              <w:left w:val="nil"/>
              <w:bottom w:val="nil"/>
              <w:right w:val="nil"/>
            </w:tcBorders>
            <w:shd w:val="clear" w:color="auto" w:fill="auto"/>
            <w:vAlign w:val="bottom"/>
          </w:tcPr>
          <w:p>
            <w:pPr>
              <w:pStyle w:val="121"/>
              <w:jc w:val="both"/>
            </w:pPr>
            <w:r>
              <w:t>预算审核人：（签章）</w:t>
            </w:r>
          </w:p>
        </w:tc>
      </w:tr>
    </w:tbl>
    <w:p>
      <w:pPr>
        <w:pStyle w:val="121"/>
      </w:pPr>
    </w:p>
    <w:p>
      <w:pPr>
        <w:pStyle w:val="121"/>
      </w:pPr>
      <w:r>
        <w:br w:type="page"/>
      </w:r>
    </w:p>
    <w:p>
      <w:pPr>
        <w:pStyle w:val="121"/>
        <w:jc w:val="right"/>
      </w:pPr>
      <w:r>
        <w:t>预工附-4</w:t>
      </w:r>
    </w:p>
    <w:p>
      <w:pPr>
        <w:pStyle w:val="119"/>
      </w:pPr>
      <w:r>
        <w:t>水费预算明细表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5000" w:type="pct"/>
        <w:jc w:val="center"/>
        <w:tblLayout w:type="autofit"/>
        <w:tblCellMar>
          <w:top w:w="0" w:type="dxa"/>
          <w:left w:w="108" w:type="dxa"/>
          <w:bottom w:w="0" w:type="dxa"/>
          <w:right w:w="108" w:type="dxa"/>
        </w:tblCellMar>
      </w:tblPr>
      <w:tblGrid>
        <w:gridCol w:w="745"/>
        <w:gridCol w:w="1645"/>
        <w:gridCol w:w="1753"/>
        <w:gridCol w:w="1117"/>
        <w:gridCol w:w="1125"/>
        <w:gridCol w:w="1155"/>
        <w:gridCol w:w="1944"/>
      </w:tblGrid>
      <w:tr>
        <w:tblPrEx>
          <w:tblCellMar>
            <w:top w:w="0" w:type="dxa"/>
            <w:left w:w="108" w:type="dxa"/>
            <w:bottom w:w="0" w:type="dxa"/>
            <w:right w:w="108" w:type="dxa"/>
          </w:tblCellMar>
        </w:tblPrEx>
        <w:trPr>
          <w:trHeight w:val="885" w:hRule="atLeast"/>
          <w:jc w:val="center"/>
        </w:trPr>
        <w:tc>
          <w:tcPr>
            <w:tcW w:w="39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867" w:type="pct"/>
            <w:tcBorders>
              <w:top w:val="single" w:color="auto" w:sz="4" w:space="0"/>
              <w:left w:val="nil"/>
              <w:bottom w:val="single" w:color="auto" w:sz="4" w:space="0"/>
              <w:right w:val="single" w:color="auto" w:sz="4" w:space="0"/>
            </w:tcBorders>
            <w:shd w:val="clear" w:color="auto" w:fill="auto"/>
            <w:vAlign w:val="center"/>
          </w:tcPr>
          <w:p>
            <w:pPr>
              <w:pStyle w:val="121"/>
            </w:pPr>
            <w:r>
              <w:t>名称</w:t>
            </w:r>
          </w:p>
        </w:tc>
        <w:tc>
          <w:tcPr>
            <w:tcW w:w="924" w:type="pct"/>
            <w:tcBorders>
              <w:top w:val="single" w:color="auto" w:sz="4" w:space="0"/>
              <w:left w:val="nil"/>
              <w:bottom w:val="single" w:color="auto" w:sz="4" w:space="0"/>
              <w:right w:val="single" w:color="auto" w:sz="4" w:space="0"/>
            </w:tcBorders>
            <w:shd w:val="clear" w:color="auto" w:fill="auto"/>
            <w:vAlign w:val="center"/>
          </w:tcPr>
          <w:p>
            <w:pPr>
              <w:pStyle w:val="121"/>
            </w:pPr>
            <w:r>
              <w:t>计量单位</w:t>
            </w:r>
          </w:p>
        </w:tc>
        <w:tc>
          <w:tcPr>
            <w:tcW w:w="589" w:type="pct"/>
            <w:tcBorders>
              <w:top w:val="single" w:color="auto" w:sz="4" w:space="0"/>
              <w:left w:val="nil"/>
              <w:bottom w:val="single" w:color="auto" w:sz="4" w:space="0"/>
              <w:right w:val="single" w:color="auto" w:sz="4" w:space="0"/>
            </w:tcBorders>
            <w:shd w:val="clear" w:color="auto" w:fill="auto"/>
            <w:vAlign w:val="center"/>
          </w:tcPr>
          <w:p>
            <w:pPr>
              <w:pStyle w:val="121"/>
            </w:pPr>
            <w:r>
              <w:t>单价</w:t>
            </w:r>
          </w:p>
          <w:p>
            <w:pPr>
              <w:pStyle w:val="121"/>
            </w:pPr>
            <w:r>
              <w:t>元</w:t>
            </w:r>
          </w:p>
        </w:tc>
        <w:tc>
          <w:tcPr>
            <w:tcW w:w="593" w:type="pct"/>
            <w:tcBorders>
              <w:top w:val="single" w:color="auto" w:sz="4" w:space="0"/>
              <w:left w:val="nil"/>
              <w:bottom w:val="single" w:color="auto" w:sz="4" w:space="0"/>
              <w:right w:val="single" w:color="auto" w:sz="4" w:space="0"/>
            </w:tcBorders>
            <w:shd w:val="clear" w:color="auto" w:fill="auto"/>
            <w:vAlign w:val="center"/>
          </w:tcPr>
          <w:p>
            <w:pPr>
              <w:pStyle w:val="121"/>
            </w:pPr>
            <w:r>
              <w:t>数量</w:t>
            </w:r>
          </w:p>
        </w:tc>
        <w:tc>
          <w:tcPr>
            <w:tcW w:w="609" w:type="pct"/>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1025"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867" w:type="pct"/>
            <w:tcBorders>
              <w:top w:val="nil"/>
              <w:left w:val="nil"/>
              <w:bottom w:val="single" w:color="auto" w:sz="4" w:space="0"/>
              <w:right w:val="single" w:color="auto" w:sz="4" w:space="0"/>
            </w:tcBorders>
            <w:shd w:val="clear" w:color="auto" w:fill="auto"/>
            <w:vAlign w:val="center"/>
          </w:tcPr>
          <w:p>
            <w:pPr>
              <w:pStyle w:val="121"/>
            </w:pPr>
            <w:r>
              <w:t>乙</w:t>
            </w:r>
          </w:p>
        </w:tc>
        <w:tc>
          <w:tcPr>
            <w:tcW w:w="924" w:type="pct"/>
            <w:tcBorders>
              <w:top w:val="nil"/>
              <w:left w:val="nil"/>
              <w:bottom w:val="single" w:color="auto" w:sz="4" w:space="0"/>
              <w:right w:val="single" w:color="auto" w:sz="4" w:space="0"/>
            </w:tcBorders>
            <w:shd w:val="clear" w:color="auto" w:fill="auto"/>
            <w:vAlign w:val="center"/>
          </w:tcPr>
          <w:p>
            <w:pPr>
              <w:pStyle w:val="121"/>
            </w:pPr>
            <w:r>
              <w:t>丙</w:t>
            </w:r>
          </w:p>
        </w:tc>
        <w:tc>
          <w:tcPr>
            <w:tcW w:w="589" w:type="pct"/>
            <w:tcBorders>
              <w:top w:val="nil"/>
              <w:left w:val="nil"/>
              <w:bottom w:val="single" w:color="auto" w:sz="4" w:space="0"/>
              <w:right w:val="single" w:color="auto" w:sz="4" w:space="0"/>
            </w:tcBorders>
            <w:shd w:val="clear" w:color="auto" w:fill="auto"/>
            <w:vAlign w:val="center"/>
          </w:tcPr>
          <w:p>
            <w:pPr>
              <w:pStyle w:val="121"/>
            </w:pPr>
            <w:r>
              <w:t>1</w:t>
            </w:r>
          </w:p>
        </w:tc>
        <w:tc>
          <w:tcPr>
            <w:tcW w:w="593" w:type="pct"/>
            <w:tcBorders>
              <w:top w:val="nil"/>
              <w:left w:val="nil"/>
              <w:bottom w:val="single" w:color="auto" w:sz="4" w:space="0"/>
              <w:right w:val="single" w:color="auto" w:sz="4" w:space="0"/>
            </w:tcBorders>
            <w:shd w:val="clear" w:color="auto" w:fill="auto"/>
            <w:vAlign w:val="center"/>
          </w:tcPr>
          <w:p>
            <w:pPr>
              <w:pStyle w:val="121"/>
            </w:pPr>
            <w:r>
              <w:t>2</w:t>
            </w:r>
          </w:p>
        </w:tc>
        <w:tc>
          <w:tcPr>
            <w:tcW w:w="609" w:type="pct"/>
            <w:tcBorders>
              <w:top w:val="nil"/>
              <w:left w:val="nil"/>
              <w:bottom w:val="single" w:color="auto" w:sz="4" w:space="0"/>
              <w:right w:val="single" w:color="auto" w:sz="4" w:space="0"/>
            </w:tcBorders>
            <w:shd w:val="clear" w:color="auto" w:fill="auto"/>
            <w:vAlign w:val="center"/>
          </w:tcPr>
          <w:p>
            <w:pPr>
              <w:pStyle w:val="121"/>
            </w:pPr>
            <w:r>
              <w:t>3</w:t>
            </w:r>
          </w:p>
        </w:tc>
        <w:tc>
          <w:tcPr>
            <w:tcW w:w="1025" w:type="pct"/>
            <w:tcBorders>
              <w:top w:val="nil"/>
              <w:left w:val="nil"/>
              <w:bottom w:val="single" w:color="auto" w:sz="4" w:space="0"/>
              <w:right w:val="single" w:color="auto" w:sz="4" w:space="0"/>
            </w:tcBorders>
            <w:shd w:val="clear" w:color="auto" w:fill="auto"/>
            <w:vAlign w:val="center"/>
          </w:tcPr>
          <w:p>
            <w:pPr>
              <w:pStyle w:val="121"/>
            </w:pPr>
            <w:r>
              <w:t>4</w:t>
            </w:r>
          </w:p>
        </w:tc>
      </w:tr>
      <w:tr>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924" w:type="pct"/>
            <w:tcBorders>
              <w:top w:val="nil"/>
              <w:left w:val="nil"/>
              <w:bottom w:val="nil"/>
              <w:right w:val="nil"/>
            </w:tcBorders>
            <w:shd w:val="clear" w:color="auto" w:fill="auto"/>
            <w:vAlign w:val="center"/>
          </w:tcPr>
          <w:p>
            <w:pPr>
              <w:pStyle w:val="121"/>
            </w:pPr>
            <w:r>
              <w:t>　</w:t>
            </w:r>
          </w:p>
        </w:tc>
        <w:tc>
          <w:tcPr>
            <w:tcW w:w="589" w:type="pct"/>
            <w:tcBorders>
              <w:top w:val="nil"/>
              <w:left w:val="nil"/>
              <w:bottom w:val="nil"/>
              <w:right w:val="nil"/>
            </w:tcBorders>
            <w:shd w:val="clear" w:color="auto" w:fill="auto"/>
            <w:vAlign w:val="center"/>
          </w:tcPr>
          <w:p>
            <w:pPr>
              <w:pStyle w:val="121"/>
            </w:pPr>
            <w:r>
              <w:t>　</w:t>
            </w:r>
          </w:p>
        </w:tc>
        <w:tc>
          <w:tcPr>
            <w:tcW w:w="593" w:type="pct"/>
            <w:tcBorders>
              <w:top w:val="nil"/>
              <w:left w:val="nil"/>
              <w:bottom w:val="nil"/>
              <w:right w:val="nil"/>
            </w:tcBorders>
            <w:shd w:val="clear" w:color="auto" w:fill="auto"/>
            <w:vAlign w:val="center"/>
          </w:tcPr>
          <w:p>
            <w:pPr>
              <w:pStyle w:val="121"/>
            </w:pPr>
            <w:r>
              <w:t>　</w:t>
            </w:r>
          </w:p>
        </w:tc>
        <w:tc>
          <w:tcPr>
            <w:tcW w:w="609" w:type="pct"/>
            <w:tcBorders>
              <w:top w:val="nil"/>
              <w:left w:val="nil"/>
              <w:bottom w:val="nil"/>
              <w:right w:val="nil"/>
            </w:tcBorders>
            <w:shd w:val="clear" w:color="auto" w:fill="auto"/>
            <w:vAlign w:val="center"/>
          </w:tcPr>
          <w:p>
            <w:pPr>
              <w:pStyle w:val="121"/>
            </w:pPr>
            <w:r>
              <w:t>　</w:t>
            </w:r>
          </w:p>
        </w:tc>
        <w:tc>
          <w:tcPr>
            <w:tcW w:w="1025" w:type="pct"/>
            <w:tcBorders>
              <w:top w:val="nil"/>
              <w:left w:val="nil"/>
              <w:bottom w:val="nil"/>
              <w:right w:val="single" w:color="auto" w:sz="4" w:space="0"/>
            </w:tcBorders>
            <w:shd w:val="clear" w:color="auto" w:fill="auto"/>
            <w:vAlign w:val="center"/>
          </w:tcPr>
          <w:p>
            <w:pPr>
              <w:pStyle w:val="121"/>
            </w:pPr>
            <w:r>
              <w:t>　</w:t>
            </w:r>
          </w:p>
        </w:tc>
      </w:tr>
      <w:tr>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3741" w:type="pct"/>
            <w:gridSpan w:val="5"/>
            <w:tcBorders>
              <w:top w:val="nil"/>
              <w:left w:val="nil"/>
              <w:bottom w:val="nil"/>
              <w:right w:val="single" w:color="auto" w:sz="4" w:space="0"/>
            </w:tcBorders>
            <w:shd w:val="clear" w:color="auto" w:fill="auto"/>
            <w:vAlign w:val="center"/>
          </w:tcPr>
          <w:p>
            <w:pPr>
              <w:pStyle w:val="121"/>
            </w:pPr>
            <w:r>
              <w:t>填表说明</w:t>
            </w:r>
          </w:p>
        </w:tc>
      </w:tr>
      <w:tr>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924" w:type="pct"/>
            <w:tcBorders>
              <w:top w:val="nil"/>
              <w:left w:val="nil"/>
              <w:bottom w:val="nil"/>
              <w:right w:val="nil"/>
            </w:tcBorders>
            <w:shd w:val="clear" w:color="auto" w:fill="auto"/>
            <w:vAlign w:val="center"/>
          </w:tcPr>
          <w:p>
            <w:pPr>
              <w:pStyle w:val="121"/>
            </w:pPr>
            <w:r>
              <w:t>　</w:t>
            </w:r>
          </w:p>
        </w:tc>
        <w:tc>
          <w:tcPr>
            <w:tcW w:w="589" w:type="pct"/>
            <w:tcBorders>
              <w:top w:val="nil"/>
              <w:left w:val="nil"/>
              <w:bottom w:val="nil"/>
              <w:right w:val="nil"/>
            </w:tcBorders>
            <w:shd w:val="clear" w:color="auto" w:fill="auto"/>
            <w:vAlign w:val="center"/>
          </w:tcPr>
          <w:p>
            <w:pPr>
              <w:pStyle w:val="121"/>
            </w:pPr>
          </w:p>
        </w:tc>
        <w:tc>
          <w:tcPr>
            <w:tcW w:w="593" w:type="pct"/>
            <w:tcBorders>
              <w:top w:val="nil"/>
              <w:left w:val="nil"/>
              <w:bottom w:val="nil"/>
              <w:right w:val="nil"/>
            </w:tcBorders>
            <w:shd w:val="clear" w:color="auto" w:fill="auto"/>
            <w:vAlign w:val="center"/>
          </w:tcPr>
          <w:p>
            <w:pPr>
              <w:pStyle w:val="121"/>
            </w:pPr>
          </w:p>
        </w:tc>
        <w:tc>
          <w:tcPr>
            <w:tcW w:w="609" w:type="pct"/>
            <w:tcBorders>
              <w:top w:val="nil"/>
              <w:left w:val="nil"/>
              <w:bottom w:val="nil"/>
              <w:right w:val="nil"/>
            </w:tcBorders>
            <w:shd w:val="clear" w:color="auto" w:fill="auto"/>
            <w:vAlign w:val="center"/>
          </w:tcPr>
          <w:p>
            <w:pPr>
              <w:pStyle w:val="121"/>
            </w:pPr>
          </w:p>
        </w:tc>
        <w:tc>
          <w:tcPr>
            <w:tcW w:w="1025"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3741" w:type="pct"/>
            <w:gridSpan w:val="5"/>
            <w:tcBorders>
              <w:top w:val="nil"/>
              <w:left w:val="nil"/>
              <w:bottom w:val="nil"/>
              <w:right w:val="single" w:color="auto" w:sz="4" w:space="0"/>
            </w:tcBorders>
            <w:shd w:val="clear" w:color="auto" w:fill="auto"/>
            <w:vAlign w:val="center"/>
          </w:tcPr>
          <w:p>
            <w:pPr>
              <w:pStyle w:val="121"/>
            </w:pPr>
            <w:r>
              <w:t>乙栏：按水费填列。</w:t>
            </w: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924" w:type="pct"/>
            <w:tcBorders>
              <w:top w:val="nil"/>
              <w:left w:val="nil"/>
              <w:bottom w:val="nil"/>
              <w:right w:val="nil"/>
            </w:tcBorders>
            <w:shd w:val="clear" w:color="auto" w:fill="auto"/>
            <w:vAlign w:val="center"/>
          </w:tcPr>
          <w:p>
            <w:pPr>
              <w:pStyle w:val="121"/>
            </w:pPr>
            <w:r>
              <w:t>　</w:t>
            </w:r>
          </w:p>
        </w:tc>
        <w:tc>
          <w:tcPr>
            <w:tcW w:w="589" w:type="pct"/>
            <w:tcBorders>
              <w:top w:val="nil"/>
              <w:left w:val="nil"/>
              <w:bottom w:val="nil"/>
              <w:right w:val="nil"/>
            </w:tcBorders>
            <w:shd w:val="clear" w:color="auto" w:fill="auto"/>
            <w:vAlign w:val="center"/>
          </w:tcPr>
          <w:p>
            <w:pPr>
              <w:pStyle w:val="121"/>
            </w:pPr>
          </w:p>
        </w:tc>
        <w:tc>
          <w:tcPr>
            <w:tcW w:w="593" w:type="pct"/>
            <w:tcBorders>
              <w:top w:val="nil"/>
              <w:left w:val="nil"/>
              <w:bottom w:val="nil"/>
              <w:right w:val="nil"/>
            </w:tcBorders>
            <w:shd w:val="clear" w:color="auto" w:fill="auto"/>
            <w:vAlign w:val="center"/>
          </w:tcPr>
          <w:p>
            <w:pPr>
              <w:pStyle w:val="121"/>
            </w:pPr>
          </w:p>
        </w:tc>
        <w:tc>
          <w:tcPr>
            <w:tcW w:w="609" w:type="pct"/>
            <w:tcBorders>
              <w:top w:val="nil"/>
              <w:left w:val="nil"/>
              <w:bottom w:val="nil"/>
              <w:right w:val="nil"/>
            </w:tcBorders>
            <w:shd w:val="clear" w:color="auto" w:fill="auto"/>
            <w:vAlign w:val="center"/>
          </w:tcPr>
          <w:p>
            <w:pPr>
              <w:pStyle w:val="121"/>
            </w:pPr>
          </w:p>
        </w:tc>
        <w:tc>
          <w:tcPr>
            <w:tcW w:w="1025"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924" w:type="pct"/>
            <w:tcBorders>
              <w:top w:val="nil"/>
              <w:left w:val="nil"/>
              <w:bottom w:val="nil"/>
              <w:right w:val="nil"/>
            </w:tcBorders>
            <w:shd w:val="clear" w:color="auto" w:fill="auto"/>
            <w:vAlign w:val="center"/>
          </w:tcPr>
          <w:p>
            <w:pPr>
              <w:pStyle w:val="121"/>
            </w:pPr>
            <w:r>
              <w:t>　</w:t>
            </w:r>
          </w:p>
        </w:tc>
        <w:tc>
          <w:tcPr>
            <w:tcW w:w="589" w:type="pct"/>
            <w:tcBorders>
              <w:top w:val="nil"/>
              <w:left w:val="nil"/>
              <w:bottom w:val="nil"/>
              <w:right w:val="nil"/>
            </w:tcBorders>
            <w:shd w:val="clear" w:color="auto" w:fill="auto"/>
            <w:vAlign w:val="center"/>
          </w:tcPr>
          <w:p>
            <w:pPr>
              <w:pStyle w:val="121"/>
            </w:pPr>
          </w:p>
        </w:tc>
        <w:tc>
          <w:tcPr>
            <w:tcW w:w="593" w:type="pct"/>
            <w:tcBorders>
              <w:top w:val="nil"/>
              <w:left w:val="nil"/>
              <w:bottom w:val="nil"/>
              <w:right w:val="nil"/>
            </w:tcBorders>
            <w:shd w:val="clear" w:color="auto" w:fill="auto"/>
            <w:vAlign w:val="center"/>
          </w:tcPr>
          <w:p>
            <w:pPr>
              <w:pStyle w:val="121"/>
            </w:pPr>
          </w:p>
        </w:tc>
        <w:tc>
          <w:tcPr>
            <w:tcW w:w="609" w:type="pct"/>
            <w:tcBorders>
              <w:top w:val="nil"/>
              <w:left w:val="nil"/>
              <w:bottom w:val="nil"/>
              <w:right w:val="nil"/>
            </w:tcBorders>
            <w:shd w:val="clear" w:color="auto" w:fill="auto"/>
            <w:vAlign w:val="center"/>
          </w:tcPr>
          <w:p>
            <w:pPr>
              <w:pStyle w:val="121"/>
            </w:pPr>
          </w:p>
        </w:tc>
        <w:tc>
          <w:tcPr>
            <w:tcW w:w="1025" w:type="pct"/>
            <w:tcBorders>
              <w:top w:val="nil"/>
              <w:left w:val="nil"/>
              <w:bottom w:val="nil"/>
              <w:right w:val="single" w:color="auto" w:sz="4" w:space="0"/>
            </w:tcBorders>
            <w:shd w:val="clear" w:color="auto" w:fill="auto"/>
            <w:vAlign w:val="center"/>
          </w:tcPr>
          <w:p>
            <w:pPr>
              <w:pStyle w:val="121"/>
            </w:pPr>
          </w:p>
        </w:tc>
      </w:tr>
      <w:tr>
        <w:trPr>
          <w:trHeight w:val="390" w:hRule="atLeast"/>
          <w:jc w:val="center"/>
        </w:trPr>
        <w:tc>
          <w:tcPr>
            <w:tcW w:w="393"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867" w:type="pct"/>
            <w:tcBorders>
              <w:top w:val="nil"/>
              <w:left w:val="nil"/>
              <w:bottom w:val="single" w:color="auto" w:sz="4" w:space="0"/>
              <w:right w:val="single" w:color="auto" w:sz="4" w:space="0"/>
            </w:tcBorders>
            <w:shd w:val="clear" w:color="auto" w:fill="auto"/>
            <w:vAlign w:val="center"/>
          </w:tcPr>
          <w:p>
            <w:pPr>
              <w:pStyle w:val="121"/>
            </w:pPr>
            <w:r>
              <w:t>　</w:t>
            </w:r>
          </w:p>
        </w:tc>
        <w:tc>
          <w:tcPr>
            <w:tcW w:w="924" w:type="pct"/>
            <w:tcBorders>
              <w:top w:val="nil"/>
              <w:left w:val="nil"/>
              <w:bottom w:val="single" w:color="auto" w:sz="4" w:space="0"/>
              <w:right w:val="nil"/>
            </w:tcBorders>
            <w:shd w:val="clear" w:color="auto" w:fill="auto"/>
            <w:vAlign w:val="center"/>
          </w:tcPr>
          <w:p>
            <w:pPr>
              <w:pStyle w:val="121"/>
            </w:pPr>
            <w:r>
              <w:t>　</w:t>
            </w:r>
          </w:p>
        </w:tc>
        <w:tc>
          <w:tcPr>
            <w:tcW w:w="589" w:type="pct"/>
            <w:tcBorders>
              <w:top w:val="nil"/>
              <w:left w:val="nil"/>
              <w:bottom w:val="single" w:color="auto" w:sz="4" w:space="0"/>
              <w:right w:val="nil"/>
            </w:tcBorders>
            <w:shd w:val="clear" w:color="auto" w:fill="auto"/>
            <w:vAlign w:val="center"/>
          </w:tcPr>
          <w:p>
            <w:pPr>
              <w:pStyle w:val="121"/>
            </w:pPr>
            <w:r>
              <w:t>　</w:t>
            </w:r>
          </w:p>
        </w:tc>
        <w:tc>
          <w:tcPr>
            <w:tcW w:w="593" w:type="pct"/>
            <w:tcBorders>
              <w:top w:val="nil"/>
              <w:left w:val="nil"/>
              <w:bottom w:val="single" w:color="auto" w:sz="4" w:space="0"/>
              <w:right w:val="nil"/>
            </w:tcBorders>
            <w:shd w:val="clear" w:color="auto" w:fill="auto"/>
            <w:vAlign w:val="center"/>
          </w:tcPr>
          <w:p>
            <w:pPr>
              <w:pStyle w:val="121"/>
            </w:pPr>
            <w:r>
              <w:t>　</w:t>
            </w:r>
          </w:p>
        </w:tc>
        <w:tc>
          <w:tcPr>
            <w:tcW w:w="609" w:type="pct"/>
            <w:tcBorders>
              <w:top w:val="nil"/>
              <w:left w:val="nil"/>
              <w:bottom w:val="single" w:color="auto" w:sz="4" w:space="0"/>
              <w:right w:val="nil"/>
            </w:tcBorders>
            <w:shd w:val="clear" w:color="auto" w:fill="auto"/>
            <w:vAlign w:val="center"/>
          </w:tcPr>
          <w:p>
            <w:pPr>
              <w:pStyle w:val="121"/>
            </w:pPr>
            <w:r>
              <w:t>　</w:t>
            </w:r>
          </w:p>
        </w:tc>
        <w:tc>
          <w:tcPr>
            <w:tcW w:w="1025" w:type="pct"/>
            <w:tcBorders>
              <w:top w:val="nil"/>
              <w:left w:val="nil"/>
              <w:bottom w:val="single" w:color="auto" w:sz="4" w:space="0"/>
              <w:right w:val="single" w:color="auto" w:sz="4" w:space="0"/>
            </w:tcBorders>
            <w:shd w:val="clear" w:color="auto" w:fill="auto"/>
            <w:vAlign w:val="center"/>
          </w:tcPr>
          <w:p>
            <w:pPr>
              <w:pStyle w:val="121"/>
            </w:pPr>
            <w:r>
              <w:t>　</w:t>
            </w:r>
          </w:p>
        </w:tc>
      </w:tr>
      <w:tr>
        <w:trPr>
          <w:trHeight w:val="390" w:hRule="atLeast"/>
          <w:jc w:val="center"/>
        </w:trPr>
        <w:tc>
          <w:tcPr>
            <w:tcW w:w="393"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867" w:type="pct"/>
            <w:tcBorders>
              <w:top w:val="nil"/>
              <w:left w:val="nil"/>
              <w:bottom w:val="single" w:color="auto" w:sz="4" w:space="0"/>
              <w:right w:val="single" w:color="auto" w:sz="4" w:space="0"/>
            </w:tcBorders>
            <w:shd w:val="clear" w:color="auto" w:fill="auto"/>
            <w:vAlign w:val="center"/>
          </w:tcPr>
          <w:p>
            <w:pPr>
              <w:pStyle w:val="121"/>
            </w:pPr>
            <w:r>
              <w:t>合计</w:t>
            </w:r>
          </w:p>
        </w:tc>
        <w:tc>
          <w:tcPr>
            <w:tcW w:w="924" w:type="pct"/>
            <w:tcBorders>
              <w:top w:val="nil"/>
              <w:left w:val="nil"/>
              <w:bottom w:val="single" w:color="auto" w:sz="4" w:space="0"/>
              <w:right w:val="nil"/>
            </w:tcBorders>
            <w:shd w:val="clear" w:color="auto" w:fill="auto"/>
            <w:vAlign w:val="center"/>
          </w:tcPr>
          <w:p>
            <w:pPr>
              <w:pStyle w:val="121"/>
            </w:pPr>
            <w:r>
              <w:t>　</w:t>
            </w:r>
          </w:p>
        </w:tc>
        <w:tc>
          <w:tcPr>
            <w:tcW w:w="589" w:type="pct"/>
            <w:tcBorders>
              <w:top w:val="nil"/>
              <w:left w:val="nil"/>
              <w:bottom w:val="single" w:color="auto" w:sz="4" w:space="0"/>
              <w:right w:val="nil"/>
            </w:tcBorders>
            <w:shd w:val="clear" w:color="auto" w:fill="auto"/>
            <w:vAlign w:val="center"/>
          </w:tcPr>
          <w:p>
            <w:pPr>
              <w:pStyle w:val="121"/>
            </w:pPr>
            <w:r>
              <w:t>　</w:t>
            </w:r>
          </w:p>
        </w:tc>
        <w:tc>
          <w:tcPr>
            <w:tcW w:w="593" w:type="pct"/>
            <w:tcBorders>
              <w:top w:val="nil"/>
              <w:left w:val="nil"/>
              <w:bottom w:val="single" w:color="auto" w:sz="4" w:space="0"/>
              <w:right w:val="nil"/>
            </w:tcBorders>
            <w:shd w:val="clear" w:color="auto" w:fill="auto"/>
            <w:vAlign w:val="center"/>
          </w:tcPr>
          <w:p>
            <w:pPr>
              <w:pStyle w:val="121"/>
            </w:pPr>
            <w:r>
              <w:t>　</w:t>
            </w:r>
          </w:p>
        </w:tc>
        <w:tc>
          <w:tcPr>
            <w:tcW w:w="609" w:type="pct"/>
            <w:tcBorders>
              <w:top w:val="nil"/>
              <w:left w:val="nil"/>
              <w:bottom w:val="single" w:color="auto" w:sz="4" w:space="0"/>
              <w:right w:val="nil"/>
            </w:tcBorders>
            <w:shd w:val="clear" w:color="auto" w:fill="auto"/>
            <w:vAlign w:val="center"/>
          </w:tcPr>
          <w:p>
            <w:pPr>
              <w:pStyle w:val="121"/>
            </w:pPr>
            <w:r>
              <w:t>　</w:t>
            </w:r>
          </w:p>
        </w:tc>
        <w:tc>
          <w:tcPr>
            <w:tcW w:w="1025"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2184" w:type="pct"/>
            <w:gridSpan w:val="3"/>
            <w:tcBorders>
              <w:top w:val="single" w:color="auto" w:sz="4" w:space="0"/>
              <w:left w:val="nil"/>
              <w:bottom w:val="nil"/>
              <w:right w:val="nil"/>
            </w:tcBorders>
            <w:shd w:val="clear" w:color="auto" w:fill="auto"/>
            <w:vAlign w:val="bottom"/>
          </w:tcPr>
          <w:p>
            <w:pPr>
              <w:pStyle w:val="121"/>
              <w:jc w:val="both"/>
            </w:pPr>
            <w:r>
              <w:t>预算编制人：（签章）</w:t>
            </w:r>
          </w:p>
        </w:tc>
        <w:tc>
          <w:tcPr>
            <w:tcW w:w="589" w:type="pct"/>
            <w:tcBorders>
              <w:top w:val="nil"/>
              <w:left w:val="nil"/>
              <w:bottom w:val="nil"/>
              <w:right w:val="nil"/>
            </w:tcBorders>
            <w:shd w:val="clear" w:color="auto" w:fill="auto"/>
            <w:vAlign w:val="bottom"/>
          </w:tcPr>
          <w:p>
            <w:pPr>
              <w:pStyle w:val="121"/>
              <w:jc w:val="both"/>
            </w:pPr>
          </w:p>
        </w:tc>
        <w:tc>
          <w:tcPr>
            <w:tcW w:w="593" w:type="pct"/>
            <w:tcBorders>
              <w:top w:val="nil"/>
              <w:left w:val="nil"/>
              <w:bottom w:val="nil"/>
              <w:right w:val="nil"/>
            </w:tcBorders>
            <w:shd w:val="clear" w:color="auto" w:fill="auto"/>
            <w:vAlign w:val="bottom"/>
          </w:tcPr>
          <w:p>
            <w:pPr>
              <w:pStyle w:val="121"/>
              <w:jc w:val="both"/>
            </w:pPr>
          </w:p>
        </w:tc>
        <w:tc>
          <w:tcPr>
            <w:tcW w:w="1634" w:type="pct"/>
            <w:gridSpan w:val="2"/>
            <w:tcBorders>
              <w:top w:val="single" w:color="auto" w:sz="4" w:space="0"/>
              <w:left w:val="nil"/>
              <w:bottom w:val="nil"/>
              <w:right w:val="nil"/>
            </w:tcBorders>
            <w:shd w:val="clear" w:color="auto" w:fill="auto"/>
            <w:vAlign w:val="bottom"/>
          </w:tcPr>
          <w:p>
            <w:pPr>
              <w:pStyle w:val="121"/>
              <w:jc w:val="both"/>
            </w:pPr>
            <w:r>
              <w:t>预算审核人：（签章）</w:t>
            </w:r>
          </w:p>
        </w:tc>
      </w:tr>
    </w:tbl>
    <w:p>
      <w:pPr>
        <w:pStyle w:val="121"/>
      </w:pPr>
    </w:p>
    <w:p>
      <w:pPr>
        <w:pStyle w:val="121"/>
      </w:pPr>
      <w:r>
        <w:br w:type="page"/>
      </w:r>
    </w:p>
    <w:p>
      <w:pPr>
        <w:pStyle w:val="121"/>
        <w:jc w:val="right"/>
      </w:pPr>
      <w:r>
        <w:t>预工附-5</w:t>
      </w:r>
    </w:p>
    <w:p>
      <w:pPr>
        <w:pStyle w:val="119"/>
      </w:pPr>
      <w:r>
        <w:t>电费预算明细表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5000" w:type="pct"/>
        <w:jc w:val="center"/>
        <w:tblLayout w:type="autofit"/>
        <w:tblCellMar>
          <w:top w:w="0" w:type="dxa"/>
          <w:left w:w="108" w:type="dxa"/>
          <w:bottom w:w="0" w:type="dxa"/>
          <w:right w:w="108" w:type="dxa"/>
        </w:tblCellMar>
      </w:tblPr>
      <w:tblGrid>
        <w:gridCol w:w="745"/>
        <w:gridCol w:w="1645"/>
        <w:gridCol w:w="1753"/>
        <w:gridCol w:w="1117"/>
        <w:gridCol w:w="1125"/>
        <w:gridCol w:w="1155"/>
        <w:gridCol w:w="1944"/>
      </w:tblGrid>
      <w:tr>
        <w:tblPrEx>
          <w:tblCellMar>
            <w:top w:w="0" w:type="dxa"/>
            <w:left w:w="108" w:type="dxa"/>
            <w:bottom w:w="0" w:type="dxa"/>
            <w:right w:w="108" w:type="dxa"/>
          </w:tblCellMar>
        </w:tblPrEx>
        <w:trPr>
          <w:trHeight w:val="885" w:hRule="atLeast"/>
          <w:jc w:val="center"/>
        </w:trPr>
        <w:tc>
          <w:tcPr>
            <w:tcW w:w="39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867" w:type="pct"/>
            <w:tcBorders>
              <w:top w:val="single" w:color="auto" w:sz="4" w:space="0"/>
              <w:left w:val="nil"/>
              <w:bottom w:val="single" w:color="auto" w:sz="4" w:space="0"/>
              <w:right w:val="single" w:color="auto" w:sz="4" w:space="0"/>
            </w:tcBorders>
            <w:shd w:val="clear" w:color="auto" w:fill="auto"/>
            <w:vAlign w:val="center"/>
          </w:tcPr>
          <w:p>
            <w:pPr>
              <w:pStyle w:val="121"/>
            </w:pPr>
            <w:r>
              <w:t>名称</w:t>
            </w:r>
          </w:p>
        </w:tc>
        <w:tc>
          <w:tcPr>
            <w:tcW w:w="924" w:type="pct"/>
            <w:tcBorders>
              <w:top w:val="single" w:color="auto" w:sz="4" w:space="0"/>
              <w:left w:val="nil"/>
              <w:bottom w:val="single" w:color="auto" w:sz="4" w:space="0"/>
              <w:right w:val="single" w:color="auto" w:sz="4" w:space="0"/>
            </w:tcBorders>
            <w:shd w:val="clear" w:color="auto" w:fill="auto"/>
            <w:vAlign w:val="center"/>
          </w:tcPr>
          <w:p>
            <w:pPr>
              <w:pStyle w:val="121"/>
            </w:pPr>
            <w:r>
              <w:t>计量单位</w:t>
            </w:r>
          </w:p>
        </w:tc>
        <w:tc>
          <w:tcPr>
            <w:tcW w:w="589" w:type="pct"/>
            <w:tcBorders>
              <w:top w:val="single" w:color="auto" w:sz="4" w:space="0"/>
              <w:left w:val="nil"/>
              <w:bottom w:val="single" w:color="auto" w:sz="4" w:space="0"/>
              <w:right w:val="single" w:color="auto" w:sz="4" w:space="0"/>
            </w:tcBorders>
            <w:shd w:val="clear" w:color="auto" w:fill="auto"/>
            <w:vAlign w:val="center"/>
          </w:tcPr>
          <w:p>
            <w:pPr>
              <w:pStyle w:val="121"/>
            </w:pPr>
            <w:r>
              <w:t>单价</w:t>
            </w:r>
          </w:p>
          <w:p>
            <w:pPr>
              <w:pStyle w:val="121"/>
            </w:pPr>
            <w:r>
              <w:t>元</w:t>
            </w:r>
          </w:p>
        </w:tc>
        <w:tc>
          <w:tcPr>
            <w:tcW w:w="593" w:type="pct"/>
            <w:tcBorders>
              <w:top w:val="single" w:color="auto" w:sz="4" w:space="0"/>
              <w:left w:val="nil"/>
              <w:bottom w:val="single" w:color="auto" w:sz="4" w:space="0"/>
              <w:right w:val="single" w:color="auto" w:sz="4" w:space="0"/>
            </w:tcBorders>
            <w:shd w:val="clear" w:color="auto" w:fill="auto"/>
            <w:vAlign w:val="center"/>
          </w:tcPr>
          <w:p>
            <w:pPr>
              <w:pStyle w:val="121"/>
            </w:pPr>
            <w:r>
              <w:t>数量</w:t>
            </w:r>
          </w:p>
        </w:tc>
        <w:tc>
          <w:tcPr>
            <w:tcW w:w="609" w:type="pct"/>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1025"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867" w:type="pct"/>
            <w:tcBorders>
              <w:top w:val="nil"/>
              <w:left w:val="nil"/>
              <w:bottom w:val="single" w:color="auto" w:sz="4" w:space="0"/>
              <w:right w:val="single" w:color="auto" w:sz="4" w:space="0"/>
            </w:tcBorders>
            <w:shd w:val="clear" w:color="auto" w:fill="auto"/>
            <w:vAlign w:val="center"/>
          </w:tcPr>
          <w:p>
            <w:pPr>
              <w:pStyle w:val="121"/>
            </w:pPr>
            <w:r>
              <w:t>乙</w:t>
            </w:r>
          </w:p>
        </w:tc>
        <w:tc>
          <w:tcPr>
            <w:tcW w:w="924" w:type="pct"/>
            <w:tcBorders>
              <w:top w:val="nil"/>
              <w:left w:val="nil"/>
              <w:bottom w:val="single" w:color="auto" w:sz="4" w:space="0"/>
              <w:right w:val="single" w:color="auto" w:sz="4" w:space="0"/>
            </w:tcBorders>
            <w:shd w:val="clear" w:color="auto" w:fill="auto"/>
            <w:vAlign w:val="center"/>
          </w:tcPr>
          <w:p>
            <w:pPr>
              <w:pStyle w:val="121"/>
            </w:pPr>
            <w:r>
              <w:t>丙</w:t>
            </w:r>
          </w:p>
        </w:tc>
        <w:tc>
          <w:tcPr>
            <w:tcW w:w="589" w:type="pct"/>
            <w:tcBorders>
              <w:top w:val="nil"/>
              <w:left w:val="nil"/>
              <w:bottom w:val="single" w:color="auto" w:sz="4" w:space="0"/>
              <w:right w:val="single" w:color="auto" w:sz="4" w:space="0"/>
            </w:tcBorders>
            <w:shd w:val="clear" w:color="auto" w:fill="auto"/>
            <w:vAlign w:val="center"/>
          </w:tcPr>
          <w:p>
            <w:pPr>
              <w:pStyle w:val="121"/>
            </w:pPr>
            <w:r>
              <w:t>1</w:t>
            </w:r>
          </w:p>
        </w:tc>
        <w:tc>
          <w:tcPr>
            <w:tcW w:w="593" w:type="pct"/>
            <w:tcBorders>
              <w:top w:val="nil"/>
              <w:left w:val="nil"/>
              <w:bottom w:val="single" w:color="auto" w:sz="4" w:space="0"/>
              <w:right w:val="single" w:color="auto" w:sz="4" w:space="0"/>
            </w:tcBorders>
            <w:shd w:val="clear" w:color="auto" w:fill="auto"/>
            <w:vAlign w:val="center"/>
          </w:tcPr>
          <w:p>
            <w:pPr>
              <w:pStyle w:val="121"/>
            </w:pPr>
            <w:r>
              <w:t>2</w:t>
            </w:r>
          </w:p>
        </w:tc>
        <w:tc>
          <w:tcPr>
            <w:tcW w:w="609" w:type="pct"/>
            <w:tcBorders>
              <w:top w:val="nil"/>
              <w:left w:val="nil"/>
              <w:bottom w:val="single" w:color="auto" w:sz="4" w:space="0"/>
              <w:right w:val="single" w:color="auto" w:sz="4" w:space="0"/>
            </w:tcBorders>
            <w:shd w:val="clear" w:color="auto" w:fill="auto"/>
            <w:vAlign w:val="center"/>
          </w:tcPr>
          <w:p>
            <w:pPr>
              <w:pStyle w:val="121"/>
            </w:pPr>
            <w:r>
              <w:t>3</w:t>
            </w:r>
          </w:p>
        </w:tc>
        <w:tc>
          <w:tcPr>
            <w:tcW w:w="1025" w:type="pct"/>
            <w:tcBorders>
              <w:top w:val="nil"/>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924" w:type="pct"/>
            <w:tcBorders>
              <w:top w:val="nil"/>
              <w:left w:val="nil"/>
              <w:bottom w:val="nil"/>
              <w:right w:val="nil"/>
            </w:tcBorders>
            <w:shd w:val="clear" w:color="auto" w:fill="auto"/>
            <w:vAlign w:val="center"/>
          </w:tcPr>
          <w:p>
            <w:pPr>
              <w:pStyle w:val="121"/>
            </w:pPr>
            <w:r>
              <w:t>　</w:t>
            </w:r>
          </w:p>
        </w:tc>
        <w:tc>
          <w:tcPr>
            <w:tcW w:w="589" w:type="pct"/>
            <w:tcBorders>
              <w:top w:val="nil"/>
              <w:left w:val="nil"/>
              <w:bottom w:val="nil"/>
              <w:right w:val="nil"/>
            </w:tcBorders>
            <w:shd w:val="clear" w:color="auto" w:fill="auto"/>
            <w:vAlign w:val="center"/>
          </w:tcPr>
          <w:p>
            <w:pPr>
              <w:pStyle w:val="121"/>
            </w:pPr>
            <w:r>
              <w:t>　</w:t>
            </w:r>
          </w:p>
        </w:tc>
        <w:tc>
          <w:tcPr>
            <w:tcW w:w="593" w:type="pct"/>
            <w:tcBorders>
              <w:top w:val="nil"/>
              <w:left w:val="nil"/>
              <w:bottom w:val="nil"/>
              <w:right w:val="nil"/>
            </w:tcBorders>
            <w:shd w:val="clear" w:color="auto" w:fill="auto"/>
            <w:vAlign w:val="center"/>
          </w:tcPr>
          <w:p>
            <w:pPr>
              <w:pStyle w:val="121"/>
            </w:pPr>
            <w:r>
              <w:t>　</w:t>
            </w:r>
          </w:p>
        </w:tc>
        <w:tc>
          <w:tcPr>
            <w:tcW w:w="609" w:type="pct"/>
            <w:tcBorders>
              <w:top w:val="nil"/>
              <w:left w:val="nil"/>
              <w:bottom w:val="nil"/>
              <w:right w:val="nil"/>
            </w:tcBorders>
            <w:shd w:val="clear" w:color="auto" w:fill="auto"/>
            <w:vAlign w:val="center"/>
          </w:tcPr>
          <w:p>
            <w:pPr>
              <w:pStyle w:val="121"/>
            </w:pPr>
            <w:r>
              <w:t>　</w:t>
            </w:r>
          </w:p>
        </w:tc>
        <w:tc>
          <w:tcPr>
            <w:tcW w:w="1025" w:type="pct"/>
            <w:tcBorders>
              <w:top w:val="nil"/>
              <w:left w:val="nil"/>
              <w:bottom w:val="nil"/>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3741" w:type="pct"/>
            <w:gridSpan w:val="5"/>
            <w:tcBorders>
              <w:top w:val="nil"/>
              <w:left w:val="nil"/>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924" w:type="pct"/>
            <w:tcBorders>
              <w:top w:val="nil"/>
              <w:left w:val="nil"/>
              <w:bottom w:val="nil"/>
              <w:right w:val="nil"/>
            </w:tcBorders>
            <w:shd w:val="clear" w:color="auto" w:fill="auto"/>
            <w:vAlign w:val="center"/>
          </w:tcPr>
          <w:p>
            <w:pPr>
              <w:pStyle w:val="121"/>
            </w:pPr>
            <w:r>
              <w:t>　</w:t>
            </w:r>
          </w:p>
        </w:tc>
        <w:tc>
          <w:tcPr>
            <w:tcW w:w="589" w:type="pct"/>
            <w:tcBorders>
              <w:top w:val="nil"/>
              <w:left w:val="nil"/>
              <w:bottom w:val="nil"/>
              <w:right w:val="nil"/>
            </w:tcBorders>
            <w:shd w:val="clear" w:color="auto" w:fill="auto"/>
            <w:vAlign w:val="center"/>
          </w:tcPr>
          <w:p>
            <w:pPr>
              <w:pStyle w:val="121"/>
            </w:pPr>
          </w:p>
        </w:tc>
        <w:tc>
          <w:tcPr>
            <w:tcW w:w="593" w:type="pct"/>
            <w:tcBorders>
              <w:top w:val="nil"/>
              <w:left w:val="nil"/>
              <w:bottom w:val="nil"/>
              <w:right w:val="nil"/>
            </w:tcBorders>
            <w:shd w:val="clear" w:color="auto" w:fill="auto"/>
            <w:vAlign w:val="center"/>
          </w:tcPr>
          <w:p>
            <w:pPr>
              <w:pStyle w:val="121"/>
            </w:pPr>
          </w:p>
        </w:tc>
        <w:tc>
          <w:tcPr>
            <w:tcW w:w="609" w:type="pct"/>
            <w:tcBorders>
              <w:top w:val="nil"/>
              <w:left w:val="nil"/>
              <w:bottom w:val="nil"/>
              <w:right w:val="nil"/>
            </w:tcBorders>
            <w:shd w:val="clear" w:color="auto" w:fill="auto"/>
            <w:vAlign w:val="center"/>
          </w:tcPr>
          <w:p>
            <w:pPr>
              <w:pStyle w:val="121"/>
            </w:pPr>
          </w:p>
        </w:tc>
        <w:tc>
          <w:tcPr>
            <w:tcW w:w="1025" w:type="pct"/>
            <w:tcBorders>
              <w:top w:val="nil"/>
              <w:left w:val="nil"/>
              <w:bottom w:val="nil"/>
              <w:right w:val="single" w:color="auto" w:sz="4" w:space="0"/>
            </w:tcBorders>
            <w:shd w:val="clear" w:color="auto" w:fill="auto"/>
            <w:vAlign w:val="center"/>
          </w:tcPr>
          <w:p>
            <w:pPr>
              <w:pStyle w:val="121"/>
            </w:pPr>
          </w:p>
        </w:tc>
      </w:tr>
      <w:tr>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3741" w:type="pct"/>
            <w:gridSpan w:val="5"/>
            <w:tcBorders>
              <w:top w:val="nil"/>
              <w:left w:val="nil"/>
              <w:bottom w:val="nil"/>
              <w:right w:val="single" w:color="auto" w:sz="4" w:space="0"/>
            </w:tcBorders>
            <w:shd w:val="clear" w:color="auto" w:fill="auto"/>
            <w:vAlign w:val="center"/>
          </w:tcPr>
          <w:p>
            <w:pPr>
              <w:pStyle w:val="121"/>
            </w:pPr>
            <w:r>
              <w:t>乙栏：按电费填列。</w:t>
            </w: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924" w:type="pct"/>
            <w:tcBorders>
              <w:top w:val="nil"/>
              <w:left w:val="nil"/>
              <w:bottom w:val="nil"/>
              <w:right w:val="nil"/>
            </w:tcBorders>
            <w:shd w:val="clear" w:color="auto" w:fill="auto"/>
            <w:vAlign w:val="center"/>
          </w:tcPr>
          <w:p>
            <w:pPr>
              <w:pStyle w:val="121"/>
            </w:pPr>
            <w:r>
              <w:t>　</w:t>
            </w:r>
          </w:p>
        </w:tc>
        <w:tc>
          <w:tcPr>
            <w:tcW w:w="589" w:type="pct"/>
            <w:tcBorders>
              <w:top w:val="nil"/>
              <w:left w:val="nil"/>
              <w:bottom w:val="nil"/>
              <w:right w:val="nil"/>
            </w:tcBorders>
            <w:shd w:val="clear" w:color="auto" w:fill="auto"/>
            <w:vAlign w:val="center"/>
          </w:tcPr>
          <w:p>
            <w:pPr>
              <w:pStyle w:val="121"/>
            </w:pPr>
          </w:p>
        </w:tc>
        <w:tc>
          <w:tcPr>
            <w:tcW w:w="593" w:type="pct"/>
            <w:tcBorders>
              <w:top w:val="nil"/>
              <w:left w:val="nil"/>
              <w:bottom w:val="nil"/>
              <w:right w:val="nil"/>
            </w:tcBorders>
            <w:shd w:val="clear" w:color="auto" w:fill="auto"/>
            <w:vAlign w:val="center"/>
          </w:tcPr>
          <w:p>
            <w:pPr>
              <w:pStyle w:val="121"/>
            </w:pPr>
          </w:p>
        </w:tc>
        <w:tc>
          <w:tcPr>
            <w:tcW w:w="609" w:type="pct"/>
            <w:tcBorders>
              <w:top w:val="nil"/>
              <w:left w:val="nil"/>
              <w:bottom w:val="nil"/>
              <w:right w:val="nil"/>
            </w:tcBorders>
            <w:shd w:val="clear" w:color="auto" w:fill="auto"/>
            <w:vAlign w:val="center"/>
          </w:tcPr>
          <w:p>
            <w:pPr>
              <w:pStyle w:val="121"/>
            </w:pPr>
          </w:p>
        </w:tc>
        <w:tc>
          <w:tcPr>
            <w:tcW w:w="1025"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nil"/>
              <w:right w:val="single" w:color="auto" w:sz="4" w:space="0"/>
            </w:tcBorders>
            <w:shd w:val="clear" w:color="auto" w:fill="auto"/>
            <w:vAlign w:val="center"/>
          </w:tcPr>
          <w:p>
            <w:pPr>
              <w:pStyle w:val="121"/>
            </w:pPr>
            <w:r>
              <w:t>　</w:t>
            </w:r>
          </w:p>
        </w:tc>
        <w:tc>
          <w:tcPr>
            <w:tcW w:w="867" w:type="pct"/>
            <w:tcBorders>
              <w:top w:val="nil"/>
              <w:left w:val="nil"/>
              <w:bottom w:val="nil"/>
              <w:right w:val="single" w:color="auto" w:sz="4" w:space="0"/>
            </w:tcBorders>
            <w:shd w:val="clear" w:color="auto" w:fill="auto"/>
            <w:vAlign w:val="center"/>
          </w:tcPr>
          <w:p>
            <w:pPr>
              <w:pStyle w:val="121"/>
            </w:pPr>
            <w:r>
              <w:t>　</w:t>
            </w:r>
          </w:p>
        </w:tc>
        <w:tc>
          <w:tcPr>
            <w:tcW w:w="924" w:type="pct"/>
            <w:tcBorders>
              <w:top w:val="nil"/>
              <w:left w:val="nil"/>
              <w:bottom w:val="nil"/>
              <w:right w:val="nil"/>
            </w:tcBorders>
            <w:shd w:val="clear" w:color="auto" w:fill="auto"/>
            <w:vAlign w:val="center"/>
          </w:tcPr>
          <w:p>
            <w:pPr>
              <w:pStyle w:val="121"/>
            </w:pPr>
            <w:r>
              <w:t>　</w:t>
            </w:r>
          </w:p>
        </w:tc>
        <w:tc>
          <w:tcPr>
            <w:tcW w:w="589" w:type="pct"/>
            <w:tcBorders>
              <w:top w:val="nil"/>
              <w:left w:val="nil"/>
              <w:bottom w:val="nil"/>
              <w:right w:val="nil"/>
            </w:tcBorders>
            <w:shd w:val="clear" w:color="auto" w:fill="auto"/>
            <w:vAlign w:val="center"/>
          </w:tcPr>
          <w:p>
            <w:pPr>
              <w:pStyle w:val="121"/>
            </w:pPr>
          </w:p>
        </w:tc>
        <w:tc>
          <w:tcPr>
            <w:tcW w:w="593" w:type="pct"/>
            <w:tcBorders>
              <w:top w:val="nil"/>
              <w:left w:val="nil"/>
              <w:bottom w:val="nil"/>
              <w:right w:val="nil"/>
            </w:tcBorders>
            <w:shd w:val="clear" w:color="auto" w:fill="auto"/>
            <w:vAlign w:val="center"/>
          </w:tcPr>
          <w:p>
            <w:pPr>
              <w:pStyle w:val="121"/>
            </w:pPr>
          </w:p>
        </w:tc>
        <w:tc>
          <w:tcPr>
            <w:tcW w:w="609" w:type="pct"/>
            <w:tcBorders>
              <w:top w:val="nil"/>
              <w:left w:val="nil"/>
              <w:bottom w:val="nil"/>
              <w:right w:val="nil"/>
            </w:tcBorders>
            <w:shd w:val="clear" w:color="auto" w:fill="auto"/>
            <w:vAlign w:val="center"/>
          </w:tcPr>
          <w:p>
            <w:pPr>
              <w:pStyle w:val="121"/>
            </w:pPr>
          </w:p>
        </w:tc>
        <w:tc>
          <w:tcPr>
            <w:tcW w:w="1025"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867" w:type="pct"/>
            <w:tcBorders>
              <w:top w:val="nil"/>
              <w:left w:val="nil"/>
              <w:bottom w:val="single" w:color="auto" w:sz="4" w:space="0"/>
              <w:right w:val="single" w:color="auto" w:sz="4" w:space="0"/>
            </w:tcBorders>
            <w:shd w:val="clear" w:color="auto" w:fill="auto"/>
            <w:vAlign w:val="center"/>
          </w:tcPr>
          <w:p>
            <w:pPr>
              <w:pStyle w:val="121"/>
            </w:pPr>
            <w:r>
              <w:t>　</w:t>
            </w:r>
          </w:p>
        </w:tc>
        <w:tc>
          <w:tcPr>
            <w:tcW w:w="924" w:type="pct"/>
            <w:tcBorders>
              <w:top w:val="nil"/>
              <w:left w:val="nil"/>
              <w:bottom w:val="single" w:color="auto" w:sz="4" w:space="0"/>
              <w:right w:val="nil"/>
            </w:tcBorders>
            <w:shd w:val="clear" w:color="auto" w:fill="auto"/>
            <w:vAlign w:val="center"/>
          </w:tcPr>
          <w:p>
            <w:pPr>
              <w:pStyle w:val="121"/>
            </w:pPr>
            <w:r>
              <w:t>　</w:t>
            </w:r>
          </w:p>
        </w:tc>
        <w:tc>
          <w:tcPr>
            <w:tcW w:w="589" w:type="pct"/>
            <w:tcBorders>
              <w:top w:val="nil"/>
              <w:left w:val="nil"/>
              <w:bottom w:val="single" w:color="auto" w:sz="4" w:space="0"/>
              <w:right w:val="nil"/>
            </w:tcBorders>
            <w:shd w:val="clear" w:color="auto" w:fill="auto"/>
            <w:vAlign w:val="center"/>
          </w:tcPr>
          <w:p>
            <w:pPr>
              <w:pStyle w:val="121"/>
            </w:pPr>
            <w:r>
              <w:t>　</w:t>
            </w:r>
          </w:p>
        </w:tc>
        <w:tc>
          <w:tcPr>
            <w:tcW w:w="593" w:type="pct"/>
            <w:tcBorders>
              <w:top w:val="nil"/>
              <w:left w:val="nil"/>
              <w:bottom w:val="single" w:color="auto" w:sz="4" w:space="0"/>
              <w:right w:val="nil"/>
            </w:tcBorders>
            <w:shd w:val="clear" w:color="auto" w:fill="auto"/>
            <w:vAlign w:val="center"/>
          </w:tcPr>
          <w:p>
            <w:pPr>
              <w:pStyle w:val="121"/>
            </w:pPr>
            <w:r>
              <w:t>　</w:t>
            </w:r>
          </w:p>
        </w:tc>
        <w:tc>
          <w:tcPr>
            <w:tcW w:w="609" w:type="pct"/>
            <w:tcBorders>
              <w:top w:val="nil"/>
              <w:left w:val="nil"/>
              <w:bottom w:val="single" w:color="auto" w:sz="4" w:space="0"/>
              <w:right w:val="nil"/>
            </w:tcBorders>
            <w:shd w:val="clear" w:color="auto" w:fill="auto"/>
            <w:vAlign w:val="center"/>
          </w:tcPr>
          <w:p>
            <w:pPr>
              <w:pStyle w:val="121"/>
            </w:pPr>
            <w:r>
              <w:t>　</w:t>
            </w:r>
          </w:p>
        </w:tc>
        <w:tc>
          <w:tcPr>
            <w:tcW w:w="1025"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390" w:hRule="atLeast"/>
          <w:jc w:val="center"/>
        </w:trPr>
        <w:tc>
          <w:tcPr>
            <w:tcW w:w="393"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867" w:type="pct"/>
            <w:tcBorders>
              <w:top w:val="nil"/>
              <w:left w:val="nil"/>
              <w:bottom w:val="single" w:color="auto" w:sz="4" w:space="0"/>
              <w:right w:val="single" w:color="auto" w:sz="4" w:space="0"/>
            </w:tcBorders>
            <w:shd w:val="clear" w:color="auto" w:fill="auto"/>
            <w:vAlign w:val="center"/>
          </w:tcPr>
          <w:p>
            <w:pPr>
              <w:pStyle w:val="121"/>
            </w:pPr>
            <w:r>
              <w:t>合计</w:t>
            </w:r>
          </w:p>
        </w:tc>
        <w:tc>
          <w:tcPr>
            <w:tcW w:w="924" w:type="pct"/>
            <w:tcBorders>
              <w:top w:val="nil"/>
              <w:left w:val="nil"/>
              <w:bottom w:val="single" w:color="auto" w:sz="4" w:space="0"/>
              <w:right w:val="nil"/>
            </w:tcBorders>
            <w:shd w:val="clear" w:color="auto" w:fill="auto"/>
            <w:vAlign w:val="center"/>
          </w:tcPr>
          <w:p>
            <w:pPr>
              <w:pStyle w:val="121"/>
            </w:pPr>
            <w:r>
              <w:t>　</w:t>
            </w:r>
          </w:p>
        </w:tc>
        <w:tc>
          <w:tcPr>
            <w:tcW w:w="589" w:type="pct"/>
            <w:tcBorders>
              <w:top w:val="nil"/>
              <w:left w:val="nil"/>
              <w:bottom w:val="single" w:color="auto" w:sz="4" w:space="0"/>
              <w:right w:val="nil"/>
            </w:tcBorders>
            <w:shd w:val="clear" w:color="auto" w:fill="auto"/>
            <w:vAlign w:val="center"/>
          </w:tcPr>
          <w:p>
            <w:pPr>
              <w:pStyle w:val="121"/>
            </w:pPr>
            <w:r>
              <w:t>　</w:t>
            </w:r>
          </w:p>
        </w:tc>
        <w:tc>
          <w:tcPr>
            <w:tcW w:w="593" w:type="pct"/>
            <w:tcBorders>
              <w:top w:val="nil"/>
              <w:left w:val="nil"/>
              <w:bottom w:val="single" w:color="auto" w:sz="4" w:space="0"/>
              <w:right w:val="nil"/>
            </w:tcBorders>
            <w:shd w:val="clear" w:color="auto" w:fill="auto"/>
            <w:vAlign w:val="center"/>
          </w:tcPr>
          <w:p>
            <w:pPr>
              <w:pStyle w:val="121"/>
            </w:pPr>
            <w:r>
              <w:t>　</w:t>
            </w:r>
          </w:p>
        </w:tc>
        <w:tc>
          <w:tcPr>
            <w:tcW w:w="609" w:type="pct"/>
            <w:tcBorders>
              <w:top w:val="nil"/>
              <w:left w:val="nil"/>
              <w:bottom w:val="single" w:color="auto" w:sz="4" w:space="0"/>
              <w:right w:val="nil"/>
            </w:tcBorders>
            <w:shd w:val="clear" w:color="auto" w:fill="auto"/>
            <w:vAlign w:val="center"/>
          </w:tcPr>
          <w:p>
            <w:pPr>
              <w:pStyle w:val="121"/>
            </w:pPr>
            <w:r>
              <w:t>　</w:t>
            </w:r>
          </w:p>
        </w:tc>
        <w:tc>
          <w:tcPr>
            <w:tcW w:w="1025"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2184" w:type="pct"/>
            <w:gridSpan w:val="3"/>
            <w:tcBorders>
              <w:top w:val="single" w:color="auto" w:sz="4" w:space="0"/>
              <w:left w:val="nil"/>
              <w:bottom w:val="nil"/>
              <w:right w:val="nil"/>
            </w:tcBorders>
            <w:shd w:val="clear" w:color="auto" w:fill="auto"/>
            <w:vAlign w:val="bottom"/>
          </w:tcPr>
          <w:p>
            <w:pPr>
              <w:pStyle w:val="121"/>
              <w:jc w:val="both"/>
            </w:pPr>
            <w:r>
              <w:t>预算编制人：（签章）</w:t>
            </w:r>
          </w:p>
        </w:tc>
        <w:tc>
          <w:tcPr>
            <w:tcW w:w="589" w:type="pct"/>
            <w:tcBorders>
              <w:top w:val="nil"/>
              <w:left w:val="nil"/>
              <w:bottom w:val="nil"/>
              <w:right w:val="nil"/>
            </w:tcBorders>
            <w:shd w:val="clear" w:color="auto" w:fill="auto"/>
            <w:vAlign w:val="bottom"/>
          </w:tcPr>
          <w:p>
            <w:pPr>
              <w:pStyle w:val="121"/>
              <w:jc w:val="both"/>
            </w:pPr>
          </w:p>
        </w:tc>
        <w:tc>
          <w:tcPr>
            <w:tcW w:w="593" w:type="pct"/>
            <w:tcBorders>
              <w:top w:val="nil"/>
              <w:left w:val="nil"/>
              <w:bottom w:val="nil"/>
              <w:right w:val="nil"/>
            </w:tcBorders>
            <w:shd w:val="clear" w:color="auto" w:fill="auto"/>
            <w:vAlign w:val="bottom"/>
          </w:tcPr>
          <w:p>
            <w:pPr>
              <w:pStyle w:val="121"/>
              <w:jc w:val="both"/>
            </w:pPr>
          </w:p>
        </w:tc>
        <w:tc>
          <w:tcPr>
            <w:tcW w:w="1634" w:type="pct"/>
            <w:gridSpan w:val="2"/>
            <w:tcBorders>
              <w:top w:val="single" w:color="auto" w:sz="4" w:space="0"/>
              <w:left w:val="nil"/>
              <w:bottom w:val="nil"/>
              <w:right w:val="nil"/>
            </w:tcBorders>
            <w:shd w:val="clear" w:color="auto" w:fill="auto"/>
            <w:vAlign w:val="bottom"/>
          </w:tcPr>
          <w:p>
            <w:pPr>
              <w:pStyle w:val="121"/>
              <w:jc w:val="both"/>
            </w:pPr>
            <w:r>
              <w:t>预算审核人：（签章）</w:t>
            </w:r>
          </w:p>
        </w:tc>
      </w:tr>
    </w:tbl>
    <w:p>
      <w:pPr>
        <w:pStyle w:val="121"/>
      </w:pPr>
    </w:p>
    <w:p>
      <w:pPr>
        <w:pStyle w:val="121"/>
      </w:pPr>
      <w:r>
        <w:br w:type="page"/>
      </w:r>
    </w:p>
    <w:p>
      <w:pPr>
        <w:pStyle w:val="121"/>
        <w:jc w:val="right"/>
      </w:pPr>
      <w:r>
        <w:t>预工附-6</w:t>
      </w:r>
    </w:p>
    <w:p>
      <w:pPr>
        <w:pStyle w:val="119"/>
      </w:pPr>
      <w:r>
        <w:t>邮电费预算明细表</w:t>
      </w:r>
    </w:p>
    <w:p>
      <w:pPr>
        <w:pStyle w:val="119"/>
      </w:pPr>
      <w:r>
        <w:t>（    年度）</w:t>
      </w:r>
    </w:p>
    <w:p>
      <w:pPr>
        <w:pStyle w:val="121"/>
        <w:spacing w:before="120" w:beforeLines="50" w:after="120" w:afterLines="50"/>
        <w:jc w:val="left"/>
        <w:rPr>
          <w:rFonts w:ascii="黑体" w:eastAsia="黑体"/>
        </w:rPr>
      </w:pPr>
      <w:r>
        <w:t xml:space="preserve">工作项目名称：                                                                              </w:t>
      </w:r>
      <w:r>
        <w:rPr>
          <w:rFonts w:hint="eastAsia" w:ascii="黑体" w:eastAsia="黑体"/>
        </w:rPr>
        <w:t xml:space="preserve"> </w:t>
      </w:r>
      <w:r>
        <w:rPr>
          <w:rFonts w:hint="eastAsia" w:ascii="宋体"/>
        </w:rPr>
        <w:t>单位为万元</w:t>
      </w:r>
    </w:p>
    <w:tbl>
      <w:tblPr>
        <w:tblStyle w:val="36"/>
        <w:tblW w:w="4998" w:type="pct"/>
        <w:jc w:val="center"/>
        <w:tblLayout w:type="autofit"/>
        <w:tblCellMar>
          <w:top w:w="0" w:type="dxa"/>
          <w:left w:w="108" w:type="dxa"/>
          <w:bottom w:w="0" w:type="dxa"/>
          <w:right w:w="108" w:type="dxa"/>
        </w:tblCellMar>
      </w:tblPr>
      <w:tblGrid>
        <w:gridCol w:w="783"/>
        <w:gridCol w:w="1866"/>
        <w:gridCol w:w="1307"/>
        <w:gridCol w:w="1041"/>
        <w:gridCol w:w="1155"/>
        <w:gridCol w:w="214"/>
        <w:gridCol w:w="967"/>
        <w:gridCol w:w="2147"/>
      </w:tblGrid>
      <w:tr>
        <w:tblPrEx>
          <w:tblCellMar>
            <w:top w:w="0" w:type="dxa"/>
            <w:left w:w="108" w:type="dxa"/>
            <w:bottom w:w="0" w:type="dxa"/>
            <w:right w:w="108" w:type="dxa"/>
          </w:tblCellMar>
        </w:tblPrEx>
        <w:trPr>
          <w:trHeight w:val="510" w:hRule="atLeast"/>
          <w:jc w:val="center"/>
        </w:trPr>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984" w:type="pct"/>
            <w:tcBorders>
              <w:top w:val="single" w:color="auto" w:sz="4" w:space="0"/>
              <w:left w:val="nil"/>
              <w:bottom w:val="single" w:color="auto" w:sz="4" w:space="0"/>
              <w:right w:val="single" w:color="auto" w:sz="4" w:space="0"/>
            </w:tcBorders>
            <w:shd w:val="clear" w:color="auto" w:fill="auto"/>
            <w:vAlign w:val="center"/>
          </w:tcPr>
          <w:p>
            <w:pPr>
              <w:pStyle w:val="121"/>
            </w:pPr>
            <w:r>
              <w:t>名称</w:t>
            </w:r>
          </w:p>
        </w:tc>
        <w:tc>
          <w:tcPr>
            <w:tcW w:w="689" w:type="pct"/>
            <w:tcBorders>
              <w:top w:val="single" w:color="auto" w:sz="4" w:space="0"/>
              <w:left w:val="nil"/>
              <w:bottom w:val="single" w:color="auto" w:sz="4" w:space="0"/>
              <w:right w:val="single" w:color="auto" w:sz="4" w:space="0"/>
            </w:tcBorders>
            <w:shd w:val="clear" w:color="auto" w:fill="auto"/>
            <w:vAlign w:val="center"/>
          </w:tcPr>
          <w:p>
            <w:pPr>
              <w:pStyle w:val="121"/>
            </w:pPr>
            <w:r>
              <w:t>计量单位</w:t>
            </w:r>
          </w:p>
        </w:tc>
        <w:tc>
          <w:tcPr>
            <w:tcW w:w="549" w:type="pct"/>
            <w:tcBorders>
              <w:top w:val="single" w:color="auto" w:sz="4" w:space="0"/>
              <w:left w:val="nil"/>
              <w:bottom w:val="single" w:color="auto" w:sz="4" w:space="0"/>
              <w:right w:val="single" w:color="auto" w:sz="4" w:space="0"/>
            </w:tcBorders>
            <w:shd w:val="clear" w:color="auto" w:fill="auto"/>
            <w:vAlign w:val="center"/>
          </w:tcPr>
          <w:p>
            <w:pPr>
              <w:pStyle w:val="121"/>
            </w:pPr>
            <w:r>
              <w:t>单价</w:t>
            </w:r>
          </w:p>
          <w:p>
            <w:pPr>
              <w:pStyle w:val="121"/>
            </w:pPr>
            <w:r>
              <w:t>元</w:t>
            </w:r>
          </w:p>
        </w:tc>
        <w:tc>
          <w:tcPr>
            <w:tcW w:w="609" w:type="pct"/>
            <w:tcBorders>
              <w:top w:val="single" w:color="auto" w:sz="4" w:space="0"/>
              <w:left w:val="nil"/>
              <w:bottom w:val="single" w:color="auto" w:sz="4" w:space="0"/>
              <w:right w:val="single" w:color="auto" w:sz="4" w:space="0"/>
            </w:tcBorders>
            <w:shd w:val="clear" w:color="auto" w:fill="auto"/>
            <w:vAlign w:val="center"/>
          </w:tcPr>
          <w:p>
            <w:pPr>
              <w:pStyle w:val="121"/>
            </w:pPr>
            <w:r>
              <w:t>数量</w:t>
            </w:r>
          </w:p>
        </w:tc>
        <w:tc>
          <w:tcPr>
            <w:tcW w:w="623"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1132"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413"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984" w:type="pct"/>
            <w:tcBorders>
              <w:top w:val="nil"/>
              <w:left w:val="nil"/>
              <w:bottom w:val="single" w:color="auto" w:sz="4" w:space="0"/>
              <w:right w:val="single" w:color="auto" w:sz="4" w:space="0"/>
            </w:tcBorders>
            <w:shd w:val="clear" w:color="auto" w:fill="auto"/>
            <w:vAlign w:val="center"/>
          </w:tcPr>
          <w:p>
            <w:pPr>
              <w:pStyle w:val="121"/>
            </w:pPr>
            <w:r>
              <w:t>乙</w:t>
            </w:r>
          </w:p>
        </w:tc>
        <w:tc>
          <w:tcPr>
            <w:tcW w:w="689" w:type="pct"/>
            <w:tcBorders>
              <w:top w:val="nil"/>
              <w:left w:val="nil"/>
              <w:bottom w:val="single" w:color="auto" w:sz="4" w:space="0"/>
              <w:right w:val="single" w:color="auto" w:sz="4" w:space="0"/>
            </w:tcBorders>
            <w:shd w:val="clear" w:color="auto" w:fill="auto"/>
            <w:vAlign w:val="center"/>
          </w:tcPr>
          <w:p>
            <w:pPr>
              <w:pStyle w:val="121"/>
            </w:pPr>
            <w:r>
              <w:t>丙</w:t>
            </w:r>
          </w:p>
        </w:tc>
        <w:tc>
          <w:tcPr>
            <w:tcW w:w="549" w:type="pct"/>
            <w:tcBorders>
              <w:top w:val="nil"/>
              <w:left w:val="nil"/>
              <w:bottom w:val="single" w:color="auto" w:sz="4" w:space="0"/>
              <w:right w:val="single" w:color="auto" w:sz="4" w:space="0"/>
            </w:tcBorders>
            <w:shd w:val="clear" w:color="auto" w:fill="auto"/>
            <w:vAlign w:val="center"/>
          </w:tcPr>
          <w:p>
            <w:pPr>
              <w:pStyle w:val="121"/>
            </w:pPr>
            <w:r>
              <w:t>1</w:t>
            </w:r>
          </w:p>
        </w:tc>
        <w:tc>
          <w:tcPr>
            <w:tcW w:w="609" w:type="pct"/>
            <w:tcBorders>
              <w:top w:val="nil"/>
              <w:left w:val="nil"/>
              <w:bottom w:val="single" w:color="auto" w:sz="4" w:space="0"/>
              <w:right w:val="single" w:color="auto" w:sz="4" w:space="0"/>
            </w:tcBorders>
            <w:shd w:val="clear" w:color="auto" w:fill="auto"/>
            <w:vAlign w:val="center"/>
          </w:tcPr>
          <w:p>
            <w:pPr>
              <w:pStyle w:val="121"/>
            </w:pPr>
            <w:r>
              <w:t>2</w:t>
            </w:r>
          </w:p>
        </w:tc>
        <w:tc>
          <w:tcPr>
            <w:tcW w:w="623" w:type="pct"/>
            <w:gridSpan w:val="2"/>
            <w:tcBorders>
              <w:top w:val="nil"/>
              <w:left w:val="nil"/>
              <w:bottom w:val="single" w:color="auto" w:sz="4" w:space="0"/>
              <w:right w:val="single" w:color="auto" w:sz="4" w:space="0"/>
            </w:tcBorders>
            <w:shd w:val="clear" w:color="auto" w:fill="auto"/>
            <w:vAlign w:val="center"/>
          </w:tcPr>
          <w:p>
            <w:pPr>
              <w:pStyle w:val="121"/>
            </w:pPr>
            <w:r>
              <w:t>3</w:t>
            </w:r>
          </w:p>
        </w:tc>
        <w:tc>
          <w:tcPr>
            <w:tcW w:w="1132" w:type="pct"/>
            <w:tcBorders>
              <w:top w:val="nil"/>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10" w:hRule="atLeast"/>
          <w:jc w:val="center"/>
        </w:trPr>
        <w:tc>
          <w:tcPr>
            <w:tcW w:w="413" w:type="pct"/>
            <w:tcBorders>
              <w:top w:val="nil"/>
              <w:left w:val="single" w:color="auto" w:sz="4" w:space="0"/>
              <w:bottom w:val="nil"/>
              <w:right w:val="single" w:color="auto" w:sz="4" w:space="0"/>
            </w:tcBorders>
            <w:shd w:val="clear" w:color="auto" w:fill="auto"/>
            <w:vAlign w:val="center"/>
          </w:tcPr>
          <w:p>
            <w:pPr>
              <w:pStyle w:val="121"/>
            </w:pPr>
            <w:r>
              <w:t>　</w:t>
            </w:r>
          </w:p>
        </w:tc>
        <w:tc>
          <w:tcPr>
            <w:tcW w:w="984" w:type="pct"/>
            <w:tcBorders>
              <w:top w:val="nil"/>
              <w:left w:val="nil"/>
              <w:bottom w:val="nil"/>
              <w:right w:val="single" w:color="auto" w:sz="4" w:space="0"/>
            </w:tcBorders>
            <w:shd w:val="clear" w:color="auto" w:fill="auto"/>
            <w:vAlign w:val="center"/>
          </w:tcPr>
          <w:p>
            <w:pPr>
              <w:pStyle w:val="121"/>
            </w:pPr>
            <w:r>
              <w:t>　</w:t>
            </w:r>
          </w:p>
        </w:tc>
        <w:tc>
          <w:tcPr>
            <w:tcW w:w="689" w:type="pct"/>
            <w:tcBorders>
              <w:top w:val="nil"/>
              <w:left w:val="nil"/>
              <w:bottom w:val="nil"/>
              <w:right w:val="nil"/>
            </w:tcBorders>
            <w:shd w:val="clear" w:color="auto" w:fill="auto"/>
            <w:vAlign w:val="center"/>
          </w:tcPr>
          <w:p>
            <w:pPr>
              <w:pStyle w:val="121"/>
            </w:pPr>
            <w:r>
              <w:t>　</w:t>
            </w:r>
          </w:p>
        </w:tc>
        <w:tc>
          <w:tcPr>
            <w:tcW w:w="549" w:type="pct"/>
            <w:tcBorders>
              <w:top w:val="nil"/>
              <w:left w:val="nil"/>
              <w:bottom w:val="nil"/>
              <w:right w:val="nil"/>
            </w:tcBorders>
            <w:shd w:val="clear" w:color="auto" w:fill="auto"/>
            <w:vAlign w:val="center"/>
          </w:tcPr>
          <w:p>
            <w:pPr>
              <w:pStyle w:val="121"/>
            </w:pPr>
            <w:r>
              <w:t>　</w:t>
            </w:r>
          </w:p>
        </w:tc>
        <w:tc>
          <w:tcPr>
            <w:tcW w:w="609" w:type="pct"/>
            <w:tcBorders>
              <w:top w:val="nil"/>
              <w:left w:val="nil"/>
              <w:bottom w:val="nil"/>
              <w:right w:val="nil"/>
            </w:tcBorders>
            <w:shd w:val="clear" w:color="auto" w:fill="auto"/>
            <w:vAlign w:val="center"/>
          </w:tcPr>
          <w:p>
            <w:pPr>
              <w:pStyle w:val="121"/>
            </w:pPr>
            <w:r>
              <w:t>　</w:t>
            </w:r>
          </w:p>
        </w:tc>
        <w:tc>
          <w:tcPr>
            <w:tcW w:w="623" w:type="pct"/>
            <w:gridSpan w:val="2"/>
            <w:tcBorders>
              <w:top w:val="nil"/>
              <w:left w:val="nil"/>
              <w:bottom w:val="nil"/>
              <w:right w:val="nil"/>
            </w:tcBorders>
            <w:shd w:val="clear" w:color="auto" w:fill="auto"/>
            <w:vAlign w:val="center"/>
          </w:tcPr>
          <w:p>
            <w:pPr>
              <w:pStyle w:val="121"/>
            </w:pPr>
            <w:r>
              <w:t>　</w:t>
            </w:r>
          </w:p>
        </w:tc>
        <w:tc>
          <w:tcPr>
            <w:tcW w:w="1132" w:type="pct"/>
            <w:tcBorders>
              <w:top w:val="nil"/>
              <w:left w:val="nil"/>
              <w:bottom w:val="nil"/>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510" w:hRule="atLeast"/>
          <w:jc w:val="center"/>
        </w:trPr>
        <w:tc>
          <w:tcPr>
            <w:tcW w:w="413" w:type="pct"/>
            <w:tcBorders>
              <w:top w:val="nil"/>
              <w:left w:val="single" w:color="auto" w:sz="4" w:space="0"/>
              <w:bottom w:val="nil"/>
              <w:right w:val="single" w:color="auto" w:sz="4" w:space="0"/>
            </w:tcBorders>
            <w:shd w:val="clear" w:color="auto" w:fill="auto"/>
            <w:vAlign w:val="center"/>
          </w:tcPr>
          <w:p>
            <w:pPr>
              <w:pStyle w:val="121"/>
            </w:pPr>
            <w:r>
              <w:t>　</w:t>
            </w:r>
          </w:p>
        </w:tc>
        <w:tc>
          <w:tcPr>
            <w:tcW w:w="984" w:type="pct"/>
            <w:tcBorders>
              <w:top w:val="nil"/>
              <w:left w:val="nil"/>
              <w:bottom w:val="nil"/>
              <w:right w:val="single" w:color="auto" w:sz="4" w:space="0"/>
            </w:tcBorders>
            <w:shd w:val="clear" w:color="auto" w:fill="auto"/>
            <w:vAlign w:val="center"/>
          </w:tcPr>
          <w:p>
            <w:pPr>
              <w:pStyle w:val="121"/>
            </w:pPr>
            <w:r>
              <w:t>　</w:t>
            </w:r>
          </w:p>
        </w:tc>
        <w:tc>
          <w:tcPr>
            <w:tcW w:w="3602" w:type="pct"/>
            <w:gridSpan w:val="6"/>
            <w:tcBorders>
              <w:top w:val="nil"/>
              <w:left w:val="nil"/>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510" w:hRule="atLeast"/>
          <w:jc w:val="center"/>
        </w:trPr>
        <w:tc>
          <w:tcPr>
            <w:tcW w:w="413" w:type="pct"/>
            <w:tcBorders>
              <w:top w:val="nil"/>
              <w:left w:val="single" w:color="auto" w:sz="4" w:space="0"/>
              <w:bottom w:val="nil"/>
              <w:right w:val="single" w:color="auto" w:sz="4" w:space="0"/>
            </w:tcBorders>
            <w:shd w:val="clear" w:color="auto" w:fill="auto"/>
            <w:vAlign w:val="center"/>
          </w:tcPr>
          <w:p>
            <w:pPr>
              <w:pStyle w:val="121"/>
            </w:pPr>
            <w:r>
              <w:t>　</w:t>
            </w:r>
          </w:p>
        </w:tc>
        <w:tc>
          <w:tcPr>
            <w:tcW w:w="984" w:type="pct"/>
            <w:tcBorders>
              <w:top w:val="nil"/>
              <w:left w:val="nil"/>
              <w:bottom w:val="nil"/>
              <w:right w:val="single" w:color="auto" w:sz="4" w:space="0"/>
            </w:tcBorders>
            <w:shd w:val="clear" w:color="auto" w:fill="auto"/>
            <w:vAlign w:val="center"/>
          </w:tcPr>
          <w:p>
            <w:pPr>
              <w:pStyle w:val="121"/>
            </w:pPr>
            <w:r>
              <w:t>　</w:t>
            </w:r>
          </w:p>
        </w:tc>
        <w:tc>
          <w:tcPr>
            <w:tcW w:w="689" w:type="pct"/>
            <w:tcBorders>
              <w:top w:val="nil"/>
              <w:left w:val="nil"/>
              <w:bottom w:val="nil"/>
              <w:right w:val="nil"/>
            </w:tcBorders>
            <w:shd w:val="clear" w:color="auto" w:fill="auto"/>
            <w:vAlign w:val="center"/>
          </w:tcPr>
          <w:p>
            <w:pPr>
              <w:pStyle w:val="121"/>
            </w:pPr>
            <w:r>
              <w:t>　</w:t>
            </w:r>
          </w:p>
        </w:tc>
        <w:tc>
          <w:tcPr>
            <w:tcW w:w="2913" w:type="pct"/>
            <w:gridSpan w:val="5"/>
            <w:tcBorders>
              <w:top w:val="nil"/>
              <w:left w:val="nil"/>
              <w:bottom w:val="nil"/>
              <w:right w:val="single" w:color="auto" w:sz="4" w:space="0"/>
            </w:tcBorders>
            <w:shd w:val="clear" w:color="auto" w:fill="auto"/>
            <w:vAlign w:val="center"/>
          </w:tcPr>
          <w:p>
            <w:pPr>
              <w:pStyle w:val="121"/>
            </w:pPr>
            <w:r>
              <w:t>根据参加项目人</w:t>
            </w:r>
            <w:r>
              <w:rPr>
                <w:rFonts w:hint="eastAsia"/>
              </w:rPr>
              <w:t>·</w:t>
            </w:r>
            <w:r>
              <w:t>月数，按综合定额标准计算。</w:t>
            </w:r>
          </w:p>
        </w:tc>
      </w:tr>
      <w:tr>
        <w:tblPrEx>
          <w:tblCellMar>
            <w:top w:w="0" w:type="dxa"/>
            <w:left w:w="108" w:type="dxa"/>
            <w:bottom w:w="0" w:type="dxa"/>
            <w:right w:w="108" w:type="dxa"/>
          </w:tblCellMar>
        </w:tblPrEx>
        <w:trPr>
          <w:trHeight w:val="510" w:hRule="atLeast"/>
          <w:jc w:val="center"/>
        </w:trPr>
        <w:tc>
          <w:tcPr>
            <w:tcW w:w="413" w:type="pct"/>
            <w:tcBorders>
              <w:top w:val="nil"/>
              <w:left w:val="single" w:color="auto" w:sz="4" w:space="0"/>
              <w:bottom w:val="nil"/>
              <w:right w:val="single" w:color="auto" w:sz="4" w:space="0"/>
            </w:tcBorders>
            <w:shd w:val="clear" w:color="auto" w:fill="auto"/>
            <w:vAlign w:val="center"/>
          </w:tcPr>
          <w:p>
            <w:pPr>
              <w:pStyle w:val="121"/>
            </w:pPr>
            <w:r>
              <w:t>　</w:t>
            </w:r>
          </w:p>
        </w:tc>
        <w:tc>
          <w:tcPr>
            <w:tcW w:w="984" w:type="pct"/>
            <w:tcBorders>
              <w:top w:val="nil"/>
              <w:left w:val="nil"/>
              <w:bottom w:val="nil"/>
              <w:right w:val="single" w:color="auto" w:sz="4" w:space="0"/>
            </w:tcBorders>
            <w:shd w:val="clear" w:color="auto" w:fill="auto"/>
            <w:vAlign w:val="center"/>
          </w:tcPr>
          <w:p>
            <w:pPr>
              <w:pStyle w:val="121"/>
            </w:pPr>
            <w:r>
              <w:t>　</w:t>
            </w:r>
          </w:p>
        </w:tc>
        <w:tc>
          <w:tcPr>
            <w:tcW w:w="3602" w:type="pct"/>
            <w:gridSpan w:val="6"/>
            <w:tcBorders>
              <w:top w:val="nil"/>
              <w:left w:val="nil"/>
              <w:bottom w:val="nil"/>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510" w:hRule="atLeast"/>
          <w:jc w:val="center"/>
        </w:trPr>
        <w:tc>
          <w:tcPr>
            <w:tcW w:w="413" w:type="pct"/>
            <w:tcBorders>
              <w:top w:val="nil"/>
              <w:left w:val="single" w:color="auto" w:sz="4" w:space="0"/>
              <w:bottom w:val="nil"/>
              <w:right w:val="single" w:color="auto" w:sz="4" w:space="0"/>
            </w:tcBorders>
            <w:shd w:val="clear" w:color="auto" w:fill="auto"/>
            <w:vAlign w:val="center"/>
          </w:tcPr>
          <w:p>
            <w:pPr>
              <w:pStyle w:val="121"/>
            </w:pPr>
            <w:r>
              <w:t>　</w:t>
            </w:r>
          </w:p>
        </w:tc>
        <w:tc>
          <w:tcPr>
            <w:tcW w:w="984" w:type="pct"/>
            <w:tcBorders>
              <w:top w:val="nil"/>
              <w:left w:val="nil"/>
              <w:bottom w:val="nil"/>
              <w:right w:val="single" w:color="auto" w:sz="4" w:space="0"/>
            </w:tcBorders>
            <w:shd w:val="clear" w:color="auto" w:fill="auto"/>
            <w:vAlign w:val="center"/>
          </w:tcPr>
          <w:p>
            <w:pPr>
              <w:pStyle w:val="121"/>
            </w:pPr>
            <w:r>
              <w:t>　</w:t>
            </w:r>
          </w:p>
        </w:tc>
        <w:tc>
          <w:tcPr>
            <w:tcW w:w="3602" w:type="pct"/>
            <w:gridSpan w:val="6"/>
            <w:tcBorders>
              <w:top w:val="nil"/>
              <w:left w:val="nil"/>
              <w:bottom w:val="nil"/>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510" w:hRule="atLeast"/>
          <w:jc w:val="center"/>
        </w:trPr>
        <w:tc>
          <w:tcPr>
            <w:tcW w:w="413"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984" w:type="pct"/>
            <w:tcBorders>
              <w:top w:val="nil"/>
              <w:left w:val="nil"/>
              <w:bottom w:val="single" w:color="auto" w:sz="4" w:space="0"/>
              <w:right w:val="single" w:color="auto" w:sz="4" w:space="0"/>
            </w:tcBorders>
            <w:shd w:val="clear" w:color="auto" w:fill="auto"/>
            <w:vAlign w:val="center"/>
          </w:tcPr>
          <w:p>
            <w:pPr>
              <w:pStyle w:val="121"/>
            </w:pPr>
            <w:r>
              <w:t>　</w:t>
            </w:r>
          </w:p>
        </w:tc>
        <w:tc>
          <w:tcPr>
            <w:tcW w:w="689" w:type="pct"/>
            <w:tcBorders>
              <w:top w:val="nil"/>
              <w:left w:val="nil"/>
              <w:bottom w:val="single" w:color="auto" w:sz="4" w:space="0"/>
              <w:right w:val="nil"/>
            </w:tcBorders>
            <w:shd w:val="clear" w:color="auto" w:fill="auto"/>
            <w:vAlign w:val="center"/>
          </w:tcPr>
          <w:p>
            <w:pPr>
              <w:pStyle w:val="121"/>
            </w:pPr>
            <w:r>
              <w:t>　</w:t>
            </w:r>
          </w:p>
        </w:tc>
        <w:tc>
          <w:tcPr>
            <w:tcW w:w="549" w:type="pct"/>
            <w:tcBorders>
              <w:top w:val="nil"/>
              <w:left w:val="nil"/>
              <w:bottom w:val="single" w:color="auto" w:sz="4" w:space="0"/>
              <w:right w:val="nil"/>
            </w:tcBorders>
            <w:shd w:val="clear" w:color="auto" w:fill="auto"/>
            <w:vAlign w:val="center"/>
          </w:tcPr>
          <w:p>
            <w:pPr>
              <w:pStyle w:val="121"/>
            </w:pPr>
            <w:r>
              <w:t>　</w:t>
            </w:r>
          </w:p>
        </w:tc>
        <w:tc>
          <w:tcPr>
            <w:tcW w:w="609" w:type="pct"/>
            <w:tcBorders>
              <w:top w:val="nil"/>
              <w:left w:val="nil"/>
              <w:bottom w:val="single" w:color="auto" w:sz="4" w:space="0"/>
              <w:right w:val="nil"/>
            </w:tcBorders>
            <w:shd w:val="clear" w:color="auto" w:fill="auto"/>
            <w:vAlign w:val="center"/>
          </w:tcPr>
          <w:p>
            <w:pPr>
              <w:pStyle w:val="121"/>
            </w:pPr>
            <w:r>
              <w:t>　</w:t>
            </w:r>
          </w:p>
        </w:tc>
        <w:tc>
          <w:tcPr>
            <w:tcW w:w="623" w:type="pct"/>
            <w:gridSpan w:val="2"/>
            <w:tcBorders>
              <w:top w:val="nil"/>
              <w:left w:val="nil"/>
              <w:bottom w:val="single" w:color="auto" w:sz="4" w:space="0"/>
              <w:right w:val="nil"/>
            </w:tcBorders>
            <w:shd w:val="clear" w:color="auto" w:fill="auto"/>
            <w:vAlign w:val="center"/>
          </w:tcPr>
          <w:p>
            <w:pPr>
              <w:pStyle w:val="121"/>
            </w:pPr>
            <w:r>
              <w:t>　</w:t>
            </w:r>
          </w:p>
        </w:tc>
        <w:tc>
          <w:tcPr>
            <w:tcW w:w="1132"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510" w:hRule="atLeast"/>
          <w:jc w:val="center"/>
        </w:trPr>
        <w:tc>
          <w:tcPr>
            <w:tcW w:w="413"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984" w:type="pct"/>
            <w:tcBorders>
              <w:top w:val="nil"/>
              <w:left w:val="nil"/>
              <w:bottom w:val="single" w:color="auto" w:sz="4" w:space="0"/>
              <w:right w:val="single" w:color="auto" w:sz="4" w:space="0"/>
            </w:tcBorders>
            <w:shd w:val="clear" w:color="auto" w:fill="auto"/>
            <w:vAlign w:val="center"/>
          </w:tcPr>
          <w:p>
            <w:pPr>
              <w:pStyle w:val="121"/>
            </w:pPr>
            <w:r>
              <w:t>合计</w:t>
            </w:r>
          </w:p>
        </w:tc>
        <w:tc>
          <w:tcPr>
            <w:tcW w:w="689" w:type="pct"/>
            <w:tcBorders>
              <w:top w:val="nil"/>
              <w:left w:val="nil"/>
              <w:bottom w:val="single" w:color="auto" w:sz="4" w:space="0"/>
              <w:right w:val="nil"/>
            </w:tcBorders>
            <w:shd w:val="clear" w:color="auto" w:fill="auto"/>
            <w:vAlign w:val="center"/>
          </w:tcPr>
          <w:p>
            <w:pPr>
              <w:pStyle w:val="121"/>
            </w:pPr>
            <w:r>
              <w:t>　</w:t>
            </w:r>
          </w:p>
        </w:tc>
        <w:tc>
          <w:tcPr>
            <w:tcW w:w="549" w:type="pct"/>
            <w:tcBorders>
              <w:top w:val="nil"/>
              <w:left w:val="nil"/>
              <w:bottom w:val="single" w:color="auto" w:sz="4" w:space="0"/>
              <w:right w:val="nil"/>
            </w:tcBorders>
            <w:shd w:val="clear" w:color="auto" w:fill="auto"/>
            <w:vAlign w:val="center"/>
          </w:tcPr>
          <w:p>
            <w:pPr>
              <w:pStyle w:val="121"/>
            </w:pPr>
            <w:r>
              <w:t>　</w:t>
            </w:r>
          </w:p>
        </w:tc>
        <w:tc>
          <w:tcPr>
            <w:tcW w:w="609" w:type="pct"/>
            <w:tcBorders>
              <w:top w:val="nil"/>
              <w:left w:val="nil"/>
              <w:bottom w:val="single" w:color="auto" w:sz="4" w:space="0"/>
              <w:right w:val="nil"/>
            </w:tcBorders>
            <w:shd w:val="clear" w:color="auto" w:fill="auto"/>
            <w:vAlign w:val="center"/>
          </w:tcPr>
          <w:p>
            <w:pPr>
              <w:pStyle w:val="121"/>
            </w:pPr>
            <w:r>
              <w:t>　</w:t>
            </w:r>
          </w:p>
        </w:tc>
        <w:tc>
          <w:tcPr>
            <w:tcW w:w="623" w:type="pct"/>
            <w:gridSpan w:val="2"/>
            <w:tcBorders>
              <w:top w:val="nil"/>
              <w:left w:val="nil"/>
              <w:bottom w:val="single" w:color="auto" w:sz="4" w:space="0"/>
              <w:right w:val="nil"/>
            </w:tcBorders>
            <w:shd w:val="clear" w:color="auto" w:fill="auto"/>
            <w:vAlign w:val="center"/>
          </w:tcPr>
          <w:p>
            <w:pPr>
              <w:pStyle w:val="121"/>
            </w:pPr>
            <w:r>
              <w:t>　</w:t>
            </w:r>
          </w:p>
        </w:tc>
        <w:tc>
          <w:tcPr>
            <w:tcW w:w="1132"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2086" w:type="pct"/>
            <w:gridSpan w:val="3"/>
            <w:tcBorders>
              <w:top w:val="single" w:color="auto" w:sz="4" w:space="0"/>
              <w:left w:val="nil"/>
              <w:bottom w:val="nil"/>
              <w:right w:val="nil"/>
            </w:tcBorders>
            <w:shd w:val="clear" w:color="auto" w:fill="auto"/>
            <w:vAlign w:val="bottom"/>
          </w:tcPr>
          <w:p>
            <w:pPr>
              <w:pStyle w:val="121"/>
              <w:jc w:val="both"/>
            </w:pPr>
            <w:r>
              <w:t>预算编制人：（签章）</w:t>
            </w:r>
          </w:p>
        </w:tc>
        <w:tc>
          <w:tcPr>
            <w:tcW w:w="549" w:type="pct"/>
            <w:tcBorders>
              <w:top w:val="nil"/>
              <w:left w:val="nil"/>
              <w:bottom w:val="nil"/>
              <w:right w:val="nil"/>
            </w:tcBorders>
            <w:shd w:val="clear" w:color="auto" w:fill="auto"/>
            <w:vAlign w:val="bottom"/>
          </w:tcPr>
          <w:p>
            <w:pPr>
              <w:pStyle w:val="121"/>
              <w:jc w:val="both"/>
            </w:pPr>
          </w:p>
        </w:tc>
        <w:tc>
          <w:tcPr>
            <w:tcW w:w="722" w:type="pct"/>
            <w:gridSpan w:val="2"/>
            <w:tcBorders>
              <w:top w:val="nil"/>
              <w:left w:val="nil"/>
              <w:bottom w:val="nil"/>
              <w:right w:val="nil"/>
            </w:tcBorders>
            <w:shd w:val="clear" w:color="auto" w:fill="auto"/>
            <w:vAlign w:val="bottom"/>
          </w:tcPr>
          <w:p>
            <w:pPr>
              <w:pStyle w:val="121"/>
              <w:jc w:val="both"/>
            </w:pPr>
          </w:p>
        </w:tc>
        <w:tc>
          <w:tcPr>
            <w:tcW w:w="1641" w:type="pct"/>
            <w:gridSpan w:val="2"/>
            <w:tcBorders>
              <w:top w:val="single" w:color="auto" w:sz="4" w:space="0"/>
              <w:left w:val="nil"/>
              <w:bottom w:val="nil"/>
              <w:right w:val="nil"/>
            </w:tcBorders>
            <w:shd w:val="clear" w:color="auto" w:fill="auto"/>
            <w:vAlign w:val="bottom"/>
          </w:tcPr>
          <w:p>
            <w:pPr>
              <w:pStyle w:val="121"/>
              <w:jc w:val="both"/>
            </w:pPr>
            <w:r>
              <w:t>预算审核人：（签章）</w:t>
            </w:r>
          </w:p>
        </w:tc>
      </w:tr>
    </w:tbl>
    <w:p>
      <w:pPr>
        <w:pStyle w:val="121"/>
      </w:pPr>
    </w:p>
    <w:p>
      <w:pPr>
        <w:pStyle w:val="121"/>
      </w:pPr>
      <w:r>
        <w:br w:type="page"/>
      </w:r>
    </w:p>
    <w:p>
      <w:pPr>
        <w:pStyle w:val="121"/>
      </w:pPr>
    </w:p>
    <w:p>
      <w:pPr>
        <w:pStyle w:val="121"/>
      </w:pPr>
    </w:p>
    <w:p>
      <w:pPr>
        <w:pStyle w:val="121"/>
        <w:jc w:val="right"/>
      </w:pPr>
      <w:r>
        <w:t>预工附-7</w:t>
      </w:r>
    </w:p>
    <w:p>
      <w:pPr>
        <w:pStyle w:val="119"/>
      </w:pPr>
      <w:r>
        <w:t>差旅费预算明细表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5003" w:type="pct"/>
        <w:jc w:val="center"/>
        <w:tblLayout w:type="autofit"/>
        <w:tblCellMar>
          <w:top w:w="0" w:type="dxa"/>
          <w:left w:w="108" w:type="dxa"/>
          <w:bottom w:w="0" w:type="dxa"/>
          <w:right w:w="108" w:type="dxa"/>
        </w:tblCellMar>
      </w:tblPr>
      <w:tblGrid>
        <w:gridCol w:w="396"/>
        <w:gridCol w:w="481"/>
        <w:gridCol w:w="578"/>
        <w:gridCol w:w="703"/>
        <w:gridCol w:w="756"/>
        <w:gridCol w:w="756"/>
        <w:gridCol w:w="396"/>
        <w:gridCol w:w="502"/>
        <w:gridCol w:w="969"/>
        <w:gridCol w:w="396"/>
        <w:gridCol w:w="434"/>
        <w:gridCol w:w="535"/>
        <w:gridCol w:w="402"/>
        <w:gridCol w:w="970"/>
        <w:gridCol w:w="397"/>
        <w:gridCol w:w="400"/>
        <w:gridCol w:w="419"/>
      </w:tblGrid>
      <w:tr>
        <w:tblPrEx>
          <w:tblCellMar>
            <w:top w:w="0" w:type="dxa"/>
            <w:left w:w="108" w:type="dxa"/>
            <w:bottom w:w="0" w:type="dxa"/>
            <w:right w:w="108" w:type="dxa"/>
          </w:tblCellMar>
        </w:tblPrEx>
        <w:trPr>
          <w:trHeight w:val="510" w:hRule="atLeast"/>
          <w:jc w:val="center"/>
        </w:trPr>
        <w:tc>
          <w:tcPr>
            <w:tcW w:w="20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25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出差旅程</w:t>
            </w:r>
          </w:p>
        </w:tc>
        <w:tc>
          <w:tcPr>
            <w:tcW w:w="30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出差必要性说明</w:t>
            </w:r>
          </w:p>
        </w:tc>
        <w:tc>
          <w:tcPr>
            <w:tcW w:w="37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出差主要内容和预期成果</w:t>
            </w:r>
          </w:p>
        </w:tc>
        <w:tc>
          <w:tcPr>
            <w:tcW w:w="3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天数（日）</w:t>
            </w:r>
          </w:p>
        </w:tc>
        <w:tc>
          <w:tcPr>
            <w:tcW w:w="3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人数（人）</w:t>
            </w:r>
          </w:p>
        </w:tc>
        <w:tc>
          <w:tcPr>
            <w:tcW w:w="2845" w:type="pct"/>
            <w:gridSpan w:val="10"/>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2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备注</w:t>
            </w:r>
          </w:p>
        </w:tc>
      </w:tr>
      <w:tr>
        <w:trPr>
          <w:trHeight w:val="510" w:hRule="atLeast"/>
          <w:jc w:val="center"/>
        </w:trPr>
        <w:tc>
          <w:tcPr>
            <w:tcW w:w="202" w:type="pct"/>
            <w:vMerge w:val="continue"/>
            <w:tcBorders>
              <w:top w:val="single" w:color="auto" w:sz="4" w:space="0"/>
              <w:left w:val="single" w:color="auto" w:sz="4" w:space="0"/>
              <w:bottom w:val="single" w:color="auto" w:sz="4" w:space="0"/>
              <w:right w:val="single" w:color="auto" w:sz="4" w:space="0"/>
            </w:tcBorders>
            <w:vAlign w:val="center"/>
          </w:tcPr>
          <w:p/>
        </w:tc>
        <w:tc>
          <w:tcPr>
            <w:tcW w:w="262" w:type="pct"/>
            <w:vMerge w:val="continue"/>
            <w:tcBorders>
              <w:top w:val="single" w:color="auto" w:sz="4" w:space="0"/>
              <w:left w:val="single" w:color="auto" w:sz="4" w:space="0"/>
              <w:bottom w:val="single" w:color="auto" w:sz="4" w:space="0"/>
              <w:right w:val="single" w:color="auto" w:sz="4" w:space="0"/>
            </w:tcBorders>
            <w:vAlign w:val="center"/>
          </w:tcPr>
          <w:p/>
        </w:tc>
        <w:tc>
          <w:tcPr>
            <w:tcW w:w="314" w:type="pct"/>
            <w:vMerge w:val="continue"/>
            <w:tcBorders>
              <w:top w:val="single" w:color="auto" w:sz="4" w:space="0"/>
              <w:left w:val="single" w:color="auto" w:sz="4" w:space="0"/>
              <w:bottom w:val="single" w:color="auto" w:sz="4" w:space="0"/>
              <w:right w:val="single" w:color="auto" w:sz="4" w:space="0"/>
            </w:tcBorders>
            <w:vAlign w:val="center"/>
          </w:tcPr>
          <w:p/>
        </w:tc>
        <w:tc>
          <w:tcPr>
            <w:tcW w:w="380" w:type="pct"/>
            <w:vMerge w:val="continue"/>
            <w:tcBorders>
              <w:top w:val="single" w:color="auto" w:sz="4" w:space="0"/>
              <w:left w:val="single" w:color="auto" w:sz="4" w:space="0"/>
              <w:bottom w:val="single" w:color="auto" w:sz="4" w:space="0"/>
              <w:right w:val="single" w:color="auto" w:sz="4" w:space="0"/>
            </w:tcBorders>
            <w:vAlign w:val="center"/>
          </w:tcPr>
          <w:p/>
        </w:tc>
        <w:tc>
          <w:tcPr>
            <w:tcW w:w="360" w:type="pct"/>
            <w:vMerge w:val="continue"/>
            <w:tcBorders>
              <w:top w:val="single" w:color="auto" w:sz="4" w:space="0"/>
              <w:left w:val="single" w:color="auto" w:sz="4" w:space="0"/>
              <w:bottom w:val="single" w:color="auto" w:sz="4" w:space="0"/>
              <w:right w:val="single" w:color="auto" w:sz="4" w:space="0"/>
            </w:tcBorders>
            <w:vAlign w:val="center"/>
          </w:tcPr>
          <w:p/>
        </w:tc>
        <w:tc>
          <w:tcPr>
            <w:tcW w:w="360" w:type="pct"/>
            <w:vMerge w:val="continue"/>
            <w:tcBorders>
              <w:top w:val="single" w:color="auto" w:sz="4" w:space="0"/>
              <w:left w:val="single" w:color="auto" w:sz="4" w:space="0"/>
              <w:bottom w:val="single" w:color="auto" w:sz="4" w:space="0"/>
              <w:right w:val="single" w:color="auto" w:sz="4" w:space="0"/>
            </w:tcBorders>
            <w:vAlign w:val="center"/>
          </w:tcPr>
          <w:p/>
        </w:tc>
        <w:tc>
          <w:tcPr>
            <w:tcW w:w="208"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合计</w:t>
            </w:r>
          </w:p>
        </w:tc>
        <w:tc>
          <w:tcPr>
            <w:tcW w:w="265"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城市间交通费</w:t>
            </w:r>
          </w:p>
        </w:tc>
        <w:tc>
          <w:tcPr>
            <w:tcW w:w="719"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住宿补贴</w:t>
            </w:r>
          </w:p>
        </w:tc>
        <w:tc>
          <w:tcPr>
            <w:tcW w:w="723" w:type="pct"/>
            <w:gridSpan w:val="3"/>
            <w:tcBorders>
              <w:top w:val="single" w:color="auto" w:sz="4" w:space="0"/>
              <w:left w:val="nil"/>
              <w:bottom w:val="single" w:color="auto" w:sz="4" w:space="0"/>
              <w:right w:val="single" w:color="auto" w:sz="4" w:space="0"/>
            </w:tcBorders>
            <w:shd w:val="clear" w:color="auto" w:fill="auto"/>
            <w:vAlign w:val="center"/>
          </w:tcPr>
          <w:p>
            <w:pPr>
              <w:pStyle w:val="121"/>
            </w:pPr>
            <w:r>
              <w:t>伙食补贴</w:t>
            </w:r>
          </w:p>
        </w:tc>
        <w:tc>
          <w:tcPr>
            <w:tcW w:w="719" w:type="pct"/>
            <w:gridSpan w:val="2"/>
            <w:tcBorders>
              <w:top w:val="single" w:color="auto" w:sz="4" w:space="0"/>
              <w:left w:val="nil"/>
              <w:bottom w:val="single" w:color="auto" w:sz="4" w:space="0"/>
              <w:right w:val="single" w:color="000000" w:sz="4" w:space="0"/>
            </w:tcBorders>
            <w:shd w:val="clear" w:color="auto" w:fill="auto"/>
            <w:vAlign w:val="center"/>
          </w:tcPr>
          <w:p>
            <w:pPr>
              <w:pStyle w:val="121"/>
            </w:pPr>
            <w:r>
              <w:t>市内交通费</w:t>
            </w:r>
          </w:p>
        </w:tc>
        <w:tc>
          <w:tcPr>
            <w:tcW w:w="208"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其他</w:t>
            </w:r>
          </w:p>
        </w:tc>
        <w:tc>
          <w:tcPr>
            <w:tcW w:w="226" w:type="pct"/>
            <w:vMerge w:val="continue"/>
            <w:tcBorders>
              <w:top w:val="single" w:color="auto" w:sz="4" w:space="0"/>
              <w:left w:val="single" w:color="auto" w:sz="4" w:space="0"/>
              <w:bottom w:val="single" w:color="auto" w:sz="4" w:space="0"/>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202" w:type="pct"/>
            <w:vMerge w:val="continue"/>
            <w:tcBorders>
              <w:top w:val="single" w:color="auto" w:sz="4" w:space="0"/>
              <w:left w:val="single" w:color="auto" w:sz="4" w:space="0"/>
              <w:bottom w:val="single" w:color="auto" w:sz="4" w:space="0"/>
              <w:right w:val="single" w:color="auto" w:sz="4" w:space="0"/>
            </w:tcBorders>
            <w:vAlign w:val="center"/>
          </w:tcPr>
          <w:p/>
        </w:tc>
        <w:tc>
          <w:tcPr>
            <w:tcW w:w="262" w:type="pct"/>
            <w:vMerge w:val="continue"/>
            <w:tcBorders>
              <w:top w:val="single" w:color="auto" w:sz="4" w:space="0"/>
              <w:left w:val="single" w:color="auto" w:sz="4" w:space="0"/>
              <w:bottom w:val="single" w:color="auto" w:sz="4" w:space="0"/>
              <w:right w:val="single" w:color="auto" w:sz="4" w:space="0"/>
            </w:tcBorders>
            <w:vAlign w:val="center"/>
          </w:tcPr>
          <w:p/>
        </w:tc>
        <w:tc>
          <w:tcPr>
            <w:tcW w:w="314" w:type="pct"/>
            <w:vMerge w:val="continue"/>
            <w:tcBorders>
              <w:top w:val="single" w:color="auto" w:sz="4" w:space="0"/>
              <w:left w:val="single" w:color="auto" w:sz="4" w:space="0"/>
              <w:bottom w:val="single" w:color="auto" w:sz="4" w:space="0"/>
              <w:right w:val="single" w:color="auto" w:sz="4" w:space="0"/>
            </w:tcBorders>
            <w:vAlign w:val="center"/>
          </w:tcPr>
          <w:p/>
        </w:tc>
        <w:tc>
          <w:tcPr>
            <w:tcW w:w="380" w:type="pct"/>
            <w:vMerge w:val="continue"/>
            <w:tcBorders>
              <w:top w:val="single" w:color="auto" w:sz="4" w:space="0"/>
              <w:left w:val="single" w:color="auto" w:sz="4" w:space="0"/>
              <w:bottom w:val="single" w:color="auto" w:sz="4" w:space="0"/>
              <w:right w:val="single" w:color="auto" w:sz="4" w:space="0"/>
            </w:tcBorders>
            <w:vAlign w:val="center"/>
          </w:tcPr>
          <w:p/>
        </w:tc>
        <w:tc>
          <w:tcPr>
            <w:tcW w:w="360" w:type="pct"/>
            <w:vMerge w:val="continue"/>
            <w:tcBorders>
              <w:top w:val="single" w:color="auto" w:sz="4" w:space="0"/>
              <w:left w:val="single" w:color="auto" w:sz="4" w:space="0"/>
              <w:bottom w:val="single" w:color="auto" w:sz="4" w:space="0"/>
              <w:right w:val="single" w:color="auto" w:sz="4" w:space="0"/>
            </w:tcBorders>
            <w:vAlign w:val="center"/>
          </w:tcPr>
          <w:p/>
        </w:tc>
        <w:tc>
          <w:tcPr>
            <w:tcW w:w="360" w:type="pct"/>
            <w:vMerge w:val="continue"/>
            <w:tcBorders>
              <w:top w:val="single" w:color="auto" w:sz="4" w:space="0"/>
              <w:left w:val="single" w:color="auto" w:sz="4" w:space="0"/>
              <w:bottom w:val="single" w:color="auto" w:sz="4" w:space="0"/>
              <w:right w:val="single" w:color="auto" w:sz="4" w:space="0"/>
            </w:tcBorders>
            <w:vAlign w:val="center"/>
          </w:tcPr>
          <w:p/>
        </w:tc>
        <w:tc>
          <w:tcPr>
            <w:tcW w:w="207" w:type="pct"/>
            <w:vMerge w:val="continue"/>
            <w:tcBorders>
              <w:top w:val="nil"/>
              <w:left w:val="single" w:color="auto" w:sz="4" w:space="0"/>
              <w:bottom w:val="single" w:color="auto" w:sz="4" w:space="0"/>
              <w:right w:val="single" w:color="auto" w:sz="4" w:space="0"/>
            </w:tcBorders>
            <w:vAlign w:val="center"/>
          </w:tcPr>
          <w:p/>
        </w:tc>
        <w:tc>
          <w:tcPr>
            <w:tcW w:w="273" w:type="pct"/>
            <w:vMerge w:val="continue"/>
            <w:tcBorders>
              <w:top w:val="nil"/>
              <w:left w:val="single" w:color="auto" w:sz="4" w:space="0"/>
              <w:bottom w:val="single" w:color="auto" w:sz="4" w:space="0"/>
              <w:right w:val="single" w:color="auto" w:sz="4" w:space="0"/>
            </w:tcBorders>
            <w:vAlign w:val="center"/>
          </w:tcPr>
          <w:p/>
        </w:tc>
        <w:tc>
          <w:tcPr>
            <w:tcW w:w="511" w:type="pct"/>
            <w:tcBorders>
              <w:top w:val="nil"/>
              <w:left w:val="nil"/>
              <w:bottom w:val="single" w:color="auto" w:sz="4" w:space="0"/>
              <w:right w:val="single" w:color="auto" w:sz="4" w:space="0"/>
            </w:tcBorders>
            <w:shd w:val="clear" w:color="auto" w:fill="auto"/>
            <w:vAlign w:val="center"/>
          </w:tcPr>
          <w:p>
            <w:pPr>
              <w:pStyle w:val="121"/>
            </w:pPr>
            <w:r>
              <w:t>支出标准（元/人日）</w:t>
            </w:r>
          </w:p>
        </w:tc>
        <w:tc>
          <w:tcPr>
            <w:tcW w:w="208" w:type="pct"/>
            <w:tcBorders>
              <w:top w:val="nil"/>
              <w:left w:val="nil"/>
              <w:bottom w:val="single" w:color="auto" w:sz="4" w:space="0"/>
              <w:right w:val="single" w:color="auto" w:sz="4" w:space="0"/>
            </w:tcBorders>
            <w:shd w:val="clear" w:color="auto" w:fill="auto"/>
            <w:vAlign w:val="center"/>
          </w:tcPr>
          <w:p>
            <w:pPr>
              <w:pStyle w:val="121"/>
            </w:pPr>
            <w:r>
              <w:t>金额</w:t>
            </w:r>
          </w:p>
        </w:tc>
        <w:tc>
          <w:tcPr>
            <w:tcW w:w="511" w:type="pct"/>
            <w:gridSpan w:val="2"/>
            <w:tcBorders>
              <w:top w:val="nil"/>
              <w:left w:val="nil"/>
              <w:bottom w:val="single" w:color="auto" w:sz="4" w:space="0"/>
              <w:right w:val="single" w:color="auto" w:sz="4" w:space="0"/>
            </w:tcBorders>
            <w:shd w:val="clear" w:color="auto" w:fill="auto"/>
            <w:vAlign w:val="center"/>
          </w:tcPr>
          <w:p>
            <w:pPr>
              <w:pStyle w:val="121"/>
            </w:pPr>
            <w:r>
              <w:t>支出标准（元/人日）</w:t>
            </w:r>
          </w:p>
        </w:tc>
        <w:tc>
          <w:tcPr>
            <w:tcW w:w="211" w:type="pct"/>
            <w:tcBorders>
              <w:top w:val="nil"/>
              <w:left w:val="nil"/>
              <w:bottom w:val="single" w:color="auto" w:sz="4" w:space="0"/>
              <w:right w:val="single" w:color="auto" w:sz="4" w:space="0"/>
            </w:tcBorders>
            <w:shd w:val="clear" w:color="auto" w:fill="auto"/>
            <w:vAlign w:val="center"/>
          </w:tcPr>
          <w:p>
            <w:pPr>
              <w:pStyle w:val="121"/>
            </w:pPr>
            <w:r>
              <w:t>金额</w:t>
            </w:r>
          </w:p>
        </w:tc>
        <w:tc>
          <w:tcPr>
            <w:tcW w:w="511" w:type="pct"/>
            <w:tcBorders>
              <w:top w:val="nil"/>
              <w:left w:val="nil"/>
              <w:bottom w:val="single" w:color="auto" w:sz="4" w:space="0"/>
              <w:right w:val="single" w:color="auto" w:sz="4" w:space="0"/>
            </w:tcBorders>
            <w:shd w:val="clear" w:color="auto" w:fill="auto"/>
            <w:vAlign w:val="center"/>
          </w:tcPr>
          <w:p>
            <w:pPr>
              <w:pStyle w:val="121"/>
            </w:pPr>
            <w:r>
              <w:t>支出标准（元/人日）</w:t>
            </w:r>
          </w:p>
        </w:tc>
        <w:tc>
          <w:tcPr>
            <w:tcW w:w="208" w:type="pct"/>
            <w:tcBorders>
              <w:top w:val="nil"/>
              <w:left w:val="nil"/>
              <w:bottom w:val="single" w:color="auto" w:sz="4" w:space="0"/>
              <w:right w:val="single" w:color="auto" w:sz="4" w:space="0"/>
            </w:tcBorders>
            <w:shd w:val="clear" w:color="auto" w:fill="auto"/>
            <w:vAlign w:val="center"/>
          </w:tcPr>
          <w:p>
            <w:pPr>
              <w:pStyle w:val="121"/>
            </w:pPr>
            <w:r>
              <w:t>金额</w:t>
            </w:r>
          </w:p>
        </w:tc>
        <w:tc>
          <w:tcPr>
            <w:tcW w:w="208" w:type="pct"/>
            <w:vMerge w:val="continue"/>
            <w:tcBorders>
              <w:top w:val="nil"/>
              <w:left w:val="single" w:color="auto" w:sz="4" w:space="0"/>
              <w:bottom w:val="single" w:color="auto" w:sz="4" w:space="0"/>
              <w:right w:val="single" w:color="auto" w:sz="4" w:space="0"/>
            </w:tcBorders>
            <w:vAlign w:val="center"/>
          </w:tcPr>
          <w:p/>
        </w:tc>
        <w:tc>
          <w:tcPr>
            <w:tcW w:w="226" w:type="pct"/>
            <w:vMerge w:val="continue"/>
            <w:tcBorders>
              <w:top w:val="single" w:color="auto" w:sz="4" w:space="0"/>
              <w:left w:val="single" w:color="auto" w:sz="4" w:space="0"/>
              <w:bottom w:val="single" w:color="auto" w:sz="4" w:space="0"/>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208"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254" w:type="pct"/>
            <w:tcBorders>
              <w:top w:val="nil"/>
              <w:left w:val="nil"/>
              <w:bottom w:val="single" w:color="auto" w:sz="4" w:space="0"/>
              <w:right w:val="single" w:color="auto" w:sz="4" w:space="0"/>
            </w:tcBorders>
            <w:shd w:val="clear" w:color="auto" w:fill="auto"/>
            <w:vAlign w:val="center"/>
          </w:tcPr>
          <w:p>
            <w:pPr>
              <w:pStyle w:val="121"/>
            </w:pPr>
            <w:r>
              <w:t>乙</w:t>
            </w:r>
          </w:p>
        </w:tc>
        <w:tc>
          <w:tcPr>
            <w:tcW w:w="305" w:type="pct"/>
            <w:tcBorders>
              <w:top w:val="nil"/>
              <w:left w:val="nil"/>
              <w:bottom w:val="single" w:color="auto" w:sz="4" w:space="0"/>
              <w:right w:val="single" w:color="auto" w:sz="4" w:space="0"/>
            </w:tcBorders>
            <w:shd w:val="clear" w:color="auto" w:fill="auto"/>
            <w:vAlign w:val="center"/>
          </w:tcPr>
          <w:p>
            <w:pPr>
              <w:pStyle w:val="121"/>
            </w:pPr>
            <w:r>
              <w:t>丙</w:t>
            </w:r>
          </w:p>
        </w:tc>
        <w:tc>
          <w:tcPr>
            <w:tcW w:w="370" w:type="pct"/>
            <w:tcBorders>
              <w:top w:val="nil"/>
              <w:left w:val="nil"/>
              <w:bottom w:val="single" w:color="auto" w:sz="4" w:space="0"/>
              <w:right w:val="single" w:color="auto" w:sz="4" w:space="0"/>
            </w:tcBorders>
            <w:shd w:val="clear" w:color="auto" w:fill="auto"/>
            <w:vAlign w:val="center"/>
          </w:tcPr>
          <w:p>
            <w:pPr>
              <w:pStyle w:val="121"/>
            </w:pPr>
            <w:r>
              <w:t>丁</w:t>
            </w:r>
          </w:p>
        </w:tc>
        <w:tc>
          <w:tcPr>
            <w:tcW w:w="398" w:type="pct"/>
            <w:tcBorders>
              <w:top w:val="nil"/>
              <w:left w:val="nil"/>
              <w:bottom w:val="single" w:color="auto" w:sz="4" w:space="0"/>
              <w:right w:val="single" w:color="auto" w:sz="4" w:space="0"/>
            </w:tcBorders>
            <w:shd w:val="clear" w:color="auto" w:fill="auto"/>
            <w:vAlign w:val="center"/>
          </w:tcPr>
          <w:p>
            <w:pPr>
              <w:pStyle w:val="121"/>
            </w:pPr>
            <w:r>
              <w:t>1</w:t>
            </w:r>
          </w:p>
        </w:tc>
        <w:tc>
          <w:tcPr>
            <w:tcW w:w="398" w:type="pct"/>
            <w:tcBorders>
              <w:top w:val="nil"/>
              <w:left w:val="nil"/>
              <w:bottom w:val="single" w:color="auto" w:sz="4" w:space="0"/>
              <w:right w:val="single" w:color="auto" w:sz="4" w:space="0"/>
            </w:tcBorders>
            <w:shd w:val="clear" w:color="auto" w:fill="auto"/>
            <w:vAlign w:val="center"/>
          </w:tcPr>
          <w:p>
            <w:pPr>
              <w:pStyle w:val="121"/>
            </w:pPr>
            <w:r>
              <w:t>2</w:t>
            </w:r>
          </w:p>
        </w:tc>
        <w:tc>
          <w:tcPr>
            <w:tcW w:w="208" w:type="pct"/>
            <w:tcBorders>
              <w:top w:val="nil"/>
              <w:left w:val="nil"/>
              <w:bottom w:val="single" w:color="auto" w:sz="4" w:space="0"/>
              <w:right w:val="single" w:color="auto" w:sz="4" w:space="0"/>
            </w:tcBorders>
            <w:shd w:val="clear" w:color="auto" w:fill="auto"/>
            <w:vAlign w:val="center"/>
          </w:tcPr>
          <w:p>
            <w:pPr>
              <w:pStyle w:val="121"/>
            </w:pPr>
            <w:r>
              <w:t>3</w:t>
            </w:r>
          </w:p>
        </w:tc>
        <w:tc>
          <w:tcPr>
            <w:tcW w:w="265" w:type="pct"/>
            <w:tcBorders>
              <w:top w:val="nil"/>
              <w:left w:val="nil"/>
              <w:bottom w:val="single" w:color="auto" w:sz="4" w:space="0"/>
              <w:right w:val="single" w:color="auto" w:sz="4" w:space="0"/>
            </w:tcBorders>
            <w:shd w:val="clear" w:color="auto" w:fill="auto"/>
            <w:vAlign w:val="center"/>
          </w:tcPr>
          <w:p>
            <w:pPr>
              <w:pStyle w:val="121"/>
            </w:pPr>
            <w:r>
              <w:t>4</w:t>
            </w:r>
          </w:p>
        </w:tc>
        <w:tc>
          <w:tcPr>
            <w:tcW w:w="511" w:type="pct"/>
            <w:tcBorders>
              <w:top w:val="nil"/>
              <w:left w:val="nil"/>
              <w:bottom w:val="single" w:color="auto" w:sz="4" w:space="0"/>
              <w:right w:val="single" w:color="auto" w:sz="4" w:space="0"/>
            </w:tcBorders>
            <w:shd w:val="clear" w:color="auto" w:fill="auto"/>
            <w:vAlign w:val="center"/>
          </w:tcPr>
          <w:p>
            <w:pPr>
              <w:pStyle w:val="121"/>
            </w:pPr>
            <w:r>
              <w:t>5</w:t>
            </w:r>
          </w:p>
        </w:tc>
        <w:tc>
          <w:tcPr>
            <w:tcW w:w="208" w:type="pct"/>
            <w:tcBorders>
              <w:top w:val="nil"/>
              <w:left w:val="nil"/>
              <w:bottom w:val="single" w:color="auto" w:sz="4" w:space="0"/>
              <w:right w:val="single" w:color="auto" w:sz="4" w:space="0"/>
            </w:tcBorders>
            <w:shd w:val="clear" w:color="auto" w:fill="auto"/>
            <w:vAlign w:val="center"/>
          </w:tcPr>
          <w:p>
            <w:pPr>
              <w:pStyle w:val="121"/>
            </w:pPr>
            <w:r>
              <w:t>6</w:t>
            </w:r>
          </w:p>
        </w:tc>
        <w:tc>
          <w:tcPr>
            <w:tcW w:w="511" w:type="pct"/>
            <w:gridSpan w:val="2"/>
            <w:tcBorders>
              <w:top w:val="nil"/>
              <w:left w:val="nil"/>
              <w:bottom w:val="single" w:color="auto" w:sz="4" w:space="0"/>
              <w:right w:val="single" w:color="auto" w:sz="4" w:space="0"/>
            </w:tcBorders>
            <w:shd w:val="clear" w:color="auto" w:fill="auto"/>
            <w:vAlign w:val="center"/>
          </w:tcPr>
          <w:p>
            <w:pPr>
              <w:pStyle w:val="121"/>
            </w:pPr>
            <w:r>
              <w:t>7</w:t>
            </w:r>
          </w:p>
        </w:tc>
        <w:tc>
          <w:tcPr>
            <w:tcW w:w="211" w:type="pct"/>
            <w:tcBorders>
              <w:top w:val="nil"/>
              <w:left w:val="nil"/>
              <w:bottom w:val="single" w:color="auto" w:sz="4" w:space="0"/>
              <w:right w:val="single" w:color="auto" w:sz="4" w:space="0"/>
            </w:tcBorders>
            <w:shd w:val="clear" w:color="auto" w:fill="auto"/>
            <w:vAlign w:val="center"/>
          </w:tcPr>
          <w:p>
            <w:pPr>
              <w:pStyle w:val="121"/>
            </w:pPr>
            <w:r>
              <w:t>8</w:t>
            </w:r>
          </w:p>
        </w:tc>
        <w:tc>
          <w:tcPr>
            <w:tcW w:w="511" w:type="pct"/>
            <w:tcBorders>
              <w:top w:val="nil"/>
              <w:left w:val="nil"/>
              <w:bottom w:val="single" w:color="auto" w:sz="4" w:space="0"/>
              <w:right w:val="single" w:color="auto" w:sz="4" w:space="0"/>
            </w:tcBorders>
            <w:shd w:val="clear" w:color="auto" w:fill="auto"/>
            <w:vAlign w:val="center"/>
          </w:tcPr>
          <w:p>
            <w:pPr>
              <w:pStyle w:val="121"/>
            </w:pPr>
            <w:r>
              <w:t>9</w:t>
            </w:r>
          </w:p>
        </w:tc>
        <w:tc>
          <w:tcPr>
            <w:tcW w:w="208" w:type="pct"/>
            <w:tcBorders>
              <w:top w:val="nil"/>
              <w:left w:val="nil"/>
              <w:bottom w:val="single" w:color="auto" w:sz="4" w:space="0"/>
              <w:right w:val="single" w:color="auto" w:sz="4" w:space="0"/>
            </w:tcBorders>
            <w:shd w:val="clear" w:color="auto" w:fill="auto"/>
            <w:vAlign w:val="center"/>
          </w:tcPr>
          <w:p>
            <w:pPr>
              <w:pStyle w:val="121"/>
            </w:pPr>
            <w:r>
              <w:t>10</w:t>
            </w:r>
          </w:p>
        </w:tc>
        <w:tc>
          <w:tcPr>
            <w:tcW w:w="208" w:type="pct"/>
            <w:tcBorders>
              <w:top w:val="nil"/>
              <w:left w:val="nil"/>
              <w:bottom w:val="single" w:color="auto" w:sz="4" w:space="0"/>
              <w:right w:val="single" w:color="auto" w:sz="4" w:space="0"/>
            </w:tcBorders>
            <w:shd w:val="clear" w:color="auto" w:fill="auto"/>
            <w:vAlign w:val="center"/>
          </w:tcPr>
          <w:p>
            <w:pPr>
              <w:pStyle w:val="121"/>
            </w:pPr>
            <w:r>
              <w:t>11</w:t>
            </w:r>
          </w:p>
        </w:tc>
        <w:tc>
          <w:tcPr>
            <w:tcW w:w="219" w:type="pct"/>
            <w:tcBorders>
              <w:top w:val="nil"/>
              <w:left w:val="nil"/>
              <w:bottom w:val="single" w:color="auto" w:sz="4" w:space="0"/>
              <w:right w:val="single" w:color="auto" w:sz="4" w:space="0"/>
            </w:tcBorders>
            <w:shd w:val="clear" w:color="auto" w:fill="auto"/>
            <w:vAlign w:val="center"/>
          </w:tcPr>
          <w:p>
            <w:pPr>
              <w:pStyle w:val="121"/>
            </w:pPr>
            <w:r>
              <w:t>12</w:t>
            </w:r>
          </w:p>
        </w:tc>
      </w:tr>
      <w:tr>
        <w:tblPrEx>
          <w:tblCellMar>
            <w:top w:w="0" w:type="dxa"/>
            <w:left w:w="108" w:type="dxa"/>
            <w:bottom w:w="0" w:type="dxa"/>
            <w:right w:w="108" w:type="dxa"/>
          </w:tblCellMar>
        </w:tblPrEx>
        <w:trPr>
          <w:trHeight w:val="510" w:hRule="atLeast"/>
          <w:jc w:val="center"/>
        </w:trPr>
        <w:tc>
          <w:tcPr>
            <w:tcW w:w="208" w:type="pct"/>
            <w:tcBorders>
              <w:top w:val="nil"/>
              <w:left w:val="single" w:color="auto" w:sz="4" w:space="0"/>
              <w:bottom w:val="nil"/>
              <w:right w:val="single" w:color="auto" w:sz="4" w:space="0"/>
            </w:tcBorders>
            <w:shd w:val="clear" w:color="auto" w:fill="auto"/>
            <w:vAlign w:val="center"/>
          </w:tcPr>
          <w:p>
            <w:pPr>
              <w:pStyle w:val="121"/>
            </w:pPr>
            <w:r>
              <w:t>　</w:t>
            </w:r>
          </w:p>
        </w:tc>
        <w:tc>
          <w:tcPr>
            <w:tcW w:w="254" w:type="pct"/>
            <w:tcBorders>
              <w:top w:val="nil"/>
              <w:left w:val="nil"/>
              <w:bottom w:val="nil"/>
              <w:right w:val="single" w:color="auto" w:sz="4" w:space="0"/>
            </w:tcBorders>
            <w:shd w:val="clear" w:color="auto" w:fill="auto"/>
            <w:vAlign w:val="center"/>
          </w:tcPr>
          <w:p>
            <w:pPr>
              <w:pStyle w:val="121"/>
            </w:pPr>
            <w:r>
              <w:t>　</w:t>
            </w:r>
          </w:p>
        </w:tc>
        <w:tc>
          <w:tcPr>
            <w:tcW w:w="4536" w:type="pct"/>
            <w:gridSpan w:val="15"/>
            <w:vMerge w:val="restart"/>
            <w:tcBorders>
              <w:top w:val="single" w:color="auto" w:sz="4" w:space="0"/>
              <w:left w:val="single" w:color="auto" w:sz="4" w:space="0"/>
              <w:bottom w:val="nil"/>
              <w:right w:val="single" w:color="auto" w:sz="4" w:space="0"/>
            </w:tcBorders>
            <w:shd w:val="clear" w:color="auto" w:fill="auto"/>
            <w:vAlign w:val="center"/>
          </w:tcPr>
          <w:p>
            <w:pPr>
              <w:pStyle w:val="121"/>
            </w:pPr>
          </w:p>
          <w:p>
            <w:pPr>
              <w:pStyle w:val="121"/>
            </w:pPr>
            <w:r>
              <w:t>填表说明</w:t>
            </w:r>
          </w:p>
          <w:p>
            <w:pPr>
              <w:pStyle w:val="121"/>
            </w:pPr>
          </w:p>
          <w:p>
            <w:pPr>
              <w:pStyle w:val="121"/>
            </w:pPr>
          </w:p>
          <w:p>
            <w:pPr>
              <w:pStyle w:val="121"/>
            </w:pPr>
            <w:r>
              <w:t>乙栏：按出差旅程逐次填列。</w:t>
            </w:r>
          </w:p>
          <w:p>
            <w:pPr>
              <w:pStyle w:val="121"/>
            </w:pPr>
          </w:p>
        </w:tc>
      </w:tr>
      <w:tr>
        <w:tblPrEx>
          <w:tblCellMar>
            <w:top w:w="0" w:type="dxa"/>
            <w:left w:w="108" w:type="dxa"/>
            <w:bottom w:w="0" w:type="dxa"/>
            <w:right w:w="108" w:type="dxa"/>
          </w:tblCellMar>
        </w:tblPrEx>
        <w:trPr>
          <w:trHeight w:val="510" w:hRule="atLeast"/>
          <w:jc w:val="center"/>
        </w:trPr>
        <w:tc>
          <w:tcPr>
            <w:tcW w:w="208" w:type="pct"/>
            <w:tcBorders>
              <w:top w:val="nil"/>
              <w:left w:val="single" w:color="auto" w:sz="4" w:space="0"/>
              <w:bottom w:val="nil"/>
              <w:right w:val="single" w:color="auto" w:sz="4" w:space="0"/>
            </w:tcBorders>
            <w:shd w:val="clear" w:color="auto" w:fill="auto"/>
            <w:vAlign w:val="center"/>
          </w:tcPr>
          <w:p>
            <w:pPr>
              <w:pStyle w:val="121"/>
            </w:pPr>
            <w:r>
              <w:t>　</w:t>
            </w:r>
          </w:p>
        </w:tc>
        <w:tc>
          <w:tcPr>
            <w:tcW w:w="254" w:type="pct"/>
            <w:tcBorders>
              <w:top w:val="nil"/>
              <w:left w:val="nil"/>
              <w:bottom w:val="nil"/>
              <w:right w:val="single" w:color="auto" w:sz="4" w:space="0"/>
            </w:tcBorders>
            <w:shd w:val="clear" w:color="auto" w:fill="auto"/>
            <w:vAlign w:val="center"/>
          </w:tcPr>
          <w:p>
            <w:pPr>
              <w:pStyle w:val="121"/>
            </w:pPr>
            <w:r>
              <w:t>　</w:t>
            </w:r>
          </w:p>
        </w:tc>
        <w:tc>
          <w:tcPr>
            <w:tcW w:w="4534" w:type="pct"/>
            <w:gridSpan w:val="15"/>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208"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254"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305" w:type="pct"/>
            <w:tcBorders>
              <w:top w:val="single" w:color="auto" w:sz="4" w:space="0"/>
              <w:left w:val="nil"/>
              <w:bottom w:val="single" w:color="auto" w:sz="4" w:space="0"/>
              <w:right w:val="nil"/>
            </w:tcBorders>
            <w:shd w:val="clear" w:color="auto" w:fill="auto"/>
            <w:vAlign w:val="center"/>
          </w:tcPr>
          <w:p>
            <w:pPr>
              <w:pStyle w:val="121"/>
            </w:pPr>
            <w:r>
              <w:t>　</w:t>
            </w:r>
          </w:p>
        </w:tc>
        <w:tc>
          <w:tcPr>
            <w:tcW w:w="370" w:type="pct"/>
            <w:tcBorders>
              <w:top w:val="single" w:color="auto" w:sz="4" w:space="0"/>
              <w:left w:val="nil"/>
              <w:bottom w:val="single" w:color="auto" w:sz="4" w:space="0"/>
              <w:right w:val="nil"/>
            </w:tcBorders>
            <w:shd w:val="clear" w:color="auto" w:fill="auto"/>
            <w:vAlign w:val="center"/>
          </w:tcPr>
          <w:p>
            <w:pPr>
              <w:pStyle w:val="121"/>
            </w:pPr>
            <w:r>
              <w:t>　</w:t>
            </w:r>
          </w:p>
        </w:tc>
        <w:tc>
          <w:tcPr>
            <w:tcW w:w="398" w:type="pct"/>
            <w:tcBorders>
              <w:top w:val="single" w:color="auto" w:sz="4" w:space="0"/>
              <w:left w:val="nil"/>
              <w:bottom w:val="single" w:color="auto" w:sz="4" w:space="0"/>
              <w:right w:val="nil"/>
            </w:tcBorders>
            <w:shd w:val="clear" w:color="auto" w:fill="auto"/>
            <w:vAlign w:val="center"/>
          </w:tcPr>
          <w:p>
            <w:pPr>
              <w:pStyle w:val="121"/>
            </w:pPr>
            <w:r>
              <w:t>　</w:t>
            </w:r>
          </w:p>
        </w:tc>
        <w:tc>
          <w:tcPr>
            <w:tcW w:w="398" w:type="pct"/>
            <w:tcBorders>
              <w:top w:val="single" w:color="auto" w:sz="4" w:space="0"/>
              <w:left w:val="nil"/>
              <w:bottom w:val="single" w:color="auto" w:sz="4" w:space="0"/>
              <w:right w:val="nil"/>
            </w:tcBorders>
            <w:shd w:val="clear" w:color="auto" w:fill="auto"/>
            <w:vAlign w:val="center"/>
          </w:tcPr>
          <w:p>
            <w:pPr>
              <w:pStyle w:val="121"/>
            </w:pPr>
            <w:r>
              <w:t>　</w:t>
            </w:r>
          </w:p>
        </w:tc>
        <w:tc>
          <w:tcPr>
            <w:tcW w:w="208" w:type="pct"/>
            <w:tcBorders>
              <w:top w:val="single" w:color="auto" w:sz="4" w:space="0"/>
              <w:left w:val="nil"/>
              <w:bottom w:val="single" w:color="auto" w:sz="4" w:space="0"/>
              <w:right w:val="nil"/>
            </w:tcBorders>
            <w:shd w:val="clear" w:color="auto" w:fill="auto"/>
            <w:vAlign w:val="center"/>
          </w:tcPr>
          <w:p>
            <w:pPr>
              <w:pStyle w:val="121"/>
            </w:pPr>
            <w:r>
              <w:t>　</w:t>
            </w:r>
          </w:p>
        </w:tc>
        <w:tc>
          <w:tcPr>
            <w:tcW w:w="265" w:type="pct"/>
            <w:tcBorders>
              <w:top w:val="single" w:color="auto" w:sz="4" w:space="0"/>
              <w:left w:val="nil"/>
              <w:bottom w:val="single" w:color="auto" w:sz="4" w:space="0"/>
              <w:right w:val="nil"/>
            </w:tcBorders>
            <w:shd w:val="clear" w:color="auto" w:fill="auto"/>
            <w:vAlign w:val="center"/>
          </w:tcPr>
          <w:p>
            <w:pPr>
              <w:pStyle w:val="121"/>
            </w:pPr>
            <w:r>
              <w:t>　</w:t>
            </w:r>
          </w:p>
        </w:tc>
        <w:tc>
          <w:tcPr>
            <w:tcW w:w="511" w:type="pct"/>
            <w:tcBorders>
              <w:top w:val="single" w:color="auto" w:sz="4" w:space="0"/>
              <w:left w:val="nil"/>
              <w:bottom w:val="single" w:color="auto" w:sz="4" w:space="0"/>
              <w:right w:val="nil"/>
            </w:tcBorders>
            <w:shd w:val="clear" w:color="auto" w:fill="auto"/>
            <w:vAlign w:val="center"/>
          </w:tcPr>
          <w:p>
            <w:pPr>
              <w:pStyle w:val="121"/>
            </w:pPr>
            <w:r>
              <w:t>　</w:t>
            </w:r>
          </w:p>
        </w:tc>
        <w:tc>
          <w:tcPr>
            <w:tcW w:w="208" w:type="pct"/>
            <w:tcBorders>
              <w:top w:val="single" w:color="auto" w:sz="4" w:space="0"/>
              <w:left w:val="nil"/>
              <w:bottom w:val="single" w:color="auto" w:sz="4" w:space="0"/>
              <w:right w:val="nil"/>
            </w:tcBorders>
            <w:shd w:val="clear" w:color="auto" w:fill="auto"/>
            <w:vAlign w:val="center"/>
          </w:tcPr>
          <w:p>
            <w:pPr>
              <w:pStyle w:val="121"/>
            </w:pPr>
            <w:r>
              <w:t>　</w:t>
            </w:r>
          </w:p>
        </w:tc>
        <w:tc>
          <w:tcPr>
            <w:tcW w:w="511"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211" w:type="pct"/>
            <w:tcBorders>
              <w:top w:val="single" w:color="auto" w:sz="4" w:space="0"/>
              <w:left w:val="nil"/>
              <w:bottom w:val="single" w:color="auto" w:sz="4" w:space="0"/>
              <w:right w:val="nil"/>
            </w:tcBorders>
            <w:shd w:val="clear" w:color="auto" w:fill="auto"/>
            <w:vAlign w:val="center"/>
          </w:tcPr>
          <w:p>
            <w:pPr>
              <w:pStyle w:val="121"/>
            </w:pPr>
            <w:r>
              <w:t>　</w:t>
            </w:r>
          </w:p>
        </w:tc>
        <w:tc>
          <w:tcPr>
            <w:tcW w:w="511" w:type="pct"/>
            <w:tcBorders>
              <w:top w:val="single" w:color="auto" w:sz="4" w:space="0"/>
              <w:left w:val="nil"/>
              <w:bottom w:val="single" w:color="auto" w:sz="4" w:space="0"/>
              <w:right w:val="nil"/>
            </w:tcBorders>
            <w:shd w:val="clear" w:color="auto" w:fill="auto"/>
            <w:vAlign w:val="center"/>
          </w:tcPr>
          <w:p>
            <w:pPr>
              <w:pStyle w:val="121"/>
            </w:pPr>
            <w:r>
              <w:t>　</w:t>
            </w:r>
          </w:p>
        </w:tc>
        <w:tc>
          <w:tcPr>
            <w:tcW w:w="208" w:type="pct"/>
            <w:tcBorders>
              <w:top w:val="single" w:color="auto" w:sz="4" w:space="0"/>
              <w:left w:val="nil"/>
              <w:bottom w:val="single" w:color="auto" w:sz="4" w:space="0"/>
              <w:right w:val="nil"/>
            </w:tcBorders>
            <w:shd w:val="clear" w:color="auto" w:fill="auto"/>
            <w:vAlign w:val="center"/>
          </w:tcPr>
          <w:p>
            <w:pPr>
              <w:pStyle w:val="121"/>
            </w:pPr>
            <w:r>
              <w:t>　</w:t>
            </w:r>
          </w:p>
        </w:tc>
        <w:tc>
          <w:tcPr>
            <w:tcW w:w="208" w:type="pct"/>
            <w:tcBorders>
              <w:top w:val="single" w:color="auto" w:sz="4" w:space="0"/>
              <w:left w:val="nil"/>
              <w:bottom w:val="single" w:color="auto" w:sz="4" w:space="0"/>
              <w:right w:val="nil"/>
            </w:tcBorders>
            <w:shd w:val="clear" w:color="auto" w:fill="auto"/>
            <w:vAlign w:val="center"/>
          </w:tcPr>
          <w:p>
            <w:pPr>
              <w:pStyle w:val="121"/>
            </w:pPr>
            <w:r>
              <w:t>　</w:t>
            </w:r>
          </w:p>
        </w:tc>
        <w:tc>
          <w:tcPr>
            <w:tcW w:w="219" w:type="pct"/>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138" w:type="pct"/>
            <w:gridSpan w:val="4"/>
            <w:tcBorders>
              <w:top w:val="single" w:color="auto" w:sz="4" w:space="0"/>
              <w:left w:val="nil"/>
              <w:bottom w:val="nil"/>
              <w:right w:val="nil"/>
            </w:tcBorders>
            <w:shd w:val="clear" w:color="auto" w:fill="auto"/>
            <w:noWrap/>
            <w:vAlign w:val="bottom"/>
          </w:tcPr>
          <w:p>
            <w:pPr>
              <w:pStyle w:val="121"/>
              <w:jc w:val="both"/>
            </w:pPr>
            <w:r>
              <w:t>预算编制人：（签章）</w:t>
            </w:r>
          </w:p>
        </w:tc>
        <w:tc>
          <w:tcPr>
            <w:tcW w:w="398" w:type="pct"/>
            <w:tcBorders>
              <w:top w:val="nil"/>
              <w:left w:val="nil"/>
              <w:bottom w:val="nil"/>
              <w:right w:val="nil"/>
            </w:tcBorders>
            <w:shd w:val="clear" w:color="auto" w:fill="auto"/>
            <w:noWrap/>
            <w:vAlign w:val="bottom"/>
          </w:tcPr>
          <w:p>
            <w:pPr>
              <w:pStyle w:val="121"/>
              <w:jc w:val="both"/>
            </w:pPr>
          </w:p>
        </w:tc>
        <w:tc>
          <w:tcPr>
            <w:tcW w:w="398" w:type="pct"/>
            <w:tcBorders>
              <w:top w:val="nil"/>
              <w:left w:val="nil"/>
              <w:bottom w:val="nil"/>
              <w:right w:val="nil"/>
            </w:tcBorders>
            <w:shd w:val="clear" w:color="auto" w:fill="auto"/>
            <w:noWrap/>
            <w:vAlign w:val="bottom"/>
          </w:tcPr>
          <w:p>
            <w:pPr>
              <w:pStyle w:val="121"/>
              <w:jc w:val="both"/>
            </w:pPr>
          </w:p>
        </w:tc>
        <w:tc>
          <w:tcPr>
            <w:tcW w:w="208" w:type="pct"/>
            <w:tcBorders>
              <w:top w:val="nil"/>
              <w:left w:val="nil"/>
              <w:bottom w:val="nil"/>
              <w:right w:val="nil"/>
            </w:tcBorders>
            <w:shd w:val="clear" w:color="auto" w:fill="auto"/>
            <w:noWrap/>
            <w:vAlign w:val="bottom"/>
          </w:tcPr>
          <w:p>
            <w:pPr>
              <w:pStyle w:val="121"/>
              <w:jc w:val="both"/>
            </w:pPr>
          </w:p>
        </w:tc>
        <w:tc>
          <w:tcPr>
            <w:tcW w:w="265" w:type="pct"/>
            <w:tcBorders>
              <w:top w:val="nil"/>
              <w:left w:val="nil"/>
              <w:bottom w:val="nil"/>
              <w:right w:val="nil"/>
            </w:tcBorders>
            <w:shd w:val="clear" w:color="auto" w:fill="auto"/>
            <w:noWrap/>
            <w:vAlign w:val="bottom"/>
          </w:tcPr>
          <w:p>
            <w:pPr>
              <w:pStyle w:val="121"/>
              <w:jc w:val="both"/>
            </w:pPr>
          </w:p>
        </w:tc>
        <w:tc>
          <w:tcPr>
            <w:tcW w:w="511" w:type="pct"/>
            <w:tcBorders>
              <w:top w:val="nil"/>
              <w:left w:val="nil"/>
              <w:bottom w:val="nil"/>
              <w:right w:val="nil"/>
            </w:tcBorders>
            <w:shd w:val="clear" w:color="auto" w:fill="auto"/>
            <w:noWrap/>
            <w:vAlign w:val="bottom"/>
          </w:tcPr>
          <w:p>
            <w:pPr>
              <w:pStyle w:val="121"/>
              <w:jc w:val="both"/>
            </w:pPr>
          </w:p>
        </w:tc>
        <w:tc>
          <w:tcPr>
            <w:tcW w:w="437" w:type="pct"/>
            <w:gridSpan w:val="2"/>
            <w:tcBorders>
              <w:top w:val="nil"/>
              <w:left w:val="nil"/>
              <w:bottom w:val="nil"/>
              <w:right w:val="nil"/>
            </w:tcBorders>
            <w:shd w:val="clear" w:color="auto" w:fill="auto"/>
            <w:noWrap/>
            <w:vAlign w:val="bottom"/>
          </w:tcPr>
          <w:p>
            <w:pPr>
              <w:pStyle w:val="121"/>
              <w:jc w:val="both"/>
            </w:pPr>
          </w:p>
        </w:tc>
        <w:tc>
          <w:tcPr>
            <w:tcW w:w="1642" w:type="pct"/>
            <w:gridSpan w:val="6"/>
            <w:tcBorders>
              <w:top w:val="single" w:color="auto" w:sz="4" w:space="0"/>
              <w:left w:val="nil"/>
              <w:bottom w:val="nil"/>
              <w:right w:val="nil"/>
            </w:tcBorders>
            <w:shd w:val="clear" w:color="auto" w:fill="auto"/>
            <w:noWrap/>
            <w:vAlign w:val="bottom"/>
          </w:tcPr>
          <w:p>
            <w:pPr>
              <w:pStyle w:val="121"/>
              <w:jc w:val="both"/>
            </w:pPr>
            <w:r>
              <w:t>预算审核人：（签章）</w:t>
            </w:r>
          </w:p>
        </w:tc>
      </w:tr>
    </w:tbl>
    <w:p>
      <w:pPr>
        <w:pStyle w:val="121"/>
      </w:pPr>
      <w:r>
        <w:br w:type="page"/>
      </w:r>
    </w:p>
    <w:p>
      <w:pPr>
        <w:pStyle w:val="121"/>
      </w:pPr>
    </w:p>
    <w:p>
      <w:pPr>
        <w:pStyle w:val="121"/>
      </w:pPr>
    </w:p>
    <w:p>
      <w:pPr>
        <w:pStyle w:val="121"/>
        <w:jc w:val="right"/>
      </w:pPr>
      <w:r>
        <w:t>预工附-8</w:t>
      </w:r>
    </w:p>
    <w:p>
      <w:pPr>
        <w:pStyle w:val="119"/>
      </w:pPr>
      <w:r>
        <w:t>维修（护）费预算明细表</w:t>
      </w:r>
    </w:p>
    <w:p>
      <w:pPr>
        <w:pStyle w:val="119"/>
      </w:pPr>
      <w:r>
        <w:t>（    年度）</w:t>
      </w:r>
    </w:p>
    <w:p>
      <w:pPr>
        <w:pStyle w:val="121"/>
        <w:spacing w:before="120" w:beforeLines="50" w:after="120" w:afterLines="50"/>
        <w:jc w:val="left"/>
        <w:rPr>
          <w:rFonts w:ascii="黑体" w:eastAsia="黑体"/>
        </w:rPr>
      </w:pPr>
      <w:r>
        <w:t xml:space="preserve">工作项目名称：                                                                               </w:t>
      </w:r>
      <w:r>
        <w:rPr>
          <w:rFonts w:hint="eastAsia" w:ascii="宋体"/>
        </w:rPr>
        <w:t>单位为万元</w:t>
      </w:r>
    </w:p>
    <w:tbl>
      <w:tblPr>
        <w:tblStyle w:val="36"/>
        <w:tblW w:w="4998" w:type="pct"/>
        <w:jc w:val="center"/>
        <w:tblLayout w:type="autofit"/>
        <w:tblCellMar>
          <w:top w:w="0" w:type="dxa"/>
          <w:left w:w="108" w:type="dxa"/>
          <w:bottom w:w="0" w:type="dxa"/>
          <w:right w:w="108" w:type="dxa"/>
        </w:tblCellMar>
      </w:tblPr>
      <w:tblGrid>
        <w:gridCol w:w="754"/>
        <w:gridCol w:w="1398"/>
        <w:gridCol w:w="1466"/>
        <w:gridCol w:w="939"/>
        <w:gridCol w:w="1420"/>
        <w:gridCol w:w="389"/>
        <w:gridCol w:w="825"/>
        <w:gridCol w:w="685"/>
        <w:gridCol w:w="916"/>
        <w:gridCol w:w="688"/>
      </w:tblGrid>
      <w:tr>
        <w:tblPrEx>
          <w:tblCellMar>
            <w:top w:w="0" w:type="dxa"/>
            <w:left w:w="108" w:type="dxa"/>
            <w:bottom w:w="0" w:type="dxa"/>
            <w:right w:w="108" w:type="dxa"/>
          </w:tblCellMar>
        </w:tblPrEx>
        <w:trPr>
          <w:trHeight w:val="720" w:hRule="atLeast"/>
          <w:jc w:val="center"/>
        </w:trPr>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737" w:type="pct"/>
            <w:tcBorders>
              <w:top w:val="single" w:color="auto" w:sz="4" w:space="0"/>
              <w:left w:val="nil"/>
              <w:bottom w:val="single" w:color="auto" w:sz="4" w:space="0"/>
              <w:right w:val="single" w:color="auto" w:sz="4" w:space="0"/>
            </w:tcBorders>
            <w:shd w:val="clear" w:color="auto" w:fill="auto"/>
            <w:vAlign w:val="center"/>
          </w:tcPr>
          <w:p>
            <w:pPr>
              <w:pStyle w:val="121"/>
            </w:pPr>
            <w:r>
              <w:t>维修（护）项目</w:t>
            </w:r>
          </w:p>
        </w:tc>
        <w:tc>
          <w:tcPr>
            <w:tcW w:w="773" w:type="pct"/>
            <w:tcBorders>
              <w:top w:val="single" w:color="auto" w:sz="4" w:space="0"/>
              <w:left w:val="nil"/>
              <w:bottom w:val="single" w:color="auto" w:sz="4" w:space="0"/>
              <w:right w:val="single" w:color="auto" w:sz="4" w:space="0"/>
            </w:tcBorders>
            <w:shd w:val="clear" w:color="auto" w:fill="auto"/>
            <w:vAlign w:val="center"/>
          </w:tcPr>
          <w:p>
            <w:pPr>
              <w:pStyle w:val="121"/>
            </w:pPr>
            <w:r>
              <w:t>维修（护）必要性说明</w:t>
            </w:r>
          </w:p>
        </w:tc>
        <w:tc>
          <w:tcPr>
            <w:tcW w:w="495" w:type="pct"/>
            <w:tcBorders>
              <w:top w:val="single" w:color="auto" w:sz="4" w:space="0"/>
              <w:left w:val="nil"/>
              <w:bottom w:val="single" w:color="auto" w:sz="4" w:space="0"/>
              <w:right w:val="single" w:color="auto" w:sz="4" w:space="0"/>
            </w:tcBorders>
            <w:shd w:val="clear" w:color="auto" w:fill="auto"/>
            <w:vAlign w:val="center"/>
          </w:tcPr>
          <w:p>
            <w:pPr>
              <w:pStyle w:val="121"/>
            </w:pPr>
            <w:r>
              <w:t>主要技术要求</w:t>
            </w:r>
          </w:p>
        </w:tc>
        <w:tc>
          <w:tcPr>
            <w:tcW w:w="749" w:type="pct"/>
            <w:tcBorders>
              <w:top w:val="single" w:color="auto" w:sz="4" w:space="0"/>
              <w:left w:val="nil"/>
              <w:bottom w:val="single" w:color="auto" w:sz="4" w:space="0"/>
              <w:right w:val="single" w:color="auto" w:sz="4" w:space="0"/>
            </w:tcBorders>
            <w:shd w:val="clear" w:color="auto" w:fill="auto"/>
            <w:vAlign w:val="center"/>
          </w:tcPr>
          <w:p>
            <w:pPr>
              <w:pStyle w:val="121"/>
            </w:pPr>
            <w:r>
              <w:t>维修（护）工作计划</w:t>
            </w:r>
          </w:p>
        </w:tc>
        <w:tc>
          <w:tcPr>
            <w:tcW w:w="640"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单价</w:t>
            </w:r>
          </w:p>
          <w:p>
            <w:pPr>
              <w:pStyle w:val="121"/>
            </w:pPr>
            <w:r>
              <w:t>元</w:t>
            </w:r>
          </w:p>
        </w:tc>
        <w:tc>
          <w:tcPr>
            <w:tcW w:w="361" w:type="pct"/>
            <w:tcBorders>
              <w:top w:val="single" w:color="auto" w:sz="4" w:space="0"/>
              <w:left w:val="nil"/>
              <w:bottom w:val="single" w:color="auto" w:sz="4" w:space="0"/>
              <w:right w:val="single" w:color="auto" w:sz="4" w:space="0"/>
            </w:tcBorders>
            <w:shd w:val="clear" w:color="auto" w:fill="auto"/>
            <w:vAlign w:val="center"/>
          </w:tcPr>
          <w:p>
            <w:pPr>
              <w:pStyle w:val="121"/>
            </w:pPr>
            <w:r>
              <w:t>数量</w:t>
            </w:r>
          </w:p>
        </w:tc>
        <w:tc>
          <w:tcPr>
            <w:tcW w:w="483" w:type="pct"/>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363"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398"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737" w:type="pct"/>
            <w:tcBorders>
              <w:top w:val="nil"/>
              <w:left w:val="nil"/>
              <w:bottom w:val="single" w:color="auto" w:sz="4" w:space="0"/>
              <w:right w:val="single" w:color="auto" w:sz="4" w:space="0"/>
            </w:tcBorders>
            <w:shd w:val="clear" w:color="auto" w:fill="auto"/>
            <w:vAlign w:val="center"/>
          </w:tcPr>
          <w:p>
            <w:pPr>
              <w:pStyle w:val="121"/>
            </w:pPr>
            <w:r>
              <w:t>乙</w:t>
            </w:r>
          </w:p>
        </w:tc>
        <w:tc>
          <w:tcPr>
            <w:tcW w:w="773" w:type="pct"/>
            <w:tcBorders>
              <w:top w:val="nil"/>
              <w:left w:val="nil"/>
              <w:bottom w:val="single" w:color="auto" w:sz="4" w:space="0"/>
              <w:right w:val="single" w:color="auto" w:sz="4" w:space="0"/>
            </w:tcBorders>
            <w:shd w:val="clear" w:color="auto" w:fill="auto"/>
            <w:vAlign w:val="center"/>
          </w:tcPr>
          <w:p>
            <w:pPr>
              <w:pStyle w:val="121"/>
            </w:pPr>
            <w:r>
              <w:t>丙</w:t>
            </w:r>
          </w:p>
        </w:tc>
        <w:tc>
          <w:tcPr>
            <w:tcW w:w="495" w:type="pct"/>
            <w:tcBorders>
              <w:top w:val="nil"/>
              <w:left w:val="nil"/>
              <w:bottom w:val="single" w:color="auto" w:sz="4" w:space="0"/>
              <w:right w:val="single" w:color="auto" w:sz="4" w:space="0"/>
            </w:tcBorders>
            <w:shd w:val="clear" w:color="auto" w:fill="auto"/>
            <w:vAlign w:val="center"/>
          </w:tcPr>
          <w:p>
            <w:pPr>
              <w:pStyle w:val="121"/>
            </w:pPr>
            <w:r>
              <w:t>丁</w:t>
            </w:r>
          </w:p>
        </w:tc>
        <w:tc>
          <w:tcPr>
            <w:tcW w:w="749" w:type="pct"/>
            <w:tcBorders>
              <w:top w:val="nil"/>
              <w:left w:val="nil"/>
              <w:bottom w:val="single" w:color="auto" w:sz="4" w:space="0"/>
              <w:right w:val="single" w:color="auto" w:sz="4" w:space="0"/>
            </w:tcBorders>
            <w:shd w:val="clear" w:color="auto" w:fill="auto"/>
            <w:vAlign w:val="center"/>
          </w:tcPr>
          <w:p>
            <w:pPr>
              <w:pStyle w:val="121"/>
            </w:pPr>
            <w:r>
              <w:t>戊</w:t>
            </w:r>
          </w:p>
        </w:tc>
        <w:tc>
          <w:tcPr>
            <w:tcW w:w="640" w:type="pct"/>
            <w:gridSpan w:val="2"/>
            <w:tcBorders>
              <w:top w:val="nil"/>
              <w:left w:val="nil"/>
              <w:bottom w:val="single" w:color="auto" w:sz="4" w:space="0"/>
              <w:right w:val="single" w:color="auto" w:sz="4" w:space="0"/>
            </w:tcBorders>
            <w:shd w:val="clear" w:color="auto" w:fill="auto"/>
            <w:vAlign w:val="center"/>
          </w:tcPr>
          <w:p>
            <w:pPr>
              <w:pStyle w:val="121"/>
            </w:pPr>
            <w:r>
              <w:t>1</w:t>
            </w:r>
          </w:p>
        </w:tc>
        <w:tc>
          <w:tcPr>
            <w:tcW w:w="361" w:type="pct"/>
            <w:tcBorders>
              <w:top w:val="nil"/>
              <w:left w:val="nil"/>
              <w:bottom w:val="single" w:color="auto" w:sz="4" w:space="0"/>
              <w:right w:val="single" w:color="auto" w:sz="4" w:space="0"/>
            </w:tcBorders>
            <w:shd w:val="clear" w:color="auto" w:fill="auto"/>
            <w:vAlign w:val="center"/>
          </w:tcPr>
          <w:p>
            <w:pPr>
              <w:pStyle w:val="121"/>
            </w:pPr>
            <w:r>
              <w:t>2</w:t>
            </w:r>
          </w:p>
        </w:tc>
        <w:tc>
          <w:tcPr>
            <w:tcW w:w="483" w:type="pct"/>
            <w:tcBorders>
              <w:top w:val="nil"/>
              <w:left w:val="nil"/>
              <w:bottom w:val="single" w:color="auto" w:sz="4" w:space="0"/>
              <w:right w:val="single" w:color="auto" w:sz="4" w:space="0"/>
            </w:tcBorders>
            <w:shd w:val="clear" w:color="auto" w:fill="auto"/>
            <w:vAlign w:val="center"/>
          </w:tcPr>
          <w:p>
            <w:pPr>
              <w:pStyle w:val="121"/>
            </w:pPr>
            <w:r>
              <w:t>3</w:t>
            </w:r>
          </w:p>
        </w:tc>
        <w:tc>
          <w:tcPr>
            <w:tcW w:w="363" w:type="pct"/>
            <w:tcBorders>
              <w:top w:val="nil"/>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10" w:hRule="atLeast"/>
          <w:jc w:val="center"/>
        </w:trPr>
        <w:tc>
          <w:tcPr>
            <w:tcW w:w="398" w:type="pct"/>
            <w:tcBorders>
              <w:top w:val="nil"/>
              <w:left w:val="single" w:color="auto" w:sz="4" w:space="0"/>
              <w:bottom w:val="nil"/>
              <w:right w:val="nil"/>
            </w:tcBorders>
            <w:shd w:val="clear" w:color="auto" w:fill="auto"/>
            <w:vAlign w:val="center"/>
          </w:tcPr>
          <w:p>
            <w:pPr>
              <w:pStyle w:val="121"/>
            </w:pPr>
            <w:r>
              <w:t>　</w:t>
            </w:r>
          </w:p>
        </w:tc>
        <w:tc>
          <w:tcPr>
            <w:tcW w:w="737" w:type="pct"/>
            <w:tcBorders>
              <w:top w:val="nil"/>
              <w:left w:val="nil"/>
              <w:bottom w:val="nil"/>
              <w:right w:val="nil"/>
            </w:tcBorders>
            <w:shd w:val="clear" w:color="auto" w:fill="auto"/>
            <w:vAlign w:val="center"/>
          </w:tcPr>
          <w:p>
            <w:pPr>
              <w:pStyle w:val="121"/>
            </w:pPr>
            <w:r>
              <w:t>　</w:t>
            </w:r>
          </w:p>
        </w:tc>
        <w:tc>
          <w:tcPr>
            <w:tcW w:w="773" w:type="pct"/>
            <w:tcBorders>
              <w:top w:val="nil"/>
              <w:left w:val="nil"/>
              <w:bottom w:val="nil"/>
              <w:right w:val="nil"/>
            </w:tcBorders>
            <w:shd w:val="clear" w:color="auto" w:fill="auto"/>
            <w:vAlign w:val="center"/>
          </w:tcPr>
          <w:p>
            <w:pPr>
              <w:pStyle w:val="121"/>
            </w:pPr>
            <w:r>
              <w:t>　</w:t>
            </w:r>
          </w:p>
        </w:tc>
        <w:tc>
          <w:tcPr>
            <w:tcW w:w="495" w:type="pct"/>
            <w:tcBorders>
              <w:top w:val="nil"/>
              <w:left w:val="nil"/>
              <w:bottom w:val="nil"/>
              <w:right w:val="nil"/>
            </w:tcBorders>
            <w:shd w:val="clear" w:color="auto" w:fill="auto"/>
            <w:vAlign w:val="center"/>
          </w:tcPr>
          <w:p>
            <w:pPr>
              <w:pStyle w:val="121"/>
            </w:pPr>
            <w:r>
              <w:t>　</w:t>
            </w:r>
          </w:p>
        </w:tc>
        <w:tc>
          <w:tcPr>
            <w:tcW w:w="749" w:type="pct"/>
            <w:tcBorders>
              <w:top w:val="nil"/>
              <w:left w:val="nil"/>
              <w:bottom w:val="nil"/>
              <w:right w:val="nil"/>
            </w:tcBorders>
            <w:shd w:val="clear" w:color="auto" w:fill="auto"/>
            <w:noWrap/>
            <w:vAlign w:val="center"/>
          </w:tcPr>
          <w:p>
            <w:pPr>
              <w:pStyle w:val="121"/>
            </w:pPr>
            <w:r>
              <w:t>　</w:t>
            </w:r>
          </w:p>
        </w:tc>
        <w:tc>
          <w:tcPr>
            <w:tcW w:w="640" w:type="pct"/>
            <w:gridSpan w:val="2"/>
            <w:tcBorders>
              <w:top w:val="nil"/>
              <w:left w:val="nil"/>
              <w:bottom w:val="nil"/>
              <w:right w:val="nil"/>
            </w:tcBorders>
            <w:shd w:val="clear" w:color="auto" w:fill="auto"/>
            <w:vAlign w:val="center"/>
          </w:tcPr>
          <w:p>
            <w:pPr>
              <w:pStyle w:val="121"/>
            </w:pPr>
            <w:r>
              <w:t>　</w:t>
            </w:r>
          </w:p>
        </w:tc>
        <w:tc>
          <w:tcPr>
            <w:tcW w:w="361" w:type="pct"/>
            <w:tcBorders>
              <w:top w:val="nil"/>
              <w:left w:val="nil"/>
              <w:bottom w:val="nil"/>
              <w:right w:val="nil"/>
            </w:tcBorders>
            <w:shd w:val="clear" w:color="auto" w:fill="auto"/>
            <w:vAlign w:val="center"/>
          </w:tcPr>
          <w:p>
            <w:pPr>
              <w:pStyle w:val="121"/>
            </w:pPr>
            <w:r>
              <w:t>　</w:t>
            </w:r>
          </w:p>
        </w:tc>
        <w:tc>
          <w:tcPr>
            <w:tcW w:w="483" w:type="pct"/>
            <w:tcBorders>
              <w:top w:val="nil"/>
              <w:left w:val="nil"/>
              <w:bottom w:val="nil"/>
              <w:right w:val="nil"/>
            </w:tcBorders>
            <w:shd w:val="clear" w:color="auto" w:fill="auto"/>
            <w:vAlign w:val="center"/>
          </w:tcPr>
          <w:p>
            <w:pPr>
              <w:pStyle w:val="121"/>
            </w:pPr>
            <w:r>
              <w:t>　</w:t>
            </w:r>
          </w:p>
        </w:tc>
        <w:tc>
          <w:tcPr>
            <w:tcW w:w="363" w:type="pct"/>
            <w:tcBorders>
              <w:top w:val="nil"/>
              <w:left w:val="nil"/>
              <w:bottom w:val="nil"/>
              <w:right w:val="single" w:color="auto" w:sz="4" w:space="0"/>
            </w:tcBorders>
            <w:shd w:val="clear" w:color="auto" w:fill="auto"/>
            <w:noWrap/>
            <w:vAlign w:val="bottom"/>
          </w:tcPr>
          <w:p>
            <w:pPr>
              <w:pStyle w:val="121"/>
            </w:pPr>
            <w:r>
              <w:t>　</w:t>
            </w:r>
          </w:p>
        </w:tc>
      </w:tr>
      <w:tr>
        <w:tblPrEx>
          <w:tblCellMar>
            <w:top w:w="0" w:type="dxa"/>
            <w:left w:w="108" w:type="dxa"/>
            <w:bottom w:w="0" w:type="dxa"/>
            <w:right w:w="108" w:type="dxa"/>
          </w:tblCellMar>
        </w:tblPrEx>
        <w:trPr>
          <w:trHeight w:val="510" w:hRule="atLeast"/>
          <w:jc w:val="center"/>
        </w:trPr>
        <w:tc>
          <w:tcPr>
            <w:tcW w:w="398" w:type="pct"/>
            <w:tcBorders>
              <w:top w:val="nil"/>
              <w:left w:val="single" w:color="auto" w:sz="4" w:space="0"/>
              <w:bottom w:val="nil"/>
              <w:right w:val="nil"/>
            </w:tcBorders>
            <w:shd w:val="clear" w:color="auto" w:fill="auto"/>
            <w:vAlign w:val="center"/>
          </w:tcPr>
          <w:p>
            <w:pPr>
              <w:pStyle w:val="121"/>
            </w:pPr>
            <w:r>
              <w:t>　</w:t>
            </w:r>
          </w:p>
        </w:tc>
        <w:tc>
          <w:tcPr>
            <w:tcW w:w="737" w:type="pct"/>
            <w:tcBorders>
              <w:top w:val="nil"/>
              <w:left w:val="nil"/>
              <w:bottom w:val="nil"/>
              <w:right w:val="nil"/>
            </w:tcBorders>
            <w:shd w:val="clear" w:color="auto" w:fill="auto"/>
            <w:vAlign w:val="center"/>
          </w:tcPr>
          <w:p>
            <w:pPr>
              <w:pStyle w:val="121"/>
            </w:pPr>
            <w:r>
              <w:t>　</w:t>
            </w:r>
          </w:p>
        </w:tc>
        <w:tc>
          <w:tcPr>
            <w:tcW w:w="3864" w:type="pct"/>
            <w:gridSpan w:val="8"/>
            <w:tcBorders>
              <w:top w:val="nil"/>
              <w:left w:val="nil"/>
              <w:bottom w:val="nil"/>
              <w:right w:val="single" w:color="auto" w:sz="4" w:space="0"/>
            </w:tcBorders>
            <w:shd w:val="clear" w:color="auto" w:fill="auto"/>
          </w:tcPr>
          <w:p>
            <w:pPr>
              <w:pStyle w:val="121"/>
            </w:pPr>
            <w:r>
              <w:t>填表说明</w:t>
            </w:r>
          </w:p>
        </w:tc>
      </w:tr>
      <w:tr>
        <w:tblPrEx>
          <w:tblCellMar>
            <w:top w:w="0" w:type="dxa"/>
            <w:left w:w="108" w:type="dxa"/>
            <w:bottom w:w="0" w:type="dxa"/>
            <w:right w:w="108" w:type="dxa"/>
          </w:tblCellMar>
        </w:tblPrEx>
        <w:trPr>
          <w:trHeight w:val="510" w:hRule="atLeast"/>
          <w:jc w:val="center"/>
        </w:trPr>
        <w:tc>
          <w:tcPr>
            <w:tcW w:w="398" w:type="pct"/>
            <w:tcBorders>
              <w:top w:val="nil"/>
              <w:left w:val="single" w:color="auto" w:sz="4" w:space="0"/>
              <w:bottom w:val="nil"/>
              <w:right w:val="nil"/>
            </w:tcBorders>
            <w:shd w:val="clear" w:color="auto" w:fill="auto"/>
            <w:vAlign w:val="center"/>
          </w:tcPr>
          <w:p>
            <w:pPr>
              <w:pStyle w:val="121"/>
            </w:pPr>
            <w:r>
              <w:t>　</w:t>
            </w:r>
          </w:p>
        </w:tc>
        <w:tc>
          <w:tcPr>
            <w:tcW w:w="737" w:type="pct"/>
            <w:tcBorders>
              <w:top w:val="nil"/>
              <w:left w:val="nil"/>
              <w:bottom w:val="nil"/>
              <w:right w:val="nil"/>
            </w:tcBorders>
            <w:shd w:val="clear" w:color="auto" w:fill="auto"/>
            <w:vAlign w:val="center"/>
          </w:tcPr>
          <w:p>
            <w:pPr>
              <w:pStyle w:val="121"/>
            </w:pPr>
            <w:r>
              <w:t>　</w:t>
            </w:r>
          </w:p>
        </w:tc>
        <w:tc>
          <w:tcPr>
            <w:tcW w:w="3864" w:type="pct"/>
            <w:gridSpan w:val="8"/>
            <w:tcBorders>
              <w:top w:val="nil"/>
              <w:left w:val="nil"/>
              <w:bottom w:val="nil"/>
              <w:right w:val="single" w:color="auto" w:sz="4" w:space="0"/>
            </w:tcBorders>
            <w:shd w:val="clear" w:color="auto" w:fill="auto"/>
            <w:vAlign w:val="center"/>
          </w:tcPr>
          <w:p>
            <w:pPr>
              <w:pStyle w:val="121"/>
            </w:pPr>
            <w:r>
              <w:t>乙栏：按照维修的固定资产、网络信息系统名称逐项填列。</w:t>
            </w:r>
          </w:p>
        </w:tc>
      </w:tr>
      <w:tr>
        <w:tblPrEx>
          <w:tblCellMar>
            <w:top w:w="0" w:type="dxa"/>
            <w:left w:w="108" w:type="dxa"/>
            <w:bottom w:w="0" w:type="dxa"/>
            <w:right w:w="108" w:type="dxa"/>
          </w:tblCellMar>
        </w:tblPrEx>
        <w:trPr>
          <w:trHeight w:val="509" w:hRule="atLeast"/>
          <w:jc w:val="center"/>
        </w:trPr>
        <w:tc>
          <w:tcPr>
            <w:tcW w:w="398" w:type="pct"/>
            <w:tcBorders>
              <w:top w:val="nil"/>
              <w:left w:val="single" w:color="auto" w:sz="4" w:space="0"/>
              <w:bottom w:val="single" w:color="auto" w:sz="4" w:space="0"/>
              <w:right w:val="nil"/>
            </w:tcBorders>
            <w:shd w:val="clear" w:color="auto" w:fill="auto"/>
            <w:vAlign w:val="center"/>
          </w:tcPr>
          <w:p>
            <w:pPr>
              <w:pStyle w:val="121"/>
            </w:pPr>
          </w:p>
        </w:tc>
        <w:tc>
          <w:tcPr>
            <w:tcW w:w="737" w:type="pct"/>
            <w:tcBorders>
              <w:top w:val="nil"/>
              <w:left w:val="nil"/>
              <w:bottom w:val="single" w:color="auto" w:sz="4" w:space="0"/>
              <w:right w:val="nil"/>
            </w:tcBorders>
            <w:shd w:val="clear" w:color="auto" w:fill="auto"/>
            <w:vAlign w:val="center"/>
          </w:tcPr>
          <w:p>
            <w:pPr>
              <w:pStyle w:val="121"/>
            </w:pPr>
          </w:p>
        </w:tc>
        <w:tc>
          <w:tcPr>
            <w:tcW w:w="3864" w:type="pct"/>
            <w:gridSpan w:val="8"/>
            <w:tcBorders>
              <w:top w:val="nil"/>
              <w:left w:val="nil"/>
              <w:bottom w:val="single" w:color="auto" w:sz="4" w:space="0"/>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510" w:hRule="atLeast"/>
          <w:jc w:val="center"/>
        </w:trPr>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737"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773" w:type="pct"/>
            <w:tcBorders>
              <w:top w:val="single" w:color="auto" w:sz="4" w:space="0"/>
              <w:left w:val="nil"/>
              <w:bottom w:val="single" w:color="auto" w:sz="4" w:space="0"/>
              <w:right w:val="nil"/>
            </w:tcBorders>
            <w:shd w:val="clear" w:color="auto" w:fill="auto"/>
            <w:vAlign w:val="center"/>
          </w:tcPr>
          <w:p>
            <w:pPr>
              <w:pStyle w:val="121"/>
            </w:pPr>
            <w:r>
              <w:t>　</w:t>
            </w:r>
          </w:p>
        </w:tc>
        <w:tc>
          <w:tcPr>
            <w:tcW w:w="495" w:type="pct"/>
            <w:tcBorders>
              <w:top w:val="single" w:color="auto" w:sz="4" w:space="0"/>
              <w:left w:val="nil"/>
              <w:bottom w:val="single" w:color="auto" w:sz="4" w:space="0"/>
              <w:right w:val="nil"/>
            </w:tcBorders>
            <w:shd w:val="clear" w:color="auto" w:fill="auto"/>
            <w:vAlign w:val="center"/>
          </w:tcPr>
          <w:p>
            <w:pPr>
              <w:pStyle w:val="121"/>
            </w:pPr>
            <w:r>
              <w:t>　</w:t>
            </w:r>
          </w:p>
        </w:tc>
        <w:tc>
          <w:tcPr>
            <w:tcW w:w="749" w:type="pct"/>
            <w:tcBorders>
              <w:top w:val="single" w:color="auto" w:sz="4" w:space="0"/>
              <w:left w:val="nil"/>
              <w:bottom w:val="single" w:color="auto" w:sz="4" w:space="0"/>
              <w:right w:val="nil"/>
            </w:tcBorders>
            <w:shd w:val="clear" w:color="auto" w:fill="auto"/>
            <w:noWrap/>
            <w:vAlign w:val="center"/>
          </w:tcPr>
          <w:p>
            <w:pPr>
              <w:pStyle w:val="121"/>
            </w:pPr>
            <w:r>
              <w:t>　</w:t>
            </w:r>
          </w:p>
        </w:tc>
        <w:tc>
          <w:tcPr>
            <w:tcW w:w="640"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361" w:type="pct"/>
            <w:tcBorders>
              <w:top w:val="single" w:color="auto" w:sz="4" w:space="0"/>
              <w:left w:val="nil"/>
              <w:bottom w:val="single" w:color="auto" w:sz="4" w:space="0"/>
              <w:right w:val="nil"/>
            </w:tcBorders>
            <w:shd w:val="clear" w:color="auto" w:fill="auto"/>
            <w:vAlign w:val="center"/>
          </w:tcPr>
          <w:p>
            <w:pPr>
              <w:pStyle w:val="121"/>
            </w:pPr>
            <w:r>
              <w:t>　</w:t>
            </w:r>
          </w:p>
        </w:tc>
        <w:tc>
          <w:tcPr>
            <w:tcW w:w="483" w:type="pct"/>
            <w:tcBorders>
              <w:top w:val="single" w:color="auto" w:sz="4" w:space="0"/>
              <w:left w:val="nil"/>
              <w:bottom w:val="single" w:color="auto" w:sz="4" w:space="0"/>
              <w:right w:val="nil"/>
            </w:tcBorders>
            <w:shd w:val="clear" w:color="auto" w:fill="auto"/>
            <w:vAlign w:val="center"/>
          </w:tcPr>
          <w:p>
            <w:pPr>
              <w:pStyle w:val="121"/>
            </w:pPr>
            <w:r>
              <w:t>　</w:t>
            </w:r>
          </w:p>
        </w:tc>
        <w:tc>
          <w:tcPr>
            <w:tcW w:w="363" w:type="pct"/>
            <w:tcBorders>
              <w:top w:val="single" w:color="auto" w:sz="4" w:space="0"/>
              <w:left w:val="nil"/>
              <w:bottom w:val="single" w:color="auto" w:sz="4" w:space="0"/>
              <w:right w:val="single" w:color="auto" w:sz="4" w:space="0"/>
            </w:tcBorders>
            <w:shd w:val="clear" w:color="auto" w:fill="auto"/>
            <w:noWrap/>
            <w:vAlign w:val="bottom"/>
          </w:tcPr>
          <w:p>
            <w:pPr>
              <w:pStyle w:val="121"/>
            </w:pPr>
            <w:r>
              <w:t>　</w:t>
            </w:r>
          </w:p>
        </w:tc>
      </w:tr>
      <w:tr>
        <w:tblPrEx>
          <w:tblCellMar>
            <w:top w:w="0" w:type="dxa"/>
            <w:left w:w="108" w:type="dxa"/>
            <w:bottom w:w="0" w:type="dxa"/>
            <w:right w:w="108" w:type="dxa"/>
          </w:tblCellMar>
        </w:tblPrEx>
        <w:trPr>
          <w:trHeight w:val="453" w:hRule="atLeast"/>
          <w:jc w:val="center"/>
        </w:trPr>
        <w:tc>
          <w:tcPr>
            <w:tcW w:w="1908" w:type="pct"/>
            <w:gridSpan w:val="3"/>
            <w:tcBorders>
              <w:top w:val="single" w:color="auto" w:sz="4" w:space="0"/>
              <w:left w:val="nil"/>
              <w:bottom w:val="nil"/>
              <w:right w:val="nil"/>
            </w:tcBorders>
            <w:shd w:val="clear" w:color="auto" w:fill="auto"/>
            <w:vAlign w:val="bottom"/>
          </w:tcPr>
          <w:p>
            <w:pPr>
              <w:pStyle w:val="121"/>
              <w:jc w:val="both"/>
            </w:pPr>
            <w:r>
              <w:t>预算编制人：（签章）</w:t>
            </w:r>
          </w:p>
        </w:tc>
        <w:tc>
          <w:tcPr>
            <w:tcW w:w="495" w:type="pct"/>
            <w:tcBorders>
              <w:top w:val="nil"/>
              <w:left w:val="nil"/>
              <w:bottom w:val="nil"/>
              <w:right w:val="nil"/>
            </w:tcBorders>
            <w:shd w:val="clear" w:color="auto" w:fill="auto"/>
            <w:vAlign w:val="bottom"/>
          </w:tcPr>
          <w:p>
            <w:pPr>
              <w:pStyle w:val="121"/>
              <w:jc w:val="both"/>
            </w:pPr>
          </w:p>
        </w:tc>
        <w:tc>
          <w:tcPr>
            <w:tcW w:w="954" w:type="pct"/>
            <w:gridSpan w:val="2"/>
            <w:tcBorders>
              <w:top w:val="nil"/>
              <w:left w:val="nil"/>
              <w:bottom w:val="nil"/>
              <w:right w:val="nil"/>
            </w:tcBorders>
            <w:shd w:val="clear" w:color="auto" w:fill="auto"/>
            <w:noWrap/>
            <w:vAlign w:val="bottom"/>
          </w:tcPr>
          <w:p>
            <w:pPr>
              <w:pStyle w:val="121"/>
              <w:jc w:val="both"/>
            </w:pPr>
          </w:p>
        </w:tc>
        <w:tc>
          <w:tcPr>
            <w:tcW w:w="1641" w:type="pct"/>
            <w:gridSpan w:val="4"/>
            <w:tcBorders>
              <w:top w:val="single" w:color="auto" w:sz="4" w:space="0"/>
              <w:left w:val="nil"/>
              <w:bottom w:val="nil"/>
              <w:right w:val="nil"/>
            </w:tcBorders>
            <w:shd w:val="clear" w:color="auto" w:fill="auto"/>
            <w:vAlign w:val="bottom"/>
          </w:tcPr>
          <w:p>
            <w:pPr>
              <w:pStyle w:val="121"/>
              <w:jc w:val="both"/>
            </w:pPr>
            <w:r>
              <w:t>预算审核人：（签章）</w:t>
            </w:r>
          </w:p>
        </w:tc>
      </w:tr>
    </w:tbl>
    <w:p>
      <w:pPr>
        <w:pStyle w:val="121"/>
      </w:pPr>
    </w:p>
    <w:p>
      <w:pPr>
        <w:pStyle w:val="121"/>
      </w:pPr>
      <w:r>
        <w:br w:type="page"/>
      </w:r>
    </w:p>
    <w:p>
      <w:pPr>
        <w:pStyle w:val="121"/>
      </w:pPr>
    </w:p>
    <w:p>
      <w:pPr>
        <w:pStyle w:val="121"/>
        <w:jc w:val="right"/>
      </w:pPr>
      <w:r>
        <w:t>预工附-9</w:t>
      </w:r>
    </w:p>
    <w:p>
      <w:pPr>
        <w:pStyle w:val="119"/>
      </w:pPr>
      <w:r>
        <w:t>租赁费预算明细表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4997" w:type="pct"/>
        <w:jc w:val="center"/>
        <w:tblLayout w:type="autofit"/>
        <w:tblCellMar>
          <w:top w:w="0" w:type="dxa"/>
          <w:left w:w="108" w:type="dxa"/>
          <w:bottom w:w="0" w:type="dxa"/>
          <w:right w:w="108" w:type="dxa"/>
        </w:tblCellMar>
      </w:tblPr>
      <w:tblGrid>
        <w:gridCol w:w="755"/>
        <w:gridCol w:w="1395"/>
        <w:gridCol w:w="1468"/>
        <w:gridCol w:w="937"/>
        <w:gridCol w:w="1418"/>
        <w:gridCol w:w="392"/>
        <w:gridCol w:w="819"/>
        <w:gridCol w:w="684"/>
        <w:gridCol w:w="914"/>
        <w:gridCol w:w="696"/>
      </w:tblGrid>
      <w:tr>
        <w:tblPrEx>
          <w:tblCellMar>
            <w:top w:w="0" w:type="dxa"/>
            <w:left w:w="108" w:type="dxa"/>
            <w:bottom w:w="0" w:type="dxa"/>
            <w:right w:w="108" w:type="dxa"/>
          </w:tblCellMar>
        </w:tblPrEx>
        <w:trPr>
          <w:trHeight w:val="720" w:hRule="atLeast"/>
          <w:jc w:val="center"/>
        </w:trPr>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736" w:type="pct"/>
            <w:tcBorders>
              <w:top w:val="single" w:color="auto" w:sz="4" w:space="0"/>
              <w:left w:val="nil"/>
              <w:bottom w:val="single" w:color="auto" w:sz="4" w:space="0"/>
              <w:right w:val="single" w:color="auto" w:sz="4" w:space="0"/>
            </w:tcBorders>
            <w:shd w:val="clear" w:color="auto" w:fill="auto"/>
            <w:vAlign w:val="center"/>
          </w:tcPr>
          <w:p>
            <w:pPr>
              <w:pStyle w:val="121"/>
            </w:pPr>
            <w:r>
              <w:t>租赁项目</w:t>
            </w:r>
          </w:p>
        </w:tc>
        <w:tc>
          <w:tcPr>
            <w:tcW w:w="774" w:type="pct"/>
            <w:tcBorders>
              <w:top w:val="single" w:color="auto" w:sz="4" w:space="0"/>
              <w:left w:val="nil"/>
              <w:bottom w:val="single" w:color="auto" w:sz="4" w:space="0"/>
              <w:right w:val="single" w:color="auto" w:sz="4" w:space="0"/>
            </w:tcBorders>
            <w:shd w:val="clear" w:color="auto" w:fill="auto"/>
            <w:vAlign w:val="center"/>
          </w:tcPr>
          <w:p>
            <w:pPr>
              <w:pStyle w:val="121"/>
            </w:pPr>
            <w:r>
              <w:t>租赁必要性</w:t>
            </w:r>
          </w:p>
          <w:p>
            <w:pPr>
              <w:pStyle w:val="121"/>
            </w:pPr>
            <w:r>
              <w:t>说明</w:t>
            </w:r>
          </w:p>
        </w:tc>
        <w:tc>
          <w:tcPr>
            <w:tcW w:w="494" w:type="pct"/>
            <w:tcBorders>
              <w:top w:val="single" w:color="auto" w:sz="4" w:space="0"/>
              <w:left w:val="nil"/>
              <w:bottom w:val="single" w:color="auto" w:sz="4" w:space="0"/>
              <w:right w:val="single" w:color="auto" w:sz="4" w:space="0"/>
            </w:tcBorders>
            <w:shd w:val="clear" w:color="auto" w:fill="auto"/>
            <w:vAlign w:val="center"/>
          </w:tcPr>
          <w:p>
            <w:pPr>
              <w:pStyle w:val="121"/>
            </w:pPr>
            <w:r>
              <w:t>主要技术要求</w:t>
            </w:r>
          </w:p>
        </w:tc>
        <w:tc>
          <w:tcPr>
            <w:tcW w:w="748" w:type="pct"/>
            <w:tcBorders>
              <w:top w:val="single" w:color="auto" w:sz="4" w:space="0"/>
              <w:left w:val="nil"/>
              <w:bottom w:val="single" w:color="auto" w:sz="4" w:space="0"/>
              <w:right w:val="single" w:color="auto" w:sz="4" w:space="0"/>
            </w:tcBorders>
            <w:shd w:val="clear" w:color="auto" w:fill="auto"/>
            <w:vAlign w:val="center"/>
          </w:tcPr>
          <w:p>
            <w:pPr>
              <w:pStyle w:val="121"/>
            </w:pPr>
            <w:r>
              <w:t>租赁计划</w:t>
            </w:r>
          </w:p>
        </w:tc>
        <w:tc>
          <w:tcPr>
            <w:tcW w:w="639"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单价</w:t>
            </w:r>
          </w:p>
          <w:p>
            <w:pPr>
              <w:pStyle w:val="121"/>
            </w:pPr>
            <w:r>
              <w:t>元</w:t>
            </w:r>
          </w:p>
        </w:tc>
        <w:tc>
          <w:tcPr>
            <w:tcW w:w="361" w:type="pct"/>
            <w:tcBorders>
              <w:top w:val="single" w:color="auto" w:sz="4" w:space="0"/>
              <w:left w:val="nil"/>
              <w:bottom w:val="single" w:color="auto" w:sz="4" w:space="0"/>
              <w:right w:val="single" w:color="auto" w:sz="4" w:space="0"/>
            </w:tcBorders>
            <w:shd w:val="clear" w:color="auto" w:fill="auto"/>
            <w:vAlign w:val="center"/>
          </w:tcPr>
          <w:p>
            <w:pPr>
              <w:pStyle w:val="121"/>
            </w:pPr>
            <w:r>
              <w:t>数量</w:t>
            </w:r>
          </w:p>
        </w:tc>
        <w:tc>
          <w:tcPr>
            <w:tcW w:w="482" w:type="pct"/>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366"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398"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736" w:type="pct"/>
            <w:tcBorders>
              <w:top w:val="nil"/>
              <w:left w:val="nil"/>
              <w:bottom w:val="single" w:color="auto" w:sz="4" w:space="0"/>
              <w:right w:val="single" w:color="auto" w:sz="4" w:space="0"/>
            </w:tcBorders>
            <w:shd w:val="clear" w:color="auto" w:fill="auto"/>
            <w:vAlign w:val="center"/>
          </w:tcPr>
          <w:p>
            <w:pPr>
              <w:pStyle w:val="121"/>
            </w:pPr>
            <w:r>
              <w:t>乙</w:t>
            </w:r>
          </w:p>
        </w:tc>
        <w:tc>
          <w:tcPr>
            <w:tcW w:w="774" w:type="pct"/>
            <w:tcBorders>
              <w:top w:val="nil"/>
              <w:left w:val="nil"/>
              <w:bottom w:val="single" w:color="auto" w:sz="4" w:space="0"/>
              <w:right w:val="single" w:color="auto" w:sz="4" w:space="0"/>
            </w:tcBorders>
            <w:shd w:val="clear" w:color="auto" w:fill="auto"/>
            <w:vAlign w:val="center"/>
          </w:tcPr>
          <w:p>
            <w:pPr>
              <w:pStyle w:val="121"/>
            </w:pPr>
            <w:r>
              <w:t>丙</w:t>
            </w:r>
          </w:p>
        </w:tc>
        <w:tc>
          <w:tcPr>
            <w:tcW w:w="494" w:type="pct"/>
            <w:tcBorders>
              <w:top w:val="nil"/>
              <w:left w:val="nil"/>
              <w:bottom w:val="single" w:color="auto" w:sz="4" w:space="0"/>
              <w:right w:val="single" w:color="auto" w:sz="4" w:space="0"/>
            </w:tcBorders>
            <w:shd w:val="clear" w:color="auto" w:fill="auto"/>
            <w:vAlign w:val="center"/>
          </w:tcPr>
          <w:p>
            <w:pPr>
              <w:pStyle w:val="121"/>
            </w:pPr>
            <w:r>
              <w:t>丁</w:t>
            </w:r>
          </w:p>
        </w:tc>
        <w:tc>
          <w:tcPr>
            <w:tcW w:w="748" w:type="pct"/>
            <w:tcBorders>
              <w:top w:val="nil"/>
              <w:left w:val="nil"/>
              <w:bottom w:val="single" w:color="auto" w:sz="4" w:space="0"/>
              <w:right w:val="single" w:color="auto" w:sz="4" w:space="0"/>
            </w:tcBorders>
            <w:shd w:val="clear" w:color="auto" w:fill="auto"/>
            <w:vAlign w:val="center"/>
          </w:tcPr>
          <w:p>
            <w:pPr>
              <w:pStyle w:val="121"/>
            </w:pPr>
            <w:r>
              <w:t>戊</w:t>
            </w:r>
          </w:p>
        </w:tc>
        <w:tc>
          <w:tcPr>
            <w:tcW w:w="639" w:type="pct"/>
            <w:gridSpan w:val="2"/>
            <w:tcBorders>
              <w:top w:val="nil"/>
              <w:left w:val="nil"/>
              <w:bottom w:val="single" w:color="auto" w:sz="4" w:space="0"/>
              <w:right w:val="single" w:color="auto" w:sz="4" w:space="0"/>
            </w:tcBorders>
            <w:shd w:val="clear" w:color="auto" w:fill="auto"/>
            <w:vAlign w:val="center"/>
          </w:tcPr>
          <w:p>
            <w:pPr>
              <w:pStyle w:val="121"/>
            </w:pPr>
            <w:r>
              <w:t>1</w:t>
            </w:r>
          </w:p>
        </w:tc>
        <w:tc>
          <w:tcPr>
            <w:tcW w:w="361" w:type="pct"/>
            <w:tcBorders>
              <w:top w:val="nil"/>
              <w:left w:val="nil"/>
              <w:bottom w:val="single" w:color="auto" w:sz="4" w:space="0"/>
              <w:right w:val="single" w:color="auto" w:sz="4" w:space="0"/>
            </w:tcBorders>
            <w:shd w:val="clear" w:color="auto" w:fill="auto"/>
            <w:vAlign w:val="center"/>
          </w:tcPr>
          <w:p>
            <w:pPr>
              <w:pStyle w:val="121"/>
            </w:pPr>
            <w:r>
              <w:t>2</w:t>
            </w:r>
          </w:p>
        </w:tc>
        <w:tc>
          <w:tcPr>
            <w:tcW w:w="482" w:type="pct"/>
            <w:tcBorders>
              <w:top w:val="nil"/>
              <w:left w:val="nil"/>
              <w:bottom w:val="single" w:color="auto" w:sz="4" w:space="0"/>
              <w:right w:val="single" w:color="auto" w:sz="4" w:space="0"/>
            </w:tcBorders>
            <w:shd w:val="clear" w:color="auto" w:fill="auto"/>
            <w:vAlign w:val="center"/>
          </w:tcPr>
          <w:p>
            <w:pPr>
              <w:pStyle w:val="121"/>
            </w:pPr>
            <w:r>
              <w:t>3</w:t>
            </w:r>
          </w:p>
        </w:tc>
        <w:tc>
          <w:tcPr>
            <w:tcW w:w="366" w:type="pct"/>
            <w:tcBorders>
              <w:top w:val="nil"/>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10" w:hRule="atLeast"/>
          <w:jc w:val="center"/>
        </w:trPr>
        <w:tc>
          <w:tcPr>
            <w:tcW w:w="398" w:type="pct"/>
            <w:tcBorders>
              <w:top w:val="nil"/>
              <w:left w:val="single" w:color="auto" w:sz="4" w:space="0"/>
              <w:bottom w:val="nil"/>
              <w:right w:val="single" w:color="auto" w:sz="4" w:space="0"/>
            </w:tcBorders>
            <w:shd w:val="clear" w:color="auto" w:fill="auto"/>
            <w:vAlign w:val="center"/>
          </w:tcPr>
          <w:p>
            <w:pPr>
              <w:pStyle w:val="121"/>
            </w:pPr>
            <w:r>
              <w:t>　</w:t>
            </w:r>
          </w:p>
        </w:tc>
        <w:tc>
          <w:tcPr>
            <w:tcW w:w="736" w:type="pct"/>
            <w:tcBorders>
              <w:top w:val="nil"/>
              <w:left w:val="nil"/>
              <w:bottom w:val="nil"/>
              <w:right w:val="single" w:color="auto" w:sz="4" w:space="0"/>
            </w:tcBorders>
            <w:shd w:val="clear" w:color="auto" w:fill="auto"/>
            <w:vAlign w:val="center"/>
          </w:tcPr>
          <w:p>
            <w:pPr>
              <w:pStyle w:val="121"/>
            </w:pPr>
            <w:r>
              <w:t>　</w:t>
            </w:r>
          </w:p>
        </w:tc>
        <w:tc>
          <w:tcPr>
            <w:tcW w:w="774" w:type="pct"/>
            <w:tcBorders>
              <w:top w:val="nil"/>
              <w:left w:val="nil"/>
              <w:bottom w:val="nil"/>
              <w:right w:val="nil"/>
            </w:tcBorders>
            <w:shd w:val="clear" w:color="auto" w:fill="auto"/>
            <w:vAlign w:val="center"/>
          </w:tcPr>
          <w:p>
            <w:pPr>
              <w:pStyle w:val="121"/>
            </w:pPr>
            <w:r>
              <w:t>　</w:t>
            </w:r>
          </w:p>
        </w:tc>
        <w:tc>
          <w:tcPr>
            <w:tcW w:w="494" w:type="pct"/>
            <w:tcBorders>
              <w:top w:val="nil"/>
              <w:left w:val="nil"/>
              <w:bottom w:val="nil"/>
              <w:right w:val="nil"/>
            </w:tcBorders>
            <w:shd w:val="clear" w:color="auto" w:fill="auto"/>
            <w:vAlign w:val="center"/>
          </w:tcPr>
          <w:p>
            <w:pPr>
              <w:pStyle w:val="121"/>
            </w:pPr>
            <w:r>
              <w:t>　</w:t>
            </w:r>
          </w:p>
        </w:tc>
        <w:tc>
          <w:tcPr>
            <w:tcW w:w="748" w:type="pct"/>
            <w:tcBorders>
              <w:top w:val="nil"/>
              <w:left w:val="nil"/>
              <w:bottom w:val="nil"/>
              <w:right w:val="nil"/>
            </w:tcBorders>
            <w:shd w:val="clear" w:color="auto" w:fill="auto"/>
            <w:noWrap/>
            <w:vAlign w:val="center"/>
          </w:tcPr>
          <w:p>
            <w:pPr>
              <w:pStyle w:val="121"/>
            </w:pPr>
            <w:r>
              <w:t>　</w:t>
            </w:r>
          </w:p>
        </w:tc>
        <w:tc>
          <w:tcPr>
            <w:tcW w:w="639" w:type="pct"/>
            <w:gridSpan w:val="2"/>
            <w:tcBorders>
              <w:top w:val="nil"/>
              <w:left w:val="nil"/>
              <w:bottom w:val="nil"/>
              <w:right w:val="nil"/>
            </w:tcBorders>
            <w:shd w:val="clear" w:color="auto" w:fill="auto"/>
            <w:vAlign w:val="center"/>
          </w:tcPr>
          <w:p>
            <w:pPr>
              <w:pStyle w:val="121"/>
            </w:pPr>
            <w:r>
              <w:t>　</w:t>
            </w:r>
          </w:p>
        </w:tc>
        <w:tc>
          <w:tcPr>
            <w:tcW w:w="361" w:type="pct"/>
            <w:tcBorders>
              <w:top w:val="nil"/>
              <w:left w:val="nil"/>
              <w:bottom w:val="nil"/>
              <w:right w:val="nil"/>
            </w:tcBorders>
            <w:shd w:val="clear" w:color="auto" w:fill="auto"/>
            <w:vAlign w:val="center"/>
          </w:tcPr>
          <w:p>
            <w:pPr>
              <w:pStyle w:val="121"/>
            </w:pPr>
            <w:r>
              <w:t>　</w:t>
            </w:r>
          </w:p>
        </w:tc>
        <w:tc>
          <w:tcPr>
            <w:tcW w:w="482" w:type="pct"/>
            <w:tcBorders>
              <w:top w:val="nil"/>
              <w:left w:val="nil"/>
              <w:bottom w:val="nil"/>
              <w:right w:val="nil"/>
            </w:tcBorders>
            <w:shd w:val="clear" w:color="auto" w:fill="auto"/>
            <w:vAlign w:val="center"/>
          </w:tcPr>
          <w:p>
            <w:pPr>
              <w:pStyle w:val="121"/>
            </w:pPr>
            <w:r>
              <w:t>　</w:t>
            </w:r>
          </w:p>
        </w:tc>
        <w:tc>
          <w:tcPr>
            <w:tcW w:w="366" w:type="pct"/>
            <w:tcBorders>
              <w:top w:val="nil"/>
              <w:left w:val="nil"/>
              <w:bottom w:val="nil"/>
              <w:right w:val="single" w:color="auto" w:sz="4" w:space="0"/>
            </w:tcBorders>
            <w:shd w:val="clear" w:color="auto" w:fill="auto"/>
            <w:noWrap/>
            <w:vAlign w:val="bottom"/>
          </w:tcPr>
          <w:p>
            <w:pPr>
              <w:pStyle w:val="121"/>
            </w:pPr>
            <w:r>
              <w:t>　</w:t>
            </w:r>
          </w:p>
        </w:tc>
      </w:tr>
      <w:tr>
        <w:tblPrEx>
          <w:tblCellMar>
            <w:top w:w="0" w:type="dxa"/>
            <w:left w:w="108" w:type="dxa"/>
            <w:bottom w:w="0" w:type="dxa"/>
            <w:right w:w="108" w:type="dxa"/>
          </w:tblCellMar>
        </w:tblPrEx>
        <w:trPr>
          <w:trHeight w:val="510" w:hRule="atLeast"/>
          <w:jc w:val="center"/>
        </w:trPr>
        <w:tc>
          <w:tcPr>
            <w:tcW w:w="398" w:type="pct"/>
            <w:tcBorders>
              <w:top w:val="nil"/>
              <w:left w:val="single" w:color="auto" w:sz="4" w:space="0"/>
              <w:bottom w:val="nil"/>
              <w:right w:val="single" w:color="auto" w:sz="4" w:space="0"/>
            </w:tcBorders>
            <w:shd w:val="clear" w:color="auto" w:fill="auto"/>
            <w:vAlign w:val="center"/>
          </w:tcPr>
          <w:p>
            <w:pPr>
              <w:pStyle w:val="121"/>
            </w:pPr>
            <w:r>
              <w:t>　</w:t>
            </w:r>
          </w:p>
        </w:tc>
        <w:tc>
          <w:tcPr>
            <w:tcW w:w="736" w:type="pct"/>
            <w:tcBorders>
              <w:top w:val="nil"/>
              <w:left w:val="nil"/>
              <w:bottom w:val="nil"/>
              <w:right w:val="single" w:color="auto" w:sz="4" w:space="0"/>
            </w:tcBorders>
            <w:shd w:val="clear" w:color="auto" w:fill="auto"/>
            <w:vAlign w:val="center"/>
          </w:tcPr>
          <w:p>
            <w:pPr>
              <w:pStyle w:val="121"/>
            </w:pPr>
            <w:r>
              <w:t>　</w:t>
            </w:r>
          </w:p>
        </w:tc>
        <w:tc>
          <w:tcPr>
            <w:tcW w:w="3865" w:type="pct"/>
            <w:gridSpan w:val="8"/>
            <w:tcBorders>
              <w:top w:val="nil"/>
              <w:left w:val="nil"/>
              <w:bottom w:val="nil"/>
              <w:right w:val="single" w:color="auto" w:sz="4" w:space="0"/>
            </w:tcBorders>
            <w:shd w:val="clear" w:color="auto" w:fill="auto"/>
          </w:tcPr>
          <w:p>
            <w:pPr>
              <w:pStyle w:val="121"/>
            </w:pPr>
            <w:r>
              <w:t>填表说明</w:t>
            </w:r>
          </w:p>
        </w:tc>
      </w:tr>
      <w:tr>
        <w:tblPrEx>
          <w:tblCellMar>
            <w:top w:w="0" w:type="dxa"/>
            <w:left w:w="108" w:type="dxa"/>
            <w:bottom w:w="0" w:type="dxa"/>
            <w:right w:w="108" w:type="dxa"/>
          </w:tblCellMar>
        </w:tblPrEx>
        <w:trPr>
          <w:trHeight w:val="510" w:hRule="atLeast"/>
          <w:jc w:val="center"/>
        </w:trPr>
        <w:tc>
          <w:tcPr>
            <w:tcW w:w="398"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736" w:type="pct"/>
            <w:tcBorders>
              <w:top w:val="nil"/>
              <w:left w:val="nil"/>
              <w:bottom w:val="single" w:color="auto" w:sz="4" w:space="0"/>
              <w:right w:val="single" w:color="auto" w:sz="4" w:space="0"/>
            </w:tcBorders>
            <w:shd w:val="clear" w:color="auto" w:fill="auto"/>
            <w:vAlign w:val="center"/>
          </w:tcPr>
          <w:p>
            <w:pPr>
              <w:pStyle w:val="121"/>
            </w:pPr>
            <w:r>
              <w:t>　</w:t>
            </w:r>
          </w:p>
        </w:tc>
        <w:tc>
          <w:tcPr>
            <w:tcW w:w="3865" w:type="pct"/>
            <w:gridSpan w:val="8"/>
            <w:tcBorders>
              <w:top w:val="nil"/>
              <w:left w:val="nil"/>
              <w:bottom w:val="single" w:color="auto" w:sz="4" w:space="0"/>
              <w:right w:val="single" w:color="auto" w:sz="4" w:space="0"/>
            </w:tcBorders>
            <w:shd w:val="clear" w:color="auto" w:fill="auto"/>
            <w:vAlign w:val="center"/>
          </w:tcPr>
          <w:p>
            <w:pPr>
              <w:pStyle w:val="121"/>
            </w:pPr>
            <w:r>
              <w:t>乙栏：按照租赁的设备、房屋、网络等名称逐项填列。</w:t>
            </w:r>
          </w:p>
        </w:tc>
      </w:tr>
      <w:tr>
        <w:tblPrEx>
          <w:tblCellMar>
            <w:top w:w="0" w:type="dxa"/>
            <w:left w:w="108" w:type="dxa"/>
            <w:bottom w:w="0" w:type="dxa"/>
            <w:right w:w="108" w:type="dxa"/>
          </w:tblCellMar>
        </w:tblPrEx>
        <w:trPr>
          <w:trHeight w:val="510" w:hRule="atLeast"/>
          <w:jc w:val="center"/>
        </w:trPr>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736"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774" w:type="pct"/>
            <w:tcBorders>
              <w:top w:val="single" w:color="auto" w:sz="4" w:space="0"/>
              <w:left w:val="nil"/>
              <w:bottom w:val="single" w:color="auto" w:sz="4" w:space="0"/>
              <w:right w:val="nil"/>
            </w:tcBorders>
            <w:shd w:val="clear" w:color="auto" w:fill="auto"/>
            <w:vAlign w:val="center"/>
          </w:tcPr>
          <w:p>
            <w:pPr>
              <w:pStyle w:val="121"/>
            </w:pPr>
            <w:r>
              <w:t>　</w:t>
            </w:r>
          </w:p>
        </w:tc>
        <w:tc>
          <w:tcPr>
            <w:tcW w:w="494" w:type="pct"/>
            <w:tcBorders>
              <w:top w:val="single" w:color="auto" w:sz="4" w:space="0"/>
              <w:left w:val="nil"/>
              <w:bottom w:val="single" w:color="auto" w:sz="4" w:space="0"/>
              <w:right w:val="nil"/>
            </w:tcBorders>
            <w:shd w:val="clear" w:color="auto" w:fill="auto"/>
            <w:vAlign w:val="center"/>
          </w:tcPr>
          <w:p>
            <w:pPr>
              <w:pStyle w:val="121"/>
            </w:pPr>
            <w:r>
              <w:t>　</w:t>
            </w:r>
          </w:p>
        </w:tc>
        <w:tc>
          <w:tcPr>
            <w:tcW w:w="748" w:type="pct"/>
            <w:tcBorders>
              <w:top w:val="single" w:color="auto" w:sz="4" w:space="0"/>
              <w:left w:val="nil"/>
              <w:bottom w:val="single" w:color="auto" w:sz="4" w:space="0"/>
              <w:right w:val="nil"/>
            </w:tcBorders>
            <w:shd w:val="clear" w:color="auto" w:fill="auto"/>
            <w:noWrap/>
            <w:vAlign w:val="center"/>
          </w:tcPr>
          <w:p>
            <w:pPr>
              <w:pStyle w:val="121"/>
            </w:pPr>
            <w:r>
              <w:t>　</w:t>
            </w:r>
          </w:p>
        </w:tc>
        <w:tc>
          <w:tcPr>
            <w:tcW w:w="639"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361" w:type="pct"/>
            <w:tcBorders>
              <w:top w:val="single" w:color="auto" w:sz="4" w:space="0"/>
              <w:left w:val="nil"/>
              <w:bottom w:val="single" w:color="auto" w:sz="4" w:space="0"/>
              <w:right w:val="nil"/>
            </w:tcBorders>
            <w:shd w:val="clear" w:color="auto" w:fill="auto"/>
            <w:vAlign w:val="center"/>
          </w:tcPr>
          <w:p>
            <w:pPr>
              <w:pStyle w:val="121"/>
            </w:pPr>
            <w:r>
              <w:t>　</w:t>
            </w:r>
          </w:p>
        </w:tc>
        <w:tc>
          <w:tcPr>
            <w:tcW w:w="482" w:type="pct"/>
            <w:tcBorders>
              <w:top w:val="single" w:color="auto" w:sz="4" w:space="0"/>
              <w:left w:val="nil"/>
              <w:bottom w:val="single" w:color="auto" w:sz="4" w:space="0"/>
              <w:right w:val="nil"/>
            </w:tcBorders>
            <w:shd w:val="clear" w:color="auto" w:fill="auto"/>
            <w:vAlign w:val="center"/>
          </w:tcPr>
          <w:p>
            <w:pPr>
              <w:pStyle w:val="121"/>
            </w:pPr>
            <w:r>
              <w:t>　</w:t>
            </w:r>
          </w:p>
        </w:tc>
        <w:tc>
          <w:tcPr>
            <w:tcW w:w="366" w:type="pct"/>
            <w:tcBorders>
              <w:top w:val="single" w:color="auto" w:sz="4" w:space="0"/>
              <w:left w:val="nil"/>
              <w:bottom w:val="single" w:color="auto" w:sz="4" w:space="0"/>
              <w:right w:val="single" w:color="auto" w:sz="4" w:space="0"/>
            </w:tcBorders>
            <w:shd w:val="clear" w:color="auto" w:fill="auto"/>
            <w:noWrap/>
            <w:vAlign w:val="bottom"/>
          </w:tcPr>
          <w:p>
            <w:pPr>
              <w:pStyle w:val="121"/>
            </w:pPr>
            <w:r>
              <w:t>　</w:t>
            </w:r>
          </w:p>
        </w:tc>
      </w:tr>
      <w:tr>
        <w:tblPrEx>
          <w:tblCellMar>
            <w:top w:w="0" w:type="dxa"/>
            <w:left w:w="108" w:type="dxa"/>
            <w:bottom w:w="0" w:type="dxa"/>
            <w:right w:w="108" w:type="dxa"/>
          </w:tblCellMar>
        </w:tblPrEx>
        <w:trPr>
          <w:trHeight w:val="453" w:hRule="atLeast"/>
          <w:jc w:val="center"/>
        </w:trPr>
        <w:tc>
          <w:tcPr>
            <w:tcW w:w="1908" w:type="pct"/>
            <w:gridSpan w:val="3"/>
            <w:tcBorders>
              <w:top w:val="single" w:color="auto" w:sz="4" w:space="0"/>
              <w:left w:val="nil"/>
              <w:bottom w:val="nil"/>
              <w:right w:val="nil"/>
            </w:tcBorders>
            <w:shd w:val="clear" w:color="auto" w:fill="auto"/>
            <w:vAlign w:val="bottom"/>
          </w:tcPr>
          <w:p>
            <w:pPr>
              <w:pStyle w:val="121"/>
              <w:jc w:val="both"/>
            </w:pPr>
            <w:r>
              <w:t>预算编制人：（签章）</w:t>
            </w:r>
          </w:p>
        </w:tc>
        <w:tc>
          <w:tcPr>
            <w:tcW w:w="494" w:type="pct"/>
            <w:tcBorders>
              <w:top w:val="nil"/>
              <w:left w:val="nil"/>
              <w:bottom w:val="nil"/>
              <w:right w:val="nil"/>
            </w:tcBorders>
            <w:shd w:val="clear" w:color="auto" w:fill="auto"/>
            <w:vAlign w:val="bottom"/>
          </w:tcPr>
          <w:p>
            <w:pPr>
              <w:pStyle w:val="121"/>
              <w:jc w:val="both"/>
            </w:pPr>
          </w:p>
        </w:tc>
        <w:tc>
          <w:tcPr>
            <w:tcW w:w="955" w:type="pct"/>
            <w:gridSpan w:val="2"/>
            <w:tcBorders>
              <w:top w:val="nil"/>
              <w:left w:val="nil"/>
              <w:bottom w:val="nil"/>
              <w:right w:val="nil"/>
            </w:tcBorders>
            <w:shd w:val="clear" w:color="auto" w:fill="auto"/>
            <w:noWrap/>
            <w:vAlign w:val="bottom"/>
          </w:tcPr>
          <w:p>
            <w:pPr>
              <w:pStyle w:val="121"/>
              <w:jc w:val="both"/>
            </w:pPr>
          </w:p>
        </w:tc>
        <w:tc>
          <w:tcPr>
            <w:tcW w:w="1641" w:type="pct"/>
            <w:gridSpan w:val="4"/>
            <w:tcBorders>
              <w:top w:val="single" w:color="auto" w:sz="4" w:space="0"/>
              <w:left w:val="nil"/>
              <w:bottom w:val="nil"/>
              <w:right w:val="nil"/>
            </w:tcBorders>
            <w:shd w:val="clear" w:color="auto" w:fill="auto"/>
            <w:vAlign w:val="bottom"/>
          </w:tcPr>
          <w:p>
            <w:pPr>
              <w:pStyle w:val="121"/>
              <w:jc w:val="both"/>
            </w:pPr>
            <w:r>
              <w:t>预算审核人：（签章）</w:t>
            </w:r>
          </w:p>
        </w:tc>
      </w:tr>
    </w:tbl>
    <w:p>
      <w:pPr>
        <w:pStyle w:val="121"/>
      </w:pPr>
    </w:p>
    <w:p>
      <w:pPr>
        <w:pStyle w:val="121"/>
      </w:pPr>
      <w:r>
        <w:br w:type="page"/>
      </w:r>
    </w:p>
    <w:p>
      <w:pPr>
        <w:pStyle w:val="121"/>
      </w:pPr>
    </w:p>
    <w:p>
      <w:pPr>
        <w:pStyle w:val="121"/>
        <w:jc w:val="right"/>
      </w:pPr>
      <w:r>
        <w:t>预工附-10</w:t>
      </w:r>
    </w:p>
    <w:p>
      <w:pPr>
        <w:pStyle w:val="119"/>
      </w:pPr>
      <w:r>
        <w:t>会议费预算明细表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4999" w:type="pct"/>
        <w:jc w:val="center"/>
        <w:tblLayout w:type="autofit"/>
        <w:tblCellMar>
          <w:top w:w="0" w:type="dxa"/>
          <w:left w:w="108" w:type="dxa"/>
          <w:bottom w:w="0" w:type="dxa"/>
          <w:right w:w="108" w:type="dxa"/>
        </w:tblCellMar>
      </w:tblPr>
      <w:tblGrid>
        <w:gridCol w:w="557"/>
        <w:gridCol w:w="648"/>
        <w:gridCol w:w="722"/>
        <w:gridCol w:w="632"/>
        <w:gridCol w:w="756"/>
        <w:gridCol w:w="756"/>
        <w:gridCol w:w="497"/>
        <w:gridCol w:w="870"/>
        <w:gridCol w:w="438"/>
        <w:gridCol w:w="484"/>
        <w:gridCol w:w="387"/>
        <w:gridCol w:w="396"/>
        <w:gridCol w:w="423"/>
        <w:gridCol w:w="586"/>
        <w:gridCol w:w="438"/>
        <w:gridCol w:w="410"/>
        <w:gridCol w:w="482"/>
      </w:tblGrid>
      <w:tr>
        <w:tblPrEx>
          <w:tblCellMar>
            <w:top w:w="0" w:type="dxa"/>
            <w:left w:w="108" w:type="dxa"/>
            <w:bottom w:w="0" w:type="dxa"/>
            <w:right w:w="108" w:type="dxa"/>
          </w:tblCellMar>
        </w:tblPrEx>
        <w:trPr>
          <w:trHeight w:val="510" w:hRule="atLeast"/>
          <w:jc w:val="center"/>
        </w:trPr>
        <w:tc>
          <w:tcPr>
            <w:tcW w:w="2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34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会议名称</w:t>
            </w:r>
          </w:p>
        </w:tc>
        <w:tc>
          <w:tcPr>
            <w:tcW w:w="38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会议必要性说明</w:t>
            </w:r>
          </w:p>
        </w:tc>
        <w:tc>
          <w:tcPr>
            <w:tcW w:w="33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会议主要内容和预期成果</w:t>
            </w:r>
          </w:p>
        </w:tc>
        <w:tc>
          <w:tcPr>
            <w:tcW w:w="3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天数（日）</w:t>
            </w:r>
          </w:p>
        </w:tc>
        <w:tc>
          <w:tcPr>
            <w:tcW w:w="3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人数（人）</w:t>
            </w:r>
          </w:p>
        </w:tc>
        <w:tc>
          <w:tcPr>
            <w:tcW w:w="2599" w:type="pct"/>
            <w:gridSpan w:val="10"/>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2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295" w:type="pct"/>
            <w:vMerge w:val="continue"/>
            <w:tcBorders>
              <w:top w:val="single" w:color="auto" w:sz="4" w:space="0"/>
              <w:left w:val="single" w:color="auto" w:sz="4" w:space="0"/>
              <w:bottom w:val="single" w:color="auto" w:sz="4" w:space="0"/>
              <w:right w:val="single" w:color="auto" w:sz="4" w:space="0"/>
            </w:tcBorders>
            <w:vAlign w:val="center"/>
          </w:tcPr>
          <w:p/>
        </w:tc>
        <w:tc>
          <w:tcPr>
            <w:tcW w:w="343" w:type="pct"/>
            <w:vMerge w:val="continue"/>
            <w:tcBorders>
              <w:top w:val="single" w:color="auto" w:sz="4" w:space="0"/>
              <w:left w:val="single" w:color="auto" w:sz="4" w:space="0"/>
              <w:bottom w:val="single" w:color="auto" w:sz="4" w:space="0"/>
              <w:right w:val="single" w:color="auto" w:sz="4" w:space="0"/>
            </w:tcBorders>
            <w:vAlign w:val="center"/>
          </w:tcPr>
          <w:p/>
        </w:tc>
        <w:tc>
          <w:tcPr>
            <w:tcW w:w="382" w:type="pct"/>
            <w:vMerge w:val="continue"/>
            <w:tcBorders>
              <w:top w:val="single" w:color="auto" w:sz="4" w:space="0"/>
              <w:left w:val="single" w:color="auto" w:sz="4" w:space="0"/>
              <w:bottom w:val="single" w:color="auto" w:sz="4" w:space="0"/>
              <w:right w:val="single" w:color="auto" w:sz="4" w:space="0"/>
            </w:tcBorders>
            <w:vAlign w:val="center"/>
          </w:tcPr>
          <w:p/>
        </w:tc>
        <w:tc>
          <w:tcPr>
            <w:tcW w:w="330" w:type="pct"/>
            <w:vMerge w:val="continue"/>
            <w:tcBorders>
              <w:top w:val="single" w:color="auto" w:sz="4" w:space="0"/>
              <w:left w:val="single" w:color="auto" w:sz="4" w:space="0"/>
              <w:bottom w:val="single" w:color="auto" w:sz="4" w:space="0"/>
              <w:right w:val="single" w:color="auto" w:sz="4" w:space="0"/>
            </w:tcBorders>
            <w:vAlign w:val="center"/>
          </w:tcPr>
          <w:p/>
        </w:tc>
        <w:tc>
          <w:tcPr>
            <w:tcW w:w="398" w:type="pct"/>
            <w:vMerge w:val="continue"/>
            <w:tcBorders>
              <w:top w:val="single" w:color="auto" w:sz="4" w:space="0"/>
              <w:left w:val="single" w:color="auto" w:sz="4" w:space="0"/>
              <w:bottom w:val="single" w:color="auto" w:sz="4" w:space="0"/>
              <w:right w:val="single" w:color="auto" w:sz="4" w:space="0"/>
            </w:tcBorders>
            <w:vAlign w:val="center"/>
          </w:tcPr>
          <w:p/>
        </w:tc>
        <w:tc>
          <w:tcPr>
            <w:tcW w:w="398" w:type="pct"/>
            <w:vMerge w:val="continue"/>
            <w:tcBorders>
              <w:top w:val="single" w:color="auto" w:sz="4" w:space="0"/>
              <w:left w:val="single" w:color="auto" w:sz="4" w:space="0"/>
              <w:bottom w:val="single" w:color="auto" w:sz="4" w:space="0"/>
              <w:right w:val="single" w:color="auto" w:sz="4" w:space="0"/>
            </w:tcBorders>
            <w:vAlign w:val="center"/>
          </w:tcPr>
          <w:p/>
        </w:tc>
        <w:tc>
          <w:tcPr>
            <w:tcW w:w="262"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合计</w:t>
            </w:r>
          </w:p>
        </w:tc>
        <w:tc>
          <w:tcPr>
            <w:tcW w:w="690"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住宿补贴</w:t>
            </w:r>
          </w:p>
        </w:tc>
        <w:tc>
          <w:tcPr>
            <w:tcW w:w="668" w:type="pct"/>
            <w:gridSpan w:val="3"/>
            <w:tcBorders>
              <w:top w:val="single" w:color="auto" w:sz="4" w:space="0"/>
              <w:left w:val="nil"/>
              <w:bottom w:val="single" w:color="auto" w:sz="4" w:space="0"/>
              <w:right w:val="single" w:color="auto" w:sz="4" w:space="0"/>
            </w:tcBorders>
            <w:shd w:val="clear" w:color="auto" w:fill="auto"/>
            <w:vAlign w:val="center"/>
          </w:tcPr>
          <w:p>
            <w:pPr>
              <w:pStyle w:val="121"/>
            </w:pPr>
            <w:r>
              <w:t>伙食补贴</w:t>
            </w:r>
          </w:p>
        </w:tc>
        <w:tc>
          <w:tcPr>
            <w:tcW w:w="223"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交通费</w:t>
            </w:r>
          </w:p>
        </w:tc>
        <w:tc>
          <w:tcPr>
            <w:tcW w:w="309"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场地租金</w:t>
            </w:r>
          </w:p>
        </w:tc>
        <w:tc>
          <w:tcPr>
            <w:tcW w:w="231"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资料费</w:t>
            </w:r>
          </w:p>
        </w:tc>
        <w:tc>
          <w:tcPr>
            <w:tcW w:w="211"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其他</w:t>
            </w:r>
          </w:p>
        </w:tc>
        <w:tc>
          <w:tcPr>
            <w:tcW w:w="251" w:type="pct"/>
            <w:vMerge w:val="continue"/>
            <w:tcBorders>
              <w:top w:val="single" w:color="auto" w:sz="4" w:space="0"/>
              <w:left w:val="single" w:color="auto" w:sz="4" w:space="0"/>
              <w:bottom w:val="single" w:color="auto" w:sz="4" w:space="0"/>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295" w:type="pct"/>
            <w:vMerge w:val="continue"/>
            <w:tcBorders>
              <w:top w:val="single" w:color="auto" w:sz="4" w:space="0"/>
              <w:left w:val="single" w:color="auto" w:sz="4" w:space="0"/>
              <w:bottom w:val="single" w:color="auto" w:sz="4" w:space="0"/>
              <w:right w:val="single" w:color="auto" w:sz="4" w:space="0"/>
            </w:tcBorders>
            <w:vAlign w:val="center"/>
          </w:tcPr>
          <w:p/>
        </w:tc>
        <w:tc>
          <w:tcPr>
            <w:tcW w:w="343" w:type="pct"/>
            <w:vMerge w:val="continue"/>
            <w:tcBorders>
              <w:top w:val="single" w:color="auto" w:sz="4" w:space="0"/>
              <w:left w:val="single" w:color="auto" w:sz="4" w:space="0"/>
              <w:bottom w:val="single" w:color="auto" w:sz="4" w:space="0"/>
              <w:right w:val="single" w:color="auto" w:sz="4" w:space="0"/>
            </w:tcBorders>
            <w:vAlign w:val="center"/>
          </w:tcPr>
          <w:p/>
        </w:tc>
        <w:tc>
          <w:tcPr>
            <w:tcW w:w="382" w:type="pct"/>
            <w:vMerge w:val="continue"/>
            <w:tcBorders>
              <w:top w:val="single" w:color="auto" w:sz="4" w:space="0"/>
              <w:left w:val="single" w:color="auto" w:sz="4" w:space="0"/>
              <w:bottom w:val="single" w:color="auto" w:sz="4" w:space="0"/>
              <w:right w:val="single" w:color="auto" w:sz="4" w:space="0"/>
            </w:tcBorders>
            <w:vAlign w:val="center"/>
          </w:tcPr>
          <w:p/>
        </w:tc>
        <w:tc>
          <w:tcPr>
            <w:tcW w:w="330" w:type="pct"/>
            <w:vMerge w:val="continue"/>
            <w:tcBorders>
              <w:top w:val="single" w:color="auto" w:sz="4" w:space="0"/>
              <w:left w:val="single" w:color="auto" w:sz="4" w:space="0"/>
              <w:bottom w:val="single" w:color="auto" w:sz="4" w:space="0"/>
              <w:right w:val="single" w:color="auto" w:sz="4" w:space="0"/>
            </w:tcBorders>
            <w:vAlign w:val="center"/>
          </w:tcPr>
          <w:p/>
        </w:tc>
        <w:tc>
          <w:tcPr>
            <w:tcW w:w="398" w:type="pct"/>
            <w:vMerge w:val="continue"/>
            <w:tcBorders>
              <w:top w:val="single" w:color="auto" w:sz="4" w:space="0"/>
              <w:left w:val="single" w:color="auto" w:sz="4" w:space="0"/>
              <w:bottom w:val="single" w:color="auto" w:sz="4" w:space="0"/>
              <w:right w:val="single" w:color="auto" w:sz="4" w:space="0"/>
            </w:tcBorders>
            <w:vAlign w:val="center"/>
          </w:tcPr>
          <w:p/>
        </w:tc>
        <w:tc>
          <w:tcPr>
            <w:tcW w:w="398" w:type="pct"/>
            <w:vMerge w:val="continue"/>
            <w:tcBorders>
              <w:top w:val="single" w:color="auto" w:sz="4" w:space="0"/>
              <w:left w:val="single" w:color="auto" w:sz="4" w:space="0"/>
              <w:bottom w:val="single" w:color="auto" w:sz="4" w:space="0"/>
              <w:right w:val="single" w:color="auto" w:sz="4" w:space="0"/>
            </w:tcBorders>
            <w:vAlign w:val="center"/>
          </w:tcPr>
          <w:p/>
        </w:tc>
        <w:tc>
          <w:tcPr>
            <w:tcW w:w="263" w:type="pct"/>
            <w:vMerge w:val="continue"/>
            <w:tcBorders>
              <w:top w:val="nil"/>
              <w:left w:val="single" w:color="auto" w:sz="4" w:space="0"/>
              <w:bottom w:val="single" w:color="auto" w:sz="4" w:space="0"/>
              <w:right w:val="single" w:color="auto" w:sz="4" w:space="0"/>
            </w:tcBorders>
            <w:vAlign w:val="center"/>
          </w:tcPr>
          <w:p/>
        </w:tc>
        <w:tc>
          <w:tcPr>
            <w:tcW w:w="459" w:type="pct"/>
            <w:tcBorders>
              <w:top w:val="nil"/>
              <w:left w:val="nil"/>
              <w:bottom w:val="single" w:color="auto" w:sz="4" w:space="0"/>
              <w:right w:val="single" w:color="auto" w:sz="4" w:space="0"/>
            </w:tcBorders>
            <w:shd w:val="clear" w:color="auto" w:fill="auto"/>
            <w:vAlign w:val="center"/>
          </w:tcPr>
          <w:p>
            <w:pPr>
              <w:pStyle w:val="121"/>
            </w:pPr>
            <w:r>
              <w:t>补贴标准（元/人日）</w:t>
            </w:r>
          </w:p>
        </w:tc>
        <w:tc>
          <w:tcPr>
            <w:tcW w:w="231" w:type="pct"/>
            <w:tcBorders>
              <w:top w:val="nil"/>
              <w:left w:val="nil"/>
              <w:bottom w:val="single" w:color="auto" w:sz="4" w:space="0"/>
              <w:right w:val="single" w:color="auto" w:sz="4" w:space="0"/>
            </w:tcBorders>
            <w:shd w:val="clear" w:color="auto" w:fill="auto"/>
            <w:vAlign w:val="center"/>
          </w:tcPr>
          <w:p>
            <w:pPr>
              <w:pStyle w:val="121"/>
            </w:pPr>
            <w:r>
              <w:t>金额</w:t>
            </w:r>
          </w:p>
        </w:tc>
        <w:tc>
          <w:tcPr>
            <w:tcW w:w="459" w:type="pct"/>
            <w:gridSpan w:val="2"/>
            <w:tcBorders>
              <w:top w:val="nil"/>
              <w:left w:val="nil"/>
              <w:bottom w:val="single" w:color="auto" w:sz="4" w:space="0"/>
              <w:right w:val="single" w:color="auto" w:sz="4" w:space="0"/>
            </w:tcBorders>
            <w:shd w:val="clear" w:color="auto" w:fill="auto"/>
            <w:vAlign w:val="center"/>
          </w:tcPr>
          <w:p>
            <w:pPr>
              <w:pStyle w:val="121"/>
            </w:pPr>
            <w:r>
              <w:t>补贴标准（元/人日）</w:t>
            </w:r>
          </w:p>
        </w:tc>
        <w:tc>
          <w:tcPr>
            <w:tcW w:w="209" w:type="pct"/>
            <w:tcBorders>
              <w:top w:val="nil"/>
              <w:left w:val="nil"/>
              <w:bottom w:val="single" w:color="auto" w:sz="4" w:space="0"/>
              <w:right w:val="single" w:color="auto" w:sz="4" w:space="0"/>
            </w:tcBorders>
            <w:shd w:val="clear" w:color="auto" w:fill="auto"/>
            <w:vAlign w:val="center"/>
          </w:tcPr>
          <w:p>
            <w:pPr>
              <w:pStyle w:val="121"/>
            </w:pPr>
            <w:r>
              <w:t>金额</w:t>
            </w:r>
          </w:p>
        </w:tc>
        <w:tc>
          <w:tcPr>
            <w:tcW w:w="224" w:type="pct"/>
            <w:vMerge w:val="continue"/>
            <w:tcBorders>
              <w:top w:val="nil"/>
              <w:left w:val="single" w:color="auto" w:sz="4" w:space="0"/>
              <w:bottom w:val="single" w:color="auto" w:sz="4" w:space="0"/>
              <w:right w:val="single" w:color="auto" w:sz="4" w:space="0"/>
            </w:tcBorders>
            <w:vAlign w:val="center"/>
          </w:tcPr>
          <w:p/>
        </w:tc>
        <w:tc>
          <w:tcPr>
            <w:tcW w:w="310" w:type="pct"/>
            <w:vMerge w:val="continue"/>
            <w:tcBorders>
              <w:top w:val="nil"/>
              <w:left w:val="single" w:color="auto" w:sz="4" w:space="0"/>
              <w:bottom w:val="single" w:color="auto" w:sz="4" w:space="0"/>
              <w:right w:val="single" w:color="auto" w:sz="4" w:space="0"/>
            </w:tcBorders>
            <w:vAlign w:val="center"/>
          </w:tcPr>
          <w:p/>
        </w:tc>
        <w:tc>
          <w:tcPr>
            <w:tcW w:w="232" w:type="pct"/>
            <w:vMerge w:val="continue"/>
            <w:tcBorders>
              <w:top w:val="nil"/>
              <w:left w:val="single" w:color="auto" w:sz="4" w:space="0"/>
              <w:bottom w:val="single" w:color="auto" w:sz="4" w:space="0"/>
              <w:right w:val="single" w:color="auto" w:sz="4" w:space="0"/>
            </w:tcBorders>
            <w:vAlign w:val="center"/>
          </w:tcPr>
          <w:p/>
        </w:tc>
        <w:tc>
          <w:tcPr>
            <w:tcW w:w="208" w:type="pct"/>
            <w:vMerge w:val="continue"/>
            <w:tcBorders>
              <w:top w:val="nil"/>
              <w:left w:val="single" w:color="auto" w:sz="4" w:space="0"/>
              <w:bottom w:val="single" w:color="auto" w:sz="4" w:space="0"/>
              <w:right w:val="single" w:color="auto" w:sz="4" w:space="0"/>
            </w:tcBorders>
            <w:vAlign w:val="center"/>
          </w:tcPr>
          <w:p/>
        </w:tc>
        <w:tc>
          <w:tcPr>
            <w:tcW w:w="251" w:type="pct"/>
            <w:vMerge w:val="continue"/>
            <w:tcBorders>
              <w:top w:val="single" w:color="auto" w:sz="4" w:space="0"/>
              <w:left w:val="single" w:color="auto" w:sz="4" w:space="0"/>
              <w:bottom w:val="single" w:color="auto" w:sz="4" w:space="0"/>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342" w:type="pct"/>
            <w:tcBorders>
              <w:top w:val="nil"/>
              <w:left w:val="nil"/>
              <w:bottom w:val="single" w:color="auto" w:sz="4" w:space="0"/>
              <w:right w:val="single" w:color="auto" w:sz="4" w:space="0"/>
            </w:tcBorders>
            <w:shd w:val="clear" w:color="auto" w:fill="auto"/>
            <w:vAlign w:val="center"/>
          </w:tcPr>
          <w:p>
            <w:pPr>
              <w:pStyle w:val="121"/>
            </w:pPr>
            <w:r>
              <w:t>乙</w:t>
            </w:r>
          </w:p>
        </w:tc>
        <w:tc>
          <w:tcPr>
            <w:tcW w:w="381" w:type="pct"/>
            <w:tcBorders>
              <w:top w:val="nil"/>
              <w:left w:val="nil"/>
              <w:bottom w:val="single" w:color="auto" w:sz="4" w:space="0"/>
              <w:right w:val="single" w:color="auto" w:sz="4" w:space="0"/>
            </w:tcBorders>
            <w:shd w:val="clear" w:color="auto" w:fill="auto"/>
            <w:vAlign w:val="center"/>
          </w:tcPr>
          <w:p>
            <w:pPr>
              <w:pStyle w:val="121"/>
            </w:pPr>
            <w:r>
              <w:t>丙</w:t>
            </w:r>
          </w:p>
        </w:tc>
        <w:tc>
          <w:tcPr>
            <w:tcW w:w="332" w:type="pct"/>
            <w:tcBorders>
              <w:top w:val="nil"/>
              <w:left w:val="nil"/>
              <w:bottom w:val="single" w:color="auto" w:sz="4" w:space="0"/>
              <w:right w:val="single" w:color="auto" w:sz="4" w:space="0"/>
            </w:tcBorders>
            <w:shd w:val="clear" w:color="auto" w:fill="auto"/>
            <w:vAlign w:val="center"/>
          </w:tcPr>
          <w:p>
            <w:pPr>
              <w:pStyle w:val="121"/>
            </w:pPr>
            <w:r>
              <w:t>丁</w:t>
            </w:r>
          </w:p>
        </w:tc>
        <w:tc>
          <w:tcPr>
            <w:tcW w:w="398" w:type="pct"/>
            <w:tcBorders>
              <w:top w:val="nil"/>
              <w:left w:val="nil"/>
              <w:bottom w:val="single" w:color="auto" w:sz="4" w:space="0"/>
              <w:right w:val="single" w:color="auto" w:sz="4" w:space="0"/>
            </w:tcBorders>
            <w:shd w:val="clear" w:color="auto" w:fill="auto"/>
            <w:vAlign w:val="center"/>
          </w:tcPr>
          <w:p>
            <w:pPr>
              <w:pStyle w:val="121"/>
            </w:pPr>
            <w:r>
              <w:t>1</w:t>
            </w:r>
          </w:p>
        </w:tc>
        <w:tc>
          <w:tcPr>
            <w:tcW w:w="398" w:type="pct"/>
            <w:tcBorders>
              <w:top w:val="nil"/>
              <w:left w:val="nil"/>
              <w:bottom w:val="single" w:color="auto" w:sz="4" w:space="0"/>
              <w:right w:val="single" w:color="auto" w:sz="4" w:space="0"/>
            </w:tcBorders>
            <w:shd w:val="clear" w:color="auto" w:fill="auto"/>
            <w:vAlign w:val="center"/>
          </w:tcPr>
          <w:p>
            <w:pPr>
              <w:pStyle w:val="121"/>
            </w:pPr>
            <w:r>
              <w:t>2</w:t>
            </w:r>
          </w:p>
        </w:tc>
        <w:tc>
          <w:tcPr>
            <w:tcW w:w="262" w:type="pct"/>
            <w:tcBorders>
              <w:top w:val="nil"/>
              <w:left w:val="nil"/>
              <w:bottom w:val="single" w:color="auto" w:sz="4" w:space="0"/>
              <w:right w:val="single" w:color="auto" w:sz="4" w:space="0"/>
            </w:tcBorders>
            <w:shd w:val="clear" w:color="auto" w:fill="auto"/>
            <w:vAlign w:val="center"/>
          </w:tcPr>
          <w:p>
            <w:pPr>
              <w:pStyle w:val="121"/>
            </w:pPr>
            <w:r>
              <w:t>3</w:t>
            </w:r>
          </w:p>
        </w:tc>
        <w:tc>
          <w:tcPr>
            <w:tcW w:w="459" w:type="pct"/>
            <w:tcBorders>
              <w:top w:val="nil"/>
              <w:left w:val="nil"/>
              <w:bottom w:val="single" w:color="auto" w:sz="4" w:space="0"/>
              <w:right w:val="single" w:color="auto" w:sz="4" w:space="0"/>
            </w:tcBorders>
            <w:shd w:val="clear" w:color="auto" w:fill="auto"/>
            <w:vAlign w:val="center"/>
          </w:tcPr>
          <w:p>
            <w:pPr>
              <w:pStyle w:val="121"/>
            </w:pPr>
            <w:r>
              <w:t>4</w:t>
            </w:r>
          </w:p>
        </w:tc>
        <w:tc>
          <w:tcPr>
            <w:tcW w:w="231" w:type="pct"/>
            <w:tcBorders>
              <w:top w:val="nil"/>
              <w:left w:val="nil"/>
              <w:bottom w:val="single" w:color="auto" w:sz="4" w:space="0"/>
              <w:right w:val="single" w:color="auto" w:sz="4" w:space="0"/>
            </w:tcBorders>
            <w:shd w:val="clear" w:color="auto" w:fill="auto"/>
            <w:vAlign w:val="center"/>
          </w:tcPr>
          <w:p>
            <w:pPr>
              <w:pStyle w:val="121"/>
            </w:pPr>
            <w:r>
              <w:t>5</w:t>
            </w:r>
          </w:p>
        </w:tc>
        <w:tc>
          <w:tcPr>
            <w:tcW w:w="459" w:type="pct"/>
            <w:gridSpan w:val="2"/>
            <w:tcBorders>
              <w:top w:val="nil"/>
              <w:left w:val="nil"/>
              <w:bottom w:val="single" w:color="auto" w:sz="4" w:space="0"/>
              <w:right w:val="single" w:color="auto" w:sz="4" w:space="0"/>
            </w:tcBorders>
            <w:shd w:val="clear" w:color="auto" w:fill="auto"/>
            <w:vAlign w:val="center"/>
          </w:tcPr>
          <w:p>
            <w:pPr>
              <w:pStyle w:val="121"/>
            </w:pPr>
            <w:r>
              <w:t>6</w:t>
            </w:r>
          </w:p>
        </w:tc>
        <w:tc>
          <w:tcPr>
            <w:tcW w:w="209" w:type="pct"/>
            <w:tcBorders>
              <w:top w:val="nil"/>
              <w:left w:val="nil"/>
              <w:bottom w:val="single" w:color="auto" w:sz="4" w:space="0"/>
              <w:right w:val="single" w:color="auto" w:sz="4" w:space="0"/>
            </w:tcBorders>
            <w:shd w:val="clear" w:color="auto" w:fill="auto"/>
            <w:vAlign w:val="center"/>
          </w:tcPr>
          <w:p>
            <w:pPr>
              <w:pStyle w:val="121"/>
            </w:pPr>
            <w:r>
              <w:t>7</w:t>
            </w:r>
          </w:p>
        </w:tc>
        <w:tc>
          <w:tcPr>
            <w:tcW w:w="223" w:type="pct"/>
            <w:tcBorders>
              <w:top w:val="nil"/>
              <w:left w:val="nil"/>
              <w:bottom w:val="single" w:color="auto" w:sz="4" w:space="0"/>
              <w:right w:val="single" w:color="auto" w:sz="4" w:space="0"/>
            </w:tcBorders>
            <w:shd w:val="clear" w:color="auto" w:fill="auto"/>
            <w:vAlign w:val="center"/>
          </w:tcPr>
          <w:p>
            <w:pPr>
              <w:pStyle w:val="121"/>
            </w:pPr>
            <w:r>
              <w:t>8</w:t>
            </w:r>
          </w:p>
        </w:tc>
        <w:tc>
          <w:tcPr>
            <w:tcW w:w="309" w:type="pct"/>
            <w:tcBorders>
              <w:top w:val="nil"/>
              <w:left w:val="nil"/>
              <w:bottom w:val="single" w:color="auto" w:sz="4" w:space="0"/>
              <w:right w:val="single" w:color="auto" w:sz="4" w:space="0"/>
            </w:tcBorders>
            <w:shd w:val="clear" w:color="auto" w:fill="auto"/>
            <w:vAlign w:val="center"/>
          </w:tcPr>
          <w:p>
            <w:pPr>
              <w:pStyle w:val="121"/>
            </w:pPr>
            <w:r>
              <w:t>9</w:t>
            </w:r>
          </w:p>
        </w:tc>
        <w:tc>
          <w:tcPr>
            <w:tcW w:w="231" w:type="pct"/>
            <w:tcBorders>
              <w:top w:val="nil"/>
              <w:left w:val="nil"/>
              <w:bottom w:val="single" w:color="auto" w:sz="4" w:space="0"/>
              <w:right w:val="single" w:color="auto" w:sz="4" w:space="0"/>
            </w:tcBorders>
            <w:shd w:val="clear" w:color="auto" w:fill="auto"/>
            <w:vAlign w:val="center"/>
          </w:tcPr>
          <w:p>
            <w:pPr>
              <w:pStyle w:val="121"/>
            </w:pPr>
            <w:r>
              <w:t>10</w:t>
            </w:r>
          </w:p>
        </w:tc>
        <w:tc>
          <w:tcPr>
            <w:tcW w:w="211" w:type="pct"/>
            <w:tcBorders>
              <w:top w:val="nil"/>
              <w:left w:val="nil"/>
              <w:bottom w:val="single" w:color="auto" w:sz="4" w:space="0"/>
              <w:right w:val="single" w:color="auto" w:sz="4" w:space="0"/>
            </w:tcBorders>
            <w:shd w:val="clear" w:color="auto" w:fill="auto"/>
            <w:vAlign w:val="center"/>
          </w:tcPr>
          <w:p>
            <w:pPr>
              <w:pStyle w:val="121"/>
            </w:pPr>
            <w:r>
              <w:t>11</w:t>
            </w:r>
          </w:p>
        </w:tc>
        <w:tc>
          <w:tcPr>
            <w:tcW w:w="250" w:type="pct"/>
            <w:tcBorders>
              <w:top w:val="nil"/>
              <w:left w:val="nil"/>
              <w:bottom w:val="single" w:color="auto" w:sz="4" w:space="0"/>
              <w:right w:val="single" w:color="auto" w:sz="4" w:space="0"/>
            </w:tcBorders>
            <w:shd w:val="clear" w:color="auto" w:fill="auto"/>
            <w:vAlign w:val="center"/>
          </w:tcPr>
          <w:p>
            <w:pPr>
              <w:pStyle w:val="121"/>
            </w:pPr>
            <w:r>
              <w:t>12</w:t>
            </w: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nil"/>
              <w:right w:val="single" w:color="auto" w:sz="4" w:space="0"/>
            </w:tcBorders>
            <w:shd w:val="clear" w:color="auto" w:fill="auto"/>
            <w:vAlign w:val="center"/>
          </w:tcPr>
          <w:p>
            <w:pPr>
              <w:pStyle w:val="121"/>
            </w:pPr>
            <w:r>
              <w:t>　</w:t>
            </w:r>
          </w:p>
        </w:tc>
        <w:tc>
          <w:tcPr>
            <w:tcW w:w="342" w:type="pct"/>
            <w:tcBorders>
              <w:top w:val="nil"/>
              <w:left w:val="nil"/>
              <w:bottom w:val="nil"/>
              <w:right w:val="single" w:color="auto" w:sz="4" w:space="0"/>
            </w:tcBorders>
            <w:shd w:val="clear" w:color="auto" w:fill="auto"/>
            <w:vAlign w:val="center"/>
          </w:tcPr>
          <w:p>
            <w:pPr>
              <w:pStyle w:val="121"/>
            </w:pPr>
            <w:r>
              <w:t>　</w:t>
            </w:r>
          </w:p>
        </w:tc>
        <w:tc>
          <w:tcPr>
            <w:tcW w:w="4362" w:type="pct"/>
            <w:gridSpan w:val="15"/>
            <w:tcBorders>
              <w:top w:val="single" w:color="auto" w:sz="4" w:space="0"/>
              <w:left w:val="nil"/>
              <w:bottom w:val="nil"/>
              <w:right w:val="single" w:color="auto" w:sz="4" w:space="0"/>
            </w:tcBorders>
            <w:shd w:val="clear" w:color="auto" w:fill="auto"/>
            <w:vAlign w:val="bottom"/>
          </w:tcPr>
          <w:p>
            <w:pPr>
              <w:pStyle w:val="121"/>
            </w:pPr>
            <w:r>
              <w:t>　</w:t>
            </w: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nil"/>
              <w:right w:val="single" w:color="auto" w:sz="4" w:space="0"/>
            </w:tcBorders>
            <w:shd w:val="clear" w:color="auto" w:fill="auto"/>
            <w:vAlign w:val="center"/>
          </w:tcPr>
          <w:p>
            <w:pPr>
              <w:pStyle w:val="121"/>
            </w:pPr>
            <w:r>
              <w:t>　</w:t>
            </w:r>
          </w:p>
        </w:tc>
        <w:tc>
          <w:tcPr>
            <w:tcW w:w="342" w:type="pct"/>
            <w:tcBorders>
              <w:top w:val="nil"/>
              <w:left w:val="nil"/>
              <w:bottom w:val="nil"/>
              <w:right w:val="single" w:color="auto" w:sz="4" w:space="0"/>
            </w:tcBorders>
            <w:shd w:val="clear" w:color="auto" w:fill="auto"/>
            <w:vAlign w:val="center"/>
          </w:tcPr>
          <w:p>
            <w:pPr>
              <w:pStyle w:val="121"/>
            </w:pPr>
            <w:r>
              <w:t>　</w:t>
            </w:r>
          </w:p>
        </w:tc>
        <w:tc>
          <w:tcPr>
            <w:tcW w:w="381" w:type="pct"/>
            <w:tcBorders>
              <w:top w:val="nil"/>
              <w:left w:val="nil"/>
              <w:bottom w:val="nil"/>
              <w:right w:val="nil"/>
            </w:tcBorders>
            <w:shd w:val="clear" w:color="auto" w:fill="auto"/>
            <w:vAlign w:val="bottom"/>
          </w:tcPr>
          <w:p>
            <w:pPr>
              <w:pStyle w:val="121"/>
            </w:pPr>
            <w:r>
              <w:t>　</w:t>
            </w:r>
          </w:p>
        </w:tc>
        <w:tc>
          <w:tcPr>
            <w:tcW w:w="3729" w:type="pct"/>
            <w:gridSpan w:val="13"/>
            <w:tcBorders>
              <w:top w:val="nil"/>
              <w:left w:val="nil"/>
              <w:bottom w:val="nil"/>
              <w:right w:val="nil"/>
            </w:tcBorders>
            <w:shd w:val="clear" w:color="auto" w:fill="auto"/>
            <w:vAlign w:val="bottom"/>
          </w:tcPr>
          <w:p>
            <w:pPr>
              <w:pStyle w:val="121"/>
            </w:pPr>
            <w:r>
              <w:t>填表说明</w:t>
            </w:r>
          </w:p>
        </w:tc>
        <w:tc>
          <w:tcPr>
            <w:tcW w:w="250"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nil"/>
              <w:right w:val="single" w:color="auto" w:sz="4" w:space="0"/>
            </w:tcBorders>
            <w:shd w:val="clear" w:color="auto" w:fill="auto"/>
            <w:vAlign w:val="center"/>
          </w:tcPr>
          <w:p>
            <w:pPr>
              <w:pStyle w:val="121"/>
            </w:pPr>
            <w:r>
              <w:t>　</w:t>
            </w:r>
          </w:p>
        </w:tc>
        <w:tc>
          <w:tcPr>
            <w:tcW w:w="342" w:type="pct"/>
            <w:tcBorders>
              <w:top w:val="nil"/>
              <w:left w:val="nil"/>
              <w:bottom w:val="nil"/>
              <w:right w:val="single" w:color="auto" w:sz="4" w:space="0"/>
            </w:tcBorders>
            <w:shd w:val="clear" w:color="auto" w:fill="auto"/>
            <w:vAlign w:val="center"/>
          </w:tcPr>
          <w:p>
            <w:pPr>
              <w:pStyle w:val="121"/>
            </w:pPr>
            <w:r>
              <w:t>　</w:t>
            </w:r>
          </w:p>
        </w:tc>
        <w:tc>
          <w:tcPr>
            <w:tcW w:w="381" w:type="pct"/>
            <w:tcBorders>
              <w:top w:val="nil"/>
              <w:left w:val="nil"/>
              <w:bottom w:val="nil"/>
              <w:right w:val="nil"/>
            </w:tcBorders>
            <w:shd w:val="clear" w:color="auto" w:fill="auto"/>
            <w:vAlign w:val="center"/>
          </w:tcPr>
          <w:p>
            <w:pPr>
              <w:pStyle w:val="121"/>
            </w:pPr>
            <w:r>
              <w:t>　</w:t>
            </w:r>
          </w:p>
        </w:tc>
        <w:tc>
          <w:tcPr>
            <w:tcW w:w="3980" w:type="pct"/>
            <w:gridSpan w:val="14"/>
            <w:tcBorders>
              <w:top w:val="nil"/>
              <w:left w:val="nil"/>
              <w:bottom w:val="nil"/>
              <w:right w:val="single" w:color="auto" w:sz="4" w:space="0"/>
            </w:tcBorders>
            <w:shd w:val="clear" w:color="auto" w:fill="auto"/>
            <w:vAlign w:val="center"/>
          </w:tcPr>
          <w:p>
            <w:pPr>
              <w:pStyle w:val="121"/>
            </w:pPr>
            <w:r>
              <w:t>乙栏：按会议名称逐次填列。</w:t>
            </w: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nil"/>
              <w:right w:val="single" w:color="auto" w:sz="4" w:space="0"/>
            </w:tcBorders>
            <w:shd w:val="clear" w:color="auto" w:fill="auto"/>
            <w:vAlign w:val="center"/>
          </w:tcPr>
          <w:p>
            <w:pPr>
              <w:pStyle w:val="121"/>
            </w:pPr>
            <w:r>
              <w:t>　</w:t>
            </w:r>
          </w:p>
        </w:tc>
        <w:tc>
          <w:tcPr>
            <w:tcW w:w="342" w:type="pct"/>
            <w:tcBorders>
              <w:top w:val="nil"/>
              <w:left w:val="nil"/>
              <w:bottom w:val="nil"/>
              <w:right w:val="single" w:color="auto" w:sz="4" w:space="0"/>
            </w:tcBorders>
            <w:shd w:val="clear" w:color="auto" w:fill="auto"/>
            <w:vAlign w:val="center"/>
          </w:tcPr>
          <w:p>
            <w:pPr>
              <w:pStyle w:val="121"/>
            </w:pPr>
            <w:r>
              <w:t>　</w:t>
            </w:r>
          </w:p>
        </w:tc>
        <w:tc>
          <w:tcPr>
            <w:tcW w:w="381" w:type="pct"/>
            <w:tcBorders>
              <w:top w:val="nil"/>
              <w:left w:val="nil"/>
              <w:bottom w:val="nil"/>
              <w:right w:val="nil"/>
            </w:tcBorders>
            <w:shd w:val="clear" w:color="auto" w:fill="auto"/>
            <w:vAlign w:val="center"/>
          </w:tcPr>
          <w:p>
            <w:pPr>
              <w:pStyle w:val="121"/>
            </w:pPr>
            <w:r>
              <w:t>　</w:t>
            </w:r>
          </w:p>
        </w:tc>
        <w:tc>
          <w:tcPr>
            <w:tcW w:w="3980" w:type="pct"/>
            <w:gridSpan w:val="14"/>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nil"/>
              <w:right w:val="single" w:color="auto" w:sz="4" w:space="0"/>
            </w:tcBorders>
            <w:shd w:val="clear" w:color="auto" w:fill="auto"/>
            <w:vAlign w:val="center"/>
          </w:tcPr>
          <w:p>
            <w:pPr>
              <w:pStyle w:val="121"/>
            </w:pPr>
            <w:r>
              <w:t>　</w:t>
            </w:r>
          </w:p>
        </w:tc>
        <w:tc>
          <w:tcPr>
            <w:tcW w:w="342" w:type="pct"/>
            <w:tcBorders>
              <w:top w:val="nil"/>
              <w:left w:val="nil"/>
              <w:bottom w:val="nil"/>
              <w:right w:val="single" w:color="auto" w:sz="4" w:space="0"/>
            </w:tcBorders>
            <w:shd w:val="clear" w:color="auto" w:fill="auto"/>
            <w:vAlign w:val="center"/>
          </w:tcPr>
          <w:p>
            <w:pPr>
              <w:pStyle w:val="121"/>
            </w:pPr>
            <w:r>
              <w:t>　</w:t>
            </w:r>
          </w:p>
        </w:tc>
        <w:tc>
          <w:tcPr>
            <w:tcW w:w="381" w:type="pct"/>
            <w:tcBorders>
              <w:top w:val="nil"/>
              <w:left w:val="nil"/>
              <w:bottom w:val="nil"/>
              <w:right w:val="nil"/>
            </w:tcBorders>
            <w:shd w:val="clear" w:color="auto" w:fill="auto"/>
          </w:tcPr>
          <w:p>
            <w:pPr>
              <w:pStyle w:val="121"/>
            </w:pPr>
            <w:r>
              <w:t>　</w:t>
            </w:r>
          </w:p>
        </w:tc>
        <w:tc>
          <w:tcPr>
            <w:tcW w:w="332" w:type="pct"/>
            <w:tcBorders>
              <w:top w:val="nil"/>
              <w:left w:val="nil"/>
              <w:bottom w:val="nil"/>
              <w:right w:val="nil"/>
            </w:tcBorders>
            <w:shd w:val="clear" w:color="auto" w:fill="auto"/>
            <w:vAlign w:val="center"/>
          </w:tcPr>
          <w:p>
            <w:pPr>
              <w:pStyle w:val="121"/>
            </w:pPr>
          </w:p>
        </w:tc>
        <w:tc>
          <w:tcPr>
            <w:tcW w:w="398" w:type="pct"/>
            <w:tcBorders>
              <w:top w:val="nil"/>
              <w:left w:val="nil"/>
              <w:bottom w:val="nil"/>
              <w:right w:val="nil"/>
            </w:tcBorders>
            <w:shd w:val="clear" w:color="auto" w:fill="auto"/>
            <w:vAlign w:val="center"/>
          </w:tcPr>
          <w:p>
            <w:pPr>
              <w:pStyle w:val="121"/>
            </w:pPr>
          </w:p>
        </w:tc>
        <w:tc>
          <w:tcPr>
            <w:tcW w:w="398" w:type="pct"/>
            <w:tcBorders>
              <w:top w:val="nil"/>
              <w:left w:val="nil"/>
              <w:bottom w:val="nil"/>
              <w:right w:val="nil"/>
            </w:tcBorders>
            <w:shd w:val="clear" w:color="auto" w:fill="auto"/>
            <w:vAlign w:val="center"/>
          </w:tcPr>
          <w:p>
            <w:pPr>
              <w:pStyle w:val="121"/>
            </w:pPr>
          </w:p>
        </w:tc>
        <w:tc>
          <w:tcPr>
            <w:tcW w:w="262" w:type="pct"/>
            <w:tcBorders>
              <w:top w:val="nil"/>
              <w:left w:val="nil"/>
              <w:bottom w:val="nil"/>
              <w:right w:val="nil"/>
            </w:tcBorders>
            <w:shd w:val="clear" w:color="auto" w:fill="auto"/>
            <w:vAlign w:val="center"/>
          </w:tcPr>
          <w:p>
            <w:pPr>
              <w:pStyle w:val="121"/>
            </w:pPr>
          </w:p>
        </w:tc>
        <w:tc>
          <w:tcPr>
            <w:tcW w:w="459" w:type="pct"/>
            <w:tcBorders>
              <w:top w:val="nil"/>
              <w:left w:val="nil"/>
              <w:bottom w:val="nil"/>
              <w:right w:val="nil"/>
            </w:tcBorders>
            <w:shd w:val="clear" w:color="auto" w:fill="auto"/>
            <w:vAlign w:val="center"/>
          </w:tcPr>
          <w:p>
            <w:pPr>
              <w:pStyle w:val="121"/>
            </w:pPr>
          </w:p>
        </w:tc>
        <w:tc>
          <w:tcPr>
            <w:tcW w:w="231" w:type="pct"/>
            <w:tcBorders>
              <w:top w:val="nil"/>
              <w:left w:val="nil"/>
              <w:bottom w:val="nil"/>
              <w:right w:val="nil"/>
            </w:tcBorders>
            <w:shd w:val="clear" w:color="auto" w:fill="auto"/>
            <w:vAlign w:val="center"/>
          </w:tcPr>
          <w:p>
            <w:pPr>
              <w:pStyle w:val="121"/>
            </w:pPr>
          </w:p>
        </w:tc>
        <w:tc>
          <w:tcPr>
            <w:tcW w:w="459" w:type="pct"/>
            <w:gridSpan w:val="2"/>
            <w:tcBorders>
              <w:top w:val="nil"/>
              <w:left w:val="nil"/>
              <w:bottom w:val="nil"/>
              <w:right w:val="nil"/>
            </w:tcBorders>
            <w:shd w:val="clear" w:color="auto" w:fill="auto"/>
            <w:vAlign w:val="center"/>
          </w:tcPr>
          <w:p>
            <w:pPr>
              <w:pStyle w:val="121"/>
            </w:pPr>
          </w:p>
        </w:tc>
        <w:tc>
          <w:tcPr>
            <w:tcW w:w="209" w:type="pct"/>
            <w:tcBorders>
              <w:top w:val="nil"/>
              <w:left w:val="nil"/>
              <w:bottom w:val="nil"/>
              <w:right w:val="nil"/>
            </w:tcBorders>
            <w:shd w:val="clear" w:color="auto" w:fill="auto"/>
            <w:vAlign w:val="center"/>
          </w:tcPr>
          <w:p>
            <w:pPr>
              <w:pStyle w:val="121"/>
            </w:pPr>
          </w:p>
        </w:tc>
        <w:tc>
          <w:tcPr>
            <w:tcW w:w="223" w:type="pct"/>
            <w:tcBorders>
              <w:top w:val="nil"/>
              <w:left w:val="nil"/>
              <w:bottom w:val="nil"/>
              <w:right w:val="nil"/>
            </w:tcBorders>
            <w:shd w:val="clear" w:color="auto" w:fill="auto"/>
            <w:vAlign w:val="center"/>
          </w:tcPr>
          <w:p>
            <w:pPr>
              <w:pStyle w:val="121"/>
            </w:pPr>
          </w:p>
        </w:tc>
        <w:tc>
          <w:tcPr>
            <w:tcW w:w="309" w:type="pct"/>
            <w:tcBorders>
              <w:top w:val="nil"/>
              <w:left w:val="nil"/>
              <w:bottom w:val="nil"/>
              <w:right w:val="nil"/>
            </w:tcBorders>
            <w:shd w:val="clear" w:color="auto" w:fill="auto"/>
            <w:vAlign w:val="center"/>
          </w:tcPr>
          <w:p>
            <w:pPr>
              <w:pStyle w:val="121"/>
            </w:pPr>
          </w:p>
        </w:tc>
        <w:tc>
          <w:tcPr>
            <w:tcW w:w="231" w:type="pct"/>
            <w:tcBorders>
              <w:top w:val="nil"/>
              <w:left w:val="nil"/>
              <w:bottom w:val="nil"/>
              <w:right w:val="nil"/>
            </w:tcBorders>
            <w:shd w:val="clear" w:color="auto" w:fill="auto"/>
            <w:vAlign w:val="center"/>
          </w:tcPr>
          <w:p>
            <w:pPr>
              <w:pStyle w:val="121"/>
            </w:pPr>
          </w:p>
        </w:tc>
        <w:tc>
          <w:tcPr>
            <w:tcW w:w="211" w:type="pct"/>
            <w:tcBorders>
              <w:top w:val="nil"/>
              <w:left w:val="nil"/>
              <w:bottom w:val="nil"/>
              <w:right w:val="nil"/>
            </w:tcBorders>
            <w:shd w:val="clear" w:color="auto" w:fill="auto"/>
            <w:vAlign w:val="center"/>
          </w:tcPr>
          <w:p>
            <w:pPr>
              <w:pStyle w:val="121"/>
            </w:pPr>
          </w:p>
        </w:tc>
        <w:tc>
          <w:tcPr>
            <w:tcW w:w="250"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342" w:type="pct"/>
            <w:tcBorders>
              <w:top w:val="nil"/>
              <w:left w:val="nil"/>
              <w:bottom w:val="single" w:color="auto" w:sz="4" w:space="0"/>
              <w:right w:val="single" w:color="auto" w:sz="4" w:space="0"/>
            </w:tcBorders>
            <w:shd w:val="clear" w:color="auto" w:fill="auto"/>
            <w:vAlign w:val="center"/>
          </w:tcPr>
          <w:p>
            <w:pPr>
              <w:pStyle w:val="121"/>
            </w:pPr>
            <w:r>
              <w:t>　</w:t>
            </w:r>
          </w:p>
        </w:tc>
        <w:tc>
          <w:tcPr>
            <w:tcW w:w="381" w:type="pct"/>
            <w:tcBorders>
              <w:top w:val="nil"/>
              <w:left w:val="nil"/>
              <w:bottom w:val="single" w:color="auto" w:sz="4" w:space="0"/>
              <w:right w:val="nil"/>
            </w:tcBorders>
            <w:shd w:val="clear" w:color="auto" w:fill="auto"/>
            <w:vAlign w:val="center"/>
          </w:tcPr>
          <w:p>
            <w:pPr>
              <w:pStyle w:val="121"/>
            </w:pPr>
            <w:r>
              <w:t>　</w:t>
            </w:r>
          </w:p>
        </w:tc>
        <w:tc>
          <w:tcPr>
            <w:tcW w:w="332" w:type="pct"/>
            <w:tcBorders>
              <w:top w:val="nil"/>
              <w:left w:val="nil"/>
              <w:bottom w:val="single" w:color="auto" w:sz="4" w:space="0"/>
              <w:right w:val="nil"/>
            </w:tcBorders>
            <w:shd w:val="clear" w:color="auto" w:fill="auto"/>
            <w:vAlign w:val="center"/>
          </w:tcPr>
          <w:p>
            <w:pPr>
              <w:pStyle w:val="121"/>
            </w:pPr>
            <w:r>
              <w:t>　</w:t>
            </w:r>
          </w:p>
        </w:tc>
        <w:tc>
          <w:tcPr>
            <w:tcW w:w="398" w:type="pct"/>
            <w:tcBorders>
              <w:top w:val="nil"/>
              <w:left w:val="nil"/>
              <w:bottom w:val="single" w:color="auto" w:sz="4" w:space="0"/>
              <w:right w:val="nil"/>
            </w:tcBorders>
            <w:shd w:val="clear" w:color="auto" w:fill="auto"/>
            <w:vAlign w:val="center"/>
          </w:tcPr>
          <w:p>
            <w:pPr>
              <w:pStyle w:val="121"/>
            </w:pPr>
            <w:r>
              <w:t>　</w:t>
            </w:r>
          </w:p>
        </w:tc>
        <w:tc>
          <w:tcPr>
            <w:tcW w:w="398" w:type="pct"/>
            <w:tcBorders>
              <w:top w:val="nil"/>
              <w:left w:val="nil"/>
              <w:bottom w:val="single" w:color="auto" w:sz="4" w:space="0"/>
              <w:right w:val="nil"/>
            </w:tcBorders>
            <w:shd w:val="clear" w:color="auto" w:fill="auto"/>
            <w:vAlign w:val="center"/>
          </w:tcPr>
          <w:p>
            <w:pPr>
              <w:pStyle w:val="121"/>
            </w:pPr>
            <w:r>
              <w:t>　</w:t>
            </w:r>
          </w:p>
        </w:tc>
        <w:tc>
          <w:tcPr>
            <w:tcW w:w="262" w:type="pct"/>
            <w:tcBorders>
              <w:top w:val="nil"/>
              <w:left w:val="nil"/>
              <w:bottom w:val="single" w:color="auto" w:sz="4" w:space="0"/>
              <w:right w:val="nil"/>
            </w:tcBorders>
            <w:shd w:val="clear" w:color="auto" w:fill="auto"/>
            <w:vAlign w:val="center"/>
          </w:tcPr>
          <w:p>
            <w:pPr>
              <w:pStyle w:val="121"/>
            </w:pPr>
            <w:r>
              <w:t>　</w:t>
            </w:r>
          </w:p>
        </w:tc>
        <w:tc>
          <w:tcPr>
            <w:tcW w:w="459" w:type="pct"/>
            <w:tcBorders>
              <w:top w:val="nil"/>
              <w:left w:val="nil"/>
              <w:bottom w:val="single" w:color="auto" w:sz="4" w:space="0"/>
              <w:right w:val="nil"/>
            </w:tcBorders>
            <w:shd w:val="clear" w:color="auto" w:fill="auto"/>
            <w:vAlign w:val="center"/>
          </w:tcPr>
          <w:p>
            <w:pPr>
              <w:pStyle w:val="121"/>
            </w:pPr>
            <w:r>
              <w:t>　</w:t>
            </w:r>
          </w:p>
        </w:tc>
        <w:tc>
          <w:tcPr>
            <w:tcW w:w="231" w:type="pct"/>
            <w:tcBorders>
              <w:top w:val="nil"/>
              <w:left w:val="nil"/>
              <w:bottom w:val="single" w:color="auto" w:sz="4" w:space="0"/>
              <w:right w:val="nil"/>
            </w:tcBorders>
            <w:shd w:val="clear" w:color="auto" w:fill="auto"/>
            <w:vAlign w:val="center"/>
          </w:tcPr>
          <w:p>
            <w:pPr>
              <w:pStyle w:val="121"/>
            </w:pPr>
            <w:r>
              <w:t>　</w:t>
            </w:r>
          </w:p>
        </w:tc>
        <w:tc>
          <w:tcPr>
            <w:tcW w:w="459" w:type="pct"/>
            <w:gridSpan w:val="2"/>
            <w:tcBorders>
              <w:top w:val="nil"/>
              <w:left w:val="nil"/>
              <w:bottom w:val="single" w:color="auto" w:sz="4" w:space="0"/>
              <w:right w:val="nil"/>
            </w:tcBorders>
            <w:shd w:val="clear" w:color="auto" w:fill="auto"/>
            <w:vAlign w:val="center"/>
          </w:tcPr>
          <w:p>
            <w:pPr>
              <w:pStyle w:val="121"/>
            </w:pPr>
            <w:r>
              <w:t>　</w:t>
            </w:r>
          </w:p>
        </w:tc>
        <w:tc>
          <w:tcPr>
            <w:tcW w:w="209" w:type="pct"/>
            <w:tcBorders>
              <w:top w:val="nil"/>
              <w:left w:val="nil"/>
              <w:bottom w:val="single" w:color="auto" w:sz="4" w:space="0"/>
              <w:right w:val="nil"/>
            </w:tcBorders>
            <w:shd w:val="clear" w:color="auto" w:fill="auto"/>
            <w:vAlign w:val="center"/>
          </w:tcPr>
          <w:p>
            <w:pPr>
              <w:pStyle w:val="121"/>
            </w:pPr>
            <w:r>
              <w:t>　</w:t>
            </w:r>
          </w:p>
        </w:tc>
        <w:tc>
          <w:tcPr>
            <w:tcW w:w="223" w:type="pct"/>
            <w:tcBorders>
              <w:top w:val="nil"/>
              <w:left w:val="nil"/>
              <w:bottom w:val="single" w:color="auto" w:sz="4" w:space="0"/>
              <w:right w:val="nil"/>
            </w:tcBorders>
            <w:shd w:val="clear" w:color="auto" w:fill="auto"/>
            <w:vAlign w:val="center"/>
          </w:tcPr>
          <w:p>
            <w:pPr>
              <w:pStyle w:val="121"/>
            </w:pPr>
            <w:r>
              <w:t>　</w:t>
            </w:r>
          </w:p>
        </w:tc>
        <w:tc>
          <w:tcPr>
            <w:tcW w:w="309" w:type="pct"/>
            <w:tcBorders>
              <w:top w:val="nil"/>
              <w:left w:val="nil"/>
              <w:bottom w:val="single" w:color="auto" w:sz="4" w:space="0"/>
              <w:right w:val="nil"/>
            </w:tcBorders>
            <w:shd w:val="clear" w:color="auto" w:fill="auto"/>
            <w:vAlign w:val="center"/>
          </w:tcPr>
          <w:p>
            <w:pPr>
              <w:pStyle w:val="121"/>
            </w:pPr>
            <w:r>
              <w:t>　</w:t>
            </w:r>
          </w:p>
        </w:tc>
        <w:tc>
          <w:tcPr>
            <w:tcW w:w="231" w:type="pct"/>
            <w:tcBorders>
              <w:top w:val="nil"/>
              <w:left w:val="nil"/>
              <w:bottom w:val="single" w:color="auto" w:sz="4" w:space="0"/>
              <w:right w:val="nil"/>
            </w:tcBorders>
            <w:shd w:val="clear" w:color="auto" w:fill="auto"/>
            <w:vAlign w:val="center"/>
          </w:tcPr>
          <w:p>
            <w:pPr>
              <w:pStyle w:val="121"/>
            </w:pPr>
            <w:r>
              <w:t>　</w:t>
            </w:r>
          </w:p>
        </w:tc>
        <w:tc>
          <w:tcPr>
            <w:tcW w:w="211" w:type="pct"/>
            <w:tcBorders>
              <w:top w:val="nil"/>
              <w:left w:val="nil"/>
              <w:bottom w:val="single" w:color="auto" w:sz="4" w:space="0"/>
              <w:right w:val="nil"/>
            </w:tcBorders>
            <w:shd w:val="clear" w:color="auto" w:fill="auto"/>
            <w:vAlign w:val="center"/>
          </w:tcPr>
          <w:p>
            <w:pPr>
              <w:pStyle w:val="121"/>
            </w:pPr>
            <w:r>
              <w:t>　</w:t>
            </w:r>
          </w:p>
        </w:tc>
        <w:tc>
          <w:tcPr>
            <w:tcW w:w="250"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342" w:type="pct"/>
            <w:tcBorders>
              <w:top w:val="nil"/>
              <w:left w:val="nil"/>
              <w:bottom w:val="single" w:color="auto" w:sz="4" w:space="0"/>
              <w:right w:val="single" w:color="auto" w:sz="4" w:space="0"/>
            </w:tcBorders>
            <w:shd w:val="clear" w:color="auto" w:fill="auto"/>
            <w:vAlign w:val="center"/>
          </w:tcPr>
          <w:p>
            <w:pPr>
              <w:pStyle w:val="121"/>
            </w:pPr>
            <w:r>
              <w:t>合计</w:t>
            </w:r>
          </w:p>
        </w:tc>
        <w:tc>
          <w:tcPr>
            <w:tcW w:w="381" w:type="pct"/>
            <w:tcBorders>
              <w:top w:val="nil"/>
              <w:left w:val="nil"/>
              <w:bottom w:val="single" w:color="auto" w:sz="4" w:space="0"/>
              <w:right w:val="nil"/>
            </w:tcBorders>
            <w:shd w:val="clear" w:color="auto" w:fill="auto"/>
            <w:vAlign w:val="center"/>
          </w:tcPr>
          <w:p>
            <w:pPr>
              <w:pStyle w:val="121"/>
            </w:pPr>
            <w:r>
              <w:t>　</w:t>
            </w:r>
          </w:p>
        </w:tc>
        <w:tc>
          <w:tcPr>
            <w:tcW w:w="332" w:type="pct"/>
            <w:tcBorders>
              <w:top w:val="nil"/>
              <w:left w:val="nil"/>
              <w:bottom w:val="single" w:color="auto" w:sz="4" w:space="0"/>
              <w:right w:val="nil"/>
            </w:tcBorders>
            <w:shd w:val="clear" w:color="auto" w:fill="auto"/>
            <w:vAlign w:val="center"/>
          </w:tcPr>
          <w:p>
            <w:pPr>
              <w:pStyle w:val="121"/>
            </w:pPr>
            <w:r>
              <w:t>　</w:t>
            </w:r>
          </w:p>
        </w:tc>
        <w:tc>
          <w:tcPr>
            <w:tcW w:w="398" w:type="pct"/>
            <w:tcBorders>
              <w:top w:val="nil"/>
              <w:left w:val="nil"/>
              <w:bottom w:val="single" w:color="auto" w:sz="4" w:space="0"/>
              <w:right w:val="nil"/>
            </w:tcBorders>
            <w:shd w:val="clear" w:color="auto" w:fill="auto"/>
            <w:vAlign w:val="center"/>
          </w:tcPr>
          <w:p>
            <w:pPr>
              <w:pStyle w:val="121"/>
            </w:pPr>
            <w:r>
              <w:t>　</w:t>
            </w:r>
          </w:p>
        </w:tc>
        <w:tc>
          <w:tcPr>
            <w:tcW w:w="398" w:type="pct"/>
            <w:tcBorders>
              <w:top w:val="nil"/>
              <w:left w:val="nil"/>
              <w:bottom w:val="single" w:color="auto" w:sz="4" w:space="0"/>
              <w:right w:val="nil"/>
            </w:tcBorders>
            <w:shd w:val="clear" w:color="auto" w:fill="auto"/>
            <w:vAlign w:val="center"/>
          </w:tcPr>
          <w:p>
            <w:pPr>
              <w:pStyle w:val="121"/>
            </w:pPr>
            <w:r>
              <w:t>　</w:t>
            </w:r>
          </w:p>
        </w:tc>
        <w:tc>
          <w:tcPr>
            <w:tcW w:w="262" w:type="pct"/>
            <w:tcBorders>
              <w:top w:val="nil"/>
              <w:left w:val="nil"/>
              <w:bottom w:val="single" w:color="auto" w:sz="4" w:space="0"/>
              <w:right w:val="nil"/>
            </w:tcBorders>
            <w:shd w:val="clear" w:color="auto" w:fill="auto"/>
            <w:vAlign w:val="center"/>
          </w:tcPr>
          <w:p>
            <w:pPr>
              <w:pStyle w:val="121"/>
            </w:pPr>
            <w:r>
              <w:t>　</w:t>
            </w:r>
          </w:p>
        </w:tc>
        <w:tc>
          <w:tcPr>
            <w:tcW w:w="459" w:type="pct"/>
            <w:tcBorders>
              <w:top w:val="nil"/>
              <w:left w:val="nil"/>
              <w:bottom w:val="single" w:color="auto" w:sz="4" w:space="0"/>
              <w:right w:val="nil"/>
            </w:tcBorders>
            <w:shd w:val="clear" w:color="auto" w:fill="auto"/>
            <w:vAlign w:val="center"/>
          </w:tcPr>
          <w:p>
            <w:pPr>
              <w:pStyle w:val="121"/>
            </w:pPr>
            <w:r>
              <w:t>　</w:t>
            </w:r>
          </w:p>
        </w:tc>
        <w:tc>
          <w:tcPr>
            <w:tcW w:w="231" w:type="pct"/>
            <w:tcBorders>
              <w:top w:val="nil"/>
              <w:left w:val="nil"/>
              <w:bottom w:val="single" w:color="auto" w:sz="4" w:space="0"/>
              <w:right w:val="nil"/>
            </w:tcBorders>
            <w:shd w:val="clear" w:color="auto" w:fill="auto"/>
            <w:vAlign w:val="center"/>
          </w:tcPr>
          <w:p>
            <w:pPr>
              <w:pStyle w:val="121"/>
            </w:pPr>
            <w:r>
              <w:t>　</w:t>
            </w:r>
          </w:p>
        </w:tc>
        <w:tc>
          <w:tcPr>
            <w:tcW w:w="459" w:type="pct"/>
            <w:gridSpan w:val="2"/>
            <w:tcBorders>
              <w:top w:val="nil"/>
              <w:left w:val="nil"/>
              <w:bottom w:val="single" w:color="auto" w:sz="4" w:space="0"/>
              <w:right w:val="nil"/>
            </w:tcBorders>
            <w:shd w:val="clear" w:color="auto" w:fill="auto"/>
            <w:vAlign w:val="center"/>
          </w:tcPr>
          <w:p>
            <w:pPr>
              <w:pStyle w:val="121"/>
            </w:pPr>
            <w:r>
              <w:t>　</w:t>
            </w:r>
          </w:p>
        </w:tc>
        <w:tc>
          <w:tcPr>
            <w:tcW w:w="209" w:type="pct"/>
            <w:tcBorders>
              <w:top w:val="nil"/>
              <w:left w:val="nil"/>
              <w:bottom w:val="single" w:color="auto" w:sz="4" w:space="0"/>
              <w:right w:val="nil"/>
            </w:tcBorders>
            <w:shd w:val="clear" w:color="auto" w:fill="auto"/>
            <w:vAlign w:val="center"/>
          </w:tcPr>
          <w:p>
            <w:pPr>
              <w:pStyle w:val="121"/>
            </w:pPr>
            <w:r>
              <w:t>　</w:t>
            </w:r>
          </w:p>
        </w:tc>
        <w:tc>
          <w:tcPr>
            <w:tcW w:w="223" w:type="pct"/>
            <w:tcBorders>
              <w:top w:val="nil"/>
              <w:left w:val="nil"/>
              <w:bottom w:val="single" w:color="auto" w:sz="4" w:space="0"/>
              <w:right w:val="nil"/>
            </w:tcBorders>
            <w:shd w:val="clear" w:color="auto" w:fill="auto"/>
            <w:vAlign w:val="center"/>
          </w:tcPr>
          <w:p>
            <w:pPr>
              <w:pStyle w:val="121"/>
            </w:pPr>
            <w:r>
              <w:t>　</w:t>
            </w:r>
          </w:p>
        </w:tc>
        <w:tc>
          <w:tcPr>
            <w:tcW w:w="309" w:type="pct"/>
            <w:tcBorders>
              <w:top w:val="nil"/>
              <w:left w:val="nil"/>
              <w:bottom w:val="single" w:color="auto" w:sz="4" w:space="0"/>
              <w:right w:val="nil"/>
            </w:tcBorders>
            <w:shd w:val="clear" w:color="auto" w:fill="auto"/>
            <w:vAlign w:val="center"/>
          </w:tcPr>
          <w:p>
            <w:pPr>
              <w:pStyle w:val="121"/>
            </w:pPr>
            <w:r>
              <w:t>　</w:t>
            </w:r>
          </w:p>
        </w:tc>
        <w:tc>
          <w:tcPr>
            <w:tcW w:w="231" w:type="pct"/>
            <w:tcBorders>
              <w:top w:val="nil"/>
              <w:left w:val="nil"/>
              <w:bottom w:val="single" w:color="auto" w:sz="4" w:space="0"/>
              <w:right w:val="nil"/>
            </w:tcBorders>
            <w:shd w:val="clear" w:color="auto" w:fill="auto"/>
            <w:vAlign w:val="center"/>
          </w:tcPr>
          <w:p>
            <w:pPr>
              <w:pStyle w:val="121"/>
            </w:pPr>
            <w:r>
              <w:t>　</w:t>
            </w:r>
          </w:p>
        </w:tc>
        <w:tc>
          <w:tcPr>
            <w:tcW w:w="211" w:type="pct"/>
            <w:tcBorders>
              <w:top w:val="nil"/>
              <w:left w:val="nil"/>
              <w:bottom w:val="single" w:color="auto" w:sz="4" w:space="0"/>
              <w:right w:val="nil"/>
            </w:tcBorders>
            <w:shd w:val="clear" w:color="auto" w:fill="auto"/>
            <w:vAlign w:val="center"/>
          </w:tcPr>
          <w:p>
            <w:pPr>
              <w:pStyle w:val="121"/>
            </w:pPr>
            <w:r>
              <w:t>　</w:t>
            </w:r>
          </w:p>
        </w:tc>
        <w:tc>
          <w:tcPr>
            <w:tcW w:w="250"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351" w:type="pct"/>
            <w:gridSpan w:val="4"/>
            <w:tcBorders>
              <w:top w:val="single" w:color="auto" w:sz="4" w:space="0"/>
              <w:left w:val="nil"/>
              <w:bottom w:val="nil"/>
              <w:right w:val="nil"/>
            </w:tcBorders>
            <w:shd w:val="clear" w:color="auto" w:fill="auto"/>
            <w:noWrap/>
            <w:vAlign w:val="bottom"/>
          </w:tcPr>
          <w:p>
            <w:pPr>
              <w:pStyle w:val="121"/>
              <w:jc w:val="both"/>
            </w:pPr>
            <w:r>
              <w:t>预算编制人：（签章）</w:t>
            </w:r>
          </w:p>
        </w:tc>
        <w:tc>
          <w:tcPr>
            <w:tcW w:w="398" w:type="pct"/>
            <w:tcBorders>
              <w:top w:val="nil"/>
              <w:left w:val="nil"/>
              <w:bottom w:val="nil"/>
              <w:right w:val="nil"/>
            </w:tcBorders>
            <w:shd w:val="clear" w:color="auto" w:fill="auto"/>
            <w:noWrap/>
            <w:vAlign w:val="bottom"/>
          </w:tcPr>
          <w:p>
            <w:pPr>
              <w:pStyle w:val="121"/>
              <w:jc w:val="both"/>
            </w:pPr>
          </w:p>
        </w:tc>
        <w:tc>
          <w:tcPr>
            <w:tcW w:w="398" w:type="pct"/>
            <w:tcBorders>
              <w:top w:val="nil"/>
              <w:left w:val="nil"/>
              <w:bottom w:val="nil"/>
              <w:right w:val="nil"/>
            </w:tcBorders>
            <w:shd w:val="clear" w:color="auto" w:fill="auto"/>
            <w:noWrap/>
            <w:vAlign w:val="bottom"/>
          </w:tcPr>
          <w:p>
            <w:pPr>
              <w:pStyle w:val="121"/>
              <w:jc w:val="both"/>
            </w:pPr>
          </w:p>
        </w:tc>
        <w:tc>
          <w:tcPr>
            <w:tcW w:w="262" w:type="pct"/>
            <w:tcBorders>
              <w:top w:val="nil"/>
              <w:left w:val="nil"/>
              <w:bottom w:val="nil"/>
              <w:right w:val="nil"/>
            </w:tcBorders>
            <w:shd w:val="clear" w:color="auto" w:fill="auto"/>
            <w:noWrap/>
            <w:vAlign w:val="bottom"/>
          </w:tcPr>
          <w:p>
            <w:pPr>
              <w:pStyle w:val="121"/>
              <w:jc w:val="both"/>
            </w:pPr>
          </w:p>
        </w:tc>
        <w:tc>
          <w:tcPr>
            <w:tcW w:w="459" w:type="pct"/>
            <w:tcBorders>
              <w:top w:val="nil"/>
              <w:left w:val="nil"/>
              <w:bottom w:val="nil"/>
              <w:right w:val="nil"/>
            </w:tcBorders>
            <w:shd w:val="clear" w:color="auto" w:fill="auto"/>
            <w:noWrap/>
            <w:vAlign w:val="bottom"/>
          </w:tcPr>
          <w:p>
            <w:pPr>
              <w:pStyle w:val="121"/>
              <w:jc w:val="both"/>
            </w:pPr>
          </w:p>
        </w:tc>
        <w:tc>
          <w:tcPr>
            <w:tcW w:w="231" w:type="pct"/>
            <w:tcBorders>
              <w:top w:val="nil"/>
              <w:left w:val="nil"/>
              <w:bottom w:val="nil"/>
              <w:right w:val="nil"/>
            </w:tcBorders>
            <w:shd w:val="clear" w:color="auto" w:fill="auto"/>
            <w:noWrap/>
            <w:vAlign w:val="bottom"/>
          </w:tcPr>
          <w:p>
            <w:pPr>
              <w:pStyle w:val="121"/>
              <w:jc w:val="both"/>
            </w:pPr>
          </w:p>
        </w:tc>
        <w:tc>
          <w:tcPr>
            <w:tcW w:w="255" w:type="pct"/>
            <w:tcBorders>
              <w:top w:val="nil"/>
              <w:left w:val="nil"/>
              <w:bottom w:val="nil"/>
              <w:right w:val="nil"/>
            </w:tcBorders>
            <w:shd w:val="clear" w:color="auto" w:fill="auto"/>
            <w:noWrap/>
            <w:vAlign w:val="bottom"/>
          </w:tcPr>
          <w:p>
            <w:pPr>
              <w:pStyle w:val="121"/>
              <w:jc w:val="both"/>
            </w:pPr>
          </w:p>
        </w:tc>
        <w:tc>
          <w:tcPr>
            <w:tcW w:w="1641" w:type="pct"/>
            <w:gridSpan w:val="7"/>
            <w:tcBorders>
              <w:top w:val="nil"/>
              <w:left w:val="nil"/>
              <w:bottom w:val="nil"/>
              <w:right w:val="nil"/>
            </w:tcBorders>
            <w:shd w:val="clear" w:color="auto" w:fill="auto"/>
            <w:noWrap/>
            <w:vAlign w:val="bottom"/>
          </w:tcPr>
          <w:p>
            <w:pPr>
              <w:pStyle w:val="121"/>
              <w:jc w:val="both"/>
            </w:pPr>
            <w:r>
              <w:t>预算审核人：（签章）</w:t>
            </w:r>
          </w:p>
        </w:tc>
      </w:tr>
    </w:tbl>
    <w:p>
      <w:pPr>
        <w:pStyle w:val="121"/>
      </w:pPr>
    </w:p>
    <w:p>
      <w:pPr>
        <w:pStyle w:val="121"/>
      </w:pPr>
      <w:r>
        <w:br w:type="page"/>
      </w:r>
    </w:p>
    <w:p>
      <w:pPr>
        <w:pStyle w:val="121"/>
      </w:pPr>
    </w:p>
    <w:p>
      <w:pPr>
        <w:pStyle w:val="121"/>
        <w:jc w:val="right"/>
      </w:pPr>
      <w:r>
        <w:t>预工附-11</w:t>
      </w:r>
    </w:p>
    <w:p>
      <w:pPr>
        <w:pStyle w:val="119"/>
      </w:pPr>
      <w:r>
        <w:t>培训费预算明细表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5000" w:type="pct"/>
        <w:jc w:val="center"/>
        <w:tblLayout w:type="autofit"/>
        <w:tblCellMar>
          <w:top w:w="0" w:type="dxa"/>
          <w:left w:w="108" w:type="dxa"/>
          <w:bottom w:w="0" w:type="dxa"/>
          <w:right w:w="108" w:type="dxa"/>
        </w:tblCellMar>
      </w:tblPr>
      <w:tblGrid>
        <w:gridCol w:w="521"/>
        <w:gridCol w:w="617"/>
        <w:gridCol w:w="379"/>
        <w:gridCol w:w="302"/>
        <w:gridCol w:w="379"/>
        <w:gridCol w:w="209"/>
        <w:gridCol w:w="772"/>
        <w:gridCol w:w="772"/>
        <w:gridCol w:w="379"/>
        <w:gridCol w:w="78"/>
        <w:gridCol w:w="839"/>
        <w:gridCol w:w="406"/>
        <w:gridCol w:w="839"/>
        <w:gridCol w:w="404"/>
        <w:gridCol w:w="404"/>
        <w:gridCol w:w="544"/>
        <w:gridCol w:w="408"/>
        <w:gridCol w:w="396"/>
        <w:gridCol w:w="415"/>
        <w:gridCol w:w="421"/>
      </w:tblGrid>
      <w:tr>
        <w:tblPrEx>
          <w:tblCellMar>
            <w:top w:w="0" w:type="dxa"/>
            <w:left w:w="108" w:type="dxa"/>
            <w:bottom w:w="0" w:type="dxa"/>
            <w:right w:w="108" w:type="dxa"/>
          </w:tblCellMar>
        </w:tblPrEx>
        <w:trPr>
          <w:trHeight w:val="510" w:hRule="atLeast"/>
          <w:jc w:val="center"/>
        </w:trPr>
        <w:tc>
          <w:tcPr>
            <w:tcW w:w="27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32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培训名称</w:t>
            </w:r>
          </w:p>
        </w:tc>
        <w:tc>
          <w:tcPr>
            <w:tcW w:w="359"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培训必要性说明</w:t>
            </w:r>
          </w:p>
        </w:tc>
        <w:tc>
          <w:tcPr>
            <w:tcW w:w="310"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培训主要内容</w:t>
            </w:r>
          </w:p>
        </w:tc>
        <w:tc>
          <w:tcPr>
            <w:tcW w:w="40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天数（日）</w:t>
            </w:r>
          </w:p>
        </w:tc>
        <w:tc>
          <w:tcPr>
            <w:tcW w:w="40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人数（人）</w:t>
            </w:r>
          </w:p>
        </w:tc>
        <w:tc>
          <w:tcPr>
            <w:tcW w:w="200" w:type="pct"/>
            <w:tcBorders>
              <w:top w:val="single" w:color="auto" w:sz="4" w:space="0"/>
              <w:left w:val="nil"/>
              <w:bottom w:val="single" w:color="auto" w:sz="4" w:space="0"/>
              <w:right w:val="nil"/>
            </w:tcBorders>
          </w:tcPr>
          <w:p>
            <w:pPr>
              <w:pStyle w:val="121"/>
            </w:pPr>
          </w:p>
        </w:tc>
        <w:tc>
          <w:tcPr>
            <w:tcW w:w="2494" w:type="pct"/>
            <w:gridSpan w:val="10"/>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2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275" w:type="pct"/>
            <w:vMerge w:val="continue"/>
            <w:tcBorders>
              <w:top w:val="single" w:color="auto" w:sz="4" w:space="0"/>
              <w:left w:val="single" w:color="auto" w:sz="4" w:space="0"/>
              <w:bottom w:val="single" w:color="auto" w:sz="4" w:space="0"/>
              <w:right w:val="single" w:color="auto" w:sz="4" w:space="0"/>
            </w:tcBorders>
            <w:vAlign w:val="center"/>
          </w:tcPr>
          <w:p/>
        </w:tc>
        <w:tc>
          <w:tcPr>
            <w:tcW w:w="325" w:type="pct"/>
            <w:vMerge w:val="continue"/>
            <w:tcBorders>
              <w:top w:val="single" w:color="auto" w:sz="4" w:space="0"/>
              <w:left w:val="single" w:color="auto" w:sz="4" w:space="0"/>
              <w:bottom w:val="single" w:color="auto" w:sz="4" w:space="0"/>
              <w:right w:val="single" w:color="auto" w:sz="4" w:space="0"/>
            </w:tcBorders>
            <w:vAlign w:val="center"/>
          </w:tcPr>
          <w:p/>
        </w:tc>
        <w:tc>
          <w:tcPr>
            <w:tcW w:w="359" w:type="pct"/>
            <w:gridSpan w:val="2"/>
            <w:vMerge w:val="continue"/>
            <w:tcBorders>
              <w:top w:val="single" w:color="auto" w:sz="4" w:space="0"/>
              <w:left w:val="single" w:color="auto" w:sz="4" w:space="0"/>
              <w:bottom w:val="single" w:color="auto" w:sz="4" w:space="0"/>
              <w:right w:val="single" w:color="auto" w:sz="4" w:space="0"/>
            </w:tcBorders>
            <w:vAlign w:val="center"/>
          </w:tcPr>
          <w:p/>
        </w:tc>
        <w:tc>
          <w:tcPr>
            <w:tcW w:w="309" w:type="pct"/>
            <w:gridSpan w:val="2"/>
            <w:vMerge w:val="continue"/>
            <w:tcBorders>
              <w:top w:val="single" w:color="auto" w:sz="4" w:space="0"/>
              <w:left w:val="single" w:color="auto" w:sz="4" w:space="0"/>
              <w:bottom w:val="single" w:color="auto" w:sz="4" w:space="0"/>
              <w:right w:val="single" w:color="auto" w:sz="4" w:space="0"/>
            </w:tcBorders>
            <w:vAlign w:val="center"/>
          </w:tcPr>
          <w:p/>
        </w:tc>
        <w:tc>
          <w:tcPr>
            <w:tcW w:w="407" w:type="pct"/>
            <w:vMerge w:val="continue"/>
            <w:tcBorders>
              <w:top w:val="single" w:color="auto" w:sz="4" w:space="0"/>
              <w:left w:val="single" w:color="auto" w:sz="4" w:space="0"/>
              <w:bottom w:val="single" w:color="auto" w:sz="4" w:space="0"/>
              <w:right w:val="single" w:color="auto" w:sz="4" w:space="0"/>
            </w:tcBorders>
            <w:vAlign w:val="center"/>
          </w:tcPr>
          <w:p/>
        </w:tc>
        <w:tc>
          <w:tcPr>
            <w:tcW w:w="407" w:type="pct"/>
            <w:vMerge w:val="continue"/>
            <w:tcBorders>
              <w:top w:val="single" w:color="auto" w:sz="4" w:space="0"/>
              <w:left w:val="single" w:color="auto" w:sz="4" w:space="0"/>
              <w:bottom w:val="single" w:color="auto" w:sz="4" w:space="0"/>
              <w:right w:val="single" w:color="auto" w:sz="4" w:space="0"/>
            </w:tcBorders>
            <w:vAlign w:val="center"/>
          </w:tcPr>
          <w:p/>
        </w:tc>
        <w:tc>
          <w:tcPr>
            <w:tcW w:w="241" w:type="pct"/>
            <w:gridSpan w:val="2"/>
            <w:vMerge w:val="restart"/>
            <w:tcBorders>
              <w:top w:val="nil"/>
              <w:left w:val="single" w:color="auto" w:sz="4" w:space="0"/>
              <w:bottom w:val="single" w:color="auto" w:sz="4" w:space="0"/>
              <w:right w:val="single" w:color="auto" w:sz="4" w:space="0"/>
            </w:tcBorders>
            <w:shd w:val="clear" w:color="auto" w:fill="auto"/>
            <w:vAlign w:val="center"/>
          </w:tcPr>
          <w:p>
            <w:pPr>
              <w:pStyle w:val="121"/>
            </w:pPr>
            <w:r>
              <w:t>合计</w:t>
            </w:r>
          </w:p>
        </w:tc>
        <w:tc>
          <w:tcPr>
            <w:tcW w:w="656"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住宿补贴</w:t>
            </w:r>
          </w:p>
        </w:tc>
        <w:tc>
          <w:tcPr>
            <w:tcW w:w="655"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伙食补贴</w:t>
            </w:r>
          </w:p>
        </w:tc>
        <w:tc>
          <w:tcPr>
            <w:tcW w:w="213"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交通费</w:t>
            </w:r>
          </w:p>
        </w:tc>
        <w:tc>
          <w:tcPr>
            <w:tcW w:w="287"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场地租金</w:t>
            </w:r>
          </w:p>
        </w:tc>
        <w:tc>
          <w:tcPr>
            <w:tcW w:w="215"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资料费</w:t>
            </w:r>
          </w:p>
        </w:tc>
        <w:tc>
          <w:tcPr>
            <w:tcW w:w="208" w:type="pct"/>
            <w:vMerge w:val="restart"/>
            <w:tcBorders>
              <w:top w:val="nil"/>
              <w:left w:val="single" w:color="auto" w:sz="4" w:space="0"/>
              <w:right w:val="single" w:color="auto" w:sz="4" w:space="0"/>
            </w:tcBorders>
            <w:vAlign w:val="center"/>
          </w:tcPr>
          <w:p>
            <w:pPr>
              <w:pStyle w:val="121"/>
            </w:pPr>
            <w:r>
              <w:t>师资费</w:t>
            </w:r>
          </w:p>
        </w:tc>
        <w:tc>
          <w:tcPr>
            <w:tcW w:w="218" w:type="pct"/>
            <w:vMerge w:val="restart"/>
            <w:tcBorders>
              <w:top w:val="nil"/>
              <w:left w:val="single" w:color="auto" w:sz="4" w:space="0"/>
              <w:bottom w:val="single" w:color="auto" w:sz="4" w:space="0"/>
              <w:right w:val="single" w:color="auto" w:sz="4" w:space="0"/>
            </w:tcBorders>
            <w:shd w:val="clear" w:color="auto" w:fill="auto"/>
            <w:vAlign w:val="center"/>
          </w:tcPr>
          <w:p>
            <w:pPr>
              <w:pStyle w:val="121"/>
            </w:pPr>
            <w:r>
              <w:t>其他</w:t>
            </w:r>
          </w:p>
        </w:tc>
        <w:tc>
          <w:tcPr>
            <w:tcW w:w="221" w:type="pct"/>
            <w:vMerge w:val="continue"/>
            <w:tcBorders>
              <w:top w:val="single" w:color="auto" w:sz="4" w:space="0"/>
              <w:left w:val="single" w:color="auto" w:sz="4" w:space="0"/>
              <w:bottom w:val="single" w:color="auto" w:sz="4" w:space="0"/>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275" w:type="pct"/>
            <w:vMerge w:val="continue"/>
            <w:tcBorders>
              <w:top w:val="single" w:color="auto" w:sz="4" w:space="0"/>
              <w:left w:val="single" w:color="auto" w:sz="4" w:space="0"/>
              <w:bottom w:val="single" w:color="auto" w:sz="4" w:space="0"/>
              <w:right w:val="single" w:color="auto" w:sz="4" w:space="0"/>
            </w:tcBorders>
            <w:vAlign w:val="center"/>
          </w:tcPr>
          <w:p/>
        </w:tc>
        <w:tc>
          <w:tcPr>
            <w:tcW w:w="325" w:type="pct"/>
            <w:vMerge w:val="continue"/>
            <w:tcBorders>
              <w:top w:val="single" w:color="auto" w:sz="4" w:space="0"/>
              <w:left w:val="single" w:color="auto" w:sz="4" w:space="0"/>
              <w:bottom w:val="single" w:color="auto" w:sz="4" w:space="0"/>
              <w:right w:val="single" w:color="auto" w:sz="4" w:space="0"/>
            </w:tcBorders>
            <w:vAlign w:val="center"/>
          </w:tcPr>
          <w:p/>
        </w:tc>
        <w:tc>
          <w:tcPr>
            <w:tcW w:w="359" w:type="pct"/>
            <w:gridSpan w:val="2"/>
            <w:vMerge w:val="continue"/>
            <w:tcBorders>
              <w:top w:val="single" w:color="auto" w:sz="4" w:space="0"/>
              <w:left w:val="single" w:color="auto" w:sz="4" w:space="0"/>
              <w:bottom w:val="single" w:color="auto" w:sz="4" w:space="0"/>
              <w:right w:val="single" w:color="auto" w:sz="4" w:space="0"/>
            </w:tcBorders>
            <w:vAlign w:val="center"/>
          </w:tcPr>
          <w:p/>
        </w:tc>
        <w:tc>
          <w:tcPr>
            <w:tcW w:w="309" w:type="pct"/>
            <w:gridSpan w:val="2"/>
            <w:vMerge w:val="continue"/>
            <w:tcBorders>
              <w:top w:val="single" w:color="auto" w:sz="4" w:space="0"/>
              <w:left w:val="single" w:color="auto" w:sz="4" w:space="0"/>
              <w:bottom w:val="single" w:color="auto" w:sz="4" w:space="0"/>
              <w:right w:val="single" w:color="auto" w:sz="4" w:space="0"/>
            </w:tcBorders>
            <w:vAlign w:val="center"/>
          </w:tcPr>
          <w:p/>
        </w:tc>
        <w:tc>
          <w:tcPr>
            <w:tcW w:w="407" w:type="pct"/>
            <w:vMerge w:val="continue"/>
            <w:tcBorders>
              <w:top w:val="single" w:color="auto" w:sz="4" w:space="0"/>
              <w:left w:val="single" w:color="auto" w:sz="4" w:space="0"/>
              <w:bottom w:val="single" w:color="auto" w:sz="4" w:space="0"/>
              <w:right w:val="single" w:color="auto" w:sz="4" w:space="0"/>
            </w:tcBorders>
            <w:vAlign w:val="center"/>
          </w:tcPr>
          <w:p/>
        </w:tc>
        <w:tc>
          <w:tcPr>
            <w:tcW w:w="407" w:type="pct"/>
            <w:vMerge w:val="continue"/>
            <w:tcBorders>
              <w:top w:val="single" w:color="auto" w:sz="4" w:space="0"/>
              <w:left w:val="single" w:color="auto" w:sz="4" w:space="0"/>
              <w:bottom w:val="single" w:color="auto" w:sz="4" w:space="0"/>
              <w:right w:val="single" w:color="auto" w:sz="4" w:space="0"/>
            </w:tcBorders>
            <w:vAlign w:val="center"/>
          </w:tcPr>
          <w:p/>
        </w:tc>
        <w:tc>
          <w:tcPr>
            <w:tcW w:w="241" w:type="pct"/>
            <w:gridSpan w:val="2"/>
            <w:vMerge w:val="continue"/>
            <w:tcBorders>
              <w:top w:val="nil"/>
              <w:left w:val="single" w:color="auto" w:sz="4" w:space="0"/>
              <w:bottom w:val="single" w:color="auto" w:sz="4" w:space="0"/>
              <w:right w:val="single" w:color="auto" w:sz="4" w:space="0"/>
            </w:tcBorders>
            <w:vAlign w:val="center"/>
          </w:tcPr>
          <w:p/>
        </w:tc>
        <w:tc>
          <w:tcPr>
            <w:tcW w:w="442" w:type="pct"/>
            <w:tcBorders>
              <w:top w:val="nil"/>
              <w:left w:val="nil"/>
              <w:bottom w:val="single" w:color="auto" w:sz="4" w:space="0"/>
              <w:right w:val="single" w:color="auto" w:sz="4" w:space="0"/>
            </w:tcBorders>
            <w:shd w:val="clear" w:color="auto" w:fill="auto"/>
            <w:vAlign w:val="center"/>
          </w:tcPr>
          <w:p>
            <w:pPr>
              <w:pStyle w:val="121"/>
            </w:pPr>
            <w:r>
              <w:t>补贴标准（元/人日）</w:t>
            </w:r>
          </w:p>
        </w:tc>
        <w:tc>
          <w:tcPr>
            <w:tcW w:w="214" w:type="pct"/>
            <w:tcBorders>
              <w:top w:val="nil"/>
              <w:left w:val="nil"/>
              <w:bottom w:val="single" w:color="auto" w:sz="4" w:space="0"/>
              <w:right w:val="single" w:color="auto" w:sz="4" w:space="0"/>
            </w:tcBorders>
            <w:shd w:val="clear" w:color="auto" w:fill="auto"/>
            <w:vAlign w:val="center"/>
          </w:tcPr>
          <w:p>
            <w:pPr>
              <w:pStyle w:val="121"/>
            </w:pPr>
            <w:r>
              <w:t>金额</w:t>
            </w:r>
          </w:p>
        </w:tc>
        <w:tc>
          <w:tcPr>
            <w:tcW w:w="442" w:type="pct"/>
            <w:tcBorders>
              <w:top w:val="nil"/>
              <w:left w:val="nil"/>
              <w:bottom w:val="single" w:color="auto" w:sz="4" w:space="0"/>
              <w:right w:val="single" w:color="auto" w:sz="4" w:space="0"/>
            </w:tcBorders>
            <w:shd w:val="clear" w:color="auto" w:fill="auto"/>
            <w:vAlign w:val="center"/>
          </w:tcPr>
          <w:p>
            <w:pPr>
              <w:pStyle w:val="121"/>
            </w:pPr>
            <w:r>
              <w:t>补贴标准（元/人日）</w:t>
            </w:r>
          </w:p>
        </w:tc>
        <w:tc>
          <w:tcPr>
            <w:tcW w:w="213" w:type="pct"/>
            <w:tcBorders>
              <w:top w:val="nil"/>
              <w:left w:val="nil"/>
              <w:bottom w:val="single" w:color="auto" w:sz="4" w:space="0"/>
              <w:right w:val="single" w:color="auto" w:sz="4" w:space="0"/>
            </w:tcBorders>
            <w:shd w:val="clear" w:color="auto" w:fill="auto"/>
            <w:vAlign w:val="center"/>
          </w:tcPr>
          <w:p>
            <w:pPr>
              <w:pStyle w:val="121"/>
            </w:pPr>
            <w:r>
              <w:t>金额</w:t>
            </w:r>
          </w:p>
        </w:tc>
        <w:tc>
          <w:tcPr>
            <w:tcW w:w="213" w:type="pct"/>
            <w:vMerge w:val="continue"/>
            <w:tcBorders>
              <w:top w:val="nil"/>
              <w:left w:val="single" w:color="auto" w:sz="4" w:space="0"/>
              <w:bottom w:val="single" w:color="auto" w:sz="4" w:space="0"/>
              <w:right w:val="single" w:color="auto" w:sz="4" w:space="0"/>
            </w:tcBorders>
            <w:vAlign w:val="center"/>
          </w:tcPr>
          <w:p/>
        </w:tc>
        <w:tc>
          <w:tcPr>
            <w:tcW w:w="287" w:type="pct"/>
            <w:vMerge w:val="continue"/>
            <w:tcBorders>
              <w:top w:val="nil"/>
              <w:left w:val="single" w:color="auto" w:sz="4" w:space="0"/>
              <w:bottom w:val="single" w:color="auto" w:sz="4" w:space="0"/>
              <w:right w:val="single" w:color="auto" w:sz="4" w:space="0"/>
            </w:tcBorders>
            <w:vAlign w:val="center"/>
          </w:tcPr>
          <w:p/>
        </w:tc>
        <w:tc>
          <w:tcPr>
            <w:tcW w:w="215" w:type="pct"/>
            <w:vMerge w:val="continue"/>
            <w:tcBorders>
              <w:top w:val="nil"/>
              <w:left w:val="single" w:color="auto" w:sz="4" w:space="0"/>
              <w:bottom w:val="single" w:color="auto" w:sz="4" w:space="0"/>
              <w:right w:val="single" w:color="auto" w:sz="4" w:space="0"/>
            </w:tcBorders>
            <w:vAlign w:val="center"/>
          </w:tcPr>
          <w:p/>
        </w:tc>
        <w:tc>
          <w:tcPr>
            <w:tcW w:w="208" w:type="pct"/>
            <w:vMerge w:val="continue"/>
            <w:tcBorders>
              <w:left w:val="single" w:color="auto" w:sz="4" w:space="0"/>
              <w:bottom w:val="single" w:color="auto" w:sz="4" w:space="0"/>
              <w:right w:val="single" w:color="auto" w:sz="4" w:space="0"/>
            </w:tcBorders>
          </w:tcPr>
          <w:p/>
        </w:tc>
        <w:tc>
          <w:tcPr>
            <w:tcW w:w="214" w:type="pct"/>
            <w:vMerge w:val="continue"/>
            <w:tcBorders>
              <w:top w:val="nil"/>
              <w:left w:val="single" w:color="auto" w:sz="4" w:space="0"/>
              <w:bottom w:val="single" w:color="auto" w:sz="4" w:space="0"/>
              <w:right w:val="single" w:color="auto" w:sz="4" w:space="0"/>
            </w:tcBorders>
            <w:vAlign w:val="center"/>
          </w:tcPr>
          <w:p/>
        </w:tc>
        <w:tc>
          <w:tcPr>
            <w:tcW w:w="221" w:type="pct"/>
            <w:vMerge w:val="continue"/>
            <w:tcBorders>
              <w:top w:val="single" w:color="auto" w:sz="4" w:space="0"/>
              <w:left w:val="single" w:color="auto" w:sz="4" w:space="0"/>
              <w:bottom w:val="single" w:color="auto" w:sz="4" w:space="0"/>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275"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325" w:type="pct"/>
            <w:tcBorders>
              <w:top w:val="nil"/>
              <w:left w:val="nil"/>
              <w:bottom w:val="single" w:color="auto" w:sz="4" w:space="0"/>
              <w:right w:val="single" w:color="auto" w:sz="4" w:space="0"/>
            </w:tcBorders>
            <w:shd w:val="clear" w:color="auto" w:fill="auto"/>
            <w:vAlign w:val="center"/>
          </w:tcPr>
          <w:p>
            <w:pPr>
              <w:pStyle w:val="121"/>
            </w:pPr>
            <w:r>
              <w:t>乙</w:t>
            </w:r>
          </w:p>
        </w:tc>
        <w:tc>
          <w:tcPr>
            <w:tcW w:w="359" w:type="pct"/>
            <w:gridSpan w:val="2"/>
            <w:tcBorders>
              <w:top w:val="nil"/>
              <w:left w:val="nil"/>
              <w:bottom w:val="single" w:color="auto" w:sz="4" w:space="0"/>
              <w:right w:val="single" w:color="auto" w:sz="4" w:space="0"/>
            </w:tcBorders>
            <w:shd w:val="clear" w:color="auto" w:fill="auto"/>
            <w:vAlign w:val="center"/>
          </w:tcPr>
          <w:p>
            <w:pPr>
              <w:pStyle w:val="121"/>
            </w:pPr>
            <w:r>
              <w:t>丙</w:t>
            </w:r>
          </w:p>
        </w:tc>
        <w:tc>
          <w:tcPr>
            <w:tcW w:w="310" w:type="pct"/>
            <w:gridSpan w:val="2"/>
            <w:tcBorders>
              <w:top w:val="nil"/>
              <w:left w:val="nil"/>
              <w:bottom w:val="single" w:color="auto" w:sz="4" w:space="0"/>
              <w:right w:val="single" w:color="auto" w:sz="4" w:space="0"/>
            </w:tcBorders>
            <w:shd w:val="clear" w:color="auto" w:fill="auto"/>
            <w:vAlign w:val="center"/>
          </w:tcPr>
          <w:p>
            <w:pPr>
              <w:pStyle w:val="121"/>
            </w:pPr>
            <w:r>
              <w:t>丁</w:t>
            </w:r>
          </w:p>
        </w:tc>
        <w:tc>
          <w:tcPr>
            <w:tcW w:w="407" w:type="pct"/>
            <w:tcBorders>
              <w:top w:val="nil"/>
              <w:left w:val="nil"/>
              <w:bottom w:val="single" w:color="auto" w:sz="4" w:space="0"/>
              <w:right w:val="single" w:color="auto" w:sz="4" w:space="0"/>
            </w:tcBorders>
            <w:shd w:val="clear" w:color="auto" w:fill="auto"/>
            <w:vAlign w:val="center"/>
          </w:tcPr>
          <w:p>
            <w:pPr>
              <w:pStyle w:val="121"/>
            </w:pPr>
            <w:r>
              <w:t>1</w:t>
            </w:r>
          </w:p>
        </w:tc>
        <w:tc>
          <w:tcPr>
            <w:tcW w:w="407" w:type="pct"/>
            <w:tcBorders>
              <w:top w:val="nil"/>
              <w:left w:val="nil"/>
              <w:bottom w:val="single" w:color="auto" w:sz="4" w:space="0"/>
              <w:right w:val="single" w:color="auto" w:sz="4" w:space="0"/>
            </w:tcBorders>
            <w:shd w:val="clear" w:color="auto" w:fill="auto"/>
            <w:vAlign w:val="center"/>
          </w:tcPr>
          <w:p>
            <w:pPr>
              <w:pStyle w:val="121"/>
            </w:pPr>
            <w:r>
              <w:t>2</w:t>
            </w:r>
          </w:p>
        </w:tc>
        <w:tc>
          <w:tcPr>
            <w:tcW w:w="241" w:type="pct"/>
            <w:gridSpan w:val="2"/>
            <w:tcBorders>
              <w:top w:val="nil"/>
              <w:left w:val="nil"/>
              <w:bottom w:val="single" w:color="auto" w:sz="4" w:space="0"/>
              <w:right w:val="single" w:color="auto" w:sz="4" w:space="0"/>
            </w:tcBorders>
            <w:shd w:val="clear" w:color="auto" w:fill="auto"/>
            <w:vAlign w:val="center"/>
          </w:tcPr>
          <w:p>
            <w:pPr>
              <w:pStyle w:val="121"/>
            </w:pPr>
            <w:r>
              <w:t>3</w:t>
            </w:r>
          </w:p>
        </w:tc>
        <w:tc>
          <w:tcPr>
            <w:tcW w:w="442" w:type="pct"/>
            <w:tcBorders>
              <w:top w:val="nil"/>
              <w:left w:val="nil"/>
              <w:bottom w:val="single" w:color="auto" w:sz="4" w:space="0"/>
              <w:right w:val="single" w:color="auto" w:sz="4" w:space="0"/>
            </w:tcBorders>
            <w:shd w:val="clear" w:color="auto" w:fill="auto"/>
            <w:vAlign w:val="center"/>
          </w:tcPr>
          <w:p>
            <w:pPr>
              <w:pStyle w:val="121"/>
            </w:pPr>
            <w:r>
              <w:t>4</w:t>
            </w:r>
          </w:p>
        </w:tc>
        <w:tc>
          <w:tcPr>
            <w:tcW w:w="214" w:type="pct"/>
            <w:tcBorders>
              <w:top w:val="nil"/>
              <w:left w:val="nil"/>
              <w:bottom w:val="single" w:color="auto" w:sz="4" w:space="0"/>
              <w:right w:val="single" w:color="auto" w:sz="4" w:space="0"/>
            </w:tcBorders>
            <w:shd w:val="clear" w:color="auto" w:fill="auto"/>
            <w:vAlign w:val="center"/>
          </w:tcPr>
          <w:p>
            <w:pPr>
              <w:pStyle w:val="121"/>
            </w:pPr>
            <w:r>
              <w:t>5</w:t>
            </w:r>
          </w:p>
        </w:tc>
        <w:tc>
          <w:tcPr>
            <w:tcW w:w="442" w:type="pct"/>
            <w:tcBorders>
              <w:top w:val="nil"/>
              <w:left w:val="nil"/>
              <w:bottom w:val="single" w:color="auto" w:sz="4" w:space="0"/>
              <w:right w:val="single" w:color="auto" w:sz="4" w:space="0"/>
            </w:tcBorders>
            <w:shd w:val="clear" w:color="auto" w:fill="auto"/>
            <w:vAlign w:val="center"/>
          </w:tcPr>
          <w:p>
            <w:pPr>
              <w:pStyle w:val="121"/>
            </w:pPr>
            <w:r>
              <w:t>6</w:t>
            </w:r>
          </w:p>
        </w:tc>
        <w:tc>
          <w:tcPr>
            <w:tcW w:w="213" w:type="pct"/>
            <w:tcBorders>
              <w:top w:val="nil"/>
              <w:left w:val="nil"/>
              <w:bottom w:val="single" w:color="auto" w:sz="4" w:space="0"/>
              <w:right w:val="single" w:color="auto" w:sz="4" w:space="0"/>
            </w:tcBorders>
            <w:shd w:val="clear" w:color="auto" w:fill="auto"/>
            <w:vAlign w:val="center"/>
          </w:tcPr>
          <w:p>
            <w:pPr>
              <w:pStyle w:val="121"/>
            </w:pPr>
            <w:r>
              <w:t>7</w:t>
            </w:r>
          </w:p>
        </w:tc>
        <w:tc>
          <w:tcPr>
            <w:tcW w:w="213" w:type="pct"/>
            <w:tcBorders>
              <w:top w:val="nil"/>
              <w:left w:val="nil"/>
              <w:bottom w:val="single" w:color="auto" w:sz="4" w:space="0"/>
              <w:right w:val="single" w:color="auto" w:sz="4" w:space="0"/>
            </w:tcBorders>
            <w:shd w:val="clear" w:color="auto" w:fill="auto"/>
            <w:vAlign w:val="center"/>
          </w:tcPr>
          <w:p>
            <w:pPr>
              <w:pStyle w:val="121"/>
            </w:pPr>
            <w:r>
              <w:t>8</w:t>
            </w:r>
          </w:p>
        </w:tc>
        <w:tc>
          <w:tcPr>
            <w:tcW w:w="287" w:type="pct"/>
            <w:tcBorders>
              <w:top w:val="nil"/>
              <w:left w:val="nil"/>
              <w:bottom w:val="single" w:color="auto" w:sz="4" w:space="0"/>
              <w:right w:val="single" w:color="auto" w:sz="4" w:space="0"/>
            </w:tcBorders>
            <w:shd w:val="clear" w:color="auto" w:fill="auto"/>
            <w:vAlign w:val="center"/>
          </w:tcPr>
          <w:p>
            <w:pPr>
              <w:pStyle w:val="121"/>
            </w:pPr>
            <w:r>
              <w:t>9</w:t>
            </w:r>
          </w:p>
        </w:tc>
        <w:tc>
          <w:tcPr>
            <w:tcW w:w="215" w:type="pct"/>
            <w:tcBorders>
              <w:top w:val="nil"/>
              <w:left w:val="nil"/>
              <w:bottom w:val="single" w:color="auto" w:sz="4" w:space="0"/>
              <w:right w:val="single" w:color="auto" w:sz="4" w:space="0"/>
            </w:tcBorders>
            <w:shd w:val="clear" w:color="auto" w:fill="auto"/>
            <w:vAlign w:val="center"/>
          </w:tcPr>
          <w:p>
            <w:pPr>
              <w:pStyle w:val="121"/>
            </w:pPr>
            <w:r>
              <w:t>10</w:t>
            </w:r>
          </w:p>
        </w:tc>
        <w:tc>
          <w:tcPr>
            <w:tcW w:w="208" w:type="pct"/>
            <w:tcBorders>
              <w:top w:val="single" w:color="auto" w:sz="4" w:space="0"/>
              <w:left w:val="nil"/>
              <w:bottom w:val="single" w:color="auto" w:sz="4" w:space="0"/>
              <w:right w:val="single" w:color="auto" w:sz="4" w:space="0"/>
            </w:tcBorders>
            <w:vAlign w:val="center"/>
          </w:tcPr>
          <w:p>
            <w:pPr>
              <w:pStyle w:val="121"/>
            </w:pPr>
            <w:r>
              <w:t>11</w:t>
            </w:r>
          </w:p>
        </w:tc>
        <w:tc>
          <w:tcPr>
            <w:tcW w:w="21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12</w:t>
            </w:r>
          </w:p>
        </w:tc>
        <w:tc>
          <w:tcPr>
            <w:tcW w:w="222" w:type="pct"/>
            <w:tcBorders>
              <w:top w:val="nil"/>
              <w:left w:val="nil"/>
              <w:bottom w:val="single" w:color="auto" w:sz="4" w:space="0"/>
              <w:right w:val="single" w:color="auto" w:sz="4" w:space="0"/>
            </w:tcBorders>
            <w:shd w:val="clear" w:color="auto" w:fill="auto"/>
            <w:vAlign w:val="center"/>
          </w:tcPr>
          <w:p>
            <w:pPr>
              <w:pStyle w:val="121"/>
            </w:pPr>
            <w:r>
              <w:t>13</w:t>
            </w:r>
          </w:p>
        </w:tc>
      </w:tr>
      <w:tr>
        <w:tblPrEx>
          <w:tblCellMar>
            <w:top w:w="0" w:type="dxa"/>
            <w:left w:w="108" w:type="dxa"/>
            <w:bottom w:w="0" w:type="dxa"/>
            <w:right w:w="108" w:type="dxa"/>
          </w:tblCellMar>
        </w:tblPrEx>
        <w:trPr>
          <w:trHeight w:val="510" w:hRule="atLeast"/>
          <w:jc w:val="center"/>
        </w:trPr>
        <w:tc>
          <w:tcPr>
            <w:tcW w:w="275" w:type="pct"/>
            <w:tcBorders>
              <w:top w:val="nil"/>
              <w:left w:val="single" w:color="auto" w:sz="4" w:space="0"/>
              <w:bottom w:val="nil"/>
              <w:right w:val="single" w:color="auto" w:sz="4" w:space="0"/>
            </w:tcBorders>
            <w:shd w:val="clear" w:color="auto" w:fill="auto"/>
            <w:vAlign w:val="center"/>
          </w:tcPr>
          <w:p>
            <w:pPr>
              <w:pStyle w:val="121"/>
            </w:pPr>
            <w:r>
              <w:t>　</w:t>
            </w:r>
          </w:p>
        </w:tc>
        <w:tc>
          <w:tcPr>
            <w:tcW w:w="325" w:type="pct"/>
            <w:tcBorders>
              <w:top w:val="nil"/>
              <w:left w:val="nil"/>
              <w:bottom w:val="nil"/>
              <w:right w:val="single" w:color="auto" w:sz="4" w:space="0"/>
            </w:tcBorders>
            <w:shd w:val="clear" w:color="auto" w:fill="auto"/>
            <w:vAlign w:val="center"/>
          </w:tcPr>
          <w:p>
            <w:pPr>
              <w:pStyle w:val="121"/>
            </w:pPr>
            <w:r>
              <w:t>　</w:t>
            </w:r>
          </w:p>
        </w:tc>
        <w:tc>
          <w:tcPr>
            <w:tcW w:w="200" w:type="pct"/>
            <w:tcBorders>
              <w:top w:val="single" w:color="auto" w:sz="4" w:space="0"/>
              <w:left w:val="nil"/>
              <w:bottom w:val="nil"/>
              <w:right w:val="nil"/>
            </w:tcBorders>
          </w:tcPr>
          <w:p>
            <w:pPr>
              <w:pStyle w:val="121"/>
            </w:pPr>
          </w:p>
        </w:tc>
        <w:tc>
          <w:tcPr>
            <w:tcW w:w="4199" w:type="pct"/>
            <w:gridSpan w:val="17"/>
            <w:tcBorders>
              <w:top w:val="single" w:color="auto" w:sz="4" w:space="0"/>
              <w:left w:val="nil"/>
              <w:bottom w:val="nil"/>
              <w:right w:val="single" w:color="auto" w:sz="4" w:space="0"/>
            </w:tcBorders>
            <w:shd w:val="clear" w:color="auto" w:fill="auto"/>
            <w:vAlign w:val="bottom"/>
          </w:tcPr>
          <w:p>
            <w:pPr>
              <w:pStyle w:val="121"/>
            </w:pPr>
            <w:r>
              <w:t>　</w:t>
            </w:r>
          </w:p>
        </w:tc>
      </w:tr>
      <w:tr>
        <w:tblPrEx>
          <w:tblCellMar>
            <w:top w:w="0" w:type="dxa"/>
            <w:left w:w="108" w:type="dxa"/>
            <w:bottom w:w="0" w:type="dxa"/>
            <w:right w:w="108" w:type="dxa"/>
          </w:tblCellMar>
        </w:tblPrEx>
        <w:trPr>
          <w:trHeight w:val="510" w:hRule="atLeast"/>
          <w:jc w:val="center"/>
        </w:trPr>
        <w:tc>
          <w:tcPr>
            <w:tcW w:w="275" w:type="pct"/>
            <w:tcBorders>
              <w:top w:val="nil"/>
              <w:left w:val="single" w:color="auto" w:sz="4" w:space="0"/>
              <w:bottom w:val="nil"/>
              <w:right w:val="single" w:color="auto" w:sz="4" w:space="0"/>
            </w:tcBorders>
            <w:shd w:val="clear" w:color="auto" w:fill="auto"/>
            <w:vAlign w:val="center"/>
          </w:tcPr>
          <w:p>
            <w:pPr>
              <w:pStyle w:val="121"/>
            </w:pPr>
            <w:r>
              <w:t>　</w:t>
            </w:r>
          </w:p>
        </w:tc>
        <w:tc>
          <w:tcPr>
            <w:tcW w:w="325" w:type="pct"/>
            <w:tcBorders>
              <w:top w:val="nil"/>
              <w:left w:val="nil"/>
              <w:bottom w:val="nil"/>
              <w:right w:val="single" w:color="auto" w:sz="4" w:space="0"/>
            </w:tcBorders>
            <w:shd w:val="clear" w:color="auto" w:fill="auto"/>
            <w:vAlign w:val="center"/>
          </w:tcPr>
          <w:p>
            <w:pPr>
              <w:pStyle w:val="121"/>
            </w:pPr>
            <w:r>
              <w:t>　</w:t>
            </w:r>
          </w:p>
        </w:tc>
        <w:tc>
          <w:tcPr>
            <w:tcW w:w="359" w:type="pct"/>
            <w:gridSpan w:val="2"/>
            <w:tcBorders>
              <w:top w:val="nil"/>
              <w:left w:val="nil"/>
              <w:bottom w:val="nil"/>
              <w:right w:val="nil"/>
            </w:tcBorders>
            <w:shd w:val="clear" w:color="auto" w:fill="auto"/>
            <w:vAlign w:val="bottom"/>
          </w:tcPr>
          <w:p>
            <w:pPr>
              <w:pStyle w:val="121"/>
            </w:pPr>
            <w:r>
              <w:t>　</w:t>
            </w:r>
          </w:p>
        </w:tc>
        <w:tc>
          <w:tcPr>
            <w:tcW w:w="200" w:type="pct"/>
            <w:tcBorders>
              <w:top w:val="nil"/>
              <w:left w:val="nil"/>
              <w:bottom w:val="nil"/>
              <w:right w:val="nil"/>
            </w:tcBorders>
          </w:tcPr>
          <w:p>
            <w:pPr>
              <w:pStyle w:val="121"/>
            </w:pPr>
          </w:p>
        </w:tc>
        <w:tc>
          <w:tcPr>
            <w:tcW w:w="3618" w:type="pct"/>
            <w:gridSpan w:val="14"/>
            <w:tcBorders>
              <w:top w:val="nil"/>
              <w:left w:val="nil"/>
              <w:bottom w:val="nil"/>
              <w:right w:val="nil"/>
            </w:tcBorders>
            <w:shd w:val="clear" w:color="auto" w:fill="auto"/>
            <w:vAlign w:val="bottom"/>
          </w:tcPr>
          <w:p>
            <w:pPr>
              <w:pStyle w:val="121"/>
            </w:pPr>
            <w:r>
              <w:t>填表说明</w:t>
            </w:r>
          </w:p>
        </w:tc>
        <w:tc>
          <w:tcPr>
            <w:tcW w:w="222" w:type="pct"/>
            <w:tcBorders>
              <w:top w:val="nil"/>
              <w:left w:val="nil"/>
              <w:bottom w:val="nil"/>
              <w:right w:val="single" w:color="auto" w:sz="4" w:space="0"/>
            </w:tcBorders>
            <w:shd w:val="clear" w:color="auto" w:fill="auto"/>
            <w:vAlign w:val="bottom"/>
          </w:tcPr>
          <w:p>
            <w:pPr>
              <w:pStyle w:val="121"/>
            </w:pPr>
          </w:p>
        </w:tc>
      </w:tr>
      <w:tr>
        <w:tblPrEx>
          <w:tblCellMar>
            <w:top w:w="0" w:type="dxa"/>
            <w:left w:w="108" w:type="dxa"/>
            <w:bottom w:w="0" w:type="dxa"/>
            <w:right w:w="108" w:type="dxa"/>
          </w:tblCellMar>
        </w:tblPrEx>
        <w:trPr>
          <w:trHeight w:val="510" w:hRule="atLeast"/>
          <w:jc w:val="center"/>
        </w:trPr>
        <w:tc>
          <w:tcPr>
            <w:tcW w:w="275" w:type="pct"/>
            <w:tcBorders>
              <w:top w:val="nil"/>
              <w:left w:val="single" w:color="auto" w:sz="4" w:space="0"/>
              <w:bottom w:val="nil"/>
              <w:right w:val="single" w:color="auto" w:sz="4" w:space="0"/>
            </w:tcBorders>
            <w:shd w:val="clear" w:color="auto" w:fill="auto"/>
            <w:vAlign w:val="center"/>
          </w:tcPr>
          <w:p>
            <w:pPr>
              <w:pStyle w:val="121"/>
            </w:pPr>
            <w:r>
              <w:t>　</w:t>
            </w:r>
          </w:p>
        </w:tc>
        <w:tc>
          <w:tcPr>
            <w:tcW w:w="325" w:type="pct"/>
            <w:tcBorders>
              <w:top w:val="nil"/>
              <w:left w:val="nil"/>
              <w:bottom w:val="nil"/>
              <w:right w:val="single" w:color="auto" w:sz="4" w:space="0"/>
            </w:tcBorders>
            <w:shd w:val="clear" w:color="auto" w:fill="auto"/>
            <w:vAlign w:val="center"/>
          </w:tcPr>
          <w:p>
            <w:pPr>
              <w:pStyle w:val="121"/>
            </w:pPr>
            <w:r>
              <w:t>　</w:t>
            </w:r>
          </w:p>
        </w:tc>
        <w:tc>
          <w:tcPr>
            <w:tcW w:w="359" w:type="pct"/>
            <w:gridSpan w:val="2"/>
            <w:tcBorders>
              <w:top w:val="nil"/>
              <w:left w:val="nil"/>
              <w:bottom w:val="nil"/>
              <w:right w:val="nil"/>
            </w:tcBorders>
            <w:shd w:val="clear" w:color="auto" w:fill="auto"/>
            <w:vAlign w:val="center"/>
          </w:tcPr>
          <w:p>
            <w:pPr>
              <w:pStyle w:val="121"/>
            </w:pPr>
            <w:r>
              <w:t>　</w:t>
            </w:r>
          </w:p>
        </w:tc>
        <w:tc>
          <w:tcPr>
            <w:tcW w:w="200" w:type="pct"/>
            <w:tcBorders>
              <w:top w:val="nil"/>
              <w:left w:val="nil"/>
              <w:bottom w:val="nil"/>
              <w:right w:val="nil"/>
            </w:tcBorders>
          </w:tcPr>
          <w:p>
            <w:pPr>
              <w:pStyle w:val="121"/>
            </w:pPr>
          </w:p>
        </w:tc>
        <w:tc>
          <w:tcPr>
            <w:tcW w:w="3840" w:type="pct"/>
            <w:gridSpan w:val="15"/>
            <w:tcBorders>
              <w:top w:val="nil"/>
              <w:left w:val="nil"/>
              <w:bottom w:val="nil"/>
              <w:right w:val="single" w:color="auto" w:sz="4" w:space="0"/>
            </w:tcBorders>
            <w:shd w:val="clear" w:color="auto" w:fill="auto"/>
            <w:vAlign w:val="center"/>
          </w:tcPr>
          <w:p>
            <w:pPr>
              <w:pStyle w:val="121"/>
            </w:pPr>
            <w:r>
              <w:t>乙栏：按培训名称逐次填列。</w:t>
            </w:r>
          </w:p>
        </w:tc>
      </w:tr>
      <w:tr>
        <w:tblPrEx>
          <w:tblCellMar>
            <w:top w:w="0" w:type="dxa"/>
            <w:left w:w="108" w:type="dxa"/>
            <w:bottom w:w="0" w:type="dxa"/>
            <w:right w:w="108" w:type="dxa"/>
          </w:tblCellMar>
        </w:tblPrEx>
        <w:trPr>
          <w:trHeight w:val="510" w:hRule="atLeast"/>
          <w:jc w:val="center"/>
        </w:trPr>
        <w:tc>
          <w:tcPr>
            <w:tcW w:w="275" w:type="pct"/>
            <w:tcBorders>
              <w:top w:val="nil"/>
              <w:left w:val="single" w:color="auto" w:sz="4" w:space="0"/>
              <w:bottom w:val="nil"/>
              <w:right w:val="single" w:color="auto" w:sz="4" w:space="0"/>
            </w:tcBorders>
            <w:shd w:val="clear" w:color="auto" w:fill="auto"/>
            <w:vAlign w:val="center"/>
          </w:tcPr>
          <w:p>
            <w:pPr>
              <w:pStyle w:val="121"/>
            </w:pPr>
            <w:r>
              <w:t>　</w:t>
            </w:r>
          </w:p>
        </w:tc>
        <w:tc>
          <w:tcPr>
            <w:tcW w:w="325" w:type="pct"/>
            <w:tcBorders>
              <w:top w:val="nil"/>
              <w:left w:val="nil"/>
              <w:bottom w:val="nil"/>
              <w:right w:val="single" w:color="auto" w:sz="4" w:space="0"/>
            </w:tcBorders>
            <w:shd w:val="clear" w:color="auto" w:fill="auto"/>
            <w:vAlign w:val="center"/>
          </w:tcPr>
          <w:p>
            <w:pPr>
              <w:pStyle w:val="121"/>
            </w:pPr>
            <w:r>
              <w:t>　</w:t>
            </w:r>
          </w:p>
        </w:tc>
        <w:tc>
          <w:tcPr>
            <w:tcW w:w="359" w:type="pct"/>
            <w:gridSpan w:val="2"/>
            <w:tcBorders>
              <w:top w:val="nil"/>
              <w:left w:val="nil"/>
              <w:bottom w:val="nil"/>
              <w:right w:val="nil"/>
            </w:tcBorders>
            <w:shd w:val="clear" w:color="auto" w:fill="auto"/>
            <w:vAlign w:val="center"/>
          </w:tcPr>
          <w:p>
            <w:pPr>
              <w:pStyle w:val="121"/>
            </w:pPr>
            <w:r>
              <w:t>　</w:t>
            </w:r>
          </w:p>
        </w:tc>
        <w:tc>
          <w:tcPr>
            <w:tcW w:w="200" w:type="pct"/>
            <w:tcBorders>
              <w:top w:val="nil"/>
              <w:left w:val="nil"/>
              <w:bottom w:val="nil"/>
              <w:right w:val="nil"/>
            </w:tcBorders>
          </w:tcPr>
          <w:p>
            <w:pPr>
              <w:pStyle w:val="121"/>
            </w:pPr>
          </w:p>
        </w:tc>
        <w:tc>
          <w:tcPr>
            <w:tcW w:w="3840" w:type="pct"/>
            <w:gridSpan w:val="15"/>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510" w:hRule="atLeast"/>
          <w:jc w:val="center"/>
        </w:trPr>
        <w:tc>
          <w:tcPr>
            <w:tcW w:w="275" w:type="pct"/>
            <w:tcBorders>
              <w:top w:val="nil"/>
              <w:left w:val="single" w:color="auto" w:sz="4" w:space="0"/>
              <w:bottom w:val="nil"/>
              <w:right w:val="single" w:color="auto" w:sz="4" w:space="0"/>
            </w:tcBorders>
            <w:shd w:val="clear" w:color="auto" w:fill="auto"/>
            <w:vAlign w:val="center"/>
          </w:tcPr>
          <w:p>
            <w:pPr>
              <w:pStyle w:val="121"/>
            </w:pPr>
            <w:r>
              <w:t>　</w:t>
            </w:r>
          </w:p>
        </w:tc>
        <w:tc>
          <w:tcPr>
            <w:tcW w:w="325" w:type="pct"/>
            <w:tcBorders>
              <w:top w:val="nil"/>
              <w:left w:val="nil"/>
              <w:bottom w:val="nil"/>
              <w:right w:val="single" w:color="auto" w:sz="4" w:space="0"/>
            </w:tcBorders>
            <w:shd w:val="clear" w:color="auto" w:fill="auto"/>
            <w:vAlign w:val="center"/>
          </w:tcPr>
          <w:p>
            <w:pPr>
              <w:pStyle w:val="121"/>
            </w:pPr>
            <w:r>
              <w:t>　</w:t>
            </w:r>
          </w:p>
        </w:tc>
        <w:tc>
          <w:tcPr>
            <w:tcW w:w="359" w:type="pct"/>
            <w:gridSpan w:val="2"/>
            <w:tcBorders>
              <w:top w:val="nil"/>
              <w:left w:val="nil"/>
              <w:bottom w:val="nil"/>
              <w:right w:val="nil"/>
            </w:tcBorders>
            <w:shd w:val="clear" w:color="auto" w:fill="auto"/>
          </w:tcPr>
          <w:p>
            <w:pPr>
              <w:pStyle w:val="121"/>
            </w:pPr>
            <w:r>
              <w:t>　</w:t>
            </w:r>
          </w:p>
        </w:tc>
        <w:tc>
          <w:tcPr>
            <w:tcW w:w="310" w:type="pct"/>
            <w:gridSpan w:val="2"/>
            <w:tcBorders>
              <w:top w:val="nil"/>
              <w:left w:val="nil"/>
              <w:bottom w:val="nil"/>
              <w:right w:val="nil"/>
            </w:tcBorders>
            <w:shd w:val="clear" w:color="auto" w:fill="auto"/>
            <w:vAlign w:val="center"/>
          </w:tcPr>
          <w:p>
            <w:pPr>
              <w:pStyle w:val="121"/>
            </w:pPr>
          </w:p>
        </w:tc>
        <w:tc>
          <w:tcPr>
            <w:tcW w:w="407" w:type="pct"/>
            <w:tcBorders>
              <w:top w:val="nil"/>
              <w:left w:val="nil"/>
              <w:bottom w:val="nil"/>
              <w:right w:val="nil"/>
            </w:tcBorders>
            <w:shd w:val="clear" w:color="auto" w:fill="auto"/>
            <w:vAlign w:val="center"/>
          </w:tcPr>
          <w:p>
            <w:pPr>
              <w:pStyle w:val="121"/>
            </w:pPr>
          </w:p>
        </w:tc>
        <w:tc>
          <w:tcPr>
            <w:tcW w:w="407" w:type="pct"/>
            <w:tcBorders>
              <w:top w:val="nil"/>
              <w:left w:val="nil"/>
              <w:bottom w:val="nil"/>
              <w:right w:val="nil"/>
            </w:tcBorders>
            <w:shd w:val="clear" w:color="auto" w:fill="auto"/>
            <w:vAlign w:val="center"/>
          </w:tcPr>
          <w:p>
            <w:pPr>
              <w:pStyle w:val="121"/>
            </w:pPr>
          </w:p>
        </w:tc>
        <w:tc>
          <w:tcPr>
            <w:tcW w:w="241" w:type="pct"/>
            <w:gridSpan w:val="2"/>
            <w:tcBorders>
              <w:top w:val="nil"/>
              <w:left w:val="nil"/>
              <w:bottom w:val="nil"/>
              <w:right w:val="nil"/>
            </w:tcBorders>
            <w:shd w:val="clear" w:color="auto" w:fill="auto"/>
            <w:vAlign w:val="center"/>
          </w:tcPr>
          <w:p>
            <w:pPr>
              <w:pStyle w:val="121"/>
            </w:pPr>
          </w:p>
        </w:tc>
        <w:tc>
          <w:tcPr>
            <w:tcW w:w="442" w:type="pct"/>
            <w:tcBorders>
              <w:top w:val="nil"/>
              <w:left w:val="nil"/>
              <w:bottom w:val="nil"/>
              <w:right w:val="nil"/>
            </w:tcBorders>
            <w:shd w:val="clear" w:color="auto" w:fill="auto"/>
            <w:vAlign w:val="center"/>
          </w:tcPr>
          <w:p>
            <w:pPr>
              <w:pStyle w:val="121"/>
            </w:pPr>
          </w:p>
        </w:tc>
        <w:tc>
          <w:tcPr>
            <w:tcW w:w="214" w:type="pct"/>
            <w:tcBorders>
              <w:top w:val="nil"/>
              <w:left w:val="nil"/>
              <w:bottom w:val="nil"/>
              <w:right w:val="nil"/>
            </w:tcBorders>
            <w:shd w:val="clear" w:color="auto" w:fill="auto"/>
            <w:vAlign w:val="center"/>
          </w:tcPr>
          <w:p>
            <w:pPr>
              <w:pStyle w:val="121"/>
            </w:pPr>
          </w:p>
        </w:tc>
        <w:tc>
          <w:tcPr>
            <w:tcW w:w="442" w:type="pct"/>
            <w:tcBorders>
              <w:top w:val="nil"/>
              <w:left w:val="nil"/>
              <w:bottom w:val="nil"/>
              <w:right w:val="nil"/>
            </w:tcBorders>
            <w:shd w:val="clear" w:color="auto" w:fill="auto"/>
            <w:vAlign w:val="center"/>
          </w:tcPr>
          <w:p>
            <w:pPr>
              <w:pStyle w:val="121"/>
            </w:pPr>
          </w:p>
        </w:tc>
        <w:tc>
          <w:tcPr>
            <w:tcW w:w="213" w:type="pct"/>
            <w:tcBorders>
              <w:top w:val="nil"/>
              <w:left w:val="nil"/>
              <w:bottom w:val="nil"/>
              <w:right w:val="nil"/>
            </w:tcBorders>
            <w:shd w:val="clear" w:color="auto" w:fill="auto"/>
            <w:vAlign w:val="center"/>
          </w:tcPr>
          <w:p>
            <w:pPr>
              <w:pStyle w:val="121"/>
            </w:pPr>
          </w:p>
        </w:tc>
        <w:tc>
          <w:tcPr>
            <w:tcW w:w="213" w:type="pct"/>
            <w:tcBorders>
              <w:top w:val="nil"/>
              <w:left w:val="nil"/>
              <w:bottom w:val="nil"/>
              <w:right w:val="nil"/>
            </w:tcBorders>
            <w:shd w:val="clear" w:color="auto" w:fill="auto"/>
            <w:vAlign w:val="center"/>
          </w:tcPr>
          <w:p>
            <w:pPr>
              <w:pStyle w:val="121"/>
            </w:pPr>
          </w:p>
        </w:tc>
        <w:tc>
          <w:tcPr>
            <w:tcW w:w="287" w:type="pct"/>
            <w:tcBorders>
              <w:top w:val="nil"/>
              <w:left w:val="nil"/>
              <w:bottom w:val="nil"/>
              <w:right w:val="nil"/>
            </w:tcBorders>
            <w:shd w:val="clear" w:color="auto" w:fill="auto"/>
            <w:vAlign w:val="center"/>
          </w:tcPr>
          <w:p>
            <w:pPr>
              <w:pStyle w:val="121"/>
            </w:pPr>
          </w:p>
        </w:tc>
        <w:tc>
          <w:tcPr>
            <w:tcW w:w="215" w:type="pct"/>
            <w:tcBorders>
              <w:top w:val="nil"/>
              <w:left w:val="nil"/>
              <w:bottom w:val="nil"/>
              <w:right w:val="nil"/>
            </w:tcBorders>
            <w:shd w:val="clear" w:color="auto" w:fill="auto"/>
            <w:vAlign w:val="center"/>
          </w:tcPr>
          <w:p>
            <w:pPr>
              <w:pStyle w:val="121"/>
            </w:pPr>
          </w:p>
        </w:tc>
        <w:tc>
          <w:tcPr>
            <w:tcW w:w="208" w:type="pct"/>
            <w:tcBorders>
              <w:top w:val="nil"/>
              <w:left w:val="nil"/>
              <w:bottom w:val="nil"/>
              <w:right w:val="nil"/>
            </w:tcBorders>
          </w:tcPr>
          <w:p>
            <w:pPr>
              <w:pStyle w:val="121"/>
            </w:pPr>
          </w:p>
        </w:tc>
        <w:tc>
          <w:tcPr>
            <w:tcW w:w="218" w:type="pct"/>
            <w:tcBorders>
              <w:top w:val="nil"/>
              <w:left w:val="nil"/>
              <w:bottom w:val="nil"/>
              <w:right w:val="nil"/>
            </w:tcBorders>
            <w:shd w:val="clear" w:color="auto" w:fill="auto"/>
            <w:vAlign w:val="center"/>
          </w:tcPr>
          <w:p>
            <w:pPr>
              <w:pStyle w:val="121"/>
            </w:pPr>
          </w:p>
        </w:tc>
        <w:tc>
          <w:tcPr>
            <w:tcW w:w="222"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510" w:hRule="atLeast"/>
          <w:jc w:val="center"/>
        </w:trPr>
        <w:tc>
          <w:tcPr>
            <w:tcW w:w="275"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325" w:type="pct"/>
            <w:tcBorders>
              <w:top w:val="nil"/>
              <w:left w:val="nil"/>
              <w:bottom w:val="single" w:color="auto" w:sz="4" w:space="0"/>
              <w:right w:val="single" w:color="auto" w:sz="4" w:space="0"/>
            </w:tcBorders>
            <w:shd w:val="clear" w:color="auto" w:fill="auto"/>
            <w:vAlign w:val="center"/>
          </w:tcPr>
          <w:p>
            <w:pPr>
              <w:pStyle w:val="121"/>
            </w:pPr>
            <w:r>
              <w:t>　</w:t>
            </w:r>
          </w:p>
        </w:tc>
        <w:tc>
          <w:tcPr>
            <w:tcW w:w="359" w:type="pct"/>
            <w:gridSpan w:val="2"/>
            <w:tcBorders>
              <w:top w:val="nil"/>
              <w:left w:val="nil"/>
              <w:bottom w:val="single" w:color="auto" w:sz="4" w:space="0"/>
              <w:right w:val="nil"/>
            </w:tcBorders>
            <w:shd w:val="clear" w:color="auto" w:fill="auto"/>
            <w:vAlign w:val="center"/>
          </w:tcPr>
          <w:p>
            <w:pPr>
              <w:pStyle w:val="121"/>
            </w:pPr>
            <w:r>
              <w:t>　</w:t>
            </w:r>
          </w:p>
        </w:tc>
        <w:tc>
          <w:tcPr>
            <w:tcW w:w="310" w:type="pct"/>
            <w:gridSpan w:val="2"/>
            <w:tcBorders>
              <w:top w:val="nil"/>
              <w:left w:val="nil"/>
              <w:bottom w:val="single" w:color="auto" w:sz="4" w:space="0"/>
              <w:right w:val="nil"/>
            </w:tcBorders>
            <w:shd w:val="clear" w:color="auto" w:fill="auto"/>
            <w:vAlign w:val="center"/>
          </w:tcPr>
          <w:p>
            <w:pPr>
              <w:pStyle w:val="121"/>
            </w:pPr>
            <w:r>
              <w:t>　</w:t>
            </w:r>
          </w:p>
        </w:tc>
        <w:tc>
          <w:tcPr>
            <w:tcW w:w="407" w:type="pct"/>
            <w:tcBorders>
              <w:top w:val="nil"/>
              <w:left w:val="nil"/>
              <w:bottom w:val="single" w:color="auto" w:sz="4" w:space="0"/>
              <w:right w:val="nil"/>
            </w:tcBorders>
            <w:shd w:val="clear" w:color="auto" w:fill="auto"/>
            <w:vAlign w:val="center"/>
          </w:tcPr>
          <w:p>
            <w:pPr>
              <w:pStyle w:val="121"/>
            </w:pPr>
            <w:r>
              <w:t>　</w:t>
            </w:r>
          </w:p>
        </w:tc>
        <w:tc>
          <w:tcPr>
            <w:tcW w:w="407" w:type="pct"/>
            <w:tcBorders>
              <w:top w:val="nil"/>
              <w:left w:val="nil"/>
              <w:bottom w:val="single" w:color="auto" w:sz="4" w:space="0"/>
              <w:right w:val="nil"/>
            </w:tcBorders>
            <w:shd w:val="clear" w:color="auto" w:fill="auto"/>
            <w:vAlign w:val="center"/>
          </w:tcPr>
          <w:p>
            <w:pPr>
              <w:pStyle w:val="121"/>
            </w:pPr>
            <w:r>
              <w:t>　</w:t>
            </w:r>
          </w:p>
        </w:tc>
        <w:tc>
          <w:tcPr>
            <w:tcW w:w="241" w:type="pct"/>
            <w:gridSpan w:val="2"/>
            <w:tcBorders>
              <w:top w:val="nil"/>
              <w:left w:val="nil"/>
              <w:bottom w:val="single" w:color="auto" w:sz="4" w:space="0"/>
              <w:right w:val="nil"/>
            </w:tcBorders>
            <w:shd w:val="clear" w:color="auto" w:fill="auto"/>
            <w:vAlign w:val="center"/>
          </w:tcPr>
          <w:p>
            <w:pPr>
              <w:pStyle w:val="121"/>
            </w:pPr>
            <w:r>
              <w:t>　</w:t>
            </w:r>
          </w:p>
        </w:tc>
        <w:tc>
          <w:tcPr>
            <w:tcW w:w="442" w:type="pct"/>
            <w:tcBorders>
              <w:top w:val="nil"/>
              <w:left w:val="nil"/>
              <w:bottom w:val="single" w:color="auto" w:sz="4" w:space="0"/>
              <w:right w:val="nil"/>
            </w:tcBorders>
            <w:shd w:val="clear" w:color="auto" w:fill="auto"/>
            <w:vAlign w:val="center"/>
          </w:tcPr>
          <w:p>
            <w:pPr>
              <w:pStyle w:val="121"/>
            </w:pPr>
            <w:r>
              <w:t>　</w:t>
            </w:r>
          </w:p>
        </w:tc>
        <w:tc>
          <w:tcPr>
            <w:tcW w:w="214" w:type="pct"/>
            <w:tcBorders>
              <w:top w:val="nil"/>
              <w:left w:val="nil"/>
              <w:bottom w:val="single" w:color="auto" w:sz="4" w:space="0"/>
              <w:right w:val="nil"/>
            </w:tcBorders>
            <w:shd w:val="clear" w:color="auto" w:fill="auto"/>
            <w:vAlign w:val="center"/>
          </w:tcPr>
          <w:p>
            <w:pPr>
              <w:pStyle w:val="121"/>
            </w:pPr>
            <w:r>
              <w:t>　</w:t>
            </w:r>
          </w:p>
        </w:tc>
        <w:tc>
          <w:tcPr>
            <w:tcW w:w="442" w:type="pct"/>
            <w:tcBorders>
              <w:top w:val="nil"/>
              <w:left w:val="nil"/>
              <w:bottom w:val="single" w:color="auto" w:sz="4" w:space="0"/>
              <w:right w:val="nil"/>
            </w:tcBorders>
            <w:shd w:val="clear" w:color="auto" w:fill="auto"/>
            <w:vAlign w:val="center"/>
          </w:tcPr>
          <w:p>
            <w:pPr>
              <w:pStyle w:val="121"/>
            </w:pPr>
            <w:r>
              <w:t>　</w:t>
            </w:r>
          </w:p>
        </w:tc>
        <w:tc>
          <w:tcPr>
            <w:tcW w:w="213" w:type="pct"/>
            <w:tcBorders>
              <w:top w:val="nil"/>
              <w:left w:val="nil"/>
              <w:bottom w:val="single" w:color="auto" w:sz="4" w:space="0"/>
              <w:right w:val="nil"/>
            </w:tcBorders>
            <w:shd w:val="clear" w:color="auto" w:fill="auto"/>
            <w:vAlign w:val="center"/>
          </w:tcPr>
          <w:p>
            <w:pPr>
              <w:pStyle w:val="121"/>
            </w:pPr>
            <w:r>
              <w:t>　</w:t>
            </w:r>
          </w:p>
        </w:tc>
        <w:tc>
          <w:tcPr>
            <w:tcW w:w="213" w:type="pct"/>
            <w:tcBorders>
              <w:top w:val="nil"/>
              <w:left w:val="nil"/>
              <w:bottom w:val="single" w:color="auto" w:sz="4" w:space="0"/>
              <w:right w:val="nil"/>
            </w:tcBorders>
            <w:shd w:val="clear" w:color="auto" w:fill="auto"/>
            <w:vAlign w:val="center"/>
          </w:tcPr>
          <w:p>
            <w:pPr>
              <w:pStyle w:val="121"/>
            </w:pPr>
            <w:r>
              <w:t>　</w:t>
            </w:r>
          </w:p>
        </w:tc>
        <w:tc>
          <w:tcPr>
            <w:tcW w:w="287" w:type="pct"/>
            <w:tcBorders>
              <w:top w:val="nil"/>
              <w:left w:val="nil"/>
              <w:bottom w:val="single" w:color="auto" w:sz="4" w:space="0"/>
              <w:right w:val="nil"/>
            </w:tcBorders>
            <w:shd w:val="clear" w:color="auto" w:fill="auto"/>
            <w:vAlign w:val="center"/>
          </w:tcPr>
          <w:p>
            <w:pPr>
              <w:pStyle w:val="121"/>
            </w:pPr>
            <w:r>
              <w:t>　</w:t>
            </w:r>
          </w:p>
        </w:tc>
        <w:tc>
          <w:tcPr>
            <w:tcW w:w="215" w:type="pct"/>
            <w:tcBorders>
              <w:top w:val="nil"/>
              <w:left w:val="nil"/>
              <w:bottom w:val="single" w:color="auto" w:sz="4" w:space="0"/>
              <w:right w:val="nil"/>
            </w:tcBorders>
            <w:shd w:val="clear" w:color="auto" w:fill="auto"/>
            <w:vAlign w:val="center"/>
          </w:tcPr>
          <w:p>
            <w:pPr>
              <w:pStyle w:val="121"/>
            </w:pPr>
            <w:r>
              <w:t>　</w:t>
            </w:r>
          </w:p>
        </w:tc>
        <w:tc>
          <w:tcPr>
            <w:tcW w:w="208" w:type="pct"/>
            <w:tcBorders>
              <w:top w:val="nil"/>
              <w:left w:val="nil"/>
              <w:bottom w:val="single" w:color="auto" w:sz="4" w:space="0"/>
              <w:right w:val="nil"/>
            </w:tcBorders>
          </w:tcPr>
          <w:p>
            <w:pPr>
              <w:pStyle w:val="121"/>
            </w:pPr>
          </w:p>
        </w:tc>
        <w:tc>
          <w:tcPr>
            <w:tcW w:w="218" w:type="pct"/>
            <w:tcBorders>
              <w:top w:val="nil"/>
              <w:left w:val="nil"/>
              <w:bottom w:val="single" w:color="auto" w:sz="4" w:space="0"/>
              <w:right w:val="nil"/>
            </w:tcBorders>
            <w:shd w:val="clear" w:color="auto" w:fill="auto"/>
            <w:vAlign w:val="center"/>
          </w:tcPr>
          <w:p>
            <w:pPr>
              <w:pStyle w:val="121"/>
            </w:pPr>
            <w:r>
              <w:t>　</w:t>
            </w:r>
          </w:p>
        </w:tc>
        <w:tc>
          <w:tcPr>
            <w:tcW w:w="222"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510" w:hRule="atLeast"/>
          <w:jc w:val="center"/>
        </w:trPr>
        <w:tc>
          <w:tcPr>
            <w:tcW w:w="275"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325" w:type="pct"/>
            <w:tcBorders>
              <w:top w:val="nil"/>
              <w:left w:val="nil"/>
              <w:bottom w:val="single" w:color="auto" w:sz="4" w:space="0"/>
              <w:right w:val="single" w:color="auto" w:sz="4" w:space="0"/>
            </w:tcBorders>
            <w:shd w:val="clear" w:color="auto" w:fill="auto"/>
            <w:vAlign w:val="center"/>
          </w:tcPr>
          <w:p>
            <w:pPr>
              <w:pStyle w:val="121"/>
            </w:pPr>
            <w:r>
              <w:t>合计</w:t>
            </w:r>
          </w:p>
        </w:tc>
        <w:tc>
          <w:tcPr>
            <w:tcW w:w="359" w:type="pct"/>
            <w:gridSpan w:val="2"/>
            <w:tcBorders>
              <w:top w:val="nil"/>
              <w:left w:val="nil"/>
              <w:bottom w:val="single" w:color="auto" w:sz="4" w:space="0"/>
              <w:right w:val="nil"/>
            </w:tcBorders>
            <w:shd w:val="clear" w:color="auto" w:fill="auto"/>
            <w:vAlign w:val="center"/>
          </w:tcPr>
          <w:p>
            <w:pPr>
              <w:pStyle w:val="121"/>
            </w:pPr>
            <w:r>
              <w:t>　</w:t>
            </w:r>
          </w:p>
        </w:tc>
        <w:tc>
          <w:tcPr>
            <w:tcW w:w="310" w:type="pct"/>
            <w:gridSpan w:val="2"/>
            <w:tcBorders>
              <w:top w:val="nil"/>
              <w:left w:val="nil"/>
              <w:bottom w:val="single" w:color="auto" w:sz="4" w:space="0"/>
              <w:right w:val="nil"/>
            </w:tcBorders>
            <w:shd w:val="clear" w:color="auto" w:fill="auto"/>
            <w:vAlign w:val="center"/>
          </w:tcPr>
          <w:p>
            <w:pPr>
              <w:pStyle w:val="121"/>
            </w:pPr>
            <w:r>
              <w:t>　</w:t>
            </w:r>
          </w:p>
        </w:tc>
        <w:tc>
          <w:tcPr>
            <w:tcW w:w="407" w:type="pct"/>
            <w:tcBorders>
              <w:top w:val="nil"/>
              <w:left w:val="nil"/>
              <w:bottom w:val="single" w:color="auto" w:sz="4" w:space="0"/>
              <w:right w:val="nil"/>
            </w:tcBorders>
            <w:shd w:val="clear" w:color="auto" w:fill="auto"/>
            <w:vAlign w:val="center"/>
          </w:tcPr>
          <w:p>
            <w:pPr>
              <w:pStyle w:val="121"/>
            </w:pPr>
            <w:r>
              <w:t>　</w:t>
            </w:r>
          </w:p>
        </w:tc>
        <w:tc>
          <w:tcPr>
            <w:tcW w:w="407" w:type="pct"/>
            <w:tcBorders>
              <w:top w:val="nil"/>
              <w:left w:val="nil"/>
              <w:bottom w:val="single" w:color="auto" w:sz="4" w:space="0"/>
              <w:right w:val="nil"/>
            </w:tcBorders>
            <w:shd w:val="clear" w:color="auto" w:fill="auto"/>
            <w:vAlign w:val="center"/>
          </w:tcPr>
          <w:p>
            <w:pPr>
              <w:pStyle w:val="121"/>
            </w:pPr>
            <w:r>
              <w:t>　</w:t>
            </w:r>
          </w:p>
        </w:tc>
        <w:tc>
          <w:tcPr>
            <w:tcW w:w="241" w:type="pct"/>
            <w:gridSpan w:val="2"/>
            <w:tcBorders>
              <w:top w:val="nil"/>
              <w:left w:val="nil"/>
              <w:bottom w:val="single" w:color="auto" w:sz="4" w:space="0"/>
              <w:right w:val="nil"/>
            </w:tcBorders>
            <w:shd w:val="clear" w:color="auto" w:fill="auto"/>
            <w:vAlign w:val="center"/>
          </w:tcPr>
          <w:p>
            <w:pPr>
              <w:pStyle w:val="121"/>
            </w:pPr>
            <w:r>
              <w:t>　</w:t>
            </w:r>
          </w:p>
        </w:tc>
        <w:tc>
          <w:tcPr>
            <w:tcW w:w="442" w:type="pct"/>
            <w:tcBorders>
              <w:top w:val="nil"/>
              <w:left w:val="nil"/>
              <w:bottom w:val="single" w:color="auto" w:sz="4" w:space="0"/>
              <w:right w:val="nil"/>
            </w:tcBorders>
            <w:shd w:val="clear" w:color="auto" w:fill="auto"/>
            <w:vAlign w:val="center"/>
          </w:tcPr>
          <w:p>
            <w:pPr>
              <w:pStyle w:val="121"/>
            </w:pPr>
            <w:r>
              <w:t>　</w:t>
            </w:r>
          </w:p>
        </w:tc>
        <w:tc>
          <w:tcPr>
            <w:tcW w:w="214" w:type="pct"/>
            <w:tcBorders>
              <w:top w:val="nil"/>
              <w:left w:val="nil"/>
              <w:bottom w:val="single" w:color="auto" w:sz="4" w:space="0"/>
              <w:right w:val="nil"/>
            </w:tcBorders>
            <w:shd w:val="clear" w:color="auto" w:fill="auto"/>
            <w:vAlign w:val="center"/>
          </w:tcPr>
          <w:p>
            <w:pPr>
              <w:pStyle w:val="121"/>
            </w:pPr>
            <w:r>
              <w:t>　</w:t>
            </w:r>
          </w:p>
        </w:tc>
        <w:tc>
          <w:tcPr>
            <w:tcW w:w="442" w:type="pct"/>
            <w:tcBorders>
              <w:top w:val="nil"/>
              <w:left w:val="nil"/>
              <w:bottom w:val="single" w:color="auto" w:sz="4" w:space="0"/>
              <w:right w:val="nil"/>
            </w:tcBorders>
            <w:shd w:val="clear" w:color="auto" w:fill="auto"/>
            <w:vAlign w:val="center"/>
          </w:tcPr>
          <w:p>
            <w:pPr>
              <w:pStyle w:val="121"/>
            </w:pPr>
            <w:r>
              <w:t>　</w:t>
            </w:r>
          </w:p>
        </w:tc>
        <w:tc>
          <w:tcPr>
            <w:tcW w:w="213" w:type="pct"/>
            <w:tcBorders>
              <w:top w:val="nil"/>
              <w:left w:val="nil"/>
              <w:bottom w:val="single" w:color="auto" w:sz="4" w:space="0"/>
              <w:right w:val="nil"/>
            </w:tcBorders>
            <w:shd w:val="clear" w:color="auto" w:fill="auto"/>
            <w:vAlign w:val="center"/>
          </w:tcPr>
          <w:p>
            <w:pPr>
              <w:pStyle w:val="121"/>
            </w:pPr>
            <w:r>
              <w:t>　</w:t>
            </w:r>
          </w:p>
        </w:tc>
        <w:tc>
          <w:tcPr>
            <w:tcW w:w="213" w:type="pct"/>
            <w:tcBorders>
              <w:top w:val="nil"/>
              <w:left w:val="nil"/>
              <w:bottom w:val="single" w:color="auto" w:sz="4" w:space="0"/>
              <w:right w:val="nil"/>
            </w:tcBorders>
            <w:shd w:val="clear" w:color="auto" w:fill="auto"/>
            <w:vAlign w:val="center"/>
          </w:tcPr>
          <w:p>
            <w:pPr>
              <w:pStyle w:val="121"/>
            </w:pPr>
            <w:r>
              <w:t>　</w:t>
            </w:r>
          </w:p>
        </w:tc>
        <w:tc>
          <w:tcPr>
            <w:tcW w:w="287" w:type="pct"/>
            <w:tcBorders>
              <w:top w:val="nil"/>
              <w:left w:val="nil"/>
              <w:bottom w:val="single" w:color="auto" w:sz="4" w:space="0"/>
              <w:right w:val="nil"/>
            </w:tcBorders>
            <w:shd w:val="clear" w:color="auto" w:fill="auto"/>
            <w:vAlign w:val="center"/>
          </w:tcPr>
          <w:p>
            <w:pPr>
              <w:pStyle w:val="121"/>
            </w:pPr>
            <w:r>
              <w:t>　</w:t>
            </w:r>
          </w:p>
        </w:tc>
        <w:tc>
          <w:tcPr>
            <w:tcW w:w="215" w:type="pct"/>
            <w:tcBorders>
              <w:top w:val="nil"/>
              <w:left w:val="nil"/>
              <w:bottom w:val="single" w:color="auto" w:sz="4" w:space="0"/>
              <w:right w:val="nil"/>
            </w:tcBorders>
            <w:shd w:val="clear" w:color="auto" w:fill="auto"/>
            <w:vAlign w:val="center"/>
          </w:tcPr>
          <w:p>
            <w:pPr>
              <w:pStyle w:val="121"/>
            </w:pPr>
            <w:r>
              <w:t>　</w:t>
            </w:r>
          </w:p>
        </w:tc>
        <w:tc>
          <w:tcPr>
            <w:tcW w:w="208" w:type="pct"/>
            <w:tcBorders>
              <w:top w:val="nil"/>
              <w:left w:val="nil"/>
              <w:bottom w:val="single" w:color="auto" w:sz="4" w:space="0"/>
              <w:right w:val="nil"/>
            </w:tcBorders>
          </w:tcPr>
          <w:p>
            <w:pPr>
              <w:pStyle w:val="121"/>
            </w:pPr>
          </w:p>
        </w:tc>
        <w:tc>
          <w:tcPr>
            <w:tcW w:w="218" w:type="pct"/>
            <w:tcBorders>
              <w:top w:val="nil"/>
              <w:left w:val="nil"/>
              <w:bottom w:val="single" w:color="auto" w:sz="4" w:space="0"/>
              <w:right w:val="nil"/>
            </w:tcBorders>
            <w:shd w:val="clear" w:color="auto" w:fill="auto"/>
            <w:vAlign w:val="center"/>
          </w:tcPr>
          <w:p>
            <w:pPr>
              <w:pStyle w:val="121"/>
            </w:pPr>
            <w:r>
              <w:t>　</w:t>
            </w:r>
          </w:p>
        </w:tc>
        <w:tc>
          <w:tcPr>
            <w:tcW w:w="222"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269" w:type="pct"/>
            <w:gridSpan w:val="6"/>
            <w:tcBorders>
              <w:top w:val="single" w:color="auto" w:sz="4" w:space="0"/>
              <w:left w:val="nil"/>
              <w:bottom w:val="nil"/>
              <w:right w:val="nil"/>
            </w:tcBorders>
            <w:shd w:val="clear" w:color="auto" w:fill="auto"/>
            <w:noWrap/>
            <w:vAlign w:val="bottom"/>
          </w:tcPr>
          <w:p>
            <w:pPr>
              <w:pStyle w:val="121"/>
              <w:jc w:val="both"/>
            </w:pPr>
            <w:r>
              <w:t>预算编制人：（签章）</w:t>
            </w:r>
          </w:p>
        </w:tc>
        <w:tc>
          <w:tcPr>
            <w:tcW w:w="407" w:type="pct"/>
            <w:tcBorders>
              <w:top w:val="nil"/>
              <w:left w:val="nil"/>
              <w:bottom w:val="nil"/>
              <w:right w:val="nil"/>
            </w:tcBorders>
            <w:shd w:val="clear" w:color="auto" w:fill="auto"/>
            <w:noWrap/>
            <w:vAlign w:val="bottom"/>
          </w:tcPr>
          <w:p>
            <w:pPr>
              <w:pStyle w:val="121"/>
              <w:jc w:val="both"/>
            </w:pPr>
          </w:p>
        </w:tc>
        <w:tc>
          <w:tcPr>
            <w:tcW w:w="407" w:type="pct"/>
            <w:tcBorders>
              <w:top w:val="nil"/>
              <w:left w:val="nil"/>
              <w:bottom w:val="nil"/>
              <w:right w:val="nil"/>
            </w:tcBorders>
            <w:shd w:val="clear" w:color="auto" w:fill="auto"/>
            <w:noWrap/>
            <w:vAlign w:val="bottom"/>
          </w:tcPr>
          <w:p>
            <w:pPr>
              <w:pStyle w:val="121"/>
              <w:jc w:val="both"/>
            </w:pPr>
          </w:p>
        </w:tc>
        <w:tc>
          <w:tcPr>
            <w:tcW w:w="241" w:type="pct"/>
            <w:gridSpan w:val="2"/>
            <w:tcBorders>
              <w:top w:val="nil"/>
              <w:left w:val="nil"/>
              <w:bottom w:val="nil"/>
              <w:right w:val="nil"/>
            </w:tcBorders>
            <w:shd w:val="clear" w:color="auto" w:fill="auto"/>
            <w:noWrap/>
            <w:vAlign w:val="bottom"/>
          </w:tcPr>
          <w:p>
            <w:pPr>
              <w:pStyle w:val="121"/>
              <w:jc w:val="both"/>
            </w:pPr>
          </w:p>
        </w:tc>
        <w:tc>
          <w:tcPr>
            <w:tcW w:w="442" w:type="pct"/>
            <w:tcBorders>
              <w:top w:val="nil"/>
              <w:left w:val="nil"/>
              <w:bottom w:val="nil"/>
              <w:right w:val="nil"/>
            </w:tcBorders>
            <w:shd w:val="clear" w:color="auto" w:fill="auto"/>
            <w:noWrap/>
            <w:vAlign w:val="bottom"/>
          </w:tcPr>
          <w:p>
            <w:pPr>
              <w:pStyle w:val="121"/>
              <w:jc w:val="both"/>
            </w:pPr>
          </w:p>
        </w:tc>
        <w:tc>
          <w:tcPr>
            <w:tcW w:w="214" w:type="pct"/>
            <w:tcBorders>
              <w:top w:val="nil"/>
              <w:left w:val="nil"/>
              <w:bottom w:val="nil"/>
              <w:right w:val="nil"/>
            </w:tcBorders>
            <w:shd w:val="clear" w:color="auto" w:fill="auto"/>
            <w:noWrap/>
            <w:vAlign w:val="bottom"/>
          </w:tcPr>
          <w:p>
            <w:pPr>
              <w:pStyle w:val="121"/>
              <w:jc w:val="both"/>
            </w:pPr>
          </w:p>
        </w:tc>
        <w:tc>
          <w:tcPr>
            <w:tcW w:w="442" w:type="pct"/>
            <w:tcBorders>
              <w:top w:val="nil"/>
              <w:left w:val="nil"/>
              <w:bottom w:val="nil"/>
              <w:right w:val="nil"/>
            </w:tcBorders>
            <w:shd w:val="clear" w:color="auto" w:fill="auto"/>
            <w:noWrap/>
            <w:vAlign w:val="bottom"/>
          </w:tcPr>
          <w:p>
            <w:pPr>
              <w:pStyle w:val="121"/>
              <w:jc w:val="both"/>
            </w:pPr>
          </w:p>
        </w:tc>
        <w:tc>
          <w:tcPr>
            <w:tcW w:w="1577" w:type="pct"/>
            <w:gridSpan w:val="7"/>
            <w:tcBorders>
              <w:top w:val="nil"/>
              <w:left w:val="nil"/>
              <w:bottom w:val="nil"/>
              <w:right w:val="nil"/>
            </w:tcBorders>
            <w:shd w:val="clear" w:color="auto" w:fill="auto"/>
            <w:noWrap/>
            <w:vAlign w:val="bottom"/>
          </w:tcPr>
          <w:p>
            <w:pPr>
              <w:pStyle w:val="121"/>
              <w:jc w:val="both"/>
            </w:pPr>
            <w:r>
              <w:t>预算审核人：（签章）</w:t>
            </w:r>
          </w:p>
        </w:tc>
      </w:tr>
    </w:tbl>
    <w:p>
      <w:pPr>
        <w:pStyle w:val="121"/>
      </w:pPr>
    </w:p>
    <w:p>
      <w:pPr>
        <w:pStyle w:val="121"/>
      </w:pPr>
      <w:r>
        <w:br w:type="page"/>
      </w:r>
    </w:p>
    <w:p>
      <w:pPr>
        <w:pStyle w:val="121"/>
        <w:jc w:val="right"/>
      </w:pPr>
      <w:r>
        <w:t>预工附-12</w:t>
      </w:r>
    </w:p>
    <w:p>
      <w:pPr>
        <w:pStyle w:val="119"/>
      </w:pPr>
      <w:r>
        <w:t>专用材料费预算明细表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4998" w:type="pct"/>
        <w:jc w:val="center"/>
        <w:tblLayout w:type="autofit"/>
        <w:tblCellMar>
          <w:top w:w="0" w:type="dxa"/>
          <w:left w:w="108" w:type="dxa"/>
          <w:bottom w:w="0" w:type="dxa"/>
          <w:right w:w="108" w:type="dxa"/>
        </w:tblCellMar>
      </w:tblPr>
      <w:tblGrid>
        <w:gridCol w:w="1168"/>
        <w:gridCol w:w="1168"/>
        <w:gridCol w:w="1172"/>
        <w:gridCol w:w="2405"/>
        <w:gridCol w:w="455"/>
        <w:gridCol w:w="732"/>
        <w:gridCol w:w="1187"/>
        <w:gridCol w:w="1193"/>
      </w:tblGrid>
      <w:tr>
        <w:trPr>
          <w:trHeight w:val="510" w:hRule="atLeast"/>
          <w:jc w:val="center"/>
        </w:trPr>
        <w:tc>
          <w:tcPr>
            <w:tcW w:w="61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616" w:type="pct"/>
            <w:tcBorders>
              <w:top w:val="single" w:color="auto" w:sz="4" w:space="0"/>
              <w:left w:val="nil"/>
              <w:bottom w:val="single" w:color="auto" w:sz="4" w:space="0"/>
              <w:right w:val="single" w:color="auto" w:sz="4" w:space="0"/>
            </w:tcBorders>
            <w:shd w:val="clear" w:color="auto" w:fill="auto"/>
            <w:vAlign w:val="center"/>
          </w:tcPr>
          <w:p>
            <w:pPr>
              <w:pStyle w:val="121"/>
            </w:pPr>
            <w:r>
              <w:t>名称</w:t>
            </w:r>
          </w:p>
        </w:tc>
        <w:tc>
          <w:tcPr>
            <w:tcW w:w="618" w:type="pct"/>
            <w:tcBorders>
              <w:top w:val="single" w:color="auto" w:sz="4" w:space="0"/>
              <w:left w:val="nil"/>
              <w:bottom w:val="single" w:color="auto" w:sz="4" w:space="0"/>
              <w:right w:val="single" w:color="auto" w:sz="4" w:space="0"/>
            </w:tcBorders>
            <w:shd w:val="clear" w:color="auto" w:fill="auto"/>
            <w:vAlign w:val="center"/>
          </w:tcPr>
          <w:p>
            <w:pPr>
              <w:pStyle w:val="121"/>
            </w:pPr>
            <w:r>
              <w:t>计量</w:t>
            </w:r>
          </w:p>
          <w:p>
            <w:pPr>
              <w:pStyle w:val="121"/>
            </w:pPr>
            <w:r>
              <w:t>单位</w:t>
            </w:r>
          </w:p>
        </w:tc>
        <w:tc>
          <w:tcPr>
            <w:tcW w:w="1268" w:type="pct"/>
            <w:tcBorders>
              <w:top w:val="single" w:color="auto" w:sz="4" w:space="0"/>
              <w:left w:val="nil"/>
              <w:bottom w:val="single" w:color="auto" w:sz="4" w:space="0"/>
              <w:right w:val="single" w:color="auto" w:sz="4" w:space="0"/>
            </w:tcBorders>
            <w:shd w:val="clear" w:color="auto" w:fill="auto"/>
            <w:vAlign w:val="center"/>
          </w:tcPr>
          <w:p>
            <w:pPr>
              <w:pStyle w:val="121"/>
            </w:pPr>
            <w:r>
              <w:t>计价方式</w:t>
            </w:r>
            <w:r>
              <w:br w:type="textWrapping"/>
            </w:r>
            <w:r>
              <w:t>（元/单位）</w:t>
            </w:r>
          </w:p>
        </w:tc>
        <w:tc>
          <w:tcPr>
            <w:tcW w:w="626"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数量</w:t>
            </w:r>
          </w:p>
        </w:tc>
        <w:tc>
          <w:tcPr>
            <w:tcW w:w="626" w:type="pct"/>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629"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61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甲</w:t>
            </w:r>
          </w:p>
        </w:tc>
        <w:tc>
          <w:tcPr>
            <w:tcW w:w="616" w:type="pct"/>
            <w:tcBorders>
              <w:top w:val="single" w:color="auto" w:sz="4" w:space="0"/>
              <w:left w:val="nil"/>
              <w:bottom w:val="single" w:color="auto" w:sz="4" w:space="0"/>
              <w:right w:val="single" w:color="auto" w:sz="4" w:space="0"/>
            </w:tcBorders>
            <w:shd w:val="clear" w:color="auto" w:fill="auto"/>
            <w:vAlign w:val="center"/>
          </w:tcPr>
          <w:p>
            <w:pPr>
              <w:pStyle w:val="121"/>
            </w:pPr>
            <w:r>
              <w:t>乙</w:t>
            </w:r>
          </w:p>
        </w:tc>
        <w:tc>
          <w:tcPr>
            <w:tcW w:w="618" w:type="pct"/>
            <w:tcBorders>
              <w:top w:val="single" w:color="auto" w:sz="4" w:space="0"/>
              <w:left w:val="nil"/>
              <w:bottom w:val="single" w:color="auto" w:sz="4" w:space="0"/>
              <w:right w:val="single" w:color="auto" w:sz="4" w:space="0"/>
            </w:tcBorders>
            <w:shd w:val="clear" w:color="auto" w:fill="auto"/>
            <w:vAlign w:val="center"/>
          </w:tcPr>
          <w:p>
            <w:pPr>
              <w:pStyle w:val="121"/>
            </w:pPr>
            <w:r>
              <w:t>丙</w:t>
            </w:r>
          </w:p>
        </w:tc>
        <w:tc>
          <w:tcPr>
            <w:tcW w:w="1268" w:type="pct"/>
            <w:tcBorders>
              <w:top w:val="single" w:color="auto" w:sz="4" w:space="0"/>
              <w:left w:val="nil"/>
              <w:bottom w:val="single" w:color="auto" w:sz="4" w:space="0"/>
              <w:right w:val="single" w:color="auto" w:sz="4" w:space="0"/>
            </w:tcBorders>
            <w:shd w:val="clear" w:color="auto" w:fill="auto"/>
            <w:vAlign w:val="center"/>
          </w:tcPr>
          <w:p>
            <w:pPr>
              <w:pStyle w:val="121"/>
            </w:pPr>
            <w:r>
              <w:t>1</w:t>
            </w:r>
          </w:p>
        </w:tc>
        <w:tc>
          <w:tcPr>
            <w:tcW w:w="626"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2</w:t>
            </w:r>
          </w:p>
        </w:tc>
        <w:tc>
          <w:tcPr>
            <w:tcW w:w="626" w:type="pct"/>
            <w:tcBorders>
              <w:top w:val="single" w:color="auto" w:sz="4" w:space="0"/>
              <w:left w:val="nil"/>
              <w:bottom w:val="single" w:color="auto" w:sz="4" w:space="0"/>
              <w:right w:val="single" w:color="auto" w:sz="4" w:space="0"/>
            </w:tcBorders>
            <w:shd w:val="clear" w:color="auto" w:fill="auto"/>
            <w:vAlign w:val="center"/>
          </w:tcPr>
          <w:p>
            <w:pPr>
              <w:pStyle w:val="121"/>
            </w:pPr>
            <w:r>
              <w:t>3</w:t>
            </w:r>
          </w:p>
        </w:tc>
        <w:tc>
          <w:tcPr>
            <w:tcW w:w="629" w:type="pct"/>
            <w:tcBorders>
              <w:top w:val="single" w:color="auto" w:sz="4" w:space="0"/>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10" w:hRule="atLeast"/>
          <w:jc w:val="center"/>
        </w:trPr>
        <w:tc>
          <w:tcPr>
            <w:tcW w:w="616" w:type="pct"/>
            <w:tcBorders>
              <w:top w:val="single" w:color="auto" w:sz="4" w:space="0"/>
              <w:left w:val="single" w:color="auto" w:sz="4" w:space="0"/>
              <w:bottom w:val="nil"/>
              <w:right w:val="single" w:color="auto" w:sz="4" w:space="0"/>
            </w:tcBorders>
            <w:shd w:val="clear" w:color="auto" w:fill="auto"/>
            <w:vAlign w:val="center"/>
          </w:tcPr>
          <w:p>
            <w:pPr>
              <w:pStyle w:val="121"/>
            </w:pPr>
            <w:r>
              <w:t>　</w:t>
            </w:r>
          </w:p>
        </w:tc>
        <w:tc>
          <w:tcPr>
            <w:tcW w:w="616" w:type="pct"/>
            <w:tcBorders>
              <w:top w:val="single" w:color="auto" w:sz="4" w:space="0"/>
              <w:left w:val="nil"/>
              <w:bottom w:val="nil"/>
              <w:right w:val="single" w:color="auto" w:sz="4" w:space="0"/>
            </w:tcBorders>
            <w:shd w:val="clear" w:color="auto" w:fill="auto"/>
            <w:vAlign w:val="center"/>
          </w:tcPr>
          <w:p>
            <w:pPr>
              <w:pStyle w:val="121"/>
            </w:pPr>
            <w:r>
              <w:t>　</w:t>
            </w:r>
          </w:p>
        </w:tc>
        <w:tc>
          <w:tcPr>
            <w:tcW w:w="3767" w:type="pct"/>
            <w:gridSpan w:val="6"/>
            <w:vMerge w:val="restart"/>
            <w:tcBorders>
              <w:top w:val="single" w:color="auto" w:sz="4" w:space="0"/>
              <w:left w:val="single" w:color="auto" w:sz="4" w:space="0"/>
              <w:bottom w:val="nil"/>
              <w:right w:val="single" w:color="auto" w:sz="4" w:space="0"/>
            </w:tcBorders>
            <w:shd w:val="clear" w:color="auto" w:fill="auto"/>
            <w:vAlign w:val="center"/>
          </w:tcPr>
          <w:p>
            <w:pPr>
              <w:pStyle w:val="121"/>
              <w:spacing w:line="360" w:lineRule="auto"/>
            </w:pPr>
            <w:r>
              <w:t>填表说明</w:t>
            </w:r>
          </w:p>
          <w:p>
            <w:pPr>
              <w:pStyle w:val="121"/>
              <w:spacing w:line="360" w:lineRule="auto"/>
            </w:pPr>
            <w:r>
              <w:t>乙栏：按专用材料名称填列。</w:t>
            </w:r>
          </w:p>
        </w:tc>
      </w:tr>
      <w:tr>
        <w:tblPrEx>
          <w:tblCellMar>
            <w:top w:w="0" w:type="dxa"/>
            <w:left w:w="108" w:type="dxa"/>
            <w:bottom w:w="0" w:type="dxa"/>
            <w:right w:w="108" w:type="dxa"/>
          </w:tblCellMar>
        </w:tblPrEx>
        <w:trPr>
          <w:trHeight w:val="510" w:hRule="atLeast"/>
          <w:jc w:val="center"/>
        </w:trPr>
        <w:tc>
          <w:tcPr>
            <w:tcW w:w="616" w:type="pct"/>
            <w:tcBorders>
              <w:top w:val="nil"/>
              <w:left w:val="single" w:color="auto" w:sz="4" w:space="0"/>
              <w:bottom w:val="nil"/>
              <w:right w:val="single" w:color="auto" w:sz="4" w:space="0"/>
            </w:tcBorders>
            <w:shd w:val="clear" w:color="auto" w:fill="auto"/>
            <w:vAlign w:val="center"/>
          </w:tcPr>
          <w:p>
            <w:pPr>
              <w:pStyle w:val="121"/>
            </w:pPr>
            <w:r>
              <w:t>　</w:t>
            </w:r>
          </w:p>
        </w:tc>
        <w:tc>
          <w:tcPr>
            <w:tcW w:w="616" w:type="pct"/>
            <w:tcBorders>
              <w:top w:val="nil"/>
              <w:left w:val="nil"/>
              <w:bottom w:val="nil"/>
              <w:right w:val="single" w:color="auto" w:sz="4" w:space="0"/>
            </w:tcBorders>
            <w:shd w:val="clear" w:color="auto" w:fill="auto"/>
            <w:vAlign w:val="center"/>
          </w:tcPr>
          <w:p>
            <w:pPr>
              <w:pStyle w:val="121"/>
            </w:pPr>
            <w:r>
              <w:t>　</w:t>
            </w:r>
          </w:p>
        </w:tc>
        <w:tc>
          <w:tcPr>
            <w:tcW w:w="3766" w:type="pct"/>
            <w:gridSpan w:val="6"/>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616" w:type="pct"/>
            <w:tcBorders>
              <w:top w:val="nil"/>
              <w:left w:val="single" w:color="auto" w:sz="4" w:space="0"/>
              <w:bottom w:val="nil"/>
              <w:right w:val="single" w:color="auto" w:sz="4" w:space="0"/>
            </w:tcBorders>
            <w:shd w:val="clear" w:color="auto" w:fill="auto"/>
            <w:vAlign w:val="center"/>
          </w:tcPr>
          <w:p>
            <w:pPr>
              <w:pStyle w:val="121"/>
            </w:pPr>
            <w:r>
              <w:t>　</w:t>
            </w:r>
          </w:p>
        </w:tc>
        <w:tc>
          <w:tcPr>
            <w:tcW w:w="616" w:type="pct"/>
            <w:tcBorders>
              <w:top w:val="nil"/>
              <w:left w:val="nil"/>
              <w:bottom w:val="nil"/>
              <w:right w:val="single" w:color="auto" w:sz="4" w:space="0"/>
            </w:tcBorders>
            <w:shd w:val="clear" w:color="auto" w:fill="auto"/>
            <w:vAlign w:val="center"/>
          </w:tcPr>
          <w:p>
            <w:pPr>
              <w:pStyle w:val="121"/>
            </w:pPr>
            <w:r>
              <w:t>　</w:t>
            </w:r>
          </w:p>
        </w:tc>
        <w:tc>
          <w:tcPr>
            <w:tcW w:w="3766" w:type="pct"/>
            <w:gridSpan w:val="6"/>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616" w:type="pct"/>
            <w:tcBorders>
              <w:top w:val="nil"/>
              <w:left w:val="single" w:color="auto" w:sz="4" w:space="0"/>
              <w:bottom w:val="nil"/>
              <w:right w:val="single" w:color="auto" w:sz="4" w:space="0"/>
            </w:tcBorders>
            <w:shd w:val="clear" w:color="auto" w:fill="auto"/>
            <w:vAlign w:val="center"/>
          </w:tcPr>
          <w:p>
            <w:pPr>
              <w:pStyle w:val="121"/>
            </w:pPr>
            <w:r>
              <w:t>　</w:t>
            </w:r>
          </w:p>
        </w:tc>
        <w:tc>
          <w:tcPr>
            <w:tcW w:w="616" w:type="pct"/>
            <w:tcBorders>
              <w:top w:val="nil"/>
              <w:left w:val="nil"/>
              <w:bottom w:val="nil"/>
              <w:right w:val="single" w:color="auto" w:sz="4" w:space="0"/>
            </w:tcBorders>
            <w:shd w:val="clear" w:color="auto" w:fill="auto"/>
            <w:vAlign w:val="center"/>
          </w:tcPr>
          <w:p>
            <w:pPr>
              <w:pStyle w:val="121"/>
            </w:pPr>
            <w:r>
              <w:t>　</w:t>
            </w:r>
          </w:p>
        </w:tc>
        <w:tc>
          <w:tcPr>
            <w:tcW w:w="618" w:type="pct"/>
            <w:tcBorders>
              <w:top w:val="nil"/>
              <w:left w:val="nil"/>
              <w:bottom w:val="nil"/>
              <w:right w:val="nil"/>
            </w:tcBorders>
            <w:shd w:val="clear" w:color="auto" w:fill="auto"/>
          </w:tcPr>
          <w:p>
            <w:pPr>
              <w:pStyle w:val="121"/>
            </w:pPr>
            <w:r>
              <w:t>　</w:t>
            </w:r>
          </w:p>
        </w:tc>
        <w:tc>
          <w:tcPr>
            <w:tcW w:w="3149" w:type="pct"/>
            <w:gridSpan w:val="5"/>
            <w:tcBorders>
              <w:top w:val="nil"/>
              <w:left w:val="nil"/>
              <w:bottom w:val="nil"/>
              <w:right w:val="single" w:color="auto" w:sz="4" w:space="0"/>
            </w:tcBorders>
            <w:shd w:val="clear" w:color="auto" w:fill="auto"/>
          </w:tcPr>
          <w:p>
            <w:pPr>
              <w:pStyle w:val="121"/>
            </w:pPr>
          </w:p>
        </w:tc>
      </w:tr>
      <w:tr>
        <w:tblPrEx>
          <w:tblCellMar>
            <w:top w:w="0" w:type="dxa"/>
            <w:left w:w="108" w:type="dxa"/>
            <w:bottom w:w="0" w:type="dxa"/>
            <w:right w:w="108" w:type="dxa"/>
          </w:tblCellMar>
        </w:tblPrEx>
        <w:trPr>
          <w:trHeight w:val="510" w:hRule="atLeast"/>
          <w:jc w:val="center"/>
        </w:trPr>
        <w:tc>
          <w:tcPr>
            <w:tcW w:w="61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616"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618" w:type="pct"/>
            <w:tcBorders>
              <w:top w:val="single" w:color="auto" w:sz="4" w:space="0"/>
              <w:left w:val="nil"/>
              <w:bottom w:val="single" w:color="auto" w:sz="4" w:space="0"/>
              <w:right w:val="nil"/>
            </w:tcBorders>
            <w:shd w:val="clear" w:color="auto" w:fill="auto"/>
            <w:vAlign w:val="center"/>
          </w:tcPr>
          <w:p>
            <w:pPr>
              <w:pStyle w:val="121"/>
            </w:pPr>
            <w:r>
              <w:t>　</w:t>
            </w:r>
          </w:p>
        </w:tc>
        <w:tc>
          <w:tcPr>
            <w:tcW w:w="1268" w:type="pct"/>
            <w:tcBorders>
              <w:top w:val="single" w:color="auto" w:sz="4" w:space="0"/>
              <w:left w:val="nil"/>
              <w:bottom w:val="single" w:color="auto" w:sz="4" w:space="0"/>
              <w:right w:val="nil"/>
            </w:tcBorders>
            <w:shd w:val="clear" w:color="auto" w:fill="auto"/>
            <w:vAlign w:val="center"/>
          </w:tcPr>
          <w:p>
            <w:pPr>
              <w:pStyle w:val="121"/>
            </w:pPr>
            <w:r>
              <w:t>　</w:t>
            </w:r>
          </w:p>
        </w:tc>
        <w:tc>
          <w:tcPr>
            <w:tcW w:w="626"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626" w:type="pct"/>
            <w:tcBorders>
              <w:top w:val="single" w:color="auto" w:sz="4" w:space="0"/>
              <w:left w:val="nil"/>
              <w:bottom w:val="single" w:color="auto" w:sz="4" w:space="0"/>
              <w:right w:val="nil"/>
            </w:tcBorders>
            <w:shd w:val="clear" w:color="auto" w:fill="auto"/>
            <w:vAlign w:val="center"/>
          </w:tcPr>
          <w:p>
            <w:pPr>
              <w:pStyle w:val="121"/>
            </w:pPr>
            <w:r>
              <w:t>　</w:t>
            </w:r>
          </w:p>
        </w:tc>
        <w:tc>
          <w:tcPr>
            <w:tcW w:w="629" w:type="pct"/>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850" w:type="pct"/>
            <w:gridSpan w:val="3"/>
            <w:tcBorders>
              <w:top w:val="single" w:color="auto" w:sz="4" w:space="0"/>
              <w:left w:val="nil"/>
              <w:bottom w:val="nil"/>
              <w:right w:val="nil"/>
            </w:tcBorders>
            <w:shd w:val="clear" w:color="auto" w:fill="auto"/>
            <w:noWrap/>
            <w:vAlign w:val="bottom"/>
          </w:tcPr>
          <w:p>
            <w:pPr>
              <w:pStyle w:val="121"/>
              <w:jc w:val="both"/>
            </w:pPr>
            <w:r>
              <w:t>预算编制人：（签章）</w:t>
            </w:r>
          </w:p>
        </w:tc>
        <w:tc>
          <w:tcPr>
            <w:tcW w:w="1508" w:type="pct"/>
            <w:gridSpan w:val="2"/>
            <w:tcBorders>
              <w:top w:val="nil"/>
              <w:left w:val="nil"/>
              <w:bottom w:val="nil"/>
              <w:right w:val="nil"/>
            </w:tcBorders>
            <w:shd w:val="clear" w:color="auto" w:fill="auto"/>
            <w:noWrap/>
            <w:vAlign w:val="bottom"/>
          </w:tcPr>
          <w:p>
            <w:pPr>
              <w:pStyle w:val="121"/>
              <w:jc w:val="both"/>
            </w:pPr>
          </w:p>
        </w:tc>
        <w:tc>
          <w:tcPr>
            <w:tcW w:w="1641" w:type="pct"/>
            <w:gridSpan w:val="3"/>
            <w:tcBorders>
              <w:top w:val="single" w:color="auto" w:sz="4" w:space="0"/>
              <w:left w:val="nil"/>
              <w:bottom w:val="nil"/>
              <w:right w:val="nil"/>
            </w:tcBorders>
            <w:shd w:val="clear" w:color="auto" w:fill="auto"/>
            <w:noWrap/>
            <w:vAlign w:val="bottom"/>
          </w:tcPr>
          <w:p>
            <w:pPr>
              <w:pStyle w:val="121"/>
              <w:jc w:val="both"/>
            </w:pPr>
            <w:r>
              <w:t>预算审核人：（签章）</w:t>
            </w:r>
          </w:p>
        </w:tc>
      </w:tr>
    </w:tbl>
    <w:p>
      <w:pPr>
        <w:pStyle w:val="121"/>
      </w:pPr>
      <w:r>
        <w:br w:type="page"/>
      </w:r>
    </w:p>
    <w:p>
      <w:pPr>
        <w:pStyle w:val="121"/>
        <w:jc w:val="right"/>
      </w:pPr>
      <w:r>
        <w:t>预工附-13</w:t>
      </w:r>
    </w:p>
    <w:p>
      <w:pPr>
        <w:pStyle w:val="119"/>
      </w:pPr>
      <w:r>
        <w:t>专用燃料费预算明细表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4998" w:type="pct"/>
        <w:jc w:val="center"/>
        <w:tblLayout w:type="autofit"/>
        <w:tblCellMar>
          <w:top w:w="0" w:type="dxa"/>
          <w:left w:w="108" w:type="dxa"/>
          <w:bottom w:w="0" w:type="dxa"/>
          <w:right w:w="108" w:type="dxa"/>
        </w:tblCellMar>
      </w:tblPr>
      <w:tblGrid>
        <w:gridCol w:w="1168"/>
        <w:gridCol w:w="1168"/>
        <w:gridCol w:w="1172"/>
        <w:gridCol w:w="2405"/>
        <w:gridCol w:w="455"/>
        <w:gridCol w:w="732"/>
        <w:gridCol w:w="1187"/>
        <w:gridCol w:w="1193"/>
      </w:tblGrid>
      <w:tr>
        <w:tblPrEx>
          <w:tblCellMar>
            <w:top w:w="0" w:type="dxa"/>
            <w:left w:w="108" w:type="dxa"/>
            <w:bottom w:w="0" w:type="dxa"/>
            <w:right w:w="108" w:type="dxa"/>
          </w:tblCellMar>
        </w:tblPrEx>
        <w:trPr>
          <w:trHeight w:val="510" w:hRule="atLeast"/>
          <w:jc w:val="center"/>
        </w:trPr>
        <w:tc>
          <w:tcPr>
            <w:tcW w:w="61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616" w:type="pct"/>
            <w:tcBorders>
              <w:top w:val="single" w:color="auto" w:sz="4" w:space="0"/>
              <w:left w:val="nil"/>
              <w:bottom w:val="single" w:color="auto" w:sz="4" w:space="0"/>
              <w:right w:val="single" w:color="auto" w:sz="4" w:space="0"/>
            </w:tcBorders>
            <w:shd w:val="clear" w:color="auto" w:fill="auto"/>
            <w:vAlign w:val="center"/>
          </w:tcPr>
          <w:p>
            <w:pPr>
              <w:pStyle w:val="121"/>
            </w:pPr>
            <w:r>
              <w:t>名称</w:t>
            </w:r>
          </w:p>
        </w:tc>
        <w:tc>
          <w:tcPr>
            <w:tcW w:w="618" w:type="pct"/>
            <w:tcBorders>
              <w:top w:val="single" w:color="auto" w:sz="4" w:space="0"/>
              <w:left w:val="nil"/>
              <w:bottom w:val="single" w:color="auto" w:sz="4" w:space="0"/>
              <w:right w:val="single" w:color="auto" w:sz="4" w:space="0"/>
            </w:tcBorders>
            <w:shd w:val="clear" w:color="auto" w:fill="auto"/>
            <w:vAlign w:val="center"/>
          </w:tcPr>
          <w:p>
            <w:pPr>
              <w:pStyle w:val="121"/>
            </w:pPr>
            <w:r>
              <w:t>计量</w:t>
            </w:r>
          </w:p>
          <w:p>
            <w:pPr>
              <w:pStyle w:val="121"/>
            </w:pPr>
            <w:r>
              <w:t>单位</w:t>
            </w:r>
          </w:p>
        </w:tc>
        <w:tc>
          <w:tcPr>
            <w:tcW w:w="1268" w:type="pct"/>
            <w:tcBorders>
              <w:top w:val="single" w:color="auto" w:sz="4" w:space="0"/>
              <w:left w:val="nil"/>
              <w:bottom w:val="single" w:color="auto" w:sz="4" w:space="0"/>
              <w:right w:val="single" w:color="auto" w:sz="4" w:space="0"/>
            </w:tcBorders>
            <w:shd w:val="clear" w:color="auto" w:fill="auto"/>
            <w:vAlign w:val="center"/>
          </w:tcPr>
          <w:p>
            <w:pPr>
              <w:pStyle w:val="121"/>
            </w:pPr>
            <w:r>
              <w:t>计价方式</w:t>
            </w:r>
            <w:r>
              <w:br w:type="textWrapping"/>
            </w:r>
            <w:r>
              <w:t>（元/单位）</w:t>
            </w:r>
          </w:p>
        </w:tc>
        <w:tc>
          <w:tcPr>
            <w:tcW w:w="626"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数量</w:t>
            </w:r>
          </w:p>
        </w:tc>
        <w:tc>
          <w:tcPr>
            <w:tcW w:w="626" w:type="pct"/>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629"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61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甲</w:t>
            </w:r>
          </w:p>
        </w:tc>
        <w:tc>
          <w:tcPr>
            <w:tcW w:w="616" w:type="pct"/>
            <w:tcBorders>
              <w:top w:val="single" w:color="auto" w:sz="4" w:space="0"/>
              <w:left w:val="nil"/>
              <w:bottom w:val="single" w:color="auto" w:sz="4" w:space="0"/>
              <w:right w:val="single" w:color="auto" w:sz="4" w:space="0"/>
            </w:tcBorders>
            <w:shd w:val="clear" w:color="auto" w:fill="auto"/>
            <w:vAlign w:val="center"/>
          </w:tcPr>
          <w:p>
            <w:pPr>
              <w:pStyle w:val="121"/>
            </w:pPr>
            <w:r>
              <w:t>乙</w:t>
            </w:r>
          </w:p>
        </w:tc>
        <w:tc>
          <w:tcPr>
            <w:tcW w:w="618" w:type="pct"/>
            <w:tcBorders>
              <w:top w:val="single" w:color="auto" w:sz="4" w:space="0"/>
              <w:left w:val="nil"/>
              <w:bottom w:val="single" w:color="auto" w:sz="4" w:space="0"/>
              <w:right w:val="single" w:color="auto" w:sz="4" w:space="0"/>
            </w:tcBorders>
            <w:shd w:val="clear" w:color="auto" w:fill="auto"/>
            <w:vAlign w:val="center"/>
          </w:tcPr>
          <w:p>
            <w:pPr>
              <w:pStyle w:val="121"/>
            </w:pPr>
            <w:r>
              <w:t>丙</w:t>
            </w:r>
          </w:p>
        </w:tc>
        <w:tc>
          <w:tcPr>
            <w:tcW w:w="1268" w:type="pct"/>
            <w:tcBorders>
              <w:top w:val="single" w:color="auto" w:sz="4" w:space="0"/>
              <w:left w:val="nil"/>
              <w:bottom w:val="single" w:color="auto" w:sz="4" w:space="0"/>
              <w:right w:val="single" w:color="auto" w:sz="4" w:space="0"/>
            </w:tcBorders>
            <w:shd w:val="clear" w:color="auto" w:fill="auto"/>
            <w:vAlign w:val="center"/>
          </w:tcPr>
          <w:p>
            <w:pPr>
              <w:pStyle w:val="121"/>
            </w:pPr>
            <w:r>
              <w:t>1</w:t>
            </w:r>
          </w:p>
        </w:tc>
        <w:tc>
          <w:tcPr>
            <w:tcW w:w="626"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2</w:t>
            </w:r>
          </w:p>
        </w:tc>
        <w:tc>
          <w:tcPr>
            <w:tcW w:w="626" w:type="pct"/>
            <w:tcBorders>
              <w:top w:val="single" w:color="auto" w:sz="4" w:space="0"/>
              <w:left w:val="nil"/>
              <w:bottom w:val="single" w:color="auto" w:sz="4" w:space="0"/>
              <w:right w:val="single" w:color="auto" w:sz="4" w:space="0"/>
            </w:tcBorders>
            <w:shd w:val="clear" w:color="auto" w:fill="auto"/>
            <w:vAlign w:val="center"/>
          </w:tcPr>
          <w:p>
            <w:pPr>
              <w:pStyle w:val="121"/>
            </w:pPr>
            <w:r>
              <w:t>3</w:t>
            </w:r>
          </w:p>
        </w:tc>
        <w:tc>
          <w:tcPr>
            <w:tcW w:w="629" w:type="pct"/>
            <w:tcBorders>
              <w:top w:val="single" w:color="auto" w:sz="4" w:space="0"/>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10" w:hRule="atLeast"/>
          <w:jc w:val="center"/>
        </w:trPr>
        <w:tc>
          <w:tcPr>
            <w:tcW w:w="616" w:type="pct"/>
            <w:tcBorders>
              <w:top w:val="single" w:color="auto" w:sz="4" w:space="0"/>
              <w:left w:val="single" w:color="auto" w:sz="4" w:space="0"/>
              <w:bottom w:val="nil"/>
              <w:right w:val="single" w:color="auto" w:sz="4" w:space="0"/>
            </w:tcBorders>
            <w:shd w:val="clear" w:color="auto" w:fill="auto"/>
            <w:vAlign w:val="center"/>
          </w:tcPr>
          <w:p>
            <w:pPr>
              <w:pStyle w:val="121"/>
            </w:pPr>
            <w:r>
              <w:t>　</w:t>
            </w:r>
          </w:p>
        </w:tc>
        <w:tc>
          <w:tcPr>
            <w:tcW w:w="616" w:type="pct"/>
            <w:tcBorders>
              <w:top w:val="single" w:color="auto" w:sz="4" w:space="0"/>
              <w:left w:val="nil"/>
              <w:bottom w:val="nil"/>
              <w:right w:val="single" w:color="auto" w:sz="4" w:space="0"/>
            </w:tcBorders>
            <w:shd w:val="clear" w:color="auto" w:fill="auto"/>
            <w:vAlign w:val="center"/>
          </w:tcPr>
          <w:p>
            <w:pPr>
              <w:pStyle w:val="121"/>
            </w:pPr>
            <w:r>
              <w:t>　</w:t>
            </w:r>
          </w:p>
        </w:tc>
        <w:tc>
          <w:tcPr>
            <w:tcW w:w="3767" w:type="pct"/>
            <w:gridSpan w:val="6"/>
            <w:vMerge w:val="restart"/>
            <w:tcBorders>
              <w:top w:val="single" w:color="auto" w:sz="4" w:space="0"/>
              <w:left w:val="single" w:color="auto" w:sz="4" w:space="0"/>
              <w:bottom w:val="nil"/>
              <w:right w:val="single" w:color="auto" w:sz="4" w:space="0"/>
            </w:tcBorders>
            <w:shd w:val="clear" w:color="auto" w:fill="auto"/>
            <w:vAlign w:val="center"/>
          </w:tcPr>
          <w:p>
            <w:pPr>
              <w:pStyle w:val="121"/>
              <w:spacing w:line="360" w:lineRule="auto"/>
            </w:pPr>
            <w:r>
              <w:t>填表说明</w:t>
            </w:r>
          </w:p>
          <w:p>
            <w:pPr>
              <w:pStyle w:val="121"/>
              <w:spacing w:line="360" w:lineRule="auto"/>
            </w:pPr>
            <w:r>
              <w:t>乙栏：按专用燃料名称填列。</w:t>
            </w:r>
          </w:p>
        </w:tc>
      </w:tr>
      <w:tr>
        <w:tblPrEx>
          <w:tblCellMar>
            <w:top w:w="0" w:type="dxa"/>
            <w:left w:w="108" w:type="dxa"/>
            <w:bottom w:w="0" w:type="dxa"/>
            <w:right w:w="108" w:type="dxa"/>
          </w:tblCellMar>
        </w:tblPrEx>
        <w:trPr>
          <w:trHeight w:val="510" w:hRule="atLeast"/>
          <w:jc w:val="center"/>
        </w:trPr>
        <w:tc>
          <w:tcPr>
            <w:tcW w:w="616" w:type="pct"/>
            <w:tcBorders>
              <w:top w:val="nil"/>
              <w:left w:val="single" w:color="auto" w:sz="4" w:space="0"/>
              <w:bottom w:val="nil"/>
              <w:right w:val="single" w:color="auto" w:sz="4" w:space="0"/>
            </w:tcBorders>
            <w:shd w:val="clear" w:color="auto" w:fill="auto"/>
            <w:vAlign w:val="center"/>
          </w:tcPr>
          <w:p>
            <w:pPr>
              <w:pStyle w:val="121"/>
            </w:pPr>
            <w:r>
              <w:t>　</w:t>
            </w:r>
          </w:p>
        </w:tc>
        <w:tc>
          <w:tcPr>
            <w:tcW w:w="616" w:type="pct"/>
            <w:tcBorders>
              <w:top w:val="nil"/>
              <w:left w:val="nil"/>
              <w:bottom w:val="nil"/>
              <w:right w:val="single" w:color="auto" w:sz="4" w:space="0"/>
            </w:tcBorders>
            <w:shd w:val="clear" w:color="auto" w:fill="auto"/>
            <w:vAlign w:val="center"/>
          </w:tcPr>
          <w:p>
            <w:pPr>
              <w:pStyle w:val="121"/>
            </w:pPr>
            <w:r>
              <w:t>　</w:t>
            </w:r>
          </w:p>
        </w:tc>
        <w:tc>
          <w:tcPr>
            <w:tcW w:w="3766" w:type="pct"/>
            <w:gridSpan w:val="6"/>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616" w:type="pct"/>
            <w:tcBorders>
              <w:top w:val="nil"/>
              <w:left w:val="single" w:color="auto" w:sz="4" w:space="0"/>
              <w:bottom w:val="nil"/>
              <w:right w:val="single" w:color="auto" w:sz="4" w:space="0"/>
            </w:tcBorders>
            <w:shd w:val="clear" w:color="auto" w:fill="auto"/>
            <w:vAlign w:val="center"/>
          </w:tcPr>
          <w:p>
            <w:pPr>
              <w:pStyle w:val="121"/>
            </w:pPr>
            <w:r>
              <w:t>　</w:t>
            </w:r>
          </w:p>
        </w:tc>
        <w:tc>
          <w:tcPr>
            <w:tcW w:w="616" w:type="pct"/>
            <w:tcBorders>
              <w:top w:val="nil"/>
              <w:left w:val="nil"/>
              <w:bottom w:val="nil"/>
              <w:right w:val="single" w:color="auto" w:sz="4" w:space="0"/>
            </w:tcBorders>
            <w:shd w:val="clear" w:color="auto" w:fill="auto"/>
            <w:vAlign w:val="center"/>
          </w:tcPr>
          <w:p>
            <w:pPr>
              <w:pStyle w:val="121"/>
            </w:pPr>
            <w:r>
              <w:t>　</w:t>
            </w:r>
          </w:p>
        </w:tc>
        <w:tc>
          <w:tcPr>
            <w:tcW w:w="3766" w:type="pct"/>
            <w:gridSpan w:val="6"/>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616" w:type="pct"/>
            <w:tcBorders>
              <w:top w:val="nil"/>
              <w:left w:val="single" w:color="auto" w:sz="4" w:space="0"/>
              <w:bottom w:val="nil"/>
              <w:right w:val="single" w:color="auto" w:sz="4" w:space="0"/>
            </w:tcBorders>
            <w:shd w:val="clear" w:color="auto" w:fill="auto"/>
            <w:vAlign w:val="center"/>
          </w:tcPr>
          <w:p>
            <w:pPr>
              <w:pStyle w:val="121"/>
            </w:pPr>
            <w:r>
              <w:t>　</w:t>
            </w:r>
          </w:p>
        </w:tc>
        <w:tc>
          <w:tcPr>
            <w:tcW w:w="616" w:type="pct"/>
            <w:tcBorders>
              <w:top w:val="nil"/>
              <w:left w:val="nil"/>
              <w:bottom w:val="nil"/>
              <w:right w:val="single" w:color="auto" w:sz="4" w:space="0"/>
            </w:tcBorders>
            <w:shd w:val="clear" w:color="auto" w:fill="auto"/>
            <w:vAlign w:val="center"/>
          </w:tcPr>
          <w:p>
            <w:pPr>
              <w:pStyle w:val="121"/>
            </w:pPr>
            <w:r>
              <w:t>　</w:t>
            </w:r>
          </w:p>
        </w:tc>
        <w:tc>
          <w:tcPr>
            <w:tcW w:w="618" w:type="pct"/>
            <w:tcBorders>
              <w:top w:val="nil"/>
              <w:left w:val="nil"/>
              <w:bottom w:val="nil"/>
              <w:right w:val="nil"/>
            </w:tcBorders>
            <w:shd w:val="clear" w:color="auto" w:fill="auto"/>
          </w:tcPr>
          <w:p>
            <w:pPr>
              <w:pStyle w:val="121"/>
            </w:pPr>
            <w:r>
              <w:t>　</w:t>
            </w:r>
          </w:p>
        </w:tc>
        <w:tc>
          <w:tcPr>
            <w:tcW w:w="3149" w:type="pct"/>
            <w:gridSpan w:val="5"/>
            <w:tcBorders>
              <w:top w:val="nil"/>
              <w:left w:val="nil"/>
              <w:bottom w:val="nil"/>
              <w:right w:val="single" w:color="auto" w:sz="4" w:space="0"/>
            </w:tcBorders>
            <w:shd w:val="clear" w:color="auto" w:fill="auto"/>
          </w:tcPr>
          <w:p>
            <w:pPr>
              <w:pStyle w:val="121"/>
            </w:pPr>
          </w:p>
        </w:tc>
      </w:tr>
      <w:tr>
        <w:tblPrEx>
          <w:tblCellMar>
            <w:top w:w="0" w:type="dxa"/>
            <w:left w:w="108" w:type="dxa"/>
            <w:bottom w:w="0" w:type="dxa"/>
            <w:right w:w="108" w:type="dxa"/>
          </w:tblCellMar>
        </w:tblPrEx>
        <w:trPr>
          <w:trHeight w:val="510" w:hRule="atLeast"/>
          <w:jc w:val="center"/>
        </w:trPr>
        <w:tc>
          <w:tcPr>
            <w:tcW w:w="61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616"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618" w:type="pct"/>
            <w:tcBorders>
              <w:top w:val="single" w:color="auto" w:sz="4" w:space="0"/>
              <w:left w:val="nil"/>
              <w:bottom w:val="single" w:color="auto" w:sz="4" w:space="0"/>
              <w:right w:val="nil"/>
            </w:tcBorders>
            <w:shd w:val="clear" w:color="auto" w:fill="auto"/>
            <w:vAlign w:val="center"/>
          </w:tcPr>
          <w:p>
            <w:pPr>
              <w:pStyle w:val="121"/>
            </w:pPr>
            <w:r>
              <w:t>　</w:t>
            </w:r>
          </w:p>
        </w:tc>
        <w:tc>
          <w:tcPr>
            <w:tcW w:w="1268" w:type="pct"/>
            <w:tcBorders>
              <w:top w:val="single" w:color="auto" w:sz="4" w:space="0"/>
              <w:left w:val="nil"/>
              <w:bottom w:val="single" w:color="auto" w:sz="4" w:space="0"/>
              <w:right w:val="nil"/>
            </w:tcBorders>
            <w:shd w:val="clear" w:color="auto" w:fill="auto"/>
            <w:vAlign w:val="center"/>
          </w:tcPr>
          <w:p>
            <w:pPr>
              <w:pStyle w:val="121"/>
            </w:pPr>
            <w:r>
              <w:t>　</w:t>
            </w:r>
          </w:p>
        </w:tc>
        <w:tc>
          <w:tcPr>
            <w:tcW w:w="626"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626" w:type="pct"/>
            <w:tcBorders>
              <w:top w:val="single" w:color="auto" w:sz="4" w:space="0"/>
              <w:left w:val="nil"/>
              <w:bottom w:val="single" w:color="auto" w:sz="4" w:space="0"/>
              <w:right w:val="nil"/>
            </w:tcBorders>
            <w:shd w:val="clear" w:color="auto" w:fill="auto"/>
            <w:vAlign w:val="center"/>
          </w:tcPr>
          <w:p>
            <w:pPr>
              <w:pStyle w:val="121"/>
            </w:pPr>
            <w:r>
              <w:t>　</w:t>
            </w:r>
          </w:p>
        </w:tc>
        <w:tc>
          <w:tcPr>
            <w:tcW w:w="629" w:type="pct"/>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850" w:type="pct"/>
            <w:gridSpan w:val="3"/>
            <w:tcBorders>
              <w:top w:val="single" w:color="auto" w:sz="4" w:space="0"/>
              <w:left w:val="nil"/>
              <w:bottom w:val="nil"/>
              <w:right w:val="nil"/>
            </w:tcBorders>
            <w:shd w:val="clear" w:color="auto" w:fill="auto"/>
            <w:noWrap/>
            <w:vAlign w:val="bottom"/>
          </w:tcPr>
          <w:p>
            <w:pPr>
              <w:pStyle w:val="121"/>
              <w:jc w:val="both"/>
            </w:pPr>
            <w:r>
              <w:t>预算编制人：（签章）</w:t>
            </w:r>
          </w:p>
        </w:tc>
        <w:tc>
          <w:tcPr>
            <w:tcW w:w="1508" w:type="pct"/>
            <w:gridSpan w:val="2"/>
            <w:tcBorders>
              <w:top w:val="nil"/>
              <w:left w:val="nil"/>
              <w:bottom w:val="nil"/>
              <w:right w:val="nil"/>
            </w:tcBorders>
            <w:shd w:val="clear" w:color="auto" w:fill="auto"/>
            <w:noWrap/>
            <w:vAlign w:val="bottom"/>
          </w:tcPr>
          <w:p>
            <w:pPr>
              <w:pStyle w:val="121"/>
              <w:jc w:val="both"/>
            </w:pPr>
          </w:p>
        </w:tc>
        <w:tc>
          <w:tcPr>
            <w:tcW w:w="1641" w:type="pct"/>
            <w:gridSpan w:val="3"/>
            <w:tcBorders>
              <w:top w:val="single" w:color="auto" w:sz="4" w:space="0"/>
              <w:left w:val="nil"/>
              <w:bottom w:val="nil"/>
              <w:right w:val="nil"/>
            </w:tcBorders>
            <w:shd w:val="clear" w:color="auto" w:fill="auto"/>
            <w:noWrap/>
            <w:vAlign w:val="bottom"/>
          </w:tcPr>
          <w:p>
            <w:pPr>
              <w:pStyle w:val="121"/>
              <w:jc w:val="both"/>
            </w:pPr>
            <w:r>
              <w:t>预算审核人：（签章）</w:t>
            </w:r>
          </w:p>
        </w:tc>
      </w:tr>
    </w:tbl>
    <w:p>
      <w:pPr>
        <w:pStyle w:val="121"/>
      </w:pPr>
    </w:p>
    <w:p>
      <w:pPr>
        <w:pStyle w:val="121"/>
      </w:pPr>
      <w:r>
        <w:br w:type="page"/>
      </w:r>
    </w:p>
    <w:p>
      <w:pPr>
        <w:pStyle w:val="121"/>
        <w:jc w:val="right"/>
      </w:pPr>
      <w:r>
        <w:t>预工附-14</w:t>
      </w:r>
    </w:p>
    <w:p>
      <w:pPr>
        <w:pStyle w:val="119"/>
      </w:pPr>
      <w:r>
        <w:t>劳务费预算明细表</w:t>
      </w:r>
    </w:p>
    <w:p>
      <w:pPr>
        <w:pStyle w:val="119"/>
      </w:pPr>
      <w:r>
        <w:t>（    年度）</w:t>
      </w:r>
    </w:p>
    <w:p>
      <w:pPr>
        <w:pStyle w:val="121"/>
        <w:spacing w:before="120" w:beforeLines="50" w:after="120" w:afterLines="50"/>
      </w:pPr>
      <w:r>
        <w:t xml:space="preserve">工作项目名称：                                                                              </w:t>
      </w:r>
      <w:r>
        <w:rPr>
          <w:rFonts w:hint="eastAsia" w:ascii="宋体"/>
        </w:rPr>
        <w:t>单位为万元</w:t>
      </w:r>
    </w:p>
    <w:tbl>
      <w:tblPr>
        <w:tblStyle w:val="36"/>
        <w:tblW w:w="4998" w:type="pct"/>
        <w:jc w:val="center"/>
        <w:tblLayout w:type="autofit"/>
        <w:tblCellMar>
          <w:top w:w="0" w:type="dxa"/>
          <w:left w:w="108" w:type="dxa"/>
          <w:bottom w:w="0" w:type="dxa"/>
          <w:right w:w="108" w:type="dxa"/>
        </w:tblCellMar>
      </w:tblPr>
      <w:tblGrid>
        <w:gridCol w:w="474"/>
        <w:gridCol w:w="1301"/>
        <w:gridCol w:w="1041"/>
        <w:gridCol w:w="1504"/>
        <w:gridCol w:w="1439"/>
        <w:gridCol w:w="609"/>
        <w:gridCol w:w="1202"/>
        <w:gridCol w:w="776"/>
        <w:gridCol w:w="1134"/>
      </w:tblGrid>
      <w:tr>
        <w:tblPrEx>
          <w:tblCellMar>
            <w:top w:w="0" w:type="dxa"/>
            <w:left w:w="108" w:type="dxa"/>
            <w:bottom w:w="0" w:type="dxa"/>
            <w:right w:w="108" w:type="dxa"/>
          </w:tblCellMar>
        </w:tblPrEx>
        <w:trPr>
          <w:trHeight w:val="960" w:hRule="atLeast"/>
          <w:jc w:val="center"/>
        </w:trPr>
        <w:tc>
          <w:tcPr>
            <w:tcW w:w="25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686" w:type="pct"/>
            <w:tcBorders>
              <w:top w:val="single" w:color="auto" w:sz="4" w:space="0"/>
              <w:left w:val="nil"/>
              <w:bottom w:val="single" w:color="auto" w:sz="4" w:space="0"/>
              <w:right w:val="single" w:color="auto" w:sz="4" w:space="0"/>
            </w:tcBorders>
            <w:shd w:val="clear" w:color="auto" w:fill="auto"/>
            <w:vAlign w:val="center"/>
          </w:tcPr>
          <w:p>
            <w:pPr>
              <w:pStyle w:val="121"/>
            </w:pPr>
            <w:r>
              <w:t>接受劳务服务的事项</w:t>
            </w:r>
          </w:p>
        </w:tc>
        <w:tc>
          <w:tcPr>
            <w:tcW w:w="549" w:type="pct"/>
            <w:tcBorders>
              <w:top w:val="single" w:color="auto" w:sz="4" w:space="0"/>
              <w:left w:val="nil"/>
              <w:bottom w:val="single" w:color="auto" w:sz="4" w:space="0"/>
              <w:right w:val="single" w:color="auto" w:sz="4" w:space="0"/>
            </w:tcBorders>
            <w:shd w:val="clear" w:color="auto" w:fill="auto"/>
            <w:vAlign w:val="center"/>
          </w:tcPr>
          <w:p>
            <w:pPr>
              <w:pStyle w:val="121"/>
            </w:pPr>
            <w:r>
              <w:t>劳务服务内容</w:t>
            </w:r>
          </w:p>
        </w:tc>
        <w:tc>
          <w:tcPr>
            <w:tcW w:w="793" w:type="pct"/>
            <w:tcBorders>
              <w:top w:val="single" w:color="auto" w:sz="4" w:space="0"/>
              <w:left w:val="nil"/>
              <w:bottom w:val="single" w:color="auto" w:sz="4" w:space="0"/>
              <w:right w:val="single" w:color="auto" w:sz="4" w:space="0"/>
            </w:tcBorders>
            <w:shd w:val="clear" w:color="auto" w:fill="auto"/>
            <w:vAlign w:val="center"/>
          </w:tcPr>
          <w:p>
            <w:pPr>
              <w:pStyle w:val="121"/>
            </w:pPr>
            <w:r>
              <w:t>单位资质或个人职务、职称</w:t>
            </w:r>
          </w:p>
        </w:tc>
        <w:tc>
          <w:tcPr>
            <w:tcW w:w="759" w:type="pct"/>
            <w:tcBorders>
              <w:top w:val="single" w:color="auto" w:sz="4" w:space="0"/>
              <w:left w:val="nil"/>
              <w:bottom w:val="single" w:color="auto" w:sz="4" w:space="0"/>
              <w:right w:val="single" w:color="auto" w:sz="4" w:space="0"/>
            </w:tcBorders>
            <w:shd w:val="clear" w:color="auto" w:fill="auto"/>
            <w:vAlign w:val="center"/>
          </w:tcPr>
          <w:p>
            <w:pPr>
              <w:pStyle w:val="121"/>
            </w:pPr>
            <w:r>
              <w:t>数量（单位次或人次）</w:t>
            </w:r>
          </w:p>
        </w:tc>
        <w:tc>
          <w:tcPr>
            <w:tcW w:w="955"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支出标准（元/单位次或人次）</w:t>
            </w:r>
          </w:p>
        </w:tc>
        <w:tc>
          <w:tcPr>
            <w:tcW w:w="409" w:type="pct"/>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598"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686" w:type="pct"/>
            <w:tcBorders>
              <w:top w:val="nil"/>
              <w:left w:val="nil"/>
              <w:bottom w:val="single" w:color="auto" w:sz="4" w:space="0"/>
              <w:right w:val="single" w:color="auto" w:sz="4" w:space="0"/>
            </w:tcBorders>
            <w:shd w:val="clear" w:color="auto" w:fill="auto"/>
            <w:vAlign w:val="center"/>
          </w:tcPr>
          <w:p>
            <w:pPr>
              <w:pStyle w:val="121"/>
            </w:pPr>
            <w:r>
              <w:t>乙</w:t>
            </w:r>
          </w:p>
        </w:tc>
        <w:tc>
          <w:tcPr>
            <w:tcW w:w="549" w:type="pct"/>
            <w:tcBorders>
              <w:top w:val="nil"/>
              <w:left w:val="nil"/>
              <w:bottom w:val="single" w:color="auto" w:sz="4" w:space="0"/>
              <w:right w:val="single" w:color="auto" w:sz="4" w:space="0"/>
            </w:tcBorders>
            <w:shd w:val="clear" w:color="auto" w:fill="auto"/>
            <w:vAlign w:val="center"/>
          </w:tcPr>
          <w:p>
            <w:pPr>
              <w:pStyle w:val="121"/>
            </w:pPr>
            <w:r>
              <w:t>丙</w:t>
            </w:r>
          </w:p>
        </w:tc>
        <w:tc>
          <w:tcPr>
            <w:tcW w:w="793" w:type="pct"/>
            <w:tcBorders>
              <w:top w:val="nil"/>
              <w:left w:val="nil"/>
              <w:bottom w:val="single" w:color="auto" w:sz="4" w:space="0"/>
              <w:right w:val="single" w:color="auto" w:sz="4" w:space="0"/>
            </w:tcBorders>
            <w:shd w:val="clear" w:color="auto" w:fill="auto"/>
            <w:vAlign w:val="center"/>
          </w:tcPr>
          <w:p>
            <w:pPr>
              <w:pStyle w:val="121"/>
            </w:pPr>
            <w:r>
              <w:t>丁</w:t>
            </w:r>
          </w:p>
        </w:tc>
        <w:tc>
          <w:tcPr>
            <w:tcW w:w="759" w:type="pct"/>
            <w:tcBorders>
              <w:top w:val="nil"/>
              <w:left w:val="nil"/>
              <w:bottom w:val="single" w:color="auto" w:sz="4" w:space="0"/>
              <w:right w:val="single" w:color="auto" w:sz="4" w:space="0"/>
            </w:tcBorders>
            <w:shd w:val="clear" w:color="auto" w:fill="auto"/>
            <w:vAlign w:val="center"/>
          </w:tcPr>
          <w:p>
            <w:pPr>
              <w:pStyle w:val="121"/>
            </w:pPr>
            <w:r>
              <w:t>1</w:t>
            </w:r>
          </w:p>
        </w:tc>
        <w:tc>
          <w:tcPr>
            <w:tcW w:w="955" w:type="pct"/>
            <w:gridSpan w:val="2"/>
            <w:tcBorders>
              <w:top w:val="nil"/>
              <w:left w:val="nil"/>
              <w:bottom w:val="single" w:color="auto" w:sz="4" w:space="0"/>
              <w:right w:val="single" w:color="auto" w:sz="4" w:space="0"/>
            </w:tcBorders>
            <w:shd w:val="clear" w:color="auto" w:fill="auto"/>
            <w:vAlign w:val="center"/>
          </w:tcPr>
          <w:p>
            <w:pPr>
              <w:pStyle w:val="121"/>
            </w:pPr>
            <w:r>
              <w:t>2</w:t>
            </w:r>
          </w:p>
        </w:tc>
        <w:tc>
          <w:tcPr>
            <w:tcW w:w="409" w:type="pct"/>
            <w:tcBorders>
              <w:top w:val="nil"/>
              <w:left w:val="nil"/>
              <w:bottom w:val="single" w:color="auto" w:sz="4" w:space="0"/>
              <w:right w:val="single" w:color="auto" w:sz="4" w:space="0"/>
            </w:tcBorders>
            <w:shd w:val="clear" w:color="auto" w:fill="auto"/>
            <w:vAlign w:val="center"/>
          </w:tcPr>
          <w:p>
            <w:pPr>
              <w:pStyle w:val="121"/>
            </w:pPr>
            <w:r>
              <w:t>3</w:t>
            </w:r>
          </w:p>
        </w:tc>
        <w:tc>
          <w:tcPr>
            <w:tcW w:w="598" w:type="pct"/>
            <w:tcBorders>
              <w:top w:val="nil"/>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nil"/>
              <w:right w:val="single" w:color="auto" w:sz="4" w:space="0"/>
            </w:tcBorders>
            <w:shd w:val="clear" w:color="auto" w:fill="auto"/>
            <w:vAlign w:val="center"/>
          </w:tcPr>
          <w:p>
            <w:pPr>
              <w:pStyle w:val="121"/>
            </w:pPr>
            <w:r>
              <w:t>　</w:t>
            </w:r>
          </w:p>
        </w:tc>
        <w:tc>
          <w:tcPr>
            <w:tcW w:w="686" w:type="pct"/>
            <w:tcBorders>
              <w:top w:val="nil"/>
              <w:left w:val="nil"/>
              <w:bottom w:val="nil"/>
              <w:right w:val="single" w:color="auto" w:sz="4" w:space="0"/>
            </w:tcBorders>
            <w:shd w:val="clear" w:color="auto" w:fill="auto"/>
            <w:vAlign w:val="center"/>
          </w:tcPr>
          <w:p>
            <w:pPr>
              <w:pStyle w:val="121"/>
            </w:pPr>
            <w:r>
              <w:t>　</w:t>
            </w:r>
          </w:p>
        </w:tc>
        <w:tc>
          <w:tcPr>
            <w:tcW w:w="549" w:type="pct"/>
            <w:tcBorders>
              <w:top w:val="nil"/>
              <w:left w:val="nil"/>
              <w:bottom w:val="nil"/>
              <w:right w:val="nil"/>
            </w:tcBorders>
            <w:shd w:val="clear" w:color="auto" w:fill="auto"/>
            <w:vAlign w:val="center"/>
          </w:tcPr>
          <w:p>
            <w:pPr>
              <w:pStyle w:val="121"/>
            </w:pPr>
            <w:r>
              <w:t>　</w:t>
            </w:r>
          </w:p>
        </w:tc>
        <w:tc>
          <w:tcPr>
            <w:tcW w:w="793" w:type="pct"/>
            <w:tcBorders>
              <w:top w:val="nil"/>
              <w:left w:val="nil"/>
              <w:bottom w:val="nil"/>
              <w:right w:val="nil"/>
            </w:tcBorders>
            <w:shd w:val="clear" w:color="auto" w:fill="auto"/>
            <w:vAlign w:val="center"/>
          </w:tcPr>
          <w:p>
            <w:pPr>
              <w:pStyle w:val="121"/>
            </w:pPr>
            <w:r>
              <w:t>　</w:t>
            </w:r>
          </w:p>
        </w:tc>
        <w:tc>
          <w:tcPr>
            <w:tcW w:w="759" w:type="pct"/>
            <w:tcBorders>
              <w:top w:val="nil"/>
              <w:left w:val="nil"/>
              <w:bottom w:val="nil"/>
              <w:right w:val="nil"/>
            </w:tcBorders>
            <w:shd w:val="clear" w:color="auto" w:fill="auto"/>
            <w:vAlign w:val="center"/>
          </w:tcPr>
          <w:p>
            <w:pPr>
              <w:pStyle w:val="121"/>
            </w:pPr>
            <w:r>
              <w:t>　</w:t>
            </w:r>
          </w:p>
        </w:tc>
        <w:tc>
          <w:tcPr>
            <w:tcW w:w="955" w:type="pct"/>
            <w:gridSpan w:val="2"/>
            <w:tcBorders>
              <w:top w:val="nil"/>
              <w:left w:val="nil"/>
              <w:bottom w:val="nil"/>
              <w:right w:val="nil"/>
            </w:tcBorders>
            <w:shd w:val="clear" w:color="auto" w:fill="auto"/>
            <w:vAlign w:val="center"/>
          </w:tcPr>
          <w:p>
            <w:pPr>
              <w:pStyle w:val="121"/>
            </w:pPr>
            <w:r>
              <w:t>　</w:t>
            </w:r>
          </w:p>
        </w:tc>
        <w:tc>
          <w:tcPr>
            <w:tcW w:w="409" w:type="pct"/>
            <w:tcBorders>
              <w:top w:val="nil"/>
              <w:left w:val="nil"/>
              <w:bottom w:val="nil"/>
              <w:right w:val="nil"/>
            </w:tcBorders>
            <w:shd w:val="clear" w:color="auto" w:fill="auto"/>
            <w:vAlign w:val="center"/>
          </w:tcPr>
          <w:p>
            <w:pPr>
              <w:pStyle w:val="121"/>
            </w:pPr>
            <w:r>
              <w:t>　</w:t>
            </w:r>
          </w:p>
        </w:tc>
        <w:tc>
          <w:tcPr>
            <w:tcW w:w="598" w:type="pct"/>
            <w:tcBorders>
              <w:top w:val="nil"/>
              <w:left w:val="nil"/>
              <w:bottom w:val="nil"/>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nil"/>
              <w:right w:val="single" w:color="auto" w:sz="4" w:space="0"/>
            </w:tcBorders>
            <w:shd w:val="clear" w:color="auto" w:fill="auto"/>
            <w:vAlign w:val="center"/>
          </w:tcPr>
          <w:p>
            <w:pPr>
              <w:pStyle w:val="121"/>
            </w:pPr>
            <w:r>
              <w:t>　</w:t>
            </w:r>
          </w:p>
        </w:tc>
        <w:tc>
          <w:tcPr>
            <w:tcW w:w="686" w:type="pct"/>
            <w:tcBorders>
              <w:top w:val="nil"/>
              <w:left w:val="nil"/>
              <w:bottom w:val="nil"/>
              <w:right w:val="single" w:color="auto" w:sz="4" w:space="0"/>
            </w:tcBorders>
            <w:shd w:val="clear" w:color="auto" w:fill="auto"/>
            <w:vAlign w:val="center"/>
          </w:tcPr>
          <w:p>
            <w:pPr>
              <w:pStyle w:val="121"/>
            </w:pPr>
            <w:r>
              <w:t>　</w:t>
            </w:r>
          </w:p>
        </w:tc>
        <w:tc>
          <w:tcPr>
            <w:tcW w:w="549" w:type="pct"/>
            <w:tcBorders>
              <w:top w:val="nil"/>
              <w:left w:val="nil"/>
              <w:bottom w:val="nil"/>
              <w:right w:val="nil"/>
            </w:tcBorders>
            <w:shd w:val="clear" w:color="auto" w:fill="auto"/>
            <w:vAlign w:val="center"/>
          </w:tcPr>
          <w:p>
            <w:pPr>
              <w:pStyle w:val="121"/>
            </w:pPr>
            <w:r>
              <w:t>　</w:t>
            </w:r>
          </w:p>
        </w:tc>
        <w:tc>
          <w:tcPr>
            <w:tcW w:w="793" w:type="pct"/>
            <w:tcBorders>
              <w:top w:val="nil"/>
              <w:left w:val="nil"/>
              <w:bottom w:val="nil"/>
              <w:right w:val="nil"/>
            </w:tcBorders>
            <w:shd w:val="clear" w:color="auto" w:fill="auto"/>
            <w:vAlign w:val="center"/>
          </w:tcPr>
          <w:p>
            <w:pPr>
              <w:pStyle w:val="121"/>
            </w:pPr>
          </w:p>
        </w:tc>
        <w:tc>
          <w:tcPr>
            <w:tcW w:w="759" w:type="pct"/>
            <w:tcBorders>
              <w:top w:val="nil"/>
              <w:left w:val="nil"/>
              <w:bottom w:val="nil"/>
              <w:right w:val="nil"/>
            </w:tcBorders>
            <w:shd w:val="clear" w:color="auto" w:fill="auto"/>
            <w:vAlign w:val="center"/>
          </w:tcPr>
          <w:p>
            <w:pPr>
              <w:pStyle w:val="121"/>
            </w:pPr>
          </w:p>
        </w:tc>
        <w:tc>
          <w:tcPr>
            <w:tcW w:w="955" w:type="pct"/>
            <w:gridSpan w:val="2"/>
            <w:tcBorders>
              <w:top w:val="nil"/>
              <w:left w:val="nil"/>
              <w:bottom w:val="nil"/>
              <w:right w:val="nil"/>
            </w:tcBorders>
            <w:shd w:val="clear" w:color="auto" w:fill="auto"/>
            <w:vAlign w:val="center"/>
          </w:tcPr>
          <w:p>
            <w:pPr>
              <w:pStyle w:val="121"/>
            </w:pPr>
          </w:p>
        </w:tc>
        <w:tc>
          <w:tcPr>
            <w:tcW w:w="409" w:type="pct"/>
            <w:tcBorders>
              <w:top w:val="nil"/>
              <w:left w:val="nil"/>
              <w:bottom w:val="nil"/>
              <w:right w:val="nil"/>
            </w:tcBorders>
            <w:shd w:val="clear" w:color="auto" w:fill="auto"/>
            <w:vAlign w:val="center"/>
          </w:tcPr>
          <w:p>
            <w:pPr>
              <w:pStyle w:val="121"/>
            </w:pPr>
          </w:p>
        </w:tc>
        <w:tc>
          <w:tcPr>
            <w:tcW w:w="598"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nil"/>
              <w:right w:val="single" w:color="auto" w:sz="4" w:space="0"/>
            </w:tcBorders>
            <w:shd w:val="clear" w:color="auto" w:fill="auto"/>
            <w:vAlign w:val="center"/>
          </w:tcPr>
          <w:p>
            <w:pPr>
              <w:pStyle w:val="121"/>
            </w:pPr>
            <w:r>
              <w:t>　</w:t>
            </w:r>
          </w:p>
        </w:tc>
        <w:tc>
          <w:tcPr>
            <w:tcW w:w="686" w:type="pct"/>
            <w:tcBorders>
              <w:top w:val="nil"/>
              <w:left w:val="nil"/>
              <w:bottom w:val="nil"/>
              <w:right w:val="single" w:color="auto" w:sz="4" w:space="0"/>
            </w:tcBorders>
            <w:shd w:val="clear" w:color="auto" w:fill="auto"/>
            <w:vAlign w:val="center"/>
          </w:tcPr>
          <w:p>
            <w:pPr>
              <w:pStyle w:val="121"/>
            </w:pPr>
            <w:r>
              <w:t>　</w:t>
            </w:r>
          </w:p>
        </w:tc>
        <w:tc>
          <w:tcPr>
            <w:tcW w:w="4063" w:type="pct"/>
            <w:gridSpan w:val="7"/>
            <w:tcBorders>
              <w:top w:val="nil"/>
              <w:left w:val="nil"/>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nil"/>
              <w:right w:val="single" w:color="auto" w:sz="4" w:space="0"/>
            </w:tcBorders>
            <w:shd w:val="clear" w:color="auto" w:fill="auto"/>
            <w:vAlign w:val="center"/>
          </w:tcPr>
          <w:p>
            <w:pPr>
              <w:pStyle w:val="121"/>
            </w:pPr>
            <w:r>
              <w:t>　</w:t>
            </w:r>
          </w:p>
        </w:tc>
        <w:tc>
          <w:tcPr>
            <w:tcW w:w="686" w:type="pct"/>
            <w:tcBorders>
              <w:top w:val="nil"/>
              <w:left w:val="nil"/>
              <w:bottom w:val="nil"/>
              <w:right w:val="single" w:color="auto" w:sz="4" w:space="0"/>
            </w:tcBorders>
            <w:shd w:val="clear" w:color="auto" w:fill="auto"/>
            <w:vAlign w:val="center"/>
          </w:tcPr>
          <w:p>
            <w:pPr>
              <w:pStyle w:val="121"/>
            </w:pPr>
            <w:r>
              <w:t>　</w:t>
            </w:r>
          </w:p>
        </w:tc>
        <w:tc>
          <w:tcPr>
            <w:tcW w:w="549" w:type="pct"/>
            <w:tcBorders>
              <w:top w:val="nil"/>
              <w:left w:val="nil"/>
              <w:bottom w:val="nil"/>
              <w:right w:val="nil"/>
            </w:tcBorders>
            <w:shd w:val="clear" w:color="auto" w:fill="auto"/>
            <w:vAlign w:val="center"/>
          </w:tcPr>
          <w:p>
            <w:pPr>
              <w:pStyle w:val="121"/>
            </w:pPr>
            <w:r>
              <w:t>　</w:t>
            </w:r>
          </w:p>
        </w:tc>
        <w:tc>
          <w:tcPr>
            <w:tcW w:w="793" w:type="pct"/>
            <w:tcBorders>
              <w:top w:val="nil"/>
              <w:left w:val="nil"/>
              <w:bottom w:val="nil"/>
              <w:right w:val="nil"/>
            </w:tcBorders>
            <w:shd w:val="clear" w:color="auto" w:fill="auto"/>
            <w:vAlign w:val="center"/>
          </w:tcPr>
          <w:p>
            <w:pPr>
              <w:pStyle w:val="121"/>
            </w:pPr>
          </w:p>
        </w:tc>
        <w:tc>
          <w:tcPr>
            <w:tcW w:w="759" w:type="pct"/>
            <w:tcBorders>
              <w:top w:val="nil"/>
              <w:left w:val="nil"/>
              <w:bottom w:val="nil"/>
              <w:right w:val="nil"/>
            </w:tcBorders>
            <w:shd w:val="clear" w:color="auto" w:fill="auto"/>
            <w:vAlign w:val="center"/>
          </w:tcPr>
          <w:p>
            <w:pPr>
              <w:pStyle w:val="121"/>
            </w:pPr>
          </w:p>
        </w:tc>
        <w:tc>
          <w:tcPr>
            <w:tcW w:w="955" w:type="pct"/>
            <w:gridSpan w:val="2"/>
            <w:tcBorders>
              <w:top w:val="nil"/>
              <w:left w:val="nil"/>
              <w:bottom w:val="nil"/>
              <w:right w:val="nil"/>
            </w:tcBorders>
            <w:shd w:val="clear" w:color="auto" w:fill="auto"/>
            <w:vAlign w:val="center"/>
          </w:tcPr>
          <w:p>
            <w:pPr>
              <w:pStyle w:val="121"/>
            </w:pPr>
          </w:p>
        </w:tc>
        <w:tc>
          <w:tcPr>
            <w:tcW w:w="409" w:type="pct"/>
            <w:tcBorders>
              <w:top w:val="nil"/>
              <w:left w:val="nil"/>
              <w:bottom w:val="nil"/>
              <w:right w:val="nil"/>
            </w:tcBorders>
            <w:shd w:val="clear" w:color="auto" w:fill="auto"/>
            <w:vAlign w:val="center"/>
          </w:tcPr>
          <w:p>
            <w:pPr>
              <w:pStyle w:val="121"/>
            </w:pPr>
          </w:p>
        </w:tc>
        <w:tc>
          <w:tcPr>
            <w:tcW w:w="598"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nil"/>
              <w:right w:val="single" w:color="auto" w:sz="4" w:space="0"/>
            </w:tcBorders>
            <w:shd w:val="clear" w:color="auto" w:fill="auto"/>
            <w:vAlign w:val="center"/>
          </w:tcPr>
          <w:p>
            <w:pPr>
              <w:pStyle w:val="121"/>
            </w:pPr>
            <w:r>
              <w:t>　</w:t>
            </w:r>
          </w:p>
        </w:tc>
        <w:tc>
          <w:tcPr>
            <w:tcW w:w="686" w:type="pct"/>
            <w:tcBorders>
              <w:top w:val="nil"/>
              <w:left w:val="nil"/>
              <w:bottom w:val="nil"/>
              <w:right w:val="single" w:color="auto" w:sz="4" w:space="0"/>
            </w:tcBorders>
            <w:shd w:val="clear" w:color="auto" w:fill="auto"/>
            <w:vAlign w:val="center"/>
          </w:tcPr>
          <w:p>
            <w:pPr>
              <w:pStyle w:val="121"/>
            </w:pPr>
            <w:r>
              <w:t>　</w:t>
            </w:r>
          </w:p>
        </w:tc>
        <w:tc>
          <w:tcPr>
            <w:tcW w:w="4063" w:type="pct"/>
            <w:gridSpan w:val="7"/>
            <w:tcBorders>
              <w:top w:val="nil"/>
              <w:left w:val="nil"/>
              <w:bottom w:val="nil"/>
              <w:right w:val="single" w:color="auto" w:sz="4" w:space="0"/>
            </w:tcBorders>
            <w:shd w:val="clear" w:color="auto" w:fill="auto"/>
            <w:vAlign w:val="center"/>
          </w:tcPr>
          <w:p>
            <w:pPr>
              <w:pStyle w:val="121"/>
            </w:pPr>
            <w:r>
              <w:t>乙栏：按接受劳务服务的事项逐项填列。</w:t>
            </w: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nil"/>
              <w:right w:val="single" w:color="auto" w:sz="4" w:space="0"/>
            </w:tcBorders>
            <w:shd w:val="clear" w:color="auto" w:fill="auto"/>
            <w:vAlign w:val="center"/>
          </w:tcPr>
          <w:p>
            <w:pPr>
              <w:pStyle w:val="121"/>
            </w:pPr>
            <w:r>
              <w:t>　</w:t>
            </w:r>
          </w:p>
        </w:tc>
        <w:tc>
          <w:tcPr>
            <w:tcW w:w="686" w:type="pct"/>
            <w:tcBorders>
              <w:top w:val="nil"/>
              <w:left w:val="nil"/>
              <w:bottom w:val="nil"/>
              <w:right w:val="single" w:color="auto" w:sz="4" w:space="0"/>
            </w:tcBorders>
            <w:shd w:val="clear" w:color="auto" w:fill="auto"/>
            <w:vAlign w:val="center"/>
          </w:tcPr>
          <w:p>
            <w:pPr>
              <w:pStyle w:val="121"/>
            </w:pPr>
            <w:r>
              <w:t>　</w:t>
            </w:r>
          </w:p>
        </w:tc>
        <w:tc>
          <w:tcPr>
            <w:tcW w:w="549" w:type="pct"/>
            <w:tcBorders>
              <w:top w:val="nil"/>
              <w:left w:val="nil"/>
              <w:bottom w:val="nil"/>
              <w:right w:val="nil"/>
            </w:tcBorders>
            <w:shd w:val="clear" w:color="auto" w:fill="auto"/>
            <w:vAlign w:val="center"/>
          </w:tcPr>
          <w:p>
            <w:pPr>
              <w:pStyle w:val="121"/>
            </w:pPr>
            <w:r>
              <w:t>　</w:t>
            </w:r>
          </w:p>
        </w:tc>
        <w:tc>
          <w:tcPr>
            <w:tcW w:w="793" w:type="pct"/>
            <w:tcBorders>
              <w:top w:val="nil"/>
              <w:left w:val="nil"/>
              <w:bottom w:val="nil"/>
              <w:right w:val="nil"/>
            </w:tcBorders>
            <w:shd w:val="clear" w:color="auto" w:fill="auto"/>
            <w:vAlign w:val="center"/>
          </w:tcPr>
          <w:p>
            <w:pPr>
              <w:pStyle w:val="121"/>
            </w:pPr>
          </w:p>
        </w:tc>
        <w:tc>
          <w:tcPr>
            <w:tcW w:w="759" w:type="pct"/>
            <w:tcBorders>
              <w:top w:val="nil"/>
              <w:left w:val="nil"/>
              <w:bottom w:val="nil"/>
              <w:right w:val="nil"/>
            </w:tcBorders>
            <w:shd w:val="clear" w:color="auto" w:fill="auto"/>
            <w:vAlign w:val="center"/>
          </w:tcPr>
          <w:p>
            <w:pPr>
              <w:pStyle w:val="121"/>
            </w:pPr>
          </w:p>
        </w:tc>
        <w:tc>
          <w:tcPr>
            <w:tcW w:w="955" w:type="pct"/>
            <w:gridSpan w:val="2"/>
            <w:tcBorders>
              <w:top w:val="nil"/>
              <w:left w:val="nil"/>
              <w:bottom w:val="nil"/>
              <w:right w:val="nil"/>
            </w:tcBorders>
            <w:shd w:val="clear" w:color="auto" w:fill="auto"/>
            <w:vAlign w:val="center"/>
          </w:tcPr>
          <w:p>
            <w:pPr>
              <w:pStyle w:val="121"/>
            </w:pPr>
          </w:p>
        </w:tc>
        <w:tc>
          <w:tcPr>
            <w:tcW w:w="409" w:type="pct"/>
            <w:tcBorders>
              <w:top w:val="nil"/>
              <w:left w:val="nil"/>
              <w:bottom w:val="nil"/>
              <w:right w:val="nil"/>
            </w:tcBorders>
            <w:shd w:val="clear" w:color="auto" w:fill="auto"/>
            <w:vAlign w:val="center"/>
          </w:tcPr>
          <w:p>
            <w:pPr>
              <w:pStyle w:val="121"/>
            </w:pPr>
          </w:p>
        </w:tc>
        <w:tc>
          <w:tcPr>
            <w:tcW w:w="598"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nil"/>
              <w:right w:val="single" w:color="auto" w:sz="4" w:space="0"/>
            </w:tcBorders>
            <w:shd w:val="clear" w:color="auto" w:fill="auto"/>
            <w:vAlign w:val="center"/>
          </w:tcPr>
          <w:p>
            <w:pPr>
              <w:pStyle w:val="121"/>
            </w:pPr>
            <w:r>
              <w:t>　</w:t>
            </w:r>
          </w:p>
        </w:tc>
        <w:tc>
          <w:tcPr>
            <w:tcW w:w="686" w:type="pct"/>
            <w:tcBorders>
              <w:top w:val="nil"/>
              <w:left w:val="nil"/>
              <w:bottom w:val="nil"/>
              <w:right w:val="single" w:color="auto" w:sz="4" w:space="0"/>
            </w:tcBorders>
            <w:shd w:val="clear" w:color="auto" w:fill="auto"/>
            <w:vAlign w:val="center"/>
          </w:tcPr>
          <w:p>
            <w:pPr>
              <w:pStyle w:val="121"/>
            </w:pPr>
            <w:r>
              <w:t>　</w:t>
            </w:r>
          </w:p>
        </w:tc>
        <w:tc>
          <w:tcPr>
            <w:tcW w:w="549" w:type="pct"/>
            <w:tcBorders>
              <w:top w:val="nil"/>
              <w:left w:val="nil"/>
              <w:bottom w:val="nil"/>
              <w:right w:val="nil"/>
            </w:tcBorders>
            <w:shd w:val="clear" w:color="auto" w:fill="auto"/>
            <w:vAlign w:val="center"/>
          </w:tcPr>
          <w:p>
            <w:pPr>
              <w:pStyle w:val="121"/>
            </w:pPr>
            <w:r>
              <w:t>　</w:t>
            </w:r>
          </w:p>
        </w:tc>
        <w:tc>
          <w:tcPr>
            <w:tcW w:w="793" w:type="pct"/>
            <w:tcBorders>
              <w:top w:val="nil"/>
              <w:left w:val="nil"/>
              <w:bottom w:val="nil"/>
              <w:right w:val="nil"/>
            </w:tcBorders>
            <w:shd w:val="clear" w:color="auto" w:fill="auto"/>
            <w:vAlign w:val="center"/>
          </w:tcPr>
          <w:p>
            <w:pPr>
              <w:pStyle w:val="121"/>
            </w:pPr>
          </w:p>
        </w:tc>
        <w:tc>
          <w:tcPr>
            <w:tcW w:w="759" w:type="pct"/>
            <w:tcBorders>
              <w:top w:val="nil"/>
              <w:left w:val="nil"/>
              <w:bottom w:val="nil"/>
              <w:right w:val="nil"/>
            </w:tcBorders>
            <w:shd w:val="clear" w:color="auto" w:fill="auto"/>
            <w:vAlign w:val="center"/>
          </w:tcPr>
          <w:p>
            <w:pPr>
              <w:pStyle w:val="121"/>
            </w:pPr>
          </w:p>
        </w:tc>
        <w:tc>
          <w:tcPr>
            <w:tcW w:w="955" w:type="pct"/>
            <w:gridSpan w:val="2"/>
            <w:tcBorders>
              <w:top w:val="nil"/>
              <w:left w:val="nil"/>
              <w:bottom w:val="nil"/>
              <w:right w:val="nil"/>
            </w:tcBorders>
            <w:shd w:val="clear" w:color="auto" w:fill="auto"/>
            <w:vAlign w:val="center"/>
          </w:tcPr>
          <w:p>
            <w:pPr>
              <w:pStyle w:val="121"/>
            </w:pPr>
          </w:p>
        </w:tc>
        <w:tc>
          <w:tcPr>
            <w:tcW w:w="409" w:type="pct"/>
            <w:tcBorders>
              <w:top w:val="nil"/>
              <w:left w:val="nil"/>
              <w:bottom w:val="nil"/>
              <w:right w:val="nil"/>
            </w:tcBorders>
            <w:shd w:val="clear" w:color="auto" w:fill="auto"/>
            <w:vAlign w:val="center"/>
          </w:tcPr>
          <w:p>
            <w:pPr>
              <w:pStyle w:val="121"/>
            </w:pPr>
          </w:p>
        </w:tc>
        <w:tc>
          <w:tcPr>
            <w:tcW w:w="598"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nil"/>
              <w:right w:val="single" w:color="auto" w:sz="4" w:space="0"/>
            </w:tcBorders>
            <w:shd w:val="clear" w:color="auto" w:fill="auto"/>
            <w:vAlign w:val="center"/>
          </w:tcPr>
          <w:p>
            <w:pPr>
              <w:pStyle w:val="121"/>
            </w:pPr>
            <w:r>
              <w:t>　</w:t>
            </w:r>
          </w:p>
        </w:tc>
        <w:tc>
          <w:tcPr>
            <w:tcW w:w="686" w:type="pct"/>
            <w:tcBorders>
              <w:top w:val="nil"/>
              <w:left w:val="nil"/>
              <w:bottom w:val="nil"/>
              <w:right w:val="single" w:color="auto" w:sz="4" w:space="0"/>
            </w:tcBorders>
            <w:shd w:val="clear" w:color="auto" w:fill="auto"/>
            <w:vAlign w:val="center"/>
          </w:tcPr>
          <w:p>
            <w:pPr>
              <w:pStyle w:val="121"/>
            </w:pPr>
            <w:r>
              <w:t>　</w:t>
            </w:r>
          </w:p>
        </w:tc>
        <w:tc>
          <w:tcPr>
            <w:tcW w:w="549" w:type="pct"/>
            <w:tcBorders>
              <w:top w:val="nil"/>
              <w:left w:val="nil"/>
              <w:bottom w:val="nil"/>
              <w:right w:val="nil"/>
            </w:tcBorders>
            <w:shd w:val="clear" w:color="auto" w:fill="auto"/>
            <w:vAlign w:val="center"/>
          </w:tcPr>
          <w:p>
            <w:pPr>
              <w:pStyle w:val="121"/>
            </w:pPr>
            <w:r>
              <w:t>　</w:t>
            </w:r>
          </w:p>
        </w:tc>
        <w:tc>
          <w:tcPr>
            <w:tcW w:w="793" w:type="pct"/>
            <w:tcBorders>
              <w:top w:val="nil"/>
              <w:left w:val="nil"/>
              <w:bottom w:val="nil"/>
              <w:right w:val="nil"/>
            </w:tcBorders>
            <w:shd w:val="clear" w:color="auto" w:fill="auto"/>
            <w:vAlign w:val="center"/>
          </w:tcPr>
          <w:p>
            <w:pPr>
              <w:pStyle w:val="121"/>
            </w:pPr>
          </w:p>
        </w:tc>
        <w:tc>
          <w:tcPr>
            <w:tcW w:w="759" w:type="pct"/>
            <w:tcBorders>
              <w:top w:val="nil"/>
              <w:left w:val="nil"/>
              <w:bottom w:val="nil"/>
              <w:right w:val="nil"/>
            </w:tcBorders>
            <w:shd w:val="clear" w:color="auto" w:fill="auto"/>
            <w:vAlign w:val="center"/>
          </w:tcPr>
          <w:p>
            <w:pPr>
              <w:pStyle w:val="121"/>
            </w:pPr>
          </w:p>
        </w:tc>
        <w:tc>
          <w:tcPr>
            <w:tcW w:w="955" w:type="pct"/>
            <w:gridSpan w:val="2"/>
            <w:tcBorders>
              <w:top w:val="nil"/>
              <w:left w:val="nil"/>
              <w:bottom w:val="nil"/>
              <w:right w:val="nil"/>
            </w:tcBorders>
            <w:shd w:val="clear" w:color="auto" w:fill="auto"/>
            <w:vAlign w:val="center"/>
          </w:tcPr>
          <w:p>
            <w:pPr>
              <w:pStyle w:val="121"/>
            </w:pPr>
          </w:p>
        </w:tc>
        <w:tc>
          <w:tcPr>
            <w:tcW w:w="409" w:type="pct"/>
            <w:tcBorders>
              <w:top w:val="nil"/>
              <w:left w:val="nil"/>
              <w:bottom w:val="nil"/>
              <w:right w:val="nil"/>
            </w:tcBorders>
            <w:shd w:val="clear" w:color="auto" w:fill="auto"/>
            <w:vAlign w:val="center"/>
          </w:tcPr>
          <w:p>
            <w:pPr>
              <w:pStyle w:val="121"/>
            </w:pPr>
          </w:p>
        </w:tc>
        <w:tc>
          <w:tcPr>
            <w:tcW w:w="598" w:type="pct"/>
            <w:tcBorders>
              <w:top w:val="nil"/>
              <w:left w:val="nil"/>
              <w:bottom w:val="nil"/>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686" w:type="pct"/>
            <w:tcBorders>
              <w:top w:val="nil"/>
              <w:left w:val="nil"/>
              <w:bottom w:val="single" w:color="auto" w:sz="4" w:space="0"/>
              <w:right w:val="single" w:color="auto" w:sz="4" w:space="0"/>
            </w:tcBorders>
            <w:shd w:val="clear" w:color="auto" w:fill="auto"/>
            <w:vAlign w:val="center"/>
          </w:tcPr>
          <w:p>
            <w:pPr>
              <w:pStyle w:val="121"/>
            </w:pPr>
            <w:r>
              <w:t>　</w:t>
            </w:r>
          </w:p>
        </w:tc>
        <w:tc>
          <w:tcPr>
            <w:tcW w:w="549" w:type="pct"/>
            <w:tcBorders>
              <w:top w:val="nil"/>
              <w:left w:val="nil"/>
              <w:bottom w:val="single" w:color="auto" w:sz="4" w:space="0"/>
              <w:right w:val="nil"/>
            </w:tcBorders>
            <w:shd w:val="clear" w:color="auto" w:fill="auto"/>
            <w:vAlign w:val="center"/>
          </w:tcPr>
          <w:p>
            <w:pPr>
              <w:pStyle w:val="121"/>
            </w:pPr>
            <w:r>
              <w:t>　</w:t>
            </w:r>
          </w:p>
        </w:tc>
        <w:tc>
          <w:tcPr>
            <w:tcW w:w="793" w:type="pct"/>
            <w:tcBorders>
              <w:top w:val="nil"/>
              <w:left w:val="nil"/>
              <w:bottom w:val="single" w:color="auto" w:sz="4" w:space="0"/>
              <w:right w:val="nil"/>
            </w:tcBorders>
            <w:shd w:val="clear" w:color="auto" w:fill="auto"/>
            <w:vAlign w:val="center"/>
          </w:tcPr>
          <w:p>
            <w:pPr>
              <w:pStyle w:val="121"/>
            </w:pPr>
            <w:r>
              <w:t>　</w:t>
            </w:r>
          </w:p>
        </w:tc>
        <w:tc>
          <w:tcPr>
            <w:tcW w:w="759" w:type="pct"/>
            <w:tcBorders>
              <w:top w:val="nil"/>
              <w:left w:val="nil"/>
              <w:bottom w:val="single" w:color="auto" w:sz="4" w:space="0"/>
              <w:right w:val="nil"/>
            </w:tcBorders>
            <w:shd w:val="clear" w:color="auto" w:fill="auto"/>
            <w:vAlign w:val="center"/>
          </w:tcPr>
          <w:p>
            <w:pPr>
              <w:pStyle w:val="121"/>
            </w:pPr>
            <w:r>
              <w:t>　</w:t>
            </w:r>
          </w:p>
        </w:tc>
        <w:tc>
          <w:tcPr>
            <w:tcW w:w="955" w:type="pct"/>
            <w:gridSpan w:val="2"/>
            <w:tcBorders>
              <w:top w:val="nil"/>
              <w:left w:val="nil"/>
              <w:bottom w:val="single" w:color="auto" w:sz="4" w:space="0"/>
              <w:right w:val="nil"/>
            </w:tcBorders>
            <w:shd w:val="clear" w:color="auto" w:fill="auto"/>
            <w:vAlign w:val="center"/>
          </w:tcPr>
          <w:p>
            <w:pPr>
              <w:pStyle w:val="121"/>
            </w:pPr>
            <w:r>
              <w:t>　</w:t>
            </w:r>
          </w:p>
        </w:tc>
        <w:tc>
          <w:tcPr>
            <w:tcW w:w="409" w:type="pct"/>
            <w:tcBorders>
              <w:top w:val="nil"/>
              <w:left w:val="nil"/>
              <w:bottom w:val="single" w:color="auto" w:sz="4" w:space="0"/>
              <w:right w:val="nil"/>
            </w:tcBorders>
            <w:shd w:val="clear" w:color="auto" w:fill="auto"/>
            <w:vAlign w:val="center"/>
          </w:tcPr>
          <w:p>
            <w:pPr>
              <w:pStyle w:val="121"/>
            </w:pPr>
            <w:r>
              <w:t>　</w:t>
            </w:r>
          </w:p>
        </w:tc>
        <w:tc>
          <w:tcPr>
            <w:tcW w:w="598"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360" w:hRule="atLeast"/>
          <w:jc w:val="center"/>
        </w:trPr>
        <w:tc>
          <w:tcPr>
            <w:tcW w:w="250"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686" w:type="pct"/>
            <w:tcBorders>
              <w:top w:val="nil"/>
              <w:left w:val="nil"/>
              <w:bottom w:val="single" w:color="auto" w:sz="4" w:space="0"/>
              <w:right w:val="single" w:color="auto" w:sz="4" w:space="0"/>
            </w:tcBorders>
            <w:shd w:val="clear" w:color="auto" w:fill="auto"/>
            <w:vAlign w:val="center"/>
          </w:tcPr>
          <w:p>
            <w:pPr>
              <w:pStyle w:val="121"/>
            </w:pPr>
            <w:r>
              <w:t>合计</w:t>
            </w:r>
          </w:p>
        </w:tc>
        <w:tc>
          <w:tcPr>
            <w:tcW w:w="549" w:type="pct"/>
            <w:tcBorders>
              <w:top w:val="nil"/>
              <w:left w:val="nil"/>
              <w:bottom w:val="single" w:color="auto" w:sz="4" w:space="0"/>
              <w:right w:val="nil"/>
            </w:tcBorders>
            <w:shd w:val="clear" w:color="auto" w:fill="auto"/>
            <w:vAlign w:val="center"/>
          </w:tcPr>
          <w:p>
            <w:pPr>
              <w:pStyle w:val="121"/>
            </w:pPr>
            <w:r>
              <w:t>　</w:t>
            </w:r>
          </w:p>
        </w:tc>
        <w:tc>
          <w:tcPr>
            <w:tcW w:w="793" w:type="pct"/>
            <w:tcBorders>
              <w:top w:val="nil"/>
              <w:left w:val="nil"/>
              <w:bottom w:val="single" w:color="auto" w:sz="4" w:space="0"/>
              <w:right w:val="nil"/>
            </w:tcBorders>
            <w:shd w:val="clear" w:color="auto" w:fill="auto"/>
            <w:vAlign w:val="center"/>
          </w:tcPr>
          <w:p>
            <w:pPr>
              <w:pStyle w:val="121"/>
            </w:pPr>
            <w:r>
              <w:t>　</w:t>
            </w:r>
          </w:p>
        </w:tc>
        <w:tc>
          <w:tcPr>
            <w:tcW w:w="759" w:type="pct"/>
            <w:tcBorders>
              <w:top w:val="nil"/>
              <w:left w:val="nil"/>
              <w:bottom w:val="single" w:color="auto" w:sz="4" w:space="0"/>
              <w:right w:val="nil"/>
            </w:tcBorders>
            <w:shd w:val="clear" w:color="auto" w:fill="auto"/>
            <w:vAlign w:val="center"/>
          </w:tcPr>
          <w:p>
            <w:pPr>
              <w:pStyle w:val="121"/>
            </w:pPr>
            <w:r>
              <w:t>　</w:t>
            </w:r>
          </w:p>
        </w:tc>
        <w:tc>
          <w:tcPr>
            <w:tcW w:w="955" w:type="pct"/>
            <w:gridSpan w:val="2"/>
            <w:tcBorders>
              <w:top w:val="nil"/>
              <w:left w:val="nil"/>
              <w:bottom w:val="single" w:color="auto" w:sz="4" w:space="0"/>
              <w:right w:val="nil"/>
            </w:tcBorders>
            <w:shd w:val="clear" w:color="auto" w:fill="auto"/>
            <w:vAlign w:val="center"/>
          </w:tcPr>
          <w:p>
            <w:pPr>
              <w:pStyle w:val="121"/>
            </w:pPr>
            <w:r>
              <w:t>　</w:t>
            </w:r>
          </w:p>
        </w:tc>
        <w:tc>
          <w:tcPr>
            <w:tcW w:w="409" w:type="pct"/>
            <w:tcBorders>
              <w:top w:val="nil"/>
              <w:left w:val="nil"/>
              <w:bottom w:val="single" w:color="auto" w:sz="4" w:space="0"/>
              <w:right w:val="nil"/>
            </w:tcBorders>
            <w:shd w:val="clear" w:color="auto" w:fill="auto"/>
            <w:vAlign w:val="center"/>
          </w:tcPr>
          <w:p>
            <w:pPr>
              <w:pStyle w:val="121"/>
            </w:pPr>
            <w:r>
              <w:t>　</w:t>
            </w:r>
          </w:p>
        </w:tc>
        <w:tc>
          <w:tcPr>
            <w:tcW w:w="598" w:type="pct"/>
            <w:tcBorders>
              <w:top w:val="nil"/>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485" w:type="pct"/>
            <w:gridSpan w:val="3"/>
            <w:tcBorders>
              <w:top w:val="single" w:color="auto" w:sz="4" w:space="0"/>
              <w:left w:val="nil"/>
              <w:bottom w:val="nil"/>
              <w:right w:val="nil"/>
            </w:tcBorders>
            <w:shd w:val="clear" w:color="auto" w:fill="auto"/>
            <w:vAlign w:val="bottom"/>
          </w:tcPr>
          <w:p>
            <w:pPr>
              <w:pStyle w:val="121"/>
              <w:jc w:val="both"/>
            </w:pPr>
            <w:r>
              <w:t>预算编制人：（签章）</w:t>
            </w:r>
          </w:p>
        </w:tc>
        <w:tc>
          <w:tcPr>
            <w:tcW w:w="793" w:type="pct"/>
            <w:tcBorders>
              <w:top w:val="nil"/>
              <w:left w:val="nil"/>
              <w:bottom w:val="nil"/>
              <w:right w:val="nil"/>
            </w:tcBorders>
            <w:shd w:val="clear" w:color="auto" w:fill="auto"/>
            <w:vAlign w:val="bottom"/>
          </w:tcPr>
          <w:p>
            <w:pPr>
              <w:pStyle w:val="121"/>
              <w:jc w:val="both"/>
            </w:pPr>
          </w:p>
        </w:tc>
        <w:tc>
          <w:tcPr>
            <w:tcW w:w="1080" w:type="pct"/>
            <w:gridSpan w:val="2"/>
            <w:tcBorders>
              <w:top w:val="nil"/>
              <w:left w:val="nil"/>
              <w:bottom w:val="nil"/>
              <w:right w:val="nil"/>
            </w:tcBorders>
            <w:shd w:val="clear" w:color="auto" w:fill="auto"/>
            <w:vAlign w:val="bottom"/>
          </w:tcPr>
          <w:p>
            <w:pPr>
              <w:pStyle w:val="121"/>
              <w:jc w:val="both"/>
            </w:pPr>
          </w:p>
        </w:tc>
        <w:tc>
          <w:tcPr>
            <w:tcW w:w="1641" w:type="pct"/>
            <w:gridSpan w:val="3"/>
            <w:tcBorders>
              <w:top w:val="single" w:color="auto" w:sz="4" w:space="0"/>
              <w:left w:val="nil"/>
              <w:bottom w:val="nil"/>
              <w:right w:val="nil"/>
            </w:tcBorders>
            <w:shd w:val="clear" w:color="auto" w:fill="auto"/>
            <w:vAlign w:val="bottom"/>
          </w:tcPr>
          <w:p>
            <w:pPr>
              <w:pStyle w:val="121"/>
              <w:jc w:val="both"/>
            </w:pPr>
            <w:r>
              <w:t>预算审核人：（签章）</w:t>
            </w:r>
          </w:p>
        </w:tc>
      </w:tr>
    </w:tbl>
    <w:p>
      <w:pPr>
        <w:pStyle w:val="121"/>
      </w:pPr>
    </w:p>
    <w:p>
      <w:pPr>
        <w:pStyle w:val="121"/>
      </w:pPr>
    </w:p>
    <w:p>
      <w:pPr>
        <w:pStyle w:val="121"/>
      </w:pPr>
    </w:p>
    <w:p>
      <w:pPr>
        <w:pStyle w:val="121"/>
      </w:pPr>
      <w:r>
        <w:br w:type="page"/>
      </w:r>
    </w:p>
    <w:p>
      <w:pPr>
        <w:pStyle w:val="121"/>
        <w:jc w:val="right"/>
      </w:pPr>
      <w:r>
        <w:t>预工附-15</w:t>
      </w:r>
    </w:p>
    <w:p>
      <w:pPr>
        <w:pStyle w:val="119"/>
      </w:pPr>
      <w:r>
        <w:t>委托业务费预算明细表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5000" w:type="pct"/>
        <w:jc w:val="center"/>
        <w:tblLayout w:type="autofit"/>
        <w:tblCellMar>
          <w:top w:w="0" w:type="dxa"/>
          <w:left w:w="108" w:type="dxa"/>
          <w:bottom w:w="0" w:type="dxa"/>
          <w:right w:w="108" w:type="dxa"/>
        </w:tblCellMar>
      </w:tblPr>
      <w:tblGrid>
        <w:gridCol w:w="558"/>
        <w:gridCol w:w="1117"/>
        <w:gridCol w:w="1121"/>
        <w:gridCol w:w="1163"/>
        <w:gridCol w:w="715"/>
        <w:gridCol w:w="1745"/>
        <w:gridCol w:w="1028"/>
        <w:gridCol w:w="1233"/>
        <w:gridCol w:w="804"/>
      </w:tblGrid>
      <w:tr>
        <w:tblPrEx>
          <w:tblCellMar>
            <w:top w:w="0" w:type="dxa"/>
            <w:left w:w="108" w:type="dxa"/>
            <w:bottom w:w="0" w:type="dxa"/>
            <w:right w:w="108" w:type="dxa"/>
          </w:tblCellMar>
        </w:tblPrEx>
        <w:trPr>
          <w:trHeight w:val="510" w:hRule="atLeast"/>
          <w:jc w:val="center"/>
        </w:trPr>
        <w:tc>
          <w:tcPr>
            <w:tcW w:w="2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5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委托业务名称</w:t>
            </w:r>
          </w:p>
        </w:tc>
        <w:tc>
          <w:tcPr>
            <w:tcW w:w="5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委托业务内容</w:t>
            </w:r>
          </w:p>
        </w:tc>
        <w:tc>
          <w:tcPr>
            <w:tcW w:w="61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委托业务承担单位</w:t>
            </w:r>
          </w:p>
        </w:tc>
        <w:tc>
          <w:tcPr>
            <w:tcW w:w="2489" w:type="pct"/>
            <w:gridSpan w:val="4"/>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4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294" w:type="pct"/>
            <w:vMerge w:val="continue"/>
            <w:tcBorders>
              <w:top w:val="single" w:color="auto" w:sz="4" w:space="0"/>
              <w:left w:val="single" w:color="auto" w:sz="4" w:space="0"/>
              <w:bottom w:val="single" w:color="auto" w:sz="4" w:space="0"/>
              <w:right w:val="single" w:color="auto" w:sz="4" w:space="0"/>
            </w:tcBorders>
            <w:vAlign w:val="center"/>
          </w:tcPr>
          <w:p/>
        </w:tc>
        <w:tc>
          <w:tcPr>
            <w:tcW w:w="589" w:type="pct"/>
            <w:vMerge w:val="continue"/>
            <w:tcBorders>
              <w:top w:val="single" w:color="auto" w:sz="4" w:space="0"/>
              <w:left w:val="single" w:color="auto" w:sz="4" w:space="0"/>
              <w:bottom w:val="single" w:color="auto" w:sz="4" w:space="0"/>
              <w:right w:val="single" w:color="auto" w:sz="4" w:space="0"/>
            </w:tcBorders>
            <w:vAlign w:val="center"/>
          </w:tcPr>
          <w:p/>
        </w:tc>
        <w:tc>
          <w:tcPr>
            <w:tcW w:w="589" w:type="pct"/>
            <w:vMerge w:val="continue"/>
            <w:tcBorders>
              <w:top w:val="single" w:color="auto" w:sz="4" w:space="0"/>
              <w:left w:val="single" w:color="auto" w:sz="4" w:space="0"/>
              <w:bottom w:val="single" w:color="auto" w:sz="4" w:space="0"/>
              <w:right w:val="single" w:color="auto" w:sz="4" w:space="0"/>
            </w:tcBorders>
            <w:vAlign w:val="center"/>
          </w:tcPr>
          <w:p/>
        </w:tc>
        <w:tc>
          <w:tcPr>
            <w:tcW w:w="613" w:type="pct"/>
            <w:vMerge w:val="continue"/>
            <w:tcBorders>
              <w:top w:val="single" w:color="auto" w:sz="4" w:space="0"/>
              <w:left w:val="single" w:color="auto" w:sz="4" w:space="0"/>
              <w:bottom w:val="single" w:color="auto" w:sz="4" w:space="0"/>
              <w:right w:val="single" w:color="auto" w:sz="4" w:space="0"/>
            </w:tcBorders>
            <w:vAlign w:val="center"/>
          </w:tcPr>
          <w:p/>
        </w:tc>
        <w:tc>
          <w:tcPr>
            <w:tcW w:w="377" w:type="pct"/>
            <w:tcBorders>
              <w:top w:val="nil"/>
              <w:left w:val="nil"/>
              <w:bottom w:val="single" w:color="auto" w:sz="4" w:space="0"/>
              <w:right w:val="single" w:color="auto" w:sz="4" w:space="0"/>
            </w:tcBorders>
            <w:shd w:val="clear" w:color="auto" w:fill="auto"/>
            <w:vAlign w:val="center"/>
          </w:tcPr>
          <w:p>
            <w:pPr>
              <w:pStyle w:val="121"/>
            </w:pPr>
            <w:r>
              <w:t>计量单位</w:t>
            </w:r>
          </w:p>
        </w:tc>
        <w:tc>
          <w:tcPr>
            <w:tcW w:w="920" w:type="pct"/>
            <w:tcBorders>
              <w:top w:val="nil"/>
              <w:left w:val="nil"/>
              <w:bottom w:val="single" w:color="auto" w:sz="4" w:space="0"/>
              <w:right w:val="single" w:color="auto" w:sz="4" w:space="0"/>
            </w:tcBorders>
            <w:shd w:val="clear" w:color="auto" w:fill="auto"/>
            <w:vAlign w:val="center"/>
          </w:tcPr>
          <w:p>
            <w:pPr>
              <w:pStyle w:val="121"/>
            </w:pPr>
            <w:r>
              <w:t>计价方式（元/单位工作量）</w:t>
            </w:r>
          </w:p>
        </w:tc>
        <w:tc>
          <w:tcPr>
            <w:tcW w:w="542" w:type="pct"/>
            <w:tcBorders>
              <w:top w:val="nil"/>
              <w:left w:val="nil"/>
              <w:bottom w:val="single" w:color="auto" w:sz="4" w:space="0"/>
              <w:right w:val="single" w:color="auto" w:sz="4" w:space="0"/>
            </w:tcBorders>
            <w:shd w:val="clear" w:color="auto" w:fill="auto"/>
            <w:vAlign w:val="center"/>
          </w:tcPr>
          <w:p>
            <w:pPr>
              <w:pStyle w:val="121"/>
            </w:pPr>
            <w:r>
              <w:t>外协</w:t>
            </w:r>
            <w:r>
              <w:br w:type="textWrapping"/>
            </w:r>
            <w:r>
              <w:t>工作量</w:t>
            </w:r>
          </w:p>
        </w:tc>
        <w:tc>
          <w:tcPr>
            <w:tcW w:w="648" w:type="pct"/>
            <w:tcBorders>
              <w:top w:val="nil"/>
              <w:left w:val="nil"/>
              <w:bottom w:val="single" w:color="auto" w:sz="4" w:space="0"/>
              <w:right w:val="single" w:color="auto" w:sz="4" w:space="0"/>
            </w:tcBorders>
            <w:shd w:val="clear" w:color="auto" w:fill="auto"/>
            <w:vAlign w:val="center"/>
          </w:tcPr>
          <w:p>
            <w:pPr>
              <w:pStyle w:val="121"/>
            </w:pPr>
            <w:r>
              <w:t>预算</w:t>
            </w:r>
          </w:p>
        </w:tc>
        <w:tc>
          <w:tcPr>
            <w:tcW w:w="421" w:type="pct"/>
            <w:vMerge w:val="continue"/>
            <w:tcBorders>
              <w:top w:val="single" w:color="auto" w:sz="4" w:space="0"/>
              <w:left w:val="single" w:color="auto" w:sz="4" w:space="0"/>
              <w:bottom w:val="single" w:color="auto" w:sz="4" w:space="0"/>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589" w:type="pct"/>
            <w:tcBorders>
              <w:top w:val="nil"/>
              <w:left w:val="nil"/>
              <w:bottom w:val="single" w:color="auto" w:sz="4" w:space="0"/>
              <w:right w:val="single" w:color="auto" w:sz="4" w:space="0"/>
            </w:tcBorders>
            <w:shd w:val="clear" w:color="auto" w:fill="auto"/>
            <w:vAlign w:val="center"/>
          </w:tcPr>
          <w:p>
            <w:pPr>
              <w:pStyle w:val="121"/>
            </w:pPr>
            <w:r>
              <w:t>乙</w:t>
            </w:r>
          </w:p>
        </w:tc>
        <w:tc>
          <w:tcPr>
            <w:tcW w:w="589" w:type="pct"/>
            <w:tcBorders>
              <w:top w:val="nil"/>
              <w:left w:val="nil"/>
              <w:bottom w:val="single" w:color="auto" w:sz="4" w:space="0"/>
              <w:right w:val="single" w:color="auto" w:sz="4" w:space="0"/>
            </w:tcBorders>
            <w:shd w:val="clear" w:color="auto" w:fill="auto"/>
            <w:vAlign w:val="center"/>
          </w:tcPr>
          <w:p>
            <w:pPr>
              <w:pStyle w:val="121"/>
            </w:pPr>
            <w:r>
              <w:t>丙</w:t>
            </w:r>
          </w:p>
        </w:tc>
        <w:tc>
          <w:tcPr>
            <w:tcW w:w="613" w:type="pct"/>
            <w:tcBorders>
              <w:top w:val="nil"/>
              <w:left w:val="nil"/>
              <w:bottom w:val="single" w:color="auto" w:sz="4" w:space="0"/>
              <w:right w:val="single" w:color="auto" w:sz="4" w:space="0"/>
            </w:tcBorders>
            <w:shd w:val="clear" w:color="auto" w:fill="auto"/>
            <w:vAlign w:val="center"/>
          </w:tcPr>
          <w:p>
            <w:pPr>
              <w:pStyle w:val="121"/>
            </w:pPr>
            <w:r>
              <w:t>丁</w:t>
            </w:r>
          </w:p>
        </w:tc>
        <w:tc>
          <w:tcPr>
            <w:tcW w:w="377" w:type="pct"/>
            <w:tcBorders>
              <w:top w:val="nil"/>
              <w:left w:val="nil"/>
              <w:bottom w:val="single" w:color="auto" w:sz="4" w:space="0"/>
              <w:right w:val="single" w:color="auto" w:sz="4" w:space="0"/>
            </w:tcBorders>
            <w:shd w:val="clear" w:color="auto" w:fill="auto"/>
            <w:vAlign w:val="center"/>
          </w:tcPr>
          <w:p>
            <w:pPr>
              <w:pStyle w:val="121"/>
            </w:pPr>
            <w:r>
              <w:t>戊</w:t>
            </w:r>
          </w:p>
        </w:tc>
        <w:tc>
          <w:tcPr>
            <w:tcW w:w="920" w:type="pct"/>
            <w:tcBorders>
              <w:top w:val="nil"/>
              <w:left w:val="nil"/>
              <w:bottom w:val="single" w:color="auto" w:sz="4" w:space="0"/>
              <w:right w:val="single" w:color="auto" w:sz="4" w:space="0"/>
            </w:tcBorders>
            <w:shd w:val="clear" w:color="auto" w:fill="auto"/>
            <w:vAlign w:val="center"/>
          </w:tcPr>
          <w:p>
            <w:pPr>
              <w:pStyle w:val="121"/>
            </w:pPr>
            <w:r>
              <w:t>1</w:t>
            </w:r>
          </w:p>
        </w:tc>
        <w:tc>
          <w:tcPr>
            <w:tcW w:w="542" w:type="pct"/>
            <w:tcBorders>
              <w:top w:val="nil"/>
              <w:left w:val="nil"/>
              <w:bottom w:val="single" w:color="auto" w:sz="4" w:space="0"/>
              <w:right w:val="single" w:color="auto" w:sz="4" w:space="0"/>
            </w:tcBorders>
            <w:shd w:val="clear" w:color="auto" w:fill="auto"/>
            <w:vAlign w:val="center"/>
          </w:tcPr>
          <w:p>
            <w:pPr>
              <w:pStyle w:val="121"/>
            </w:pPr>
            <w:r>
              <w:t>2</w:t>
            </w:r>
          </w:p>
        </w:tc>
        <w:tc>
          <w:tcPr>
            <w:tcW w:w="648" w:type="pct"/>
            <w:tcBorders>
              <w:top w:val="nil"/>
              <w:left w:val="nil"/>
              <w:bottom w:val="single" w:color="auto" w:sz="4" w:space="0"/>
              <w:right w:val="single" w:color="auto" w:sz="4" w:space="0"/>
            </w:tcBorders>
            <w:shd w:val="clear" w:color="auto" w:fill="auto"/>
            <w:vAlign w:val="center"/>
          </w:tcPr>
          <w:p>
            <w:pPr>
              <w:pStyle w:val="121"/>
            </w:pPr>
            <w:r>
              <w:t>3</w:t>
            </w:r>
          </w:p>
        </w:tc>
        <w:tc>
          <w:tcPr>
            <w:tcW w:w="421" w:type="pct"/>
            <w:tcBorders>
              <w:top w:val="nil"/>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nil"/>
              <w:right w:val="single" w:color="auto" w:sz="4" w:space="0"/>
            </w:tcBorders>
            <w:shd w:val="clear" w:color="auto" w:fill="auto"/>
            <w:vAlign w:val="center"/>
          </w:tcPr>
          <w:p>
            <w:pPr>
              <w:pStyle w:val="121"/>
            </w:pPr>
            <w:r>
              <w:t>　</w:t>
            </w:r>
          </w:p>
        </w:tc>
        <w:tc>
          <w:tcPr>
            <w:tcW w:w="589" w:type="pct"/>
            <w:tcBorders>
              <w:top w:val="nil"/>
              <w:left w:val="nil"/>
              <w:bottom w:val="nil"/>
              <w:right w:val="single" w:color="auto" w:sz="4" w:space="0"/>
            </w:tcBorders>
            <w:shd w:val="clear" w:color="auto" w:fill="auto"/>
            <w:vAlign w:val="center"/>
          </w:tcPr>
          <w:p>
            <w:pPr>
              <w:pStyle w:val="121"/>
            </w:pPr>
            <w:r>
              <w:t>　</w:t>
            </w:r>
          </w:p>
        </w:tc>
        <w:tc>
          <w:tcPr>
            <w:tcW w:w="4115" w:type="pct"/>
            <w:gridSpan w:val="7"/>
            <w:vMerge w:val="restart"/>
            <w:tcBorders>
              <w:top w:val="single" w:color="auto" w:sz="4" w:space="0"/>
              <w:left w:val="single" w:color="auto" w:sz="4" w:space="0"/>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nil"/>
              <w:right w:val="single" w:color="auto" w:sz="4" w:space="0"/>
            </w:tcBorders>
            <w:shd w:val="clear" w:color="auto" w:fill="auto"/>
            <w:vAlign w:val="center"/>
          </w:tcPr>
          <w:p>
            <w:pPr>
              <w:pStyle w:val="121"/>
            </w:pPr>
            <w:r>
              <w:t>　</w:t>
            </w:r>
          </w:p>
        </w:tc>
        <w:tc>
          <w:tcPr>
            <w:tcW w:w="589" w:type="pct"/>
            <w:tcBorders>
              <w:top w:val="nil"/>
              <w:left w:val="nil"/>
              <w:bottom w:val="nil"/>
              <w:right w:val="single" w:color="auto" w:sz="4" w:space="0"/>
            </w:tcBorders>
            <w:shd w:val="clear" w:color="auto" w:fill="auto"/>
            <w:vAlign w:val="center"/>
          </w:tcPr>
          <w:p>
            <w:pPr>
              <w:pStyle w:val="121"/>
            </w:pPr>
            <w:r>
              <w:t>　</w:t>
            </w:r>
          </w:p>
        </w:tc>
        <w:tc>
          <w:tcPr>
            <w:tcW w:w="4115" w:type="pct"/>
            <w:gridSpan w:val="7"/>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nil"/>
              <w:right w:val="single" w:color="auto" w:sz="4" w:space="0"/>
            </w:tcBorders>
            <w:shd w:val="clear" w:color="auto" w:fill="auto"/>
            <w:vAlign w:val="center"/>
          </w:tcPr>
          <w:p>
            <w:pPr>
              <w:pStyle w:val="121"/>
            </w:pPr>
            <w:r>
              <w:t>　</w:t>
            </w:r>
          </w:p>
        </w:tc>
        <w:tc>
          <w:tcPr>
            <w:tcW w:w="589" w:type="pct"/>
            <w:tcBorders>
              <w:top w:val="nil"/>
              <w:left w:val="nil"/>
              <w:bottom w:val="nil"/>
              <w:right w:val="single" w:color="auto" w:sz="4" w:space="0"/>
            </w:tcBorders>
            <w:shd w:val="clear" w:color="auto" w:fill="auto"/>
            <w:vAlign w:val="center"/>
          </w:tcPr>
          <w:p>
            <w:pPr>
              <w:pStyle w:val="121"/>
            </w:pPr>
            <w:r>
              <w:t>　</w:t>
            </w:r>
          </w:p>
        </w:tc>
        <w:tc>
          <w:tcPr>
            <w:tcW w:w="4115" w:type="pct"/>
            <w:gridSpan w:val="7"/>
            <w:tcBorders>
              <w:top w:val="nil"/>
              <w:left w:val="nil"/>
              <w:bottom w:val="nil"/>
              <w:right w:val="single" w:color="auto" w:sz="4" w:space="0"/>
            </w:tcBorders>
            <w:shd w:val="clear" w:color="auto" w:fill="auto"/>
          </w:tcPr>
          <w:p>
            <w:pPr>
              <w:pStyle w:val="121"/>
              <w:ind w:firstLine="360" w:firstLineChars="200"/>
              <w:jc w:val="left"/>
            </w:pPr>
            <w:r>
              <w:t>1.乙栏：按委托业务内容逐项填列。</w:t>
            </w:r>
          </w:p>
        </w:tc>
      </w:tr>
      <w:tr>
        <w:tblPrEx>
          <w:tblCellMar>
            <w:top w:w="0" w:type="dxa"/>
            <w:left w:w="108" w:type="dxa"/>
            <w:bottom w:w="0" w:type="dxa"/>
            <w:right w:w="108" w:type="dxa"/>
          </w:tblCellMar>
        </w:tblPrEx>
        <w:trPr>
          <w:trHeight w:val="510" w:hRule="atLeast"/>
          <w:jc w:val="center"/>
        </w:trPr>
        <w:tc>
          <w:tcPr>
            <w:tcW w:w="294" w:type="pct"/>
            <w:tcBorders>
              <w:top w:val="nil"/>
              <w:left w:val="single" w:color="auto" w:sz="4" w:space="0"/>
              <w:bottom w:val="nil"/>
              <w:right w:val="single" w:color="auto" w:sz="4" w:space="0"/>
            </w:tcBorders>
            <w:shd w:val="clear" w:color="auto" w:fill="auto"/>
            <w:vAlign w:val="center"/>
          </w:tcPr>
          <w:p>
            <w:pPr>
              <w:pStyle w:val="121"/>
            </w:pPr>
            <w:r>
              <w:t>　</w:t>
            </w:r>
          </w:p>
        </w:tc>
        <w:tc>
          <w:tcPr>
            <w:tcW w:w="589" w:type="pct"/>
            <w:tcBorders>
              <w:top w:val="nil"/>
              <w:left w:val="nil"/>
              <w:bottom w:val="nil"/>
              <w:right w:val="single" w:color="auto" w:sz="4" w:space="0"/>
            </w:tcBorders>
            <w:shd w:val="clear" w:color="auto" w:fill="auto"/>
            <w:vAlign w:val="center"/>
          </w:tcPr>
          <w:p>
            <w:pPr>
              <w:pStyle w:val="121"/>
            </w:pPr>
            <w:r>
              <w:t>　</w:t>
            </w:r>
          </w:p>
        </w:tc>
        <w:tc>
          <w:tcPr>
            <w:tcW w:w="4115" w:type="pct"/>
            <w:gridSpan w:val="7"/>
            <w:tcBorders>
              <w:top w:val="nil"/>
              <w:left w:val="nil"/>
              <w:bottom w:val="nil"/>
              <w:right w:val="single" w:color="auto" w:sz="4" w:space="0"/>
            </w:tcBorders>
            <w:shd w:val="clear" w:color="auto" w:fill="auto"/>
          </w:tcPr>
          <w:p>
            <w:pPr>
              <w:pStyle w:val="121"/>
              <w:ind w:firstLine="360" w:firstLineChars="200"/>
              <w:jc w:val="left"/>
            </w:pPr>
            <w:r>
              <w:t>2.本表难以反映经费测算情况的，可另加设表格表达。</w:t>
            </w:r>
          </w:p>
        </w:tc>
      </w:tr>
      <w:tr>
        <w:tblPrEx>
          <w:tblCellMar>
            <w:top w:w="0" w:type="dxa"/>
            <w:left w:w="108" w:type="dxa"/>
            <w:bottom w:w="0" w:type="dxa"/>
            <w:right w:w="108" w:type="dxa"/>
          </w:tblCellMar>
        </w:tblPrEx>
        <w:trPr>
          <w:trHeight w:val="510" w:hRule="atLeast"/>
          <w:jc w:val="center"/>
        </w:trPr>
        <w:tc>
          <w:tcPr>
            <w:tcW w:w="294"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589"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589" w:type="pct"/>
            <w:tcBorders>
              <w:top w:val="single" w:color="auto" w:sz="4" w:space="0"/>
              <w:left w:val="nil"/>
              <w:bottom w:val="single" w:color="auto" w:sz="4" w:space="0"/>
              <w:right w:val="nil"/>
            </w:tcBorders>
            <w:shd w:val="clear" w:color="auto" w:fill="auto"/>
            <w:vAlign w:val="center"/>
          </w:tcPr>
          <w:p>
            <w:pPr>
              <w:pStyle w:val="121"/>
            </w:pPr>
            <w:r>
              <w:t>　</w:t>
            </w:r>
          </w:p>
        </w:tc>
        <w:tc>
          <w:tcPr>
            <w:tcW w:w="613" w:type="pct"/>
            <w:tcBorders>
              <w:top w:val="single" w:color="auto" w:sz="4" w:space="0"/>
              <w:left w:val="nil"/>
              <w:bottom w:val="single" w:color="auto" w:sz="4" w:space="0"/>
              <w:right w:val="nil"/>
            </w:tcBorders>
            <w:shd w:val="clear" w:color="auto" w:fill="auto"/>
            <w:vAlign w:val="center"/>
          </w:tcPr>
          <w:p>
            <w:pPr>
              <w:pStyle w:val="121"/>
            </w:pPr>
            <w:r>
              <w:t>　</w:t>
            </w:r>
          </w:p>
        </w:tc>
        <w:tc>
          <w:tcPr>
            <w:tcW w:w="377" w:type="pct"/>
            <w:tcBorders>
              <w:top w:val="single" w:color="auto" w:sz="4" w:space="0"/>
              <w:left w:val="nil"/>
              <w:bottom w:val="single" w:color="auto" w:sz="4" w:space="0"/>
              <w:right w:val="nil"/>
            </w:tcBorders>
            <w:shd w:val="clear" w:color="auto" w:fill="auto"/>
            <w:vAlign w:val="center"/>
          </w:tcPr>
          <w:p>
            <w:pPr>
              <w:pStyle w:val="121"/>
            </w:pPr>
            <w:r>
              <w:t>　</w:t>
            </w:r>
          </w:p>
        </w:tc>
        <w:tc>
          <w:tcPr>
            <w:tcW w:w="920" w:type="pct"/>
            <w:tcBorders>
              <w:top w:val="single" w:color="auto" w:sz="4" w:space="0"/>
              <w:left w:val="nil"/>
              <w:bottom w:val="single" w:color="auto" w:sz="4" w:space="0"/>
              <w:right w:val="nil"/>
            </w:tcBorders>
            <w:shd w:val="clear" w:color="auto" w:fill="auto"/>
            <w:vAlign w:val="center"/>
          </w:tcPr>
          <w:p>
            <w:pPr>
              <w:pStyle w:val="121"/>
            </w:pPr>
            <w:r>
              <w:t>　</w:t>
            </w:r>
          </w:p>
        </w:tc>
        <w:tc>
          <w:tcPr>
            <w:tcW w:w="542" w:type="pct"/>
            <w:tcBorders>
              <w:top w:val="single" w:color="auto" w:sz="4" w:space="0"/>
              <w:left w:val="nil"/>
              <w:bottom w:val="single" w:color="auto" w:sz="4" w:space="0"/>
              <w:right w:val="nil"/>
            </w:tcBorders>
            <w:shd w:val="clear" w:color="auto" w:fill="auto"/>
            <w:vAlign w:val="center"/>
          </w:tcPr>
          <w:p>
            <w:pPr>
              <w:pStyle w:val="121"/>
            </w:pPr>
            <w:r>
              <w:t>　</w:t>
            </w:r>
          </w:p>
        </w:tc>
        <w:tc>
          <w:tcPr>
            <w:tcW w:w="648" w:type="pct"/>
            <w:tcBorders>
              <w:top w:val="single" w:color="auto" w:sz="4" w:space="0"/>
              <w:left w:val="nil"/>
              <w:bottom w:val="single" w:color="auto" w:sz="4" w:space="0"/>
              <w:right w:val="nil"/>
            </w:tcBorders>
            <w:shd w:val="clear" w:color="auto" w:fill="auto"/>
            <w:vAlign w:val="center"/>
          </w:tcPr>
          <w:p>
            <w:pPr>
              <w:pStyle w:val="121"/>
            </w:pPr>
            <w:r>
              <w:t>　</w:t>
            </w:r>
          </w:p>
        </w:tc>
        <w:tc>
          <w:tcPr>
            <w:tcW w:w="421" w:type="pct"/>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474" w:type="pct"/>
            <w:gridSpan w:val="3"/>
            <w:tcBorders>
              <w:top w:val="nil"/>
              <w:left w:val="nil"/>
              <w:bottom w:val="nil"/>
              <w:right w:val="nil"/>
            </w:tcBorders>
            <w:shd w:val="clear" w:color="auto" w:fill="auto"/>
            <w:noWrap/>
            <w:vAlign w:val="bottom"/>
          </w:tcPr>
          <w:p>
            <w:pPr>
              <w:pStyle w:val="121"/>
              <w:jc w:val="both"/>
            </w:pPr>
            <w:r>
              <w:t>预算编制人：（签章）</w:t>
            </w:r>
          </w:p>
        </w:tc>
        <w:tc>
          <w:tcPr>
            <w:tcW w:w="613" w:type="pct"/>
            <w:tcBorders>
              <w:top w:val="nil"/>
              <w:left w:val="nil"/>
              <w:bottom w:val="nil"/>
              <w:right w:val="nil"/>
            </w:tcBorders>
            <w:shd w:val="clear" w:color="auto" w:fill="auto"/>
            <w:noWrap/>
            <w:vAlign w:val="bottom"/>
          </w:tcPr>
          <w:p>
            <w:pPr>
              <w:pStyle w:val="121"/>
              <w:jc w:val="both"/>
            </w:pPr>
          </w:p>
        </w:tc>
        <w:tc>
          <w:tcPr>
            <w:tcW w:w="377" w:type="pct"/>
            <w:tcBorders>
              <w:top w:val="nil"/>
              <w:left w:val="nil"/>
              <w:bottom w:val="nil"/>
              <w:right w:val="nil"/>
            </w:tcBorders>
            <w:shd w:val="clear" w:color="auto" w:fill="auto"/>
            <w:noWrap/>
            <w:vAlign w:val="bottom"/>
          </w:tcPr>
          <w:p>
            <w:pPr>
              <w:pStyle w:val="121"/>
              <w:jc w:val="both"/>
            </w:pPr>
          </w:p>
        </w:tc>
        <w:tc>
          <w:tcPr>
            <w:tcW w:w="920" w:type="pct"/>
            <w:tcBorders>
              <w:top w:val="nil"/>
              <w:left w:val="nil"/>
              <w:bottom w:val="nil"/>
              <w:right w:val="nil"/>
            </w:tcBorders>
            <w:shd w:val="clear" w:color="auto" w:fill="auto"/>
            <w:noWrap/>
            <w:vAlign w:val="bottom"/>
          </w:tcPr>
          <w:p>
            <w:pPr>
              <w:pStyle w:val="121"/>
              <w:jc w:val="both"/>
            </w:pPr>
          </w:p>
        </w:tc>
        <w:tc>
          <w:tcPr>
            <w:tcW w:w="1612" w:type="pct"/>
            <w:gridSpan w:val="3"/>
            <w:tcBorders>
              <w:top w:val="nil"/>
              <w:left w:val="nil"/>
              <w:bottom w:val="nil"/>
              <w:right w:val="nil"/>
            </w:tcBorders>
            <w:shd w:val="clear" w:color="auto" w:fill="auto"/>
            <w:noWrap/>
            <w:vAlign w:val="bottom"/>
          </w:tcPr>
          <w:p>
            <w:pPr>
              <w:pStyle w:val="121"/>
              <w:jc w:val="both"/>
            </w:pPr>
            <w:r>
              <w:t>预算审核人：（签章）</w:t>
            </w:r>
          </w:p>
        </w:tc>
      </w:tr>
    </w:tbl>
    <w:p>
      <w:pPr>
        <w:pStyle w:val="121"/>
      </w:pPr>
      <w:r>
        <w:br w:type="page"/>
      </w:r>
    </w:p>
    <w:p>
      <w:pPr>
        <w:pStyle w:val="121"/>
        <w:jc w:val="right"/>
      </w:pPr>
      <w:r>
        <w:t>预工附-16</w:t>
      </w:r>
    </w:p>
    <w:p>
      <w:pPr>
        <w:pStyle w:val="119"/>
      </w:pPr>
      <w:r>
        <w:t>设备购置费预算明细表</w:t>
      </w:r>
    </w:p>
    <w:p>
      <w:pPr>
        <w:pStyle w:val="119"/>
      </w:pPr>
      <w:r>
        <w:t>（    年度）</w:t>
      </w:r>
    </w:p>
    <w:p>
      <w:pPr>
        <w:pStyle w:val="121"/>
        <w:spacing w:before="120" w:beforeLines="50" w:after="120" w:afterLines="50"/>
      </w:pPr>
      <w:r>
        <w:t xml:space="preserve">工作项目名称：                                                                               </w:t>
      </w:r>
      <w:r>
        <w:rPr>
          <w:rFonts w:hint="eastAsia" w:ascii="宋体"/>
        </w:rPr>
        <w:t>单位为万元</w:t>
      </w:r>
    </w:p>
    <w:tbl>
      <w:tblPr>
        <w:tblStyle w:val="36"/>
        <w:tblW w:w="4998" w:type="pct"/>
        <w:jc w:val="center"/>
        <w:tblLayout w:type="autofit"/>
        <w:tblCellMar>
          <w:top w:w="0" w:type="dxa"/>
          <w:left w:w="108" w:type="dxa"/>
          <w:bottom w:w="0" w:type="dxa"/>
          <w:right w:w="108" w:type="dxa"/>
        </w:tblCellMar>
      </w:tblPr>
      <w:tblGrid>
        <w:gridCol w:w="946"/>
        <w:gridCol w:w="1422"/>
        <w:gridCol w:w="1166"/>
        <w:gridCol w:w="1005"/>
        <w:gridCol w:w="463"/>
        <w:gridCol w:w="912"/>
        <w:gridCol w:w="451"/>
        <w:gridCol w:w="924"/>
        <w:gridCol w:w="967"/>
        <w:gridCol w:w="1224"/>
      </w:tblGrid>
      <w:tr>
        <w:tblPrEx>
          <w:tblCellMar>
            <w:top w:w="0" w:type="dxa"/>
            <w:left w:w="108" w:type="dxa"/>
            <w:bottom w:w="0" w:type="dxa"/>
            <w:right w:w="108" w:type="dxa"/>
          </w:tblCellMar>
        </w:tblPrEx>
        <w:trPr>
          <w:trHeight w:val="510" w:hRule="atLeast"/>
          <w:jc w:val="center"/>
        </w:trPr>
        <w:tc>
          <w:tcPr>
            <w:tcW w:w="49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750" w:type="pct"/>
            <w:tcBorders>
              <w:top w:val="single" w:color="auto" w:sz="4" w:space="0"/>
              <w:left w:val="nil"/>
              <w:bottom w:val="single" w:color="auto" w:sz="4" w:space="0"/>
              <w:right w:val="single" w:color="auto" w:sz="4" w:space="0"/>
            </w:tcBorders>
            <w:shd w:val="clear" w:color="auto" w:fill="auto"/>
            <w:vAlign w:val="center"/>
          </w:tcPr>
          <w:p>
            <w:pPr>
              <w:pStyle w:val="121"/>
            </w:pPr>
            <w:r>
              <w:t>设备名称</w:t>
            </w:r>
          </w:p>
        </w:tc>
        <w:tc>
          <w:tcPr>
            <w:tcW w:w="614" w:type="pct"/>
            <w:tcBorders>
              <w:top w:val="single" w:color="auto" w:sz="4" w:space="0"/>
              <w:left w:val="nil"/>
              <w:bottom w:val="single" w:color="auto" w:sz="4" w:space="0"/>
              <w:right w:val="single" w:color="auto" w:sz="4" w:space="0"/>
            </w:tcBorders>
            <w:shd w:val="clear" w:color="auto" w:fill="auto"/>
            <w:vAlign w:val="center"/>
          </w:tcPr>
          <w:p>
            <w:pPr>
              <w:pStyle w:val="121"/>
            </w:pPr>
            <w:r>
              <w:t>设备型号</w:t>
            </w:r>
          </w:p>
        </w:tc>
        <w:tc>
          <w:tcPr>
            <w:tcW w:w="530" w:type="pct"/>
            <w:tcBorders>
              <w:top w:val="single" w:color="auto" w:sz="4" w:space="0"/>
              <w:left w:val="nil"/>
              <w:bottom w:val="single" w:color="auto" w:sz="4" w:space="0"/>
              <w:right w:val="single" w:color="auto" w:sz="4" w:space="0"/>
            </w:tcBorders>
            <w:shd w:val="clear" w:color="auto" w:fill="auto"/>
            <w:vAlign w:val="center"/>
          </w:tcPr>
          <w:p>
            <w:pPr>
              <w:pStyle w:val="121"/>
            </w:pPr>
            <w:r>
              <w:t>设备在项目中的作用</w:t>
            </w:r>
          </w:p>
        </w:tc>
        <w:tc>
          <w:tcPr>
            <w:tcW w:w="725"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单价/原值</w:t>
            </w:r>
          </w:p>
          <w:p>
            <w:pPr>
              <w:pStyle w:val="121"/>
            </w:pPr>
            <w:r>
              <w:t>元</w:t>
            </w:r>
          </w:p>
        </w:tc>
        <w:tc>
          <w:tcPr>
            <w:tcW w:w="725"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设备数量</w:t>
            </w:r>
          </w:p>
        </w:tc>
        <w:tc>
          <w:tcPr>
            <w:tcW w:w="510" w:type="pct"/>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644" w:type="pct"/>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rPr>
          <w:trHeight w:val="510" w:hRule="atLeast"/>
          <w:jc w:val="center"/>
        </w:trPr>
        <w:tc>
          <w:tcPr>
            <w:tcW w:w="499"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750" w:type="pct"/>
            <w:tcBorders>
              <w:top w:val="nil"/>
              <w:left w:val="nil"/>
              <w:bottom w:val="single" w:color="auto" w:sz="4" w:space="0"/>
              <w:right w:val="single" w:color="auto" w:sz="4" w:space="0"/>
            </w:tcBorders>
            <w:shd w:val="clear" w:color="auto" w:fill="auto"/>
            <w:vAlign w:val="center"/>
          </w:tcPr>
          <w:p>
            <w:pPr>
              <w:pStyle w:val="121"/>
            </w:pPr>
            <w:r>
              <w:t>乙</w:t>
            </w:r>
          </w:p>
        </w:tc>
        <w:tc>
          <w:tcPr>
            <w:tcW w:w="614" w:type="pct"/>
            <w:tcBorders>
              <w:top w:val="nil"/>
              <w:left w:val="nil"/>
              <w:bottom w:val="single" w:color="auto" w:sz="4" w:space="0"/>
              <w:right w:val="single" w:color="auto" w:sz="4" w:space="0"/>
            </w:tcBorders>
            <w:shd w:val="clear" w:color="auto" w:fill="auto"/>
            <w:vAlign w:val="center"/>
          </w:tcPr>
          <w:p>
            <w:pPr>
              <w:pStyle w:val="121"/>
            </w:pPr>
            <w:r>
              <w:t>1</w:t>
            </w:r>
          </w:p>
        </w:tc>
        <w:tc>
          <w:tcPr>
            <w:tcW w:w="530" w:type="pct"/>
            <w:tcBorders>
              <w:top w:val="nil"/>
              <w:left w:val="nil"/>
              <w:bottom w:val="single" w:color="auto" w:sz="4" w:space="0"/>
              <w:right w:val="single" w:color="auto" w:sz="4" w:space="0"/>
            </w:tcBorders>
            <w:shd w:val="clear" w:color="auto" w:fill="auto"/>
            <w:vAlign w:val="center"/>
          </w:tcPr>
          <w:p>
            <w:pPr>
              <w:pStyle w:val="121"/>
            </w:pPr>
            <w:r>
              <w:t>2</w:t>
            </w:r>
          </w:p>
        </w:tc>
        <w:tc>
          <w:tcPr>
            <w:tcW w:w="725" w:type="pct"/>
            <w:gridSpan w:val="2"/>
            <w:tcBorders>
              <w:top w:val="nil"/>
              <w:left w:val="nil"/>
              <w:bottom w:val="single" w:color="auto" w:sz="4" w:space="0"/>
              <w:right w:val="single" w:color="auto" w:sz="4" w:space="0"/>
            </w:tcBorders>
            <w:shd w:val="clear" w:color="auto" w:fill="auto"/>
            <w:vAlign w:val="center"/>
          </w:tcPr>
          <w:p>
            <w:pPr>
              <w:pStyle w:val="121"/>
            </w:pPr>
            <w:r>
              <w:t>3</w:t>
            </w:r>
          </w:p>
        </w:tc>
        <w:tc>
          <w:tcPr>
            <w:tcW w:w="725" w:type="pct"/>
            <w:gridSpan w:val="2"/>
            <w:tcBorders>
              <w:top w:val="nil"/>
              <w:left w:val="nil"/>
              <w:bottom w:val="single" w:color="auto" w:sz="4" w:space="0"/>
              <w:right w:val="single" w:color="auto" w:sz="4" w:space="0"/>
            </w:tcBorders>
            <w:shd w:val="clear" w:color="auto" w:fill="auto"/>
            <w:vAlign w:val="center"/>
          </w:tcPr>
          <w:p>
            <w:pPr>
              <w:pStyle w:val="121"/>
            </w:pPr>
            <w:r>
              <w:t>4</w:t>
            </w:r>
          </w:p>
        </w:tc>
        <w:tc>
          <w:tcPr>
            <w:tcW w:w="510" w:type="pct"/>
            <w:tcBorders>
              <w:top w:val="nil"/>
              <w:left w:val="nil"/>
              <w:bottom w:val="single" w:color="auto" w:sz="4" w:space="0"/>
              <w:right w:val="single" w:color="auto" w:sz="4" w:space="0"/>
            </w:tcBorders>
            <w:shd w:val="clear" w:color="auto" w:fill="auto"/>
            <w:vAlign w:val="center"/>
          </w:tcPr>
          <w:p>
            <w:pPr>
              <w:pStyle w:val="121"/>
            </w:pPr>
            <w:r>
              <w:t>5</w:t>
            </w:r>
          </w:p>
        </w:tc>
        <w:tc>
          <w:tcPr>
            <w:tcW w:w="644" w:type="pct"/>
            <w:tcBorders>
              <w:top w:val="nil"/>
              <w:left w:val="nil"/>
              <w:bottom w:val="single" w:color="auto" w:sz="4" w:space="0"/>
              <w:right w:val="single" w:color="auto" w:sz="4" w:space="0"/>
            </w:tcBorders>
            <w:shd w:val="clear" w:color="auto" w:fill="auto"/>
            <w:vAlign w:val="center"/>
          </w:tcPr>
          <w:p>
            <w:pPr>
              <w:pStyle w:val="121"/>
            </w:pPr>
            <w:r>
              <w:t>6</w:t>
            </w:r>
          </w:p>
        </w:tc>
      </w:tr>
      <w:tr>
        <w:tblPrEx>
          <w:tblCellMar>
            <w:top w:w="0" w:type="dxa"/>
            <w:left w:w="108" w:type="dxa"/>
            <w:bottom w:w="0" w:type="dxa"/>
            <w:right w:w="108" w:type="dxa"/>
          </w:tblCellMar>
        </w:tblPrEx>
        <w:trPr>
          <w:trHeight w:val="510" w:hRule="atLeast"/>
          <w:jc w:val="center"/>
        </w:trPr>
        <w:tc>
          <w:tcPr>
            <w:tcW w:w="499" w:type="pct"/>
            <w:tcBorders>
              <w:top w:val="nil"/>
              <w:left w:val="single" w:color="auto" w:sz="4" w:space="0"/>
              <w:bottom w:val="nil"/>
              <w:right w:val="single" w:color="auto" w:sz="4" w:space="0"/>
            </w:tcBorders>
            <w:shd w:val="clear" w:color="auto" w:fill="auto"/>
            <w:vAlign w:val="center"/>
          </w:tcPr>
          <w:p>
            <w:pPr>
              <w:pStyle w:val="121"/>
            </w:pPr>
            <w:r>
              <w:t>　</w:t>
            </w:r>
          </w:p>
        </w:tc>
        <w:tc>
          <w:tcPr>
            <w:tcW w:w="750" w:type="pct"/>
            <w:tcBorders>
              <w:top w:val="nil"/>
              <w:left w:val="nil"/>
              <w:bottom w:val="nil"/>
              <w:right w:val="single" w:color="auto" w:sz="4" w:space="0"/>
            </w:tcBorders>
            <w:shd w:val="clear" w:color="auto" w:fill="auto"/>
            <w:vAlign w:val="center"/>
          </w:tcPr>
          <w:p>
            <w:pPr>
              <w:pStyle w:val="121"/>
            </w:pPr>
            <w:r>
              <w:t>　</w:t>
            </w:r>
          </w:p>
        </w:tc>
        <w:tc>
          <w:tcPr>
            <w:tcW w:w="3750" w:type="pct"/>
            <w:gridSpan w:val="8"/>
            <w:vMerge w:val="restart"/>
            <w:tcBorders>
              <w:top w:val="nil"/>
              <w:left w:val="nil"/>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510" w:hRule="atLeast"/>
          <w:jc w:val="center"/>
        </w:trPr>
        <w:tc>
          <w:tcPr>
            <w:tcW w:w="499" w:type="pct"/>
            <w:tcBorders>
              <w:top w:val="nil"/>
              <w:left w:val="single" w:color="auto" w:sz="4" w:space="0"/>
              <w:bottom w:val="nil"/>
              <w:right w:val="single" w:color="auto" w:sz="4" w:space="0"/>
            </w:tcBorders>
            <w:shd w:val="clear" w:color="auto" w:fill="auto"/>
            <w:vAlign w:val="center"/>
          </w:tcPr>
          <w:p>
            <w:pPr>
              <w:pStyle w:val="121"/>
            </w:pPr>
            <w:r>
              <w:t>　</w:t>
            </w:r>
          </w:p>
        </w:tc>
        <w:tc>
          <w:tcPr>
            <w:tcW w:w="750" w:type="pct"/>
            <w:tcBorders>
              <w:top w:val="nil"/>
              <w:left w:val="nil"/>
              <w:bottom w:val="nil"/>
              <w:right w:val="single" w:color="auto" w:sz="4" w:space="0"/>
            </w:tcBorders>
            <w:shd w:val="clear" w:color="auto" w:fill="auto"/>
            <w:vAlign w:val="center"/>
          </w:tcPr>
          <w:p>
            <w:pPr>
              <w:pStyle w:val="121"/>
            </w:pPr>
            <w:r>
              <w:t>　</w:t>
            </w:r>
          </w:p>
        </w:tc>
        <w:tc>
          <w:tcPr>
            <w:tcW w:w="3742" w:type="pct"/>
            <w:gridSpan w:val="8"/>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499" w:type="pct"/>
            <w:tcBorders>
              <w:top w:val="nil"/>
              <w:left w:val="single" w:color="auto" w:sz="4" w:space="0"/>
              <w:bottom w:val="nil"/>
              <w:right w:val="single" w:color="auto" w:sz="4" w:space="0"/>
            </w:tcBorders>
            <w:shd w:val="clear" w:color="auto" w:fill="auto"/>
            <w:vAlign w:val="center"/>
          </w:tcPr>
          <w:p>
            <w:pPr>
              <w:pStyle w:val="121"/>
            </w:pPr>
            <w:r>
              <w:t>　</w:t>
            </w:r>
          </w:p>
        </w:tc>
        <w:tc>
          <w:tcPr>
            <w:tcW w:w="750" w:type="pct"/>
            <w:tcBorders>
              <w:top w:val="nil"/>
              <w:left w:val="nil"/>
              <w:bottom w:val="nil"/>
              <w:right w:val="single" w:color="auto" w:sz="4" w:space="0"/>
            </w:tcBorders>
            <w:shd w:val="clear" w:color="auto" w:fill="auto"/>
            <w:vAlign w:val="center"/>
          </w:tcPr>
          <w:p>
            <w:pPr>
              <w:pStyle w:val="121"/>
            </w:pPr>
            <w:r>
              <w:t>　</w:t>
            </w:r>
          </w:p>
        </w:tc>
        <w:tc>
          <w:tcPr>
            <w:tcW w:w="3750" w:type="pct"/>
            <w:gridSpan w:val="8"/>
            <w:tcBorders>
              <w:top w:val="nil"/>
              <w:left w:val="nil"/>
              <w:bottom w:val="nil"/>
              <w:right w:val="single" w:color="auto" w:sz="4" w:space="0"/>
            </w:tcBorders>
            <w:shd w:val="clear" w:color="auto" w:fill="auto"/>
          </w:tcPr>
          <w:p>
            <w:pPr>
              <w:pStyle w:val="121"/>
              <w:jc w:val="left"/>
            </w:pPr>
            <w:r>
              <w:t>乙栏：按专用仪器设备购置、专用软件购置等，逐项分别填列。</w:t>
            </w:r>
          </w:p>
        </w:tc>
      </w:tr>
      <w:tr>
        <w:trPr>
          <w:trHeight w:val="510" w:hRule="atLeast"/>
          <w:jc w:val="center"/>
        </w:trPr>
        <w:tc>
          <w:tcPr>
            <w:tcW w:w="499" w:type="pct"/>
            <w:tcBorders>
              <w:top w:val="nil"/>
              <w:left w:val="single" w:color="auto" w:sz="4" w:space="0"/>
              <w:bottom w:val="nil"/>
              <w:right w:val="single" w:color="auto" w:sz="4" w:space="0"/>
            </w:tcBorders>
            <w:shd w:val="clear" w:color="auto" w:fill="auto"/>
            <w:vAlign w:val="center"/>
          </w:tcPr>
          <w:p>
            <w:pPr>
              <w:pStyle w:val="121"/>
            </w:pPr>
            <w:r>
              <w:t>　</w:t>
            </w:r>
          </w:p>
        </w:tc>
        <w:tc>
          <w:tcPr>
            <w:tcW w:w="750" w:type="pct"/>
            <w:tcBorders>
              <w:top w:val="nil"/>
              <w:left w:val="nil"/>
              <w:bottom w:val="nil"/>
              <w:right w:val="single" w:color="auto" w:sz="4" w:space="0"/>
            </w:tcBorders>
            <w:shd w:val="clear" w:color="auto" w:fill="auto"/>
            <w:vAlign w:val="center"/>
          </w:tcPr>
          <w:p>
            <w:pPr>
              <w:pStyle w:val="121"/>
            </w:pPr>
            <w:r>
              <w:t>　</w:t>
            </w:r>
          </w:p>
        </w:tc>
        <w:tc>
          <w:tcPr>
            <w:tcW w:w="3750" w:type="pct"/>
            <w:gridSpan w:val="8"/>
            <w:tcBorders>
              <w:top w:val="nil"/>
              <w:left w:val="nil"/>
              <w:bottom w:val="nil"/>
              <w:right w:val="single" w:color="auto" w:sz="4" w:space="0"/>
            </w:tcBorders>
            <w:shd w:val="clear" w:color="auto" w:fill="auto"/>
          </w:tcPr>
          <w:p>
            <w:pPr>
              <w:pStyle w:val="121"/>
              <w:jc w:val="left"/>
            </w:pPr>
            <w:r>
              <w:t xml:space="preserve"> </w:t>
            </w:r>
          </w:p>
        </w:tc>
      </w:tr>
      <w:tr>
        <w:tblPrEx>
          <w:tblCellMar>
            <w:top w:w="0" w:type="dxa"/>
            <w:left w:w="108" w:type="dxa"/>
            <w:bottom w:w="0" w:type="dxa"/>
            <w:right w:w="108" w:type="dxa"/>
          </w:tblCellMar>
        </w:tblPrEx>
        <w:trPr>
          <w:trHeight w:val="600" w:hRule="atLeast"/>
          <w:jc w:val="center"/>
        </w:trPr>
        <w:tc>
          <w:tcPr>
            <w:tcW w:w="499" w:type="pct"/>
            <w:tcBorders>
              <w:top w:val="nil"/>
              <w:left w:val="single" w:color="auto" w:sz="4" w:space="0"/>
              <w:bottom w:val="nil"/>
              <w:right w:val="single" w:color="auto" w:sz="4" w:space="0"/>
            </w:tcBorders>
            <w:shd w:val="clear" w:color="auto" w:fill="auto"/>
            <w:vAlign w:val="center"/>
          </w:tcPr>
          <w:p>
            <w:pPr>
              <w:pStyle w:val="121"/>
            </w:pPr>
            <w:r>
              <w:t>　</w:t>
            </w:r>
          </w:p>
        </w:tc>
        <w:tc>
          <w:tcPr>
            <w:tcW w:w="750" w:type="pct"/>
            <w:tcBorders>
              <w:top w:val="nil"/>
              <w:left w:val="nil"/>
              <w:bottom w:val="nil"/>
              <w:right w:val="single" w:color="auto" w:sz="4" w:space="0"/>
            </w:tcBorders>
            <w:shd w:val="clear" w:color="auto" w:fill="auto"/>
            <w:vAlign w:val="center"/>
          </w:tcPr>
          <w:p>
            <w:pPr>
              <w:pStyle w:val="121"/>
            </w:pPr>
            <w:r>
              <w:t>　</w:t>
            </w:r>
          </w:p>
        </w:tc>
        <w:tc>
          <w:tcPr>
            <w:tcW w:w="3750" w:type="pct"/>
            <w:gridSpan w:val="8"/>
            <w:tcBorders>
              <w:top w:val="nil"/>
              <w:left w:val="nil"/>
              <w:bottom w:val="nil"/>
              <w:right w:val="single" w:color="auto" w:sz="4" w:space="0"/>
            </w:tcBorders>
            <w:shd w:val="clear" w:color="auto" w:fill="auto"/>
          </w:tcPr>
          <w:p>
            <w:pPr>
              <w:pStyle w:val="121"/>
              <w:jc w:val="left"/>
            </w:pPr>
          </w:p>
        </w:tc>
      </w:tr>
      <w:tr>
        <w:tblPrEx>
          <w:tblCellMar>
            <w:top w:w="0" w:type="dxa"/>
            <w:left w:w="108" w:type="dxa"/>
            <w:bottom w:w="0" w:type="dxa"/>
            <w:right w:w="108" w:type="dxa"/>
          </w:tblCellMar>
        </w:tblPrEx>
        <w:trPr>
          <w:trHeight w:val="510" w:hRule="atLeast"/>
          <w:jc w:val="center"/>
        </w:trPr>
        <w:tc>
          <w:tcPr>
            <w:tcW w:w="49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750"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614" w:type="pct"/>
            <w:tcBorders>
              <w:top w:val="single" w:color="auto" w:sz="4" w:space="0"/>
              <w:left w:val="nil"/>
              <w:bottom w:val="single" w:color="auto" w:sz="4" w:space="0"/>
              <w:right w:val="nil"/>
            </w:tcBorders>
            <w:shd w:val="clear" w:color="auto" w:fill="auto"/>
            <w:vAlign w:val="center"/>
          </w:tcPr>
          <w:p>
            <w:pPr>
              <w:pStyle w:val="121"/>
            </w:pPr>
            <w:r>
              <w:t>　</w:t>
            </w:r>
          </w:p>
        </w:tc>
        <w:tc>
          <w:tcPr>
            <w:tcW w:w="530" w:type="pct"/>
            <w:tcBorders>
              <w:top w:val="single" w:color="auto" w:sz="4" w:space="0"/>
              <w:left w:val="nil"/>
              <w:bottom w:val="single" w:color="auto" w:sz="4" w:space="0"/>
              <w:right w:val="nil"/>
            </w:tcBorders>
            <w:shd w:val="clear" w:color="auto" w:fill="auto"/>
            <w:vAlign w:val="center"/>
          </w:tcPr>
          <w:p>
            <w:pPr>
              <w:pStyle w:val="121"/>
            </w:pPr>
            <w:r>
              <w:t>　</w:t>
            </w:r>
          </w:p>
        </w:tc>
        <w:tc>
          <w:tcPr>
            <w:tcW w:w="725"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725"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510" w:type="pct"/>
            <w:tcBorders>
              <w:top w:val="single" w:color="auto" w:sz="4" w:space="0"/>
              <w:left w:val="nil"/>
              <w:bottom w:val="single" w:color="auto" w:sz="4" w:space="0"/>
              <w:right w:val="nil"/>
            </w:tcBorders>
            <w:shd w:val="clear" w:color="auto" w:fill="auto"/>
            <w:vAlign w:val="center"/>
          </w:tcPr>
          <w:p>
            <w:pPr>
              <w:pStyle w:val="121"/>
            </w:pPr>
            <w:r>
              <w:t>　</w:t>
            </w:r>
          </w:p>
        </w:tc>
        <w:tc>
          <w:tcPr>
            <w:tcW w:w="644" w:type="pct"/>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rPr>
          <w:trHeight w:val="453" w:hRule="atLeast"/>
          <w:jc w:val="center"/>
        </w:trPr>
        <w:tc>
          <w:tcPr>
            <w:tcW w:w="1864" w:type="pct"/>
            <w:gridSpan w:val="3"/>
            <w:tcBorders>
              <w:top w:val="single" w:color="auto" w:sz="4" w:space="0"/>
              <w:left w:val="nil"/>
              <w:bottom w:val="nil"/>
              <w:right w:val="nil"/>
            </w:tcBorders>
            <w:shd w:val="clear" w:color="auto" w:fill="auto"/>
            <w:noWrap/>
            <w:vAlign w:val="bottom"/>
          </w:tcPr>
          <w:p>
            <w:pPr>
              <w:pStyle w:val="121"/>
              <w:jc w:val="both"/>
            </w:pPr>
            <w:r>
              <w:t>预算编制人：（签章）</w:t>
            </w:r>
          </w:p>
        </w:tc>
        <w:tc>
          <w:tcPr>
            <w:tcW w:w="774" w:type="pct"/>
            <w:gridSpan w:val="2"/>
            <w:tcBorders>
              <w:top w:val="single" w:color="auto" w:sz="4" w:space="0"/>
              <w:left w:val="nil"/>
              <w:bottom w:val="nil"/>
              <w:right w:val="nil"/>
            </w:tcBorders>
            <w:shd w:val="clear" w:color="auto" w:fill="auto"/>
            <w:noWrap/>
            <w:vAlign w:val="bottom"/>
          </w:tcPr>
          <w:p>
            <w:pPr>
              <w:pStyle w:val="121"/>
              <w:jc w:val="both"/>
            </w:pPr>
          </w:p>
        </w:tc>
        <w:tc>
          <w:tcPr>
            <w:tcW w:w="719" w:type="pct"/>
            <w:gridSpan w:val="2"/>
            <w:tcBorders>
              <w:top w:val="single" w:color="auto" w:sz="4" w:space="0"/>
              <w:left w:val="nil"/>
              <w:bottom w:val="nil"/>
              <w:right w:val="nil"/>
            </w:tcBorders>
            <w:shd w:val="clear" w:color="auto" w:fill="auto"/>
            <w:noWrap/>
            <w:vAlign w:val="bottom"/>
          </w:tcPr>
          <w:p>
            <w:pPr>
              <w:pStyle w:val="121"/>
              <w:jc w:val="both"/>
            </w:pPr>
          </w:p>
        </w:tc>
        <w:tc>
          <w:tcPr>
            <w:tcW w:w="1641" w:type="pct"/>
            <w:gridSpan w:val="3"/>
            <w:tcBorders>
              <w:top w:val="single" w:color="auto" w:sz="4" w:space="0"/>
              <w:left w:val="nil"/>
              <w:bottom w:val="nil"/>
              <w:right w:val="nil"/>
            </w:tcBorders>
            <w:shd w:val="clear" w:color="auto" w:fill="auto"/>
            <w:noWrap/>
            <w:vAlign w:val="bottom"/>
          </w:tcPr>
          <w:p>
            <w:pPr>
              <w:pStyle w:val="121"/>
              <w:jc w:val="both"/>
            </w:pPr>
            <w:r>
              <w:t>预算审核人：（签章）</w:t>
            </w:r>
          </w:p>
        </w:tc>
      </w:tr>
    </w:tbl>
    <w:p>
      <w:pPr>
        <w:pStyle w:val="121"/>
      </w:pPr>
    </w:p>
    <w:p>
      <w:pPr>
        <w:pStyle w:val="121"/>
      </w:pPr>
    </w:p>
    <w:p>
      <w:pPr>
        <w:pStyle w:val="121"/>
      </w:pPr>
    </w:p>
    <w:p>
      <w:pPr>
        <w:pStyle w:val="121"/>
      </w:pPr>
      <w:r>
        <w:br w:type="page"/>
      </w:r>
    </w:p>
    <w:p>
      <w:pPr>
        <w:pStyle w:val="121"/>
      </w:pPr>
    </w:p>
    <w:p>
      <w:pPr>
        <w:pStyle w:val="121"/>
      </w:pPr>
    </w:p>
    <w:p>
      <w:pPr>
        <w:pStyle w:val="121"/>
        <w:jc w:val="right"/>
      </w:pPr>
      <w:r>
        <w:t>预工附-17</w:t>
      </w:r>
    </w:p>
    <w:p>
      <w:pPr>
        <w:pStyle w:val="119"/>
      </w:pPr>
      <w:r>
        <w:t>其他商品和服务支出预算明细表</w:t>
      </w:r>
    </w:p>
    <w:p>
      <w:pPr>
        <w:pStyle w:val="119"/>
      </w:pPr>
      <w:r>
        <w:t>（    年度）</w:t>
      </w:r>
    </w:p>
    <w:p>
      <w:pPr>
        <w:pStyle w:val="121"/>
        <w:spacing w:before="120" w:beforeLines="50" w:after="120" w:afterLines="50"/>
        <w:jc w:val="left"/>
      </w:pPr>
      <w:r>
        <w:t xml:space="preserve">工作项目名称：                                                                               </w:t>
      </w:r>
      <w:r>
        <w:rPr>
          <w:rFonts w:hint="eastAsia" w:ascii="宋体"/>
        </w:rPr>
        <w:t>单位为万元</w:t>
      </w:r>
    </w:p>
    <w:tbl>
      <w:tblPr>
        <w:tblStyle w:val="36"/>
        <w:tblW w:w="4997" w:type="pct"/>
        <w:jc w:val="center"/>
        <w:tblLayout w:type="autofit"/>
        <w:tblCellMar>
          <w:top w:w="0" w:type="dxa"/>
          <w:left w:w="108" w:type="dxa"/>
          <w:bottom w:w="0" w:type="dxa"/>
          <w:right w:w="108" w:type="dxa"/>
        </w:tblCellMar>
      </w:tblPr>
      <w:tblGrid>
        <w:gridCol w:w="756"/>
        <w:gridCol w:w="1135"/>
        <w:gridCol w:w="478"/>
        <w:gridCol w:w="662"/>
        <w:gridCol w:w="1183"/>
        <w:gridCol w:w="1158"/>
        <w:gridCol w:w="991"/>
        <w:gridCol w:w="459"/>
        <w:gridCol w:w="1316"/>
        <w:gridCol w:w="851"/>
        <w:gridCol w:w="489"/>
      </w:tblGrid>
      <w:tr>
        <w:tblPrEx>
          <w:tblCellMar>
            <w:top w:w="0" w:type="dxa"/>
            <w:left w:w="108" w:type="dxa"/>
            <w:bottom w:w="0" w:type="dxa"/>
            <w:right w:w="108" w:type="dxa"/>
          </w:tblCellMar>
        </w:tblPrEx>
        <w:trPr>
          <w:trHeight w:val="510" w:hRule="atLeast"/>
          <w:jc w:val="center"/>
        </w:trPr>
        <w:tc>
          <w:tcPr>
            <w:tcW w:w="39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59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费用名称</w:t>
            </w:r>
          </w:p>
        </w:tc>
        <w:tc>
          <w:tcPr>
            <w:tcW w:w="601"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支出必要性说明</w:t>
            </w:r>
          </w:p>
        </w:tc>
        <w:tc>
          <w:tcPr>
            <w:tcW w:w="62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费用支出主要内容及测算依据</w:t>
            </w:r>
          </w:p>
        </w:tc>
        <w:tc>
          <w:tcPr>
            <w:tcW w:w="2519" w:type="pct"/>
            <w:gridSpan w:val="5"/>
            <w:tcBorders>
              <w:top w:val="single" w:color="auto" w:sz="4" w:space="0"/>
              <w:left w:val="nil"/>
              <w:bottom w:val="single" w:color="auto" w:sz="4" w:space="0"/>
              <w:right w:val="single" w:color="auto" w:sz="4" w:space="0"/>
            </w:tcBorders>
            <w:shd w:val="clear" w:color="auto" w:fill="auto"/>
            <w:vAlign w:val="center"/>
          </w:tcPr>
          <w:p>
            <w:pPr>
              <w:pStyle w:val="121"/>
            </w:pPr>
            <w:r>
              <w:t>预算</w:t>
            </w:r>
          </w:p>
        </w:tc>
        <w:tc>
          <w:tcPr>
            <w:tcW w:w="25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399" w:type="pct"/>
            <w:vMerge w:val="continue"/>
            <w:tcBorders>
              <w:top w:val="single" w:color="auto" w:sz="4" w:space="0"/>
              <w:left w:val="single" w:color="auto" w:sz="4" w:space="0"/>
              <w:bottom w:val="single" w:color="auto" w:sz="4" w:space="0"/>
              <w:right w:val="single" w:color="auto" w:sz="4" w:space="0"/>
            </w:tcBorders>
            <w:vAlign w:val="center"/>
          </w:tcPr>
          <w:p/>
        </w:tc>
        <w:tc>
          <w:tcPr>
            <w:tcW w:w="599" w:type="pct"/>
            <w:vMerge w:val="continue"/>
            <w:tcBorders>
              <w:top w:val="single" w:color="auto" w:sz="4" w:space="0"/>
              <w:left w:val="single" w:color="auto" w:sz="4" w:space="0"/>
              <w:bottom w:val="single" w:color="auto" w:sz="4" w:space="0"/>
              <w:right w:val="single" w:color="auto" w:sz="4" w:space="0"/>
            </w:tcBorders>
            <w:vAlign w:val="center"/>
          </w:tcPr>
          <w:p/>
        </w:tc>
        <w:tc>
          <w:tcPr>
            <w:tcW w:w="599" w:type="pct"/>
            <w:gridSpan w:val="2"/>
            <w:vMerge w:val="continue"/>
            <w:tcBorders>
              <w:top w:val="single" w:color="auto" w:sz="4" w:space="0"/>
              <w:left w:val="single" w:color="auto" w:sz="4" w:space="0"/>
              <w:bottom w:val="single" w:color="auto" w:sz="4" w:space="0"/>
              <w:right w:val="single" w:color="auto" w:sz="4" w:space="0"/>
            </w:tcBorders>
            <w:vAlign w:val="center"/>
          </w:tcPr>
          <w:p/>
        </w:tc>
        <w:tc>
          <w:tcPr>
            <w:tcW w:w="624" w:type="pct"/>
            <w:vMerge w:val="continue"/>
            <w:tcBorders>
              <w:top w:val="single" w:color="auto" w:sz="4" w:space="0"/>
              <w:left w:val="single" w:color="auto" w:sz="4" w:space="0"/>
              <w:bottom w:val="single" w:color="auto" w:sz="4" w:space="0"/>
              <w:right w:val="single" w:color="auto" w:sz="4" w:space="0"/>
            </w:tcBorders>
            <w:vAlign w:val="center"/>
          </w:tcPr>
          <w:p/>
        </w:tc>
        <w:tc>
          <w:tcPr>
            <w:tcW w:w="611" w:type="pct"/>
            <w:tcBorders>
              <w:top w:val="nil"/>
              <w:left w:val="nil"/>
              <w:bottom w:val="single" w:color="auto" w:sz="4" w:space="0"/>
              <w:right w:val="single" w:color="auto" w:sz="4" w:space="0"/>
            </w:tcBorders>
            <w:shd w:val="clear" w:color="auto" w:fill="auto"/>
            <w:vAlign w:val="center"/>
          </w:tcPr>
          <w:p>
            <w:pPr>
              <w:pStyle w:val="121"/>
            </w:pPr>
            <w:r>
              <w:t>计量单位</w:t>
            </w:r>
          </w:p>
        </w:tc>
        <w:tc>
          <w:tcPr>
            <w:tcW w:w="765" w:type="pct"/>
            <w:gridSpan w:val="2"/>
            <w:tcBorders>
              <w:top w:val="nil"/>
              <w:left w:val="nil"/>
              <w:bottom w:val="single" w:color="auto" w:sz="4" w:space="0"/>
              <w:right w:val="single" w:color="auto" w:sz="4" w:space="0"/>
            </w:tcBorders>
            <w:shd w:val="clear" w:color="auto" w:fill="auto"/>
            <w:vAlign w:val="center"/>
          </w:tcPr>
          <w:p>
            <w:pPr>
              <w:pStyle w:val="121"/>
            </w:pPr>
            <w:r>
              <w:t>计价方式（元/单位）</w:t>
            </w:r>
          </w:p>
        </w:tc>
        <w:tc>
          <w:tcPr>
            <w:tcW w:w="694" w:type="pct"/>
            <w:tcBorders>
              <w:top w:val="nil"/>
              <w:left w:val="nil"/>
              <w:bottom w:val="single" w:color="auto" w:sz="4" w:space="0"/>
              <w:right w:val="single" w:color="auto" w:sz="4" w:space="0"/>
            </w:tcBorders>
            <w:shd w:val="clear" w:color="auto" w:fill="auto"/>
            <w:vAlign w:val="center"/>
          </w:tcPr>
          <w:p>
            <w:pPr>
              <w:pStyle w:val="121"/>
            </w:pPr>
            <w:r>
              <w:t>（工作）量</w:t>
            </w:r>
          </w:p>
        </w:tc>
        <w:tc>
          <w:tcPr>
            <w:tcW w:w="448" w:type="pct"/>
            <w:tcBorders>
              <w:top w:val="nil"/>
              <w:left w:val="nil"/>
              <w:bottom w:val="single" w:color="auto" w:sz="4" w:space="0"/>
              <w:right w:val="single" w:color="auto" w:sz="4" w:space="0"/>
            </w:tcBorders>
            <w:shd w:val="clear" w:color="auto" w:fill="auto"/>
            <w:vAlign w:val="center"/>
          </w:tcPr>
          <w:p>
            <w:pPr>
              <w:pStyle w:val="121"/>
            </w:pPr>
            <w:r>
              <w:t>预算</w:t>
            </w:r>
          </w:p>
        </w:tc>
        <w:tc>
          <w:tcPr>
            <w:tcW w:w="257" w:type="pct"/>
            <w:vMerge w:val="continue"/>
            <w:tcBorders>
              <w:top w:val="single" w:color="auto" w:sz="4" w:space="0"/>
              <w:left w:val="single" w:color="auto" w:sz="4" w:space="0"/>
              <w:bottom w:val="single" w:color="auto" w:sz="4" w:space="0"/>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399"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599" w:type="pct"/>
            <w:tcBorders>
              <w:top w:val="nil"/>
              <w:left w:val="nil"/>
              <w:bottom w:val="single" w:color="auto" w:sz="4" w:space="0"/>
              <w:right w:val="single" w:color="auto" w:sz="4" w:space="0"/>
            </w:tcBorders>
            <w:shd w:val="clear" w:color="auto" w:fill="auto"/>
            <w:vAlign w:val="center"/>
          </w:tcPr>
          <w:p>
            <w:pPr>
              <w:pStyle w:val="121"/>
            </w:pPr>
            <w:r>
              <w:t>乙</w:t>
            </w:r>
          </w:p>
        </w:tc>
        <w:tc>
          <w:tcPr>
            <w:tcW w:w="601" w:type="pct"/>
            <w:gridSpan w:val="2"/>
            <w:tcBorders>
              <w:top w:val="nil"/>
              <w:left w:val="nil"/>
              <w:bottom w:val="single" w:color="auto" w:sz="4" w:space="0"/>
              <w:right w:val="single" w:color="auto" w:sz="4" w:space="0"/>
            </w:tcBorders>
            <w:shd w:val="clear" w:color="auto" w:fill="auto"/>
            <w:vAlign w:val="center"/>
          </w:tcPr>
          <w:p>
            <w:pPr>
              <w:pStyle w:val="121"/>
            </w:pPr>
            <w:r>
              <w:t>丙</w:t>
            </w:r>
          </w:p>
        </w:tc>
        <w:tc>
          <w:tcPr>
            <w:tcW w:w="624" w:type="pct"/>
            <w:tcBorders>
              <w:top w:val="nil"/>
              <w:left w:val="nil"/>
              <w:bottom w:val="single" w:color="auto" w:sz="4" w:space="0"/>
              <w:right w:val="single" w:color="auto" w:sz="4" w:space="0"/>
            </w:tcBorders>
            <w:shd w:val="clear" w:color="auto" w:fill="auto"/>
            <w:vAlign w:val="center"/>
          </w:tcPr>
          <w:p>
            <w:pPr>
              <w:pStyle w:val="121"/>
            </w:pPr>
            <w:r>
              <w:t>丁</w:t>
            </w:r>
          </w:p>
        </w:tc>
        <w:tc>
          <w:tcPr>
            <w:tcW w:w="611" w:type="pct"/>
            <w:tcBorders>
              <w:top w:val="nil"/>
              <w:left w:val="nil"/>
              <w:bottom w:val="single" w:color="auto" w:sz="4" w:space="0"/>
              <w:right w:val="single" w:color="auto" w:sz="4" w:space="0"/>
            </w:tcBorders>
            <w:shd w:val="clear" w:color="auto" w:fill="auto"/>
            <w:vAlign w:val="center"/>
          </w:tcPr>
          <w:p>
            <w:pPr>
              <w:pStyle w:val="121"/>
            </w:pPr>
            <w:r>
              <w:t>戊</w:t>
            </w:r>
          </w:p>
        </w:tc>
        <w:tc>
          <w:tcPr>
            <w:tcW w:w="765" w:type="pct"/>
            <w:gridSpan w:val="2"/>
            <w:tcBorders>
              <w:top w:val="nil"/>
              <w:left w:val="nil"/>
              <w:bottom w:val="single" w:color="auto" w:sz="4" w:space="0"/>
              <w:right w:val="single" w:color="auto" w:sz="4" w:space="0"/>
            </w:tcBorders>
            <w:shd w:val="clear" w:color="auto" w:fill="auto"/>
            <w:vAlign w:val="center"/>
          </w:tcPr>
          <w:p>
            <w:pPr>
              <w:pStyle w:val="121"/>
            </w:pPr>
            <w:r>
              <w:t>1</w:t>
            </w:r>
          </w:p>
        </w:tc>
        <w:tc>
          <w:tcPr>
            <w:tcW w:w="694" w:type="pct"/>
            <w:tcBorders>
              <w:top w:val="nil"/>
              <w:left w:val="nil"/>
              <w:bottom w:val="single" w:color="auto" w:sz="4" w:space="0"/>
              <w:right w:val="single" w:color="auto" w:sz="4" w:space="0"/>
            </w:tcBorders>
            <w:shd w:val="clear" w:color="auto" w:fill="auto"/>
            <w:vAlign w:val="center"/>
          </w:tcPr>
          <w:p>
            <w:pPr>
              <w:pStyle w:val="121"/>
            </w:pPr>
            <w:r>
              <w:t>2</w:t>
            </w:r>
          </w:p>
        </w:tc>
        <w:tc>
          <w:tcPr>
            <w:tcW w:w="448" w:type="pct"/>
            <w:tcBorders>
              <w:top w:val="nil"/>
              <w:left w:val="nil"/>
              <w:bottom w:val="single" w:color="auto" w:sz="4" w:space="0"/>
              <w:right w:val="single" w:color="auto" w:sz="4" w:space="0"/>
            </w:tcBorders>
            <w:shd w:val="clear" w:color="auto" w:fill="auto"/>
            <w:vAlign w:val="center"/>
          </w:tcPr>
          <w:p>
            <w:pPr>
              <w:pStyle w:val="121"/>
            </w:pPr>
            <w:r>
              <w:t>3</w:t>
            </w:r>
          </w:p>
        </w:tc>
        <w:tc>
          <w:tcPr>
            <w:tcW w:w="257" w:type="pct"/>
            <w:tcBorders>
              <w:top w:val="nil"/>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10" w:hRule="atLeast"/>
          <w:jc w:val="center"/>
        </w:trPr>
        <w:tc>
          <w:tcPr>
            <w:tcW w:w="399" w:type="pct"/>
            <w:tcBorders>
              <w:top w:val="nil"/>
              <w:left w:val="single" w:color="auto" w:sz="4" w:space="0"/>
              <w:bottom w:val="nil"/>
              <w:right w:val="single" w:color="auto" w:sz="4" w:space="0"/>
            </w:tcBorders>
            <w:shd w:val="clear" w:color="auto" w:fill="auto"/>
            <w:vAlign w:val="center"/>
          </w:tcPr>
          <w:p>
            <w:pPr>
              <w:pStyle w:val="121"/>
            </w:pPr>
            <w:r>
              <w:t>　</w:t>
            </w:r>
          </w:p>
        </w:tc>
        <w:tc>
          <w:tcPr>
            <w:tcW w:w="599" w:type="pct"/>
            <w:tcBorders>
              <w:top w:val="nil"/>
              <w:left w:val="nil"/>
              <w:bottom w:val="nil"/>
              <w:right w:val="single" w:color="auto" w:sz="4" w:space="0"/>
            </w:tcBorders>
            <w:shd w:val="clear" w:color="auto" w:fill="auto"/>
            <w:vAlign w:val="center"/>
          </w:tcPr>
          <w:p>
            <w:pPr>
              <w:pStyle w:val="121"/>
            </w:pPr>
            <w:r>
              <w:t>　</w:t>
            </w:r>
          </w:p>
        </w:tc>
        <w:tc>
          <w:tcPr>
            <w:tcW w:w="4001" w:type="pct"/>
            <w:gridSpan w:val="9"/>
            <w:tcBorders>
              <w:top w:val="nil"/>
              <w:left w:val="nil"/>
              <w:bottom w:val="nil"/>
              <w:right w:val="single" w:color="auto" w:sz="4" w:space="0"/>
            </w:tcBorders>
            <w:shd w:val="clear" w:color="auto" w:fill="auto"/>
          </w:tcPr>
          <w:p>
            <w:pPr>
              <w:pStyle w:val="121"/>
            </w:pPr>
            <w:r>
              <w:t>填表说明</w:t>
            </w:r>
          </w:p>
        </w:tc>
      </w:tr>
      <w:tr>
        <w:tblPrEx>
          <w:tblCellMar>
            <w:top w:w="0" w:type="dxa"/>
            <w:left w:w="108" w:type="dxa"/>
            <w:bottom w:w="0" w:type="dxa"/>
            <w:right w:w="108" w:type="dxa"/>
          </w:tblCellMar>
        </w:tblPrEx>
        <w:trPr>
          <w:trHeight w:val="510" w:hRule="atLeast"/>
          <w:jc w:val="center"/>
        </w:trPr>
        <w:tc>
          <w:tcPr>
            <w:tcW w:w="399" w:type="pct"/>
            <w:tcBorders>
              <w:top w:val="nil"/>
              <w:left w:val="single" w:color="auto" w:sz="4" w:space="0"/>
              <w:bottom w:val="nil"/>
              <w:right w:val="single" w:color="auto" w:sz="4" w:space="0"/>
            </w:tcBorders>
            <w:shd w:val="clear" w:color="auto" w:fill="auto"/>
            <w:vAlign w:val="center"/>
          </w:tcPr>
          <w:p>
            <w:pPr>
              <w:pStyle w:val="121"/>
            </w:pPr>
            <w:r>
              <w:t>　</w:t>
            </w:r>
          </w:p>
        </w:tc>
        <w:tc>
          <w:tcPr>
            <w:tcW w:w="599" w:type="pct"/>
            <w:tcBorders>
              <w:top w:val="nil"/>
              <w:left w:val="nil"/>
              <w:bottom w:val="nil"/>
              <w:right w:val="single" w:color="auto" w:sz="4" w:space="0"/>
            </w:tcBorders>
            <w:shd w:val="clear" w:color="auto" w:fill="auto"/>
            <w:vAlign w:val="center"/>
          </w:tcPr>
          <w:p>
            <w:pPr>
              <w:pStyle w:val="121"/>
            </w:pPr>
            <w:r>
              <w:t>　</w:t>
            </w:r>
          </w:p>
        </w:tc>
        <w:tc>
          <w:tcPr>
            <w:tcW w:w="252" w:type="pct"/>
            <w:tcBorders>
              <w:top w:val="nil"/>
              <w:left w:val="nil"/>
              <w:bottom w:val="nil"/>
              <w:right w:val="nil"/>
            </w:tcBorders>
            <w:shd w:val="clear" w:color="auto" w:fill="auto"/>
          </w:tcPr>
          <w:p>
            <w:pPr>
              <w:pStyle w:val="121"/>
            </w:pPr>
          </w:p>
        </w:tc>
        <w:tc>
          <w:tcPr>
            <w:tcW w:w="3749" w:type="pct"/>
            <w:gridSpan w:val="8"/>
            <w:tcBorders>
              <w:top w:val="nil"/>
              <w:left w:val="nil"/>
              <w:bottom w:val="nil"/>
              <w:right w:val="single" w:color="auto" w:sz="4" w:space="0"/>
            </w:tcBorders>
            <w:shd w:val="clear" w:color="auto" w:fill="auto"/>
          </w:tcPr>
          <w:p>
            <w:pPr>
              <w:pStyle w:val="121"/>
              <w:jc w:val="left"/>
            </w:pPr>
            <w:r>
              <w:t>1.项目中除上述费用外的其他相关费用预算填列本表。</w:t>
            </w:r>
          </w:p>
        </w:tc>
      </w:tr>
      <w:tr>
        <w:tblPrEx>
          <w:tblCellMar>
            <w:top w:w="0" w:type="dxa"/>
            <w:left w:w="108" w:type="dxa"/>
            <w:bottom w:w="0" w:type="dxa"/>
            <w:right w:w="108" w:type="dxa"/>
          </w:tblCellMar>
        </w:tblPrEx>
        <w:trPr>
          <w:trHeight w:val="510" w:hRule="atLeast"/>
          <w:jc w:val="center"/>
        </w:trPr>
        <w:tc>
          <w:tcPr>
            <w:tcW w:w="399" w:type="pct"/>
            <w:tcBorders>
              <w:top w:val="nil"/>
              <w:left w:val="single" w:color="auto" w:sz="4" w:space="0"/>
              <w:bottom w:val="nil"/>
              <w:right w:val="single" w:color="auto" w:sz="4" w:space="0"/>
            </w:tcBorders>
            <w:shd w:val="clear" w:color="auto" w:fill="auto"/>
            <w:vAlign w:val="center"/>
          </w:tcPr>
          <w:p>
            <w:pPr>
              <w:pStyle w:val="121"/>
            </w:pPr>
            <w:r>
              <w:t>　</w:t>
            </w:r>
          </w:p>
        </w:tc>
        <w:tc>
          <w:tcPr>
            <w:tcW w:w="599" w:type="pct"/>
            <w:tcBorders>
              <w:top w:val="nil"/>
              <w:left w:val="nil"/>
              <w:bottom w:val="nil"/>
              <w:right w:val="single" w:color="auto" w:sz="4" w:space="0"/>
            </w:tcBorders>
            <w:shd w:val="clear" w:color="auto" w:fill="auto"/>
            <w:vAlign w:val="center"/>
          </w:tcPr>
          <w:p>
            <w:pPr>
              <w:pStyle w:val="121"/>
            </w:pPr>
            <w:r>
              <w:t>　</w:t>
            </w:r>
          </w:p>
        </w:tc>
        <w:tc>
          <w:tcPr>
            <w:tcW w:w="252" w:type="pct"/>
            <w:tcBorders>
              <w:top w:val="nil"/>
              <w:left w:val="nil"/>
              <w:bottom w:val="nil"/>
              <w:right w:val="nil"/>
            </w:tcBorders>
            <w:shd w:val="clear" w:color="auto" w:fill="auto"/>
            <w:vAlign w:val="center"/>
          </w:tcPr>
          <w:p>
            <w:pPr>
              <w:pStyle w:val="121"/>
            </w:pPr>
          </w:p>
        </w:tc>
        <w:tc>
          <w:tcPr>
            <w:tcW w:w="3749" w:type="pct"/>
            <w:gridSpan w:val="8"/>
            <w:tcBorders>
              <w:top w:val="nil"/>
              <w:left w:val="nil"/>
              <w:bottom w:val="nil"/>
              <w:right w:val="single" w:color="auto" w:sz="4" w:space="0"/>
            </w:tcBorders>
            <w:shd w:val="clear" w:color="auto" w:fill="auto"/>
            <w:vAlign w:val="center"/>
          </w:tcPr>
          <w:p>
            <w:pPr>
              <w:pStyle w:val="121"/>
              <w:jc w:val="left"/>
            </w:pPr>
            <w:r>
              <w:t>2.乙栏：按《费用归集汇总预算目录》填列，目录中缺少的费用项目，据实列支。</w:t>
            </w:r>
          </w:p>
        </w:tc>
      </w:tr>
      <w:tr>
        <w:tblPrEx>
          <w:tblCellMar>
            <w:top w:w="0" w:type="dxa"/>
            <w:left w:w="108" w:type="dxa"/>
            <w:bottom w:w="0" w:type="dxa"/>
            <w:right w:w="108" w:type="dxa"/>
          </w:tblCellMar>
        </w:tblPrEx>
        <w:trPr>
          <w:trHeight w:val="510" w:hRule="atLeast"/>
          <w:jc w:val="center"/>
        </w:trPr>
        <w:tc>
          <w:tcPr>
            <w:tcW w:w="399" w:type="pct"/>
            <w:tcBorders>
              <w:top w:val="nil"/>
              <w:left w:val="single" w:color="auto" w:sz="4" w:space="0"/>
              <w:bottom w:val="single" w:color="auto" w:sz="4" w:space="0"/>
              <w:right w:val="single" w:color="auto" w:sz="4" w:space="0"/>
            </w:tcBorders>
            <w:shd w:val="clear" w:color="auto" w:fill="auto"/>
            <w:vAlign w:val="center"/>
          </w:tcPr>
          <w:p>
            <w:pPr>
              <w:pStyle w:val="121"/>
            </w:pPr>
            <w:r>
              <w:t>　</w:t>
            </w:r>
          </w:p>
        </w:tc>
        <w:tc>
          <w:tcPr>
            <w:tcW w:w="599" w:type="pct"/>
            <w:tcBorders>
              <w:top w:val="nil"/>
              <w:left w:val="nil"/>
              <w:bottom w:val="single" w:color="auto" w:sz="4" w:space="0"/>
              <w:right w:val="single" w:color="auto" w:sz="4" w:space="0"/>
            </w:tcBorders>
            <w:shd w:val="clear" w:color="auto" w:fill="auto"/>
            <w:vAlign w:val="center"/>
          </w:tcPr>
          <w:p>
            <w:pPr>
              <w:pStyle w:val="121"/>
            </w:pPr>
            <w:r>
              <w:t>　</w:t>
            </w:r>
          </w:p>
        </w:tc>
        <w:tc>
          <w:tcPr>
            <w:tcW w:w="252" w:type="pct"/>
            <w:tcBorders>
              <w:top w:val="nil"/>
              <w:left w:val="nil"/>
              <w:bottom w:val="single" w:color="auto" w:sz="4" w:space="0"/>
              <w:right w:val="nil"/>
            </w:tcBorders>
            <w:shd w:val="clear" w:color="auto" w:fill="auto"/>
            <w:vAlign w:val="center"/>
          </w:tcPr>
          <w:p>
            <w:pPr>
              <w:pStyle w:val="121"/>
            </w:pPr>
          </w:p>
        </w:tc>
        <w:tc>
          <w:tcPr>
            <w:tcW w:w="3749" w:type="pct"/>
            <w:gridSpan w:val="8"/>
            <w:tcBorders>
              <w:top w:val="nil"/>
              <w:left w:val="nil"/>
              <w:bottom w:val="single" w:color="auto" w:sz="4" w:space="0"/>
              <w:right w:val="single" w:color="auto" w:sz="4" w:space="0"/>
            </w:tcBorders>
            <w:shd w:val="clear" w:color="auto" w:fill="auto"/>
            <w:vAlign w:val="center"/>
          </w:tcPr>
          <w:p>
            <w:pPr>
              <w:pStyle w:val="121"/>
              <w:jc w:val="left"/>
            </w:pPr>
            <w:r>
              <w:t>3.不同费用之间应有相对明确的界定，费用内涵清晰、可测算。</w:t>
            </w:r>
          </w:p>
        </w:tc>
      </w:tr>
      <w:tr>
        <w:tblPrEx>
          <w:tblCellMar>
            <w:top w:w="0" w:type="dxa"/>
            <w:left w:w="108" w:type="dxa"/>
            <w:bottom w:w="0" w:type="dxa"/>
            <w:right w:w="108" w:type="dxa"/>
          </w:tblCellMar>
        </w:tblPrEx>
        <w:trPr>
          <w:trHeight w:val="510" w:hRule="atLeast"/>
          <w:jc w:val="center"/>
        </w:trPr>
        <w:tc>
          <w:tcPr>
            <w:tcW w:w="399"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599"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601"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624" w:type="pct"/>
            <w:tcBorders>
              <w:top w:val="single" w:color="auto" w:sz="4" w:space="0"/>
              <w:left w:val="nil"/>
              <w:bottom w:val="single" w:color="auto" w:sz="4" w:space="0"/>
              <w:right w:val="nil"/>
            </w:tcBorders>
            <w:shd w:val="clear" w:color="auto" w:fill="auto"/>
            <w:vAlign w:val="center"/>
          </w:tcPr>
          <w:p>
            <w:pPr>
              <w:pStyle w:val="121"/>
            </w:pPr>
            <w:r>
              <w:t>　</w:t>
            </w:r>
          </w:p>
        </w:tc>
        <w:tc>
          <w:tcPr>
            <w:tcW w:w="611" w:type="pct"/>
            <w:tcBorders>
              <w:top w:val="single" w:color="auto" w:sz="4" w:space="0"/>
              <w:left w:val="nil"/>
              <w:bottom w:val="single" w:color="auto" w:sz="4" w:space="0"/>
              <w:right w:val="nil"/>
            </w:tcBorders>
            <w:shd w:val="clear" w:color="auto" w:fill="auto"/>
            <w:vAlign w:val="center"/>
          </w:tcPr>
          <w:p>
            <w:pPr>
              <w:pStyle w:val="121"/>
            </w:pPr>
            <w:r>
              <w:t>　</w:t>
            </w:r>
          </w:p>
        </w:tc>
        <w:tc>
          <w:tcPr>
            <w:tcW w:w="765"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694" w:type="pct"/>
            <w:tcBorders>
              <w:top w:val="single" w:color="auto" w:sz="4" w:space="0"/>
              <w:left w:val="nil"/>
              <w:bottom w:val="single" w:color="auto" w:sz="4" w:space="0"/>
              <w:right w:val="nil"/>
            </w:tcBorders>
            <w:shd w:val="clear" w:color="auto" w:fill="auto"/>
            <w:vAlign w:val="center"/>
          </w:tcPr>
          <w:p>
            <w:pPr>
              <w:pStyle w:val="121"/>
            </w:pPr>
            <w:r>
              <w:t>　</w:t>
            </w:r>
          </w:p>
        </w:tc>
        <w:tc>
          <w:tcPr>
            <w:tcW w:w="448" w:type="pct"/>
            <w:tcBorders>
              <w:top w:val="single" w:color="auto" w:sz="4" w:space="0"/>
              <w:left w:val="nil"/>
              <w:bottom w:val="single" w:color="auto" w:sz="4" w:space="0"/>
              <w:right w:val="nil"/>
            </w:tcBorders>
            <w:shd w:val="clear" w:color="auto" w:fill="auto"/>
            <w:vAlign w:val="center"/>
          </w:tcPr>
          <w:p>
            <w:pPr>
              <w:pStyle w:val="121"/>
            </w:pPr>
            <w:r>
              <w:t>　</w:t>
            </w:r>
          </w:p>
        </w:tc>
        <w:tc>
          <w:tcPr>
            <w:tcW w:w="257" w:type="pct"/>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599" w:type="pct"/>
            <w:gridSpan w:val="4"/>
            <w:tcBorders>
              <w:top w:val="nil"/>
              <w:left w:val="nil"/>
              <w:bottom w:val="nil"/>
              <w:right w:val="nil"/>
            </w:tcBorders>
            <w:shd w:val="clear" w:color="auto" w:fill="auto"/>
            <w:noWrap/>
            <w:vAlign w:val="bottom"/>
          </w:tcPr>
          <w:p>
            <w:pPr>
              <w:pStyle w:val="121"/>
              <w:jc w:val="left"/>
            </w:pPr>
            <w:r>
              <w:t>预算编制人：（签章）</w:t>
            </w:r>
          </w:p>
        </w:tc>
        <w:tc>
          <w:tcPr>
            <w:tcW w:w="624" w:type="pct"/>
            <w:tcBorders>
              <w:top w:val="nil"/>
              <w:left w:val="nil"/>
              <w:bottom w:val="nil"/>
              <w:right w:val="nil"/>
            </w:tcBorders>
            <w:shd w:val="clear" w:color="auto" w:fill="auto"/>
            <w:noWrap/>
            <w:vAlign w:val="bottom"/>
          </w:tcPr>
          <w:p>
            <w:pPr>
              <w:pStyle w:val="121"/>
              <w:jc w:val="left"/>
            </w:pPr>
          </w:p>
        </w:tc>
        <w:tc>
          <w:tcPr>
            <w:tcW w:w="1134" w:type="pct"/>
            <w:gridSpan w:val="2"/>
            <w:tcBorders>
              <w:top w:val="nil"/>
              <w:left w:val="nil"/>
              <w:bottom w:val="nil"/>
              <w:right w:val="nil"/>
            </w:tcBorders>
            <w:shd w:val="clear" w:color="auto" w:fill="auto"/>
            <w:noWrap/>
            <w:vAlign w:val="bottom"/>
          </w:tcPr>
          <w:p>
            <w:pPr>
              <w:pStyle w:val="121"/>
              <w:jc w:val="left"/>
            </w:pPr>
          </w:p>
        </w:tc>
        <w:tc>
          <w:tcPr>
            <w:tcW w:w="1641" w:type="pct"/>
            <w:gridSpan w:val="4"/>
            <w:tcBorders>
              <w:top w:val="single" w:color="auto" w:sz="4" w:space="0"/>
              <w:left w:val="nil"/>
              <w:bottom w:val="nil"/>
              <w:right w:val="nil"/>
            </w:tcBorders>
            <w:shd w:val="clear" w:color="auto" w:fill="auto"/>
            <w:noWrap/>
            <w:vAlign w:val="bottom"/>
          </w:tcPr>
          <w:p>
            <w:pPr>
              <w:pStyle w:val="121"/>
              <w:jc w:val="left"/>
            </w:pPr>
            <w:r>
              <w:t>预算审核人：（签章）</w:t>
            </w:r>
          </w:p>
        </w:tc>
      </w:tr>
    </w:tbl>
    <w:p>
      <w:pPr>
        <w:pStyle w:val="121"/>
      </w:pPr>
    </w:p>
    <w:p>
      <w:pPr>
        <w:pStyle w:val="121"/>
      </w:pPr>
      <w:r>
        <w:br w:type="page"/>
      </w:r>
    </w:p>
    <w:p>
      <w:pPr>
        <w:pStyle w:val="121"/>
      </w:pPr>
    </w:p>
    <w:p>
      <w:pPr>
        <w:pStyle w:val="121"/>
        <w:jc w:val="right"/>
      </w:pPr>
      <w:r>
        <w:t>预工附-18</w:t>
      </w:r>
    </w:p>
    <w:p>
      <w:pPr>
        <w:pStyle w:val="119"/>
      </w:pPr>
      <w:r>
        <w:t>利润预算明细表</w:t>
      </w:r>
    </w:p>
    <w:p>
      <w:pPr>
        <w:pStyle w:val="119"/>
      </w:pPr>
      <w:r>
        <w:t>（    年度）</w:t>
      </w:r>
    </w:p>
    <w:p>
      <w:pPr>
        <w:pStyle w:val="121"/>
        <w:spacing w:before="120" w:beforeLines="50" w:after="120" w:afterLines="50"/>
      </w:pPr>
      <w:r>
        <w:t xml:space="preserve">工作项目名称：                                                                               </w:t>
      </w:r>
      <w:r>
        <w:rPr>
          <w:rFonts w:hint="eastAsia" w:ascii="宋体"/>
        </w:rPr>
        <w:t>单位为万元</w:t>
      </w:r>
    </w:p>
    <w:tbl>
      <w:tblPr>
        <w:tblStyle w:val="36"/>
        <w:tblW w:w="4998" w:type="pct"/>
        <w:jc w:val="center"/>
        <w:tblLayout w:type="autofit"/>
        <w:tblCellMar>
          <w:top w:w="0" w:type="dxa"/>
          <w:left w:w="108" w:type="dxa"/>
          <w:bottom w:w="0" w:type="dxa"/>
          <w:right w:w="108" w:type="dxa"/>
        </w:tblCellMar>
      </w:tblPr>
      <w:tblGrid>
        <w:gridCol w:w="952"/>
        <w:gridCol w:w="1743"/>
        <w:gridCol w:w="1428"/>
        <w:gridCol w:w="1585"/>
        <w:gridCol w:w="660"/>
        <w:gridCol w:w="1083"/>
        <w:gridCol w:w="2016"/>
        <w:gridCol w:w="13"/>
      </w:tblGrid>
      <w:tr>
        <w:tblPrEx>
          <w:tblCellMar>
            <w:top w:w="0" w:type="dxa"/>
            <w:left w:w="108" w:type="dxa"/>
            <w:bottom w:w="0" w:type="dxa"/>
            <w:right w:w="108" w:type="dxa"/>
          </w:tblCellMar>
        </w:tblPrEx>
        <w:trPr>
          <w:trHeight w:val="510" w:hRule="atLeast"/>
          <w:jc w:val="center"/>
        </w:trPr>
        <w:tc>
          <w:tcPr>
            <w:tcW w:w="50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919" w:type="pct"/>
            <w:tcBorders>
              <w:top w:val="single" w:color="auto" w:sz="4" w:space="0"/>
              <w:left w:val="nil"/>
              <w:bottom w:val="single" w:color="auto" w:sz="4" w:space="0"/>
              <w:right w:val="single" w:color="auto" w:sz="4" w:space="0"/>
            </w:tcBorders>
            <w:shd w:val="clear" w:color="auto" w:fill="auto"/>
            <w:vAlign w:val="center"/>
          </w:tcPr>
          <w:p>
            <w:pPr>
              <w:pStyle w:val="121"/>
            </w:pPr>
            <w:r>
              <w:t>项目名称</w:t>
            </w:r>
          </w:p>
        </w:tc>
        <w:tc>
          <w:tcPr>
            <w:tcW w:w="753" w:type="pct"/>
            <w:tcBorders>
              <w:top w:val="single" w:color="auto" w:sz="4" w:space="0"/>
              <w:left w:val="nil"/>
              <w:bottom w:val="single" w:color="auto" w:sz="4" w:space="0"/>
              <w:right w:val="single" w:color="auto" w:sz="4" w:space="0"/>
            </w:tcBorders>
            <w:shd w:val="clear" w:color="auto" w:fill="auto"/>
            <w:vAlign w:val="center"/>
          </w:tcPr>
          <w:p>
            <w:pPr>
              <w:pStyle w:val="121"/>
            </w:pPr>
            <w:r>
              <w:t>计算基数</w:t>
            </w:r>
          </w:p>
        </w:tc>
        <w:tc>
          <w:tcPr>
            <w:tcW w:w="836" w:type="pct"/>
            <w:tcBorders>
              <w:top w:val="single" w:color="auto" w:sz="4" w:space="0"/>
              <w:left w:val="nil"/>
              <w:bottom w:val="single" w:color="auto" w:sz="4" w:space="0"/>
              <w:right w:val="single" w:color="auto" w:sz="4" w:space="0"/>
            </w:tcBorders>
            <w:shd w:val="clear" w:color="auto" w:fill="auto"/>
            <w:vAlign w:val="center"/>
          </w:tcPr>
          <w:p>
            <w:pPr>
              <w:pStyle w:val="121"/>
            </w:pPr>
            <w:r>
              <w:t>利润率（%）</w:t>
            </w:r>
          </w:p>
        </w:tc>
        <w:tc>
          <w:tcPr>
            <w:tcW w:w="919"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利润</w:t>
            </w:r>
          </w:p>
        </w:tc>
        <w:tc>
          <w:tcPr>
            <w:tcW w:w="1070"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502"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919" w:type="pct"/>
            <w:tcBorders>
              <w:top w:val="nil"/>
              <w:left w:val="nil"/>
              <w:bottom w:val="single" w:color="auto" w:sz="4" w:space="0"/>
              <w:right w:val="single" w:color="auto" w:sz="4" w:space="0"/>
            </w:tcBorders>
            <w:shd w:val="clear" w:color="auto" w:fill="auto"/>
            <w:vAlign w:val="center"/>
          </w:tcPr>
          <w:p>
            <w:pPr>
              <w:pStyle w:val="121"/>
            </w:pPr>
            <w:r>
              <w:t>乙</w:t>
            </w:r>
          </w:p>
        </w:tc>
        <w:tc>
          <w:tcPr>
            <w:tcW w:w="753" w:type="pct"/>
            <w:tcBorders>
              <w:top w:val="nil"/>
              <w:left w:val="nil"/>
              <w:bottom w:val="single" w:color="auto" w:sz="4" w:space="0"/>
              <w:right w:val="single" w:color="auto" w:sz="4" w:space="0"/>
            </w:tcBorders>
            <w:shd w:val="clear" w:color="auto" w:fill="auto"/>
            <w:vAlign w:val="center"/>
          </w:tcPr>
          <w:p>
            <w:pPr>
              <w:pStyle w:val="121"/>
            </w:pPr>
            <w:r>
              <w:t>1</w:t>
            </w:r>
          </w:p>
        </w:tc>
        <w:tc>
          <w:tcPr>
            <w:tcW w:w="836" w:type="pct"/>
            <w:tcBorders>
              <w:top w:val="nil"/>
              <w:left w:val="nil"/>
              <w:bottom w:val="single" w:color="auto" w:sz="4" w:space="0"/>
              <w:right w:val="single" w:color="auto" w:sz="4" w:space="0"/>
            </w:tcBorders>
            <w:shd w:val="clear" w:color="auto" w:fill="auto"/>
            <w:vAlign w:val="center"/>
          </w:tcPr>
          <w:p>
            <w:pPr>
              <w:pStyle w:val="121"/>
            </w:pPr>
            <w:r>
              <w:t>2</w:t>
            </w:r>
          </w:p>
        </w:tc>
        <w:tc>
          <w:tcPr>
            <w:tcW w:w="919" w:type="pct"/>
            <w:gridSpan w:val="2"/>
            <w:tcBorders>
              <w:top w:val="nil"/>
              <w:left w:val="nil"/>
              <w:bottom w:val="single" w:color="auto" w:sz="4" w:space="0"/>
              <w:right w:val="single" w:color="auto" w:sz="4" w:space="0"/>
            </w:tcBorders>
            <w:shd w:val="clear" w:color="auto" w:fill="auto"/>
            <w:vAlign w:val="center"/>
          </w:tcPr>
          <w:p>
            <w:pPr>
              <w:pStyle w:val="121"/>
            </w:pPr>
            <w:r>
              <w:t>3</w:t>
            </w:r>
          </w:p>
        </w:tc>
        <w:tc>
          <w:tcPr>
            <w:tcW w:w="1070"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1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8" w:type="pct"/>
            <w:gridSpan w:val="6"/>
            <w:vMerge w:val="restart"/>
            <w:tcBorders>
              <w:top w:val="nil"/>
              <w:left w:val="nil"/>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51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8" w:type="pct"/>
            <w:gridSpan w:val="6"/>
            <w:vMerge w:val="continue"/>
            <w:tcBorders>
              <w:top w:val="nil"/>
              <w:left w:val="nil"/>
              <w:bottom w:val="nil"/>
              <w:right w:val="single" w:color="auto" w:sz="4" w:space="0"/>
            </w:tcBorders>
            <w:vAlign w:val="center"/>
          </w:tcPr>
          <w:p/>
        </w:tc>
      </w:tr>
      <w:tr>
        <w:trPr>
          <w:trHeight w:val="51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8" w:type="pct"/>
            <w:gridSpan w:val="6"/>
            <w:tcBorders>
              <w:top w:val="nil"/>
              <w:left w:val="nil"/>
              <w:bottom w:val="nil"/>
              <w:right w:val="single" w:color="auto" w:sz="4" w:space="0"/>
            </w:tcBorders>
            <w:shd w:val="clear" w:color="auto" w:fill="auto"/>
          </w:tcPr>
          <w:p>
            <w:pPr>
              <w:pStyle w:val="121"/>
              <w:ind w:firstLine="453" w:firstLineChars="252"/>
              <w:jc w:val="left"/>
            </w:pPr>
            <w:r>
              <w:t>1.计算基数为预工附-1～预工附-17表的预算金额之和。</w:t>
            </w:r>
          </w:p>
        </w:tc>
      </w:tr>
      <w:tr>
        <w:tblPrEx>
          <w:tblCellMar>
            <w:top w:w="0" w:type="dxa"/>
            <w:left w:w="108" w:type="dxa"/>
            <w:bottom w:w="0" w:type="dxa"/>
            <w:right w:w="108" w:type="dxa"/>
          </w:tblCellMar>
        </w:tblPrEx>
        <w:trPr>
          <w:trHeight w:val="51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8" w:type="pct"/>
            <w:gridSpan w:val="6"/>
            <w:tcBorders>
              <w:top w:val="nil"/>
              <w:left w:val="nil"/>
              <w:bottom w:val="nil"/>
              <w:right w:val="single" w:color="auto" w:sz="4" w:space="0"/>
            </w:tcBorders>
            <w:shd w:val="clear" w:color="auto" w:fill="auto"/>
          </w:tcPr>
          <w:p>
            <w:pPr>
              <w:pStyle w:val="121"/>
              <w:ind w:firstLine="453" w:firstLineChars="252"/>
              <w:jc w:val="left"/>
            </w:pPr>
            <w:r>
              <w:t>2.利润率不宜超过7%。</w:t>
            </w:r>
          </w:p>
        </w:tc>
      </w:tr>
      <w:tr>
        <w:tblPrEx>
          <w:tblCellMar>
            <w:top w:w="0" w:type="dxa"/>
            <w:left w:w="108" w:type="dxa"/>
            <w:bottom w:w="0" w:type="dxa"/>
            <w:right w:w="108" w:type="dxa"/>
          </w:tblCellMar>
        </w:tblPrEx>
        <w:trPr>
          <w:trHeight w:val="60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8" w:type="pct"/>
            <w:gridSpan w:val="6"/>
            <w:tcBorders>
              <w:top w:val="nil"/>
              <w:left w:val="nil"/>
              <w:bottom w:val="nil"/>
              <w:right w:val="single" w:color="auto" w:sz="4" w:space="0"/>
            </w:tcBorders>
            <w:shd w:val="clear" w:color="auto" w:fill="auto"/>
          </w:tcPr>
          <w:p>
            <w:pPr>
              <w:pStyle w:val="121"/>
              <w:ind w:firstLine="453" w:firstLineChars="252"/>
              <w:jc w:val="left"/>
            </w:pPr>
            <w:r>
              <w:t>3.若项目资金由财政直接拨款则不填本表。</w:t>
            </w:r>
          </w:p>
        </w:tc>
      </w:tr>
      <w:tr>
        <w:tblPrEx>
          <w:tblCellMar>
            <w:top w:w="0" w:type="dxa"/>
            <w:left w:w="108" w:type="dxa"/>
            <w:bottom w:w="0" w:type="dxa"/>
            <w:right w:w="108" w:type="dxa"/>
          </w:tblCellMar>
        </w:tblPrEx>
        <w:trPr>
          <w:gridAfter w:val="1"/>
          <w:wAfter w:w="13" w:type="dxa"/>
          <w:trHeight w:val="510" w:hRule="atLeast"/>
          <w:jc w:val="center"/>
        </w:trPr>
        <w:tc>
          <w:tcPr>
            <w:tcW w:w="50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919"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3571" w:type="pct"/>
            <w:gridSpan w:val="5"/>
            <w:tcBorders>
              <w:top w:val="single" w:color="auto" w:sz="4" w:space="0"/>
              <w:left w:val="nil"/>
              <w:bottom w:val="single" w:color="auto" w:sz="4" w:space="0"/>
              <w:right w:val="single" w:color="auto" w:sz="4" w:space="0"/>
            </w:tcBorders>
            <w:shd w:val="clear" w:color="auto" w:fill="auto"/>
            <w:vAlign w:val="center"/>
          </w:tcPr>
          <w:p>
            <w:pPr>
              <w:pStyle w:val="121"/>
            </w:pPr>
          </w:p>
        </w:tc>
      </w:tr>
      <w:tr>
        <w:tblPrEx>
          <w:tblCellMar>
            <w:top w:w="0" w:type="dxa"/>
            <w:left w:w="108" w:type="dxa"/>
            <w:bottom w:w="0" w:type="dxa"/>
            <w:right w:w="108" w:type="dxa"/>
          </w:tblCellMar>
        </w:tblPrEx>
        <w:trPr>
          <w:trHeight w:val="453" w:hRule="atLeast"/>
          <w:jc w:val="center"/>
        </w:trPr>
        <w:tc>
          <w:tcPr>
            <w:tcW w:w="3358" w:type="pct"/>
            <w:gridSpan w:val="5"/>
            <w:tcBorders>
              <w:top w:val="single" w:color="auto" w:sz="4" w:space="0"/>
              <w:left w:val="nil"/>
              <w:bottom w:val="nil"/>
              <w:right w:val="nil"/>
            </w:tcBorders>
            <w:shd w:val="clear" w:color="auto" w:fill="auto"/>
            <w:noWrap/>
            <w:vAlign w:val="bottom"/>
          </w:tcPr>
          <w:p>
            <w:pPr>
              <w:pStyle w:val="121"/>
              <w:jc w:val="left"/>
            </w:pPr>
            <w:r>
              <w:t>预算编制人：（签章）</w:t>
            </w:r>
          </w:p>
        </w:tc>
        <w:tc>
          <w:tcPr>
            <w:tcW w:w="1641" w:type="pct"/>
            <w:gridSpan w:val="3"/>
            <w:tcBorders>
              <w:top w:val="single" w:color="auto" w:sz="4" w:space="0"/>
              <w:left w:val="nil"/>
              <w:bottom w:val="nil"/>
              <w:right w:val="nil"/>
            </w:tcBorders>
            <w:shd w:val="clear" w:color="auto" w:fill="auto"/>
            <w:noWrap/>
            <w:vAlign w:val="bottom"/>
          </w:tcPr>
          <w:p>
            <w:pPr>
              <w:pStyle w:val="121"/>
              <w:jc w:val="left"/>
            </w:pPr>
            <w:r>
              <w:t>预算审核人：（签章）</w:t>
            </w:r>
          </w:p>
        </w:tc>
      </w:tr>
    </w:tbl>
    <w:p>
      <w:pPr>
        <w:pStyle w:val="121"/>
      </w:pPr>
    </w:p>
    <w:p>
      <w:pPr>
        <w:pStyle w:val="121"/>
      </w:pPr>
    </w:p>
    <w:p>
      <w:pPr>
        <w:pStyle w:val="121"/>
      </w:pPr>
      <w:r>
        <w:br w:type="page"/>
      </w:r>
    </w:p>
    <w:p>
      <w:pPr>
        <w:pStyle w:val="121"/>
      </w:pPr>
    </w:p>
    <w:p>
      <w:pPr>
        <w:pStyle w:val="121"/>
        <w:jc w:val="right"/>
      </w:pPr>
      <w:r>
        <w:t>预工附-19</w:t>
      </w:r>
    </w:p>
    <w:p>
      <w:pPr>
        <w:pStyle w:val="119"/>
      </w:pPr>
      <w:r>
        <w:t>税金及附加费用预算明细表</w:t>
      </w:r>
    </w:p>
    <w:p>
      <w:pPr>
        <w:pStyle w:val="119"/>
      </w:pPr>
      <w:r>
        <w:t>（    年度）</w:t>
      </w:r>
    </w:p>
    <w:p>
      <w:pPr>
        <w:pStyle w:val="121"/>
        <w:spacing w:before="120" w:beforeLines="50" w:after="120" w:afterLines="50"/>
      </w:pPr>
      <w:r>
        <w:t xml:space="preserve">工作项目名称：                                                                               </w:t>
      </w:r>
      <w:r>
        <w:rPr>
          <w:rFonts w:hint="eastAsia" w:ascii="宋体"/>
        </w:rPr>
        <w:t>单位为万元</w:t>
      </w:r>
    </w:p>
    <w:tbl>
      <w:tblPr>
        <w:tblStyle w:val="36"/>
        <w:tblW w:w="4998" w:type="pct"/>
        <w:jc w:val="center"/>
        <w:tblLayout w:type="autofit"/>
        <w:tblCellMar>
          <w:top w:w="0" w:type="dxa"/>
          <w:left w:w="108" w:type="dxa"/>
          <w:bottom w:w="0" w:type="dxa"/>
          <w:right w:w="108" w:type="dxa"/>
        </w:tblCellMar>
      </w:tblPr>
      <w:tblGrid>
        <w:gridCol w:w="951"/>
        <w:gridCol w:w="1743"/>
        <w:gridCol w:w="1428"/>
        <w:gridCol w:w="1585"/>
        <w:gridCol w:w="660"/>
        <w:gridCol w:w="1083"/>
        <w:gridCol w:w="264"/>
        <w:gridCol w:w="954"/>
        <w:gridCol w:w="812"/>
      </w:tblGrid>
      <w:tr>
        <w:tblPrEx>
          <w:tblCellMar>
            <w:top w:w="0" w:type="dxa"/>
            <w:left w:w="108" w:type="dxa"/>
            <w:bottom w:w="0" w:type="dxa"/>
            <w:right w:w="108" w:type="dxa"/>
          </w:tblCellMar>
        </w:tblPrEx>
        <w:trPr>
          <w:trHeight w:val="510" w:hRule="atLeast"/>
          <w:jc w:val="center"/>
        </w:trPr>
        <w:tc>
          <w:tcPr>
            <w:tcW w:w="50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序号</w:t>
            </w:r>
          </w:p>
        </w:tc>
        <w:tc>
          <w:tcPr>
            <w:tcW w:w="919" w:type="pct"/>
            <w:tcBorders>
              <w:top w:val="single" w:color="auto" w:sz="4" w:space="0"/>
              <w:left w:val="nil"/>
              <w:bottom w:val="single" w:color="auto" w:sz="4" w:space="0"/>
              <w:right w:val="single" w:color="auto" w:sz="4" w:space="0"/>
            </w:tcBorders>
            <w:shd w:val="clear" w:color="auto" w:fill="auto"/>
            <w:vAlign w:val="center"/>
          </w:tcPr>
          <w:p>
            <w:pPr>
              <w:pStyle w:val="121"/>
            </w:pPr>
            <w:r>
              <w:t>项目名称</w:t>
            </w:r>
          </w:p>
        </w:tc>
        <w:tc>
          <w:tcPr>
            <w:tcW w:w="753" w:type="pct"/>
            <w:tcBorders>
              <w:top w:val="single" w:color="auto" w:sz="4" w:space="0"/>
              <w:left w:val="nil"/>
              <w:bottom w:val="single" w:color="auto" w:sz="4" w:space="0"/>
              <w:right w:val="single" w:color="auto" w:sz="4" w:space="0"/>
            </w:tcBorders>
            <w:shd w:val="clear" w:color="auto" w:fill="auto"/>
            <w:vAlign w:val="center"/>
          </w:tcPr>
          <w:p>
            <w:pPr>
              <w:pStyle w:val="121"/>
            </w:pPr>
            <w:r>
              <w:t>计算基数</w:t>
            </w:r>
          </w:p>
        </w:tc>
        <w:tc>
          <w:tcPr>
            <w:tcW w:w="836" w:type="pct"/>
            <w:tcBorders>
              <w:top w:val="single" w:color="auto" w:sz="4" w:space="0"/>
              <w:left w:val="nil"/>
              <w:bottom w:val="single" w:color="auto" w:sz="4" w:space="0"/>
              <w:right w:val="single" w:color="auto" w:sz="4" w:space="0"/>
            </w:tcBorders>
            <w:shd w:val="clear" w:color="auto" w:fill="auto"/>
            <w:vAlign w:val="center"/>
          </w:tcPr>
          <w:p>
            <w:pPr>
              <w:pStyle w:val="121"/>
            </w:pPr>
            <w:r>
              <w:t>税率（%）</w:t>
            </w:r>
          </w:p>
        </w:tc>
        <w:tc>
          <w:tcPr>
            <w:tcW w:w="919"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税金</w:t>
            </w:r>
          </w:p>
        </w:tc>
        <w:tc>
          <w:tcPr>
            <w:tcW w:w="1070" w:type="pct"/>
            <w:gridSpan w:val="3"/>
            <w:tcBorders>
              <w:top w:val="single" w:color="auto" w:sz="4" w:space="0"/>
              <w:left w:val="nil"/>
              <w:bottom w:val="single" w:color="auto" w:sz="4" w:space="0"/>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502" w:type="pct"/>
            <w:tcBorders>
              <w:top w:val="nil"/>
              <w:left w:val="single" w:color="auto" w:sz="4" w:space="0"/>
              <w:bottom w:val="single" w:color="auto" w:sz="4" w:space="0"/>
              <w:right w:val="single" w:color="auto" w:sz="4" w:space="0"/>
            </w:tcBorders>
            <w:shd w:val="clear" w:color="auto" w:fill="auto"/>
            <w:vAlign w:val="center"/>
          </w:tcPr>
          <w:p>
            <w:pPr>
              <w:pStyle w:val="121"/>
            </w:pPr>
            <w:r>
              <w:t>甲</w:t>
            </w:r>
          </w:p>
        </w:tc>
        <w:tc>
          <w:tcPr>
            <w:tcW w:w="919" w:type="pct"/>
            <w:tcBorders>
              <w:top w:val="nil"/>
              <w:left w:val="nil"/>
              <w:bottom w:val="single" w:color="auto" w:sz="4" w:space="0"/>
              <w:right w:val="single" w:color="auto" w:sz="4" w:space="0"/>
            </w:tcBorders>
            <w:shd w:val="clear" w:color="auto" w:fill="auto"/>
            <w:vAlign w:val="center"/>
          </w:tcPr>
          <w:p>
            <w:pPr>
              <w:pStyle w:val="121"/>
            </w:pPr>
            <w:r>
              <w:t>乙</w:t>
            </w:r>
          </w:p>
        </w:tc>
        <w:tc>
          <w:tcPr>
            <w:tcW w:w="753" w:type="pct"/>
            <w:tcBorders>
              <w:top w:val="nil"/>
              <w:left w:val="nil"/>
              <w:bottom w:val="single" w:color="auto" w:sz="4" w:space="0"/>
              <w:right w:val="single" w:color="auto" w:sz="4" w:space="0"/>
            </w:tcBorders>
            <w:shd w:val="clear" w:color="auto" w:fill="auto"/>
            <w:vAlign w:val="center"/>
          </w:tcPr>
          <w:p>
            <w:pPr>
              <w:pStyle w:val="121"/>
            </w:pPr>
            <w:r>
              <w:t>1</w:t>
            </w:r>
          </w:p>
        </w:tc>
        <w:tc>
          <w:tcPr>
            <w:tcW w:w="836" w:type="pct"/>
            <w:tcBorders>
              <w:top w:val="nil"/>
              <w:left w:val="nil"/>
              <w:bottom w:val="single" w:color="auto" w:sz="4" w:space="0"/>
              <w:right w:val="single" w:color="auto" w:sz="4" w:space="0"/>
            </w:tcBorders>
            <w:shd w:val="clear" w:color="auto" w:fill="auto"/>
            <w:vAlign w:val="center"/>
          </w:tcPr>
          <w:p>
            <w:pPr>
              <w:pStyle w:val="121"/>
            </w:pPr>
            <w:r>
              <w:t>2</w:t>
            </w:r>
          </w:p>
        </w:tc>
        <w:tc>
          <w:tcPr>
            <w:tcW w:w="919" w:type="pct"/>
            <w:gridSpan w:val="2"/>
            <w:tcBorders>
              <w:top w:val="nil"/>
              <w:left w:val="nil"/>
              <w:bottom w:val="single" w:color="auto" w:sz="4" w:space="0"/>
              <w:right w:val="single" w:color="auto" w:sz="4" w:space="0"/>
            </w:tcBorders>
            <w:shd w:val="clear" w:color="auto" w:fill="auto"/>
            <w:vAlign w:val="center"/>
          </w:tcPr>
          <w:p>
            <w:pPr>
              <w:pStyle w:val="121"/>
            </w:pPr>
            <w:r>
              <w:t>3</w:t>
            </w:r>
          </w:p>
        </w:tc>
        <w:tc>
          <w:tcPr>
            <w:tcW w:w="1070" w:type="pct"/>
            <w:gridSpan w:val="3"/>
            <w:tcBorders>
              <w:top w:val="single" w:color="auto" w:sz="4" w:space="0"/>
              <w:left w:val="nil"/>
              <w:bottom w:val="single" w:color="auto" w:sz="4" w:space="0"/>
              <w:right w:val="single" w:color="auto" w:sz="4" w:space="0"/>
            </w:tcBorders>
            <w:shd w:val="clear" w:color="auto" w:fill="auto"/>
            <w:vAlign w:val="center"/>
          </w:tcPr>
          <w:p>
            <w:pPr>
              <w:pStyle w:val="121"/>
            </w:pPr>
            <w:r>
              <w:t>4</w:t>
            </w:r>
          </w:p>
        </w:tc>
      </w:tr>
      <w:tr>
        <w:tblPrEx>
          <w:tblCellMar>
            <w:top w:w="0" w:type="dxa"/>
            <w:left w:w="108" w:type="dxa"/>
            <w:bottom w:w="0" w:type="dxa"/>
            <w:right w:w="108" w:type="dxa"/>
          </w:tblCellMar>
        </w:tblPrEx>
        <w:trPr>
          <w:trHeight w:val="51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8" w:type="pct"/>
            <w:gridSpan w:val="7"/>
            <w:vMerge w:val="restart"/>
            <w:tcBorders>
              <w:top w:val="nil"/>
              <w:left w:val="nil"/>
              <w:bottom w:val="nil"/>
              <w:right w:val="single" w:color="auto" w:sz="4" w:space="0"/>
            </w:tcBorders>
            <w:shd w:val="clear" w:color="auto" w:fill="auto"/>
            <w:vAlign w:val="center"/>
          </w:tcPr>
          <w:p>
            <w:pPr>
              <w:pStyle w:val="121"/>
            </w:pPr>
            <w:r>
              <w:t>填表说明</w:t>
            </w:r>
          </w:p>
        </w:tc>
      </w:tr>
      <w:tr>
        <w:tblPrEx>
          <w:tblCellMar>
            <w:top w:w="0" w:type="dxa"/>
            <w:left w:w="108" w:type="dxa"/>
            <w:bottom w:w="0" w:type="dxa"/>
            <w:right w:w="108" w:type="dxa"/>
          </w:tblCellMar>
        </w:tblPrEx>
        <w:trPr>
          <w:trHeight w:val="51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7" w:type="pct"/>
            <w:gridSpan w:val="7"/>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8" w:type="pct"/>
            <w:gridSpan w:val="7"/>
            <w:tcBorders>
              <w:top w:val="nil"/>
              <w:left w:val="nil"/>
              <w:bottom w:val="nil"/>
              <w:right w:val="single" w:color="auto" w:sz="4" w:space="0"/>
            </w:tcBorders>
            <w:shd w:val="clear" w:color="auto" w:fill="auto"/>
          </w:tcPr>
          <w:p>
            <w:pPr>
              <w:pStyle w:val="121"/>
              <w:ind w:firstLine="453" w:firstLineChars="252"/>
              <w:jc w:val="left"/>
            </w:pPr>
            <w:r>
              <w:t>1.乙栏：按本项目单位应负担的税金及附加费用填列。。</w:t>
            </w:r>
          </w:p>
        </w:tc>
      </w:tr>
      <w:tr>
        <w:tblPrEx>
          <w:tblCellMar>
            <w:top w:w="0" w:type="dxa"/>
            <w:left w:w="108" w:type="dxa"/>
            <w:bottom w:w="0" w:type="dxa"/>
            <w:right w:w="108" w:type="dxa"/>
          </w:tblCellMar>
        </w:tblPrEx>
        <w:trPr>
          <w:trHeight w:val="51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8" w:type="pct"/>
            <w:gridSpan w:val="7"/>
            <w:tcBorders>
              <w:top w:val="nil"/>
              <w:left w:val="nil"/>
              <w:bottom w:val="nil"/>
              <w:right w:val="single" w:color="auto" w:sz="4" w:space="0"/>
            </w:tcBorders>
            <w:shd w:val="clear" w:color="auto" w:fill="auto"/>
          </w:tcPr>
          <w:p>
            <w:pPr>
              <w:pStyle w:val="121"/>
              <w:ind w:firstLine="453" w:firstLineChars="252"/>
              <w:jc w:val="left"/>
            </w:pPr>
            <w:r>
              <w:t>2.若项目未经招投标，资金为财政直接拨款，则不填本表。</w:t>
            </w:r>
          </w:p>
        </w:tc>
      </w:tr>
      <w:tr>
        <w:tblPrEx>
          <w:tblCellMar>
            <w:top w:w="0" w:type="dxa"/>
            <w:left w:w="108" w:type="dxa"/>
            <w:bottom w:w="0" w:type="dxa"/>
            <w:right w:w="108" w:type="dxa"/>
          </w:tblCellMar>
        </w:tblPrEx>
        <w:trPr>
          <w:trHeight w:val="600" w:hRule="atLeast"/>
          <w:jc w:val="center"/>
        </w:trPr>
        <w:tc>
          <w:tcPr>
            <w:tcW w:w="502" w:type="pct"/>
            <w:tcBorders>
              <w:top w:val="nil"/>
              <w:left w:val="single" w:color="auto" w:sz="4" w:space="0"/>
              <w:bottom w:val="nil"/>
              <w:right w:val="single" w:color="auto" w:sz="4" w:space="0"/>
            </w:tcBorders>
            <w:shd w:val="clear" w:color="auto" w:fill="auto"/>
            <w:vAlign w:val="center"/>
          </w:tcPr>
          <w:p>
            <w:pPr>
              <w:pStyle w:val="121"/>
            </w:pPr>
            <w:r>
              <w:t>　</w:t>
            </w:r>
          </w:p>
        </w:tc>
        <w:tc>
          <w:tcPr>
            <w:tcW w:w="919" w:type="pct"/>
            <w:tcBorders>
              <w:top w:val="nil"/>
              <w:left w:val="nil"/>
              <w:bottom w:val="nil"/>
              <w:right w:val="single" w:color="auto" w:sz="4" w:space="0"/>
            </w:tcBorders>
            <w:shd w:val="clear" w:color="auto" w:fill="auto"/>
            <w:vAlign w:val="center"/>
          </w:tcPr>
          <w:p>
            <w:pPr>
              <w:pStyle w:val="121"/>
            </w:pPr>
            <w:r>
              <w:t>　</w:t>
            </w:r>
          </w:p>
        </w:tc>
        <w:tc>
          <w:tcPr>
            <w:tcW w:w="3578" w:type="pct"/>
            <w:gridSpan w:val="7"/>
            <w:tcBorders>
              <w:top w:val="nil"/>
              <w:left w:val="nil"/>
              <w:bottom w:val="nil"/>
              <w:right w:val="single" w:color="auto" w:sz="4" w:space="0"/>
            </w:tcBorders>
            <w:shd w:val="clear" w:color="auto" w:fill="auto"/>
          </w:tcPr>
          <w:p>
            <w:pPr>
              <w:pStyle w:val="121"/>
              <w:ind w:firstLine="453" w:firstLineChars="252"/>
              <w:jc w:val="left"/>
            </w:pPr>
          </w:p>
        </w:tc>
      </w:tr>
      <w:tr>
        <w:tblPrEx>
          <w:tblCellMar>
            <w:top w:w="0" w:type="dxa"/>
            <w:left w:w="108" w:type="dxa"/>
            <w:bottom w:w="0" w:type="dxa"/>
            <w:right w:w="108" w:type="dxa"/>
          </w:tblCellMar>
        </w:tblPrEx>
        <w:trPr>
          <w:trHeight w:val="510" w:hRule="atLeast"/>
          <w:jc w:val="center"/>
        </w:trPr>
        <w:tc>
          <w:tcPr>
            <w:tcW w:w="50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　</w:t>
            </w:r>
          </w:p>
        </w:tc>
        <w:tc>
          <w:tcPr>
            <w:tcW w:w="919" w:type="pct"/>
            <w:tcBorders>
              <w:top w:val="single" w:color="auto" w:sz="4" w:space="0"/>
              <w:left w:val="nil"/>
              <w:bottom w:val="single" w:color="auto" w:sz="4" w:space="0"/>
              <w:right w:val="single" w:color="auto" w:sz="4" w:space="0"/>
            </w:tcBorders>
            <w:shd w:val="clear" w:color="auto" w:fill="auto"/>
            <w:vAlign w:val="center"/>
          </w:tcPr>
          <w:p>
            <w:pPr>
              <w:pStyle w:val="121"/>
            </w:pPr>
            <w:r>
              <w:t>合计</w:t>
            </w:r>
          </w:p>
        </w:tc>
        <w:tc>
          <w:tcPr>
            <w:tcW w:w="753" w:type="pct"/>
            <w:tcBorders>
              <w:top w:val="single" w:color="auto" w:sz="4" w:space="0"/>
              <w:left w:val="nil"/>
              <w:bottom w:val="single" w:color="auto" w:sz="4" w:space="0"/>
              <w:right w:val="nil"/>
            </w:tcBorders>
            <w:shd w:val="clear" w:color="auto" w:fill="auto"/>
            <w:vAlign w:val="center"/>
          </w:tcPr>
          <w:p>
            <w:pPr>
              <w:pStyle w:val="121"/>
            </w:pPr>
            <w:r>
              <w:t>　</w:t>
            </w:r>
          </w:p>
        </w:tc>
        <w:tc>
          <w:tcPr>
            <w:tcW w:w="836" w:type="pct"/>
            <w:tcBorders>
              <w:top w:val="single" w:color="auto" w:sz="4" w:space="0"/>
              <w:left w:val="nil"/>
              <w:bottom w:val="single" w:color="auto" w:sz="4" w:space="0"/>
              <w:right w:val="nil"/>
            </w:tcBorders>
            <w:shd w:val="clear" w:color="auto" w:fill="auto"/>
            <w:vAlign w:val="center"/>
          </w:tcPr>
          <w:p>
            <w:pPr>
              <w:pStyle w:val="121"/>
            </w:pPr>
            <w:r>
              <w:t>　</w:t>
            </w:r>
          </w:p>
        </w:tc>
        <w:tc>
          <w:tcPr>
            <w:tcW w:w="919" w:type="pct"/>
            <w:gridSpan w:val="2"/>
            <w:tcBorders>
              <w:top w:val="single" w:color="auto" w:sz="4" w:space="0"/>
              <w:left w:val="nil"/>
              <w:bottom w:val="single" w:color="auto" w:sz="4" w:space="0"/>
              <w:right w:val="nil"/>
            </w:tcBorders>
            <w:shd w:val="clear" w:color="auto" w:fill="auto"/>
            <w:vAlign w:val="center"/>
          </w:tcPr>
          <w:p>
            <w:pPr>
              <w:pStyle w:val="121"/>
            </w:pPr>
            <w:r>
              <w:t>　</w:t>
            </w:r>
          </w:p>
        </w:tc>
        <w:tc>
          <w:tcPr>
            <w:tcW w:w="139" w:type="pct"/>
            <w:tcBorders>
              <w:top w:val="single" w:color="auto" w:sz="4" w:space="0"/>
              <w:left w:val="nil"/>
              <w:bottom w:val="single" w:color="auto" w:sz="4" w:space="0"/>
              <w:right w:val="nil"/>
            </w:tcBorders>
            <w:shd w:val="clear" w:color="auto" w:fill="auto"/>
            <w:vAlign w:val="center"/>
          </w:tcPr>
          <w:p>
            <w:pPr>
              <w:pStyle w:val="121"/>
            </w:pPr>
            <w:r>
              <w:t>　</w:t>
            </w:r>
          </w:p>
        </w:tc>
        <w:tc>
          <w:tcPr>
            <w:tcW w:w="503" w:type="pct"/>
            <w:tcBorders>
              <w:top w:val="single" w:color="auto" w:sz="4" w:space="0"/>
              <w:left w:val="nil"/>
              <w:bottom w:val="single" w:color="auto" w:sz="4" w:space="0"/>
              <w:right w:val="nil"/>
            </w:tcBorders>
            <w:shd w:val="clear" w:color="auto" w:fill="auto"/>
            <w:vAlign w:val="center"/>
          </w:tcPr>
          <w:p>
            <w:pPr>
              <w:pStyle w:val="121"/>
            </w:pPr>
            <w:r>
              <w:t>　</w:t>
            </w:r>
          </w:p>
        </w:tc>
        <w:tc>
          <w:tcPr>
            <w:tcW w:w="428" w:type="pct"/>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3358" w:type="pct"/>
            <w:gridSpan w:val="5"/>
            <w:tcBorders>
              <w:top w:val="single" w:color="auto" w:sz="4" w:space="0"/>
              <w:left w:val="nil"/>
              <w:bottom w:val="nil"/>
              <w:right w:val="nil"/>
            </w:tcBorders>
            <w:shd w:val="clear" w:color="auto" w:fill="auto"/>
            <w:noWrap/>
            <w:vAlign w:val="bottom"/>
          </w:tcPr>
          <w:p>
            <w:pPr>
              <w:pStyle w:val="121"/>
              <w:jc w:val="left"/>
            </w:pPr>
            <w:r>
              <w:t>预算编制人：（签章）</w:t>
            </w:r>
          </w:p>
        </w:tc>
        <w:tc>
          <w:tcPr>
            <w:tcW w:w="1641" w:type="pct"/>
            <w:gridSpan w:val="4"/>
            <w:tcBorders>
              <w:top w:val="single" w:color="auto" w:sz="4" w:space="0"/>
              <w:left w:val="nil"/>
              <w:bottom w:val="nil"/>
              <w:right w:val="nil"/>
            </w:tcBorders>
            <w:shd w:val="clear" w:color="auto" w:fill="auto"/>
            <w:noWrap/>
            <w:vAlign w:val="bottom"/>
          </w:tcPr>
          <w:p>
            <w:pPr>
              <w:pStyle w:val="121"/>
              <w:jc w:val="left"/>
            </w:pPr>
            <w:r>
              <w:t>预算审核人：（签章）</w:t>
            </w:r>
          </w:p>
        </w:tc>
      </w:tr>
    </w:tbl>
    <w:p>
      <w:pPr>
        <w:pStyle w:val="121"/>
      </w:pPr>
    </w:p>
    <w:p>
      <w:pPr>
        <w:pStyle w:val="121"/>
      </w:pPr>
    </w:p>
    <w:p>
      <w:pPr>
        <w:pStyle w:val="121"/>
      </w:pPr>
    </w:p>
    <w:p>
      <w:pPr>
        <w:pStyle w:val="234"/>
      </w:pPr>
      <w:r>
        <w:br w:type="page"/>
      </w:r>
      <w:bookmarkStart w:id="129" w:name="_Toc16760289"/>
      <w:bookmarkStart w:id="130" w:name="_Toc36634246"/>
      <w:r>
        <w:rPr>
          <w:rFonts w:hint="eastAsia" w:ascii="黑体"/>
        </w:rPr>
        <w:t>附  录  C</w:t>
      </w:r>
      <w:r>
        <w:rPr>
          <w:kern w:val="32"/>
          <w:lang w:bidi="en-US"/>
        </w:rPr>
        <w:br w:type="textWrapping"/>
      </w:r>
      <w:r>
        <w:t>（规范性附录）</w:t>
      </w:r>
      <w:r>
        <w:rPr>
          <w:kern w:val="32"/>
          <w:lang w:bidi="en-US"/>
        </w:rPr>
        <w:br w:type="textWrapping"/>
      </w:r>
      <w:bookmarkEnd w:id="129"/>
      <w:r>
        <w:t>工作手段目录</w:t>
      </w:r>
      <w:bookmarkEnd w:id="130"/>
    </w:p>
    <w:tbl>
      <w:tblPr>
        <w:tblStyle w:val="36"/>
        <w:tblW w:w="5000" w:type="pct"/>
        <w:jc w:val="center"/>
        <w:tblLayout w:type="autofit"/>
        <w:tblCellMar>
          <w:top w:w="0" w:type="dxa"/>
          <w:left w:w="108" w:type="dxa"/>
          <w:bottom w:w="0" w:type="dxa"/>
          <w:right w:w="108" w:type="dxa"/>
        </w:tblCellMar>
      </w:tblPr>
      <w:tblGrid>
        <w:gridCol w:w="7287"/>
        <w:gridCol w:w="1455"/>
        <w:gridCol w:w="742"/>
      </w:tblGrid>
      <w:tr>
        <w:tblPrEx>
          <w:tblCellMar>
            <w:top w:w="0" w:type="dxa"/>
            <w:left w:w="108" w:type="dxa"/>
            <w:bottom w:w="0" w:type="dxa"/>
            <w:right w:w="108" w:type="dxa"/>
          </w:tblCellMar>
        </w:tblPrEx>
        <w:trPr>
          <w:trHeight w:val="285" w:hRule="atLeast"/>
          <w:tblHeader/>
          <w:jc w:val="center"/>
        </w:trPr>
        <w:tc>
          <w:tcPr>
            <w:tcW w:w="3840"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1"/>
            </w:pPr>
            <w:r>
              <w:t>工作手段</w:t>
            </w:r>
          </w:p>
        </w:tc>
        <w:tc>
          <w:tcPr>
            <w:tcW w:w="767" w:type="pct"/>
            <w:tcBorders>
              <w:top w:val="single" w:color="auto" w:sz="4" w:space="0"/>
              <w:left w:val="nil"/>
              <w:bottom w:val="single" w:color="auto" w:sz="4" w:space="0"/>
              <w:right w:val="single" w:color="auto" w:sz="4" w:space="0"/>
            </w:tcBorders>
            <w:shd w:val="clear" w:color="auto" w:fill="auto"/>
            <w:noWrap/>
            <w:vAlign w:val="center"/>
          </w:tcPr>
          <w:p>
            <w:pPr>
              <w:pStyle w:val="121"/>
            </w:pPr>
            <w:r>
              <w:t>计量单位</w:t>
            </w:r>
          </w:p>
        </w:tc>
        <w:tc>
          <w:tcPr>
            <w:tcW w:w="391" w:type="pct"/>
            <w:tcBorders>
              <w:top w:val="single" w:color="auto" w:sz="4" w:space="0"/>
              <w:left w:val="nil"/>
              <w:bottom w:val="single" w:color="auto" w:sz="4" w:space="0"/>
              <w:right w:val="single" w:color="auto" w:sz="4" w:space="0"/>
            </w:tcBorders>
            <w:shd w:val="clear" w:color="auto" w:fill="auto"/>
            <w:noWrap/>
            <w:vAlign w:val="center"/>
          </w:tcPr>
          <w:p>
            <w:pPr>
              <w:pStyle w:val="121"/>
            </w:pPr>
            <w:r>
              <w:t>备注</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一、地形测绘</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（一）地形测量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1.控制测量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点或km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按测量方法及困难类别分列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2.地形测量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按比例尺及困难类别分列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（二）制图</w:t>
            </w:r>
          </w:p>
        </w:tc>
        <w:tc>
          <w:tcPr>
            <w:tcW w:w="767" w:type="pct"/>
            <w:tcBorders>
              <w:top w:val="nil"/>
              <w:left w:val="nil"/>
              <w:bottom w:val="single" w:color="auto" w:sz="4" w:space="0"/>
              <w:right w:val="single" w:color="auto" w:sz="4" w:space="0"/>
            </w:tcBorders>
            <w:shd w:val="clear" w:color="auto" w:fill="auto"/>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1.地形图编绘</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幅</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按比例尺及困难类别分列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2.地形图数字化</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幅</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按比例尺及困难类别分列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3.地质图数字化</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幅</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按图件类型及困难类别分列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4.地质图计算机成图</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幅</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按图件类型及困难类别分列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二、地质测量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（一）区域地质调查</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（二）专项地质测量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1.专项地质测量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2.地质剖面测量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（三）区域水文地质、生态环境地质调查</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1.区域水文地质调查</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2.区域生态环境地质调查</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（四）专项水文地质、生态环境地质测量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1.专项水文地质测量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2.专项生态环境地质测量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（五）区域工程地质、环境地质调查</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1.区域工程地质调查</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2.区域环境地质调查</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（六）专项工程地质、环境地质、地质灾害测量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1.专项工程地质测量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2.专项环境地质、地质灾害测量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（七）地质灾害风险调查</w:t>
            </w:r>
          </w:p>
        </w:tc>
        <w:tc>
          <w:tcPr>
            <w:tcW w:w="767" w:type="pct"/>
            <w:tcBorders>
              <w:top w:val="nil"/>
              <w:left w:val="nil"/>
              <w:bottom w:val="single" w:color="auto" w:sz="4" w:space="0"/>
              <w:right w:val="single" w:color="auto" w:sz="4" w:space="0"/>
            </w:tcBorders>
            <w:shd w:val="clear" w:color="auto" w:fill="auto"/>
            <w:noWrap/>
            <w:vAlign w:val="center"/>
          </w:tcPr>
          <w:p>
            <w:pPr>
              <w:pStyle w:val="121"/>
            </w:pPr>
          </w:p>
        </w:tc>
        <w:tc>
          <w:tcPr>
            <w:tcW w:w="391" w:type="pct"/>
            <w:tcBorders>
              <w:top w:val="nil"/>
              <w:left w:val="nil"/>
              <w:bottom w:val="single" w:color="auto" w:sz="4" w:space="0"/>
              <w:right w:val="single" w:color="auto" w:sz="4" w:space="0"/>
            </w:tcBorders>
            <w:shd w:val="clear" w:color="auto" w:fill="auto"/>
            <w:noWrap/>
            <w:vAlign w:val="center"/>
          </w:tcPr>
          <w:p>
            <w:pPr>
              <w:pStyle w:val="121"/>
            </w:pP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1.地质灾害风险调查</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按比例尺及地质复杂程度分列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p>
        </w:tc>
        <w:tc>
          <w:tcPr>
            <w:tcW w:w="391" w:type="pct"/>
            <w:tcBorders>
              <w:top w:val="nil"/>
              <w:left w:val="nil"/>
              <w:bottom w:val="single" w:color="auto" w:sz="4" w:space="0"/>
              <w:right w:val="single" w:color="auto" w:sz="4" w:space="0"/>
            </w:tcBorders>
            <w:shd w:val="clear" w:color="auto" w:fill="auto"/>
            <w:noWrap/>
            <w:vAlign w:val="center"/>
          </w:tcPr>
          <w:p>
            <w:pPr>
              <w:pStyle w:val="121"/>
            </w:pP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三、物探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（一）磁法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1.磁法测量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2.磁法剖面测量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（二）重力</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1.区域重力测量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2.重力测量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3.重力剖面测量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（三）电法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1.激电中梯（长导线）测量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2.激电中梯（长导线）剖面测量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3.激电中梯（短导线）测量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4.激电中梯（短导线）剖面测量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5.激电测深测量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6.视电阻率中梯测量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7.视电阻率联合剖面测量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8.视电阻率垂向电测深测量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9.视电阻率对称四级剖面测量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10.充电法电位和梯度测量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11.自然电场法电位测量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12.瞬变电磁法测量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13.高密度电阻率法测量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14.大地电磁测深测量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15.可控源音频大地电磁测深测量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16.甚低频测量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（四）地震</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1.浅层地震一次观测法测量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2.浅层地震多次迭加法测量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（五）放射性</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1.伽玛总量面积测量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2.伽玛总量剖面测量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3.伽玛能谱面积测量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4.伽玛能谱剖面测量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5.常规测氡、RaA法测氡面积测量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6.常规测氡、RaA法测氡剖面测量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vAlign w:val="center"/>
          </w:tcPr>
          <w:p>
            <w:pPr>
              <w:pStyle w:val="121"/>
              <w:jc w:val="left"/>
            </w:pPr>
            <w:r>
              <w:t>7.活性炭面积测量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vAlign w:val="center"/>
          </w:tcPr>
          <w:p>
            <w:pPr>
              <w:pStyle w:val="121"/>
              <w:jc w:val="left"/>
            </w:pPr>
            <w:r>
              <w:t>按比例尺分列及技术条件分列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8.活性炭剖面测量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vAlign w:val="center"/>
          </w:tcPr>
          <w:p>
            <w:pPr>
              <w:pStyle w:val="121"/>
              <w:jc w:val="left"/>
            </w:pPr>
            <w:r>
              <w:t>按比例尺分列及技术条件分列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（六）测井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m或点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（七）航空物探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1.单磁</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2.磁放</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3.磁放电</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四、化探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（一）土壤测量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1.土壤测量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2.土壤剖面测量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3.多目标土壤测量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样</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（二）岩石测量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1.岩石测量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2.岩石剖面测量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（三）水地球化学测量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（四）水系沉积物测量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（五）汞气测量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（六）地气测量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（七）地热化探测量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（八）物化探测网与剖面布设</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1.测网布设</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2.剖面布设</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3.测网等外水准测量</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五、遥感</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（一）航空遥感彩色摄影</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按比例尺及类区分列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（二）遥感地质解译</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1.遥感信息提取</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按解译精度和数据类型度分列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2.遥感地质解译</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km</w:t>
            </w:r>
            <w:r>
              <w:rPr>
                <w:vertAlign w:val="superscript"/>
              </w:rPr>
              <w:t>2</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按比例尺及可解程度分列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六、钻探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（一）矿产地质钻探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1.机械岩芯钻探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2.砂钻</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3.取样钻探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4.矿产地质水平钻探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（二）水文地质钻探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（三）地热钻探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（四）工程地质钻探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（五）原位测试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nil"/>
              <w:bottom w:val="single" w:color="auto" w:sz="4" w:space="0"/>
              <w:right w:val="single" w:color="auto" w:sz="4" w:space="0"/>
            </w:tcBorders>
            <w:shd w:val="clear" w:color="auto" w:fill="auto"/>
            <w:noWrap/>
            <w:vAlign w:val="center"/>
          </w:tcPr>
          <w:p>
            <w:pPr>
              <w:pStyle w:val="121"/>
              <w:jc w:val="left"/>
            </w:pPr>
            <w:r>
              <w:t>按测试方法及技术条件分列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七、坑探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（一）坑探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八、浅井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（一）土石井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（二）砂井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（三）小圆井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31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九、槽探</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m</w:t>
            </w:r>
            <w:r>
              <w:rPr>
                <w:vertAlign w:val="superscript"/>
              </w:rPr>
              <w:t>3</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按技术条件分列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十、岩矿测试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（一）岩矿分析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1.一般岩矿分析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2.物相分析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样</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3.单矿物分析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按样品重量分列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4.样品加工</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样</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按样品重量分列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（二）化探分析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1.化探样品综合分析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样</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按样品类型分列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2.化探单项分析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（三）土壤分析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1.土壤化学性质及常量养份分析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2.土壤水溶性盐分析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3.土壤矿物质全量分析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4.土壤微量元素和重金属元素分析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（四）水质分析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1.水质综合分析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样</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按样品类型分列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2.地下水污染有机组分分析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件</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3.水质单项分析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（五）光谱半定量分析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样</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（六）非金属矿物性测试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（七）煤质分析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1.煤质分析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2.煤灰成份分析</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项</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（八）岩矿鉴定与试验</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1.岩矿鉴定及测试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片/件/点/个</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2.重砂鉴定测试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件/克</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3.岩石试验和土工试验</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件</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（九）选冶试验</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1.实验室测试</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件</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2.中间试验</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件</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按项目分列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十一、其他地质工作</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按具体工作分列</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十二、工地建筑</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十三、设备使用和购置费</w:t>
            </w:r>
          </w:p>
        </w:tc>
        <w:tc>
          <w:tcPr>
            <w:tcW w:w="767" w:type="pct"/>
            <w:tcBorders>
              <w:top w:val="nil"/>
              <w:left w:val="nil"/>
              <w:bottom w:val="single" w:color="auto" w:sz="4" w:space="0"/>
              <w:right w:val="single" w:color="auto" w:sz="4" w:space="0"/>
            </w:tcBorders>
            <w:shd w:val="clear" w:color="auto" w:fill="auto"/>
            <w:noWrap/>
            <w:vAlign w:val="center"/>
          </w:tcPr>
          <w:p>
            <w:pPr>
              <w:pStyle w:val="121"/>
            </w:pPr>
          </w:p>
        </w:tc>
        <w:tc>
          <w:tcPr>
            <w:tcW w:w="391" w:type="pct"/>
            <w:tcBorders>
              <w:top w:val="nil"/>
              <w:left w:val="nil"/>
              <w:bottom w:val="single" w:color="auto" w:sz="4" w:space="0"/>
              <w:right w:val="single" w:color="auto" w:sz="4" w:space="0"/>
            </w:tcBorders>
            <w:shd w:val="clear" w:color="auto" w:fill="auto"/>
            <w:noWrap/>
            <w:vAlign w:val="center"/>
          </w:tcPr>
          <w:p>
            <w:pPr>
              <w:pStyle w:val="121"/>
            </w:pP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十四、利润</w:t>
            </w:r>
          </w:p>
        </w:tc>
        <w:tc>
          <w:tcPr>
            <w:tcW w:w="767" w:type="pct"/>
            <w:tcBorders>
              <w:top w:val="nil"/>
              <w:left w:val="nil"/>
              <w:bottom w:val="single" w:color="auto" w:sz="4" w:space="0"/>
              <w:right w:val="single" w:color="auto" w:sz="4" w:space="0"/>
            </w:tcBorders>
            <w:shd w:val="clear" w:color="auto" w:fill="auto"/>
            <w:noWrap/>
            <w:vAlign w:val="center"/>
          </w:tcPr>
          <w:p>
            <w:pPr>
              <w:pStyle w:val="121"/>
            </w:pPr>
          </w:p>
        </w:tc>
        <w:tc>
          <w:tcPr>
            <w:tcW w:w="391" w:type="pct"/>
            <w:tcBorders>
              <w:top w:val="nil"/>
              <w:left w:val="nil"/>
              <w:bottom w:val="single" w:color="auto" w:sz="4" w:space="0"/>
              <w:right w:val="single" w:color="auto" w:sz="4" w:space="0"/>
            </w:tcBorders>
            <w:shd w:val="clear" w:color="auto" w:fill="auto"/>
            <w:noWrap/>
            <w:vAlign w:val="center"/>
          </w:tcPr>
          <w:p>
            <w:pPr>
              <w:pStyle w:val="121"/>
            </w:pPr>
          </w:p>
        </w:tc>
      </w:tr>
      <w:tr>
        <w:tblPrEx>
          <w:tblCellMar>
            <w:top w:w="0" w:type="dxa"/>
            <w:left w:w="108" w:type="dxa"/>
            <w:bottom w:w="0" w:type="dxa"/>
            <w:right w:w="108" w:type="dxa"/>
          </w:tblCellMar>
        </w:tblPrEx>
        <w:trPr>
          <w:trHeight w:val="285" w:hRule="atLeast"/>
          <w:jc w:val="center"/>
        </w:trPr>
        <w:tc>
          <w:tcPr>
            <w:tcW w:w="3840" w:type="pct"/>
            <w:tcBorders>
              <w:top w:val="nil"/>
              <w:left w:val="single" w:color="auto" w:sz="4" w:space="0"/>
              <w:bottom w:val="single" w:color="auto" w:sz="4" w:space="0"/>
              <w:right w:val="single" w:color="auto" w:sz="4" w:space="0"/>
            </w:tcBorders>
            <w:shd w:val="clear" w:color="auto" w:fill="auto"/>
            <w:noWrap/>
            <w:vAlign w:val="center"/>
          </w:tcPr>
          <w:p>
            <w:pPr>
              <w:pStyle w:val="121"/>
              <w:jc w:val="left"/>
            </w:pPr>
            <w:r>
              <w:t>十五、税金</w:t>
            </w:r>
          </w:p>
        </w:tc>
        <w:tc>
          <w:tcPr>
            <w:tcW w:w="767" w:type="pct"/>
            <w:tcBorders>
              <w:top w:val="nil"/>
              <w:left w:val="nil"/>
              <w:bottom w:val="single" w:color="auto" w:sz="4" w:space="0"/>
              <w:right w:val="single" w:color="auto" w:sz="4" w:space="0"/>
            </w:tcBorders>
            <w:shd w:val="clear" w:color="auto" w:fill="auto"/>
            <w:noWrap/>
            <w:vAlign w:val="center"/>
          </w:tcPr>
          <w:p>
            <w:pPr>
              <w:pStyle w:val="121"/>
            </w:pPr>
            <w:r>
              <w:t>　</w:t>
            </w:r>
          </w:p>
        </w:tc>
        <w:tc>
          <w:tcPr>
            <w:tcW w:w="391" w:type="pct"/>
            <w:tcBorders>
              <w:top w:val="nil"/>
              <w:left w:val="nil"/>
              <w:bottom w:val="single" w:color="auto" w:sz="4" w:space="0"/>
              <w:right w:val="single" w:color="auto" w:sz="4" w:space="0"/>
            </w:tcBorders>
            <w:shd w:val="clear" w:color="auto" w:fill="auto"/>
            <w:noWrap/>
            <w:vAlign w:val="center"/>
          </w:tcPr>
          <w:p>
            <w:pPr>
              <w:pStyle w:val="121"/>
            </w:pPr>
            <w:r>
              <w:t>　</w:t>
            </w:r>
          </w:p>
        </w:tc>
      </w:tr>
    </w:tbl>
    <w:p>
      <w:pPr>
        <w:ind w:left="420" w:firstLine="0"/>
        <w:rPr>
          <w:rFonts w:ascii="Times New Roman" w:hAnsi="Times New Roman" w:cs="Times New Roman"/>
        </w:rPr>
      </w:pPr>
    </w:p>
    <w:p>
      <w:pPr>
        <w:ind w:left="420" w:firstLine="0"/>
        <w:rPr>
          <w:rFonts w:ascii="Times New Roman" w:hAnsi="Times New Roman" w:cs="Times New Roman"/>
        </w:rPr>
      </w:pPr>
    </w:p>
    <w:p>
      <w:pPr>
        <w:ind w:left="420" w:firstLine="0"/>
        <w:rPr>
          <w:rFonts w:ascii="Times New Roman" w:hAnsi="Times New Roman" w:cs="Times New Roman"/>
        </w:rPr>
      </w:pPr>
    </w:p>
    <w:p>
      <w:pPr>
        <w:ind w:left="420" w:firstLine="0"/>
        <w:rPr>
          <w:rFonts w:ascii="Times New Roman" w:hAnsi="Times New Roman" w:cs="Times New Roman"/>
        </w:rPr>
      </w:pPr>
      <w:r>
        <w:rPr>
          <w:rFonts w:ascii="Times New Roman" w:hAnsi="Times New Roman" w:cs="Times New Roman"/>
        </w:rPr>
        <w:br w:type="page"/>
      </w:r>
    </w:p>
    <w:p>
      <w:pPr>
        <w:pStyle w:val="234"/>
        <w:rPr>
          <w:rFonts w:ascii="黑体"/>
        </w:rPr>
      </w:pPr>
      <w:bookmarkStart w:id="131" w:name="_Toc36634247"/>
      <w:r>
        <w:rPr>
          <w:rFonts w:hint="eastAsia" w:ascii="黑体"/>
        </w:rPr>
        <w:t>附  录  D</w:t>
      </w:r>
      <w:r>
        <w:rPr>
          <w:rFonts w:hint="eastAsia" w:ascii="黑体"/>
          <w:kern w:val="32"/>
          <w:lang w:bidi="en-US"/>
        </w:rPr>
        <w:br w:type="textWrapping"/>
      </w:r>
      <w:r>
        <w:rPr>
          <w:rFonts w:hint="eastAsia" w:ascii="黑体"/>
        </w:rPr>
        <w:t>（规范性附录）</w:t>
      </w:r>
      <w:r>
        <w:rPr>
          <w:rFonts w:hint="eastAsia" w:ascii="黑体"/>
        </w:rPr>
        <w:br w:type="textWrapping"/>
      </w:r>
      <w:r>
        <w:rPr>
          <w:rFonts w:hint="eastAsia" w:ascii="黑体"/>
        </w:rPr>
        <w:t>按工作手段预算表样式</w:t>
      </w:r>
      <w:bookmarkEnd w:id="131"/>
    </w:p>
    <w:p>
      <w:pPr>
        <w:pStyle w:val="121"/>
        <w:jc w:val="right"/>
      </w:pPr>
    </w:p>
    <w:p>
      <w:pPr>
        <w:pStyle w:val="121"/>
        <w:jc w:val="right"/>
      </w:pPr>
      <w:r>
        <w:t>预工-2</w:t>
      </w:r>
    </w:p>
    <w:p>
      <w:pPr>
        <w:pStyle w:val="119"/>
      </w:pPr>
    </w:p>
    <w:p>
      <w:pPr>
        <w:pStyle w:val="119"/>
      </w:pPr>
      <w:r>
        <w:t>按工作手段预算表</w:t>
      </w:r>
    </w:p>
    <w:p>
      <w:pPr>
        <w:pStyle w:val="119"/>
      </w:pPr>
      <w:r>
        <w:t>（    年度）</w:t>
      </w:r>
    </w:p>
    <w:p>
      <w:pPr>
        <w:pStyle w:val="121"/>
        <w:jc w:val="left"/>
      </w:pPr>
      <w:r>
        <w:t>工作项目名称：                                                            起止年限：      年至      年</w:t>
      </w:r>
    </w:p>
    <w:tbl>
      <w:tblPr>
        <w:tblStyle w:val="36"/>
        <w:tblW w:w="4998" w:type="pct"/>
        <w:jc w:val="center"/>
        <w:tblLayout w:type="autofit"/>
        <w:tblCellMar>
          <w:top w:w="0" w:type="dxa"/>
          <w:left w:w="108" w:type="dxa"/>
          <w:bottom w:w="0" w:type="dxa"/>
          <w:right w:w="108" w:type="dxa"/>
        </w:tblCellMar>
      </w:tblPr>
      <w:tblGrid>
        <w:gridCol w:w="2427"/>
        <w:gridCol w:w="927"/>
        <w:gridCol w:w="171"/>
        <w:gridCol w:w="669"/>
        <w:gridCol w:w="766"/>
        <w:gridCol w:w="284"/>
        <w:gridCol w:w="848"/>
        <w:gridCol w:w="273"/>
        <w:gridCol w:w="696"/>
        <w:gridCol w:w="844"/>
        <w:gridCol w:w="831"/>
        <w:gridCol w:w="744"/>
      </w:tblGrid>
      <w:tr>
        <w:tblPrEx>
          <w:tblCellMar>
            <w:top w:w="0" w:type="dxa"/>
            <w:left w:w="108" w:type="dxa"/>
            <w:bottom w:w="0" w:type="dxa"/>
            <w:right w:w="108" w:type="dxa"/>
          </w:tblCellMar>
        </w:tblPrEx>
        <w:trPr>
          <w:trHeight w:val="510" w:hRule="atLeast"/>
          <w:jc w:val="center"/>
        </w:trPr>
        <w:tc>
          <w:tcPr>
            <w:tcW w:w="1280" w:type="pct"/>
            <w:vMerge w:val="restart"/>
            <w:tcBorders>
              <w:top w:val="single" w:color="auto" w:sz="4" w:space="0"/>
              <w:left w:val="single" w:color="auto" w:sz="4" w:space="0"/>
              <w:bottom w:val="nil"/>
              <w:right w:val="single" w:color="auto" w:sz="4" w:space="0"/>
            </w:tcBorders>
            <w:shd w:val="clear" w:color="auto" w:fill="auto"/>
            <w:vAlign w:val="center"/>
          </w:tcPr>
          <w:p>
            <w:pPr>
              <w:pStyle w:val="121"/>
            </w:pPr>
            <w:r>
              <w:t>工作手段</w:t>
            </w:r>
          </w:p>
        </w:tc>
        <w:tc>
          <w:tcPr>
            <w:tcW w:w="1933" w:type="pct"/>
            <w:gridSpan w:val="6"/>
            <w:tcBorders>
              <w:top w:val="single" w:color="auto" w:sz="4" w:space="0"/>
              <w:left w:val="nil"/>
              <w:bottom w:val="single" w:color="auto" w:sz="4" w:space="0"/>
              <w:right w:val="single" w:color="auto" w:sz="4" w:space="0"/>
            </w:tcBorders>
            <w:shd w:val="clear" w:color="auto" w:fill="auto"/>
            <w:vAlign w:val="center"/>
          </w:tcPr>
          <w:p>
            <w:pPr>
              <w:pStyle w:val="121"/>
            </w:pPr>
            <w:r>
              <w:t>工作量</w:t>
            </w:r>
          </w:p>
        </w:tc>
        <w:tc>
          <w:tcPr>
            <w:tcW w:w="511" w:type="pct"/>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pStyle w:val="121"/>
            </w:pPr>
            <w:r>
              <w:t>单位预</w:t>
            </w:r>
            <w:r>
              <w:br w:type="textWrapping"/>
            </w:r>
            <w:r>
              <w:t>算标准</w:t>
            </w:r>
            <w:r>
              <w:br w:type="textWrapping"/>
            </w:r>
            <w:r>
              <w:t>元</w:t>
            </w:r>
          </w:p>
        </w:tc>
        <w:tc>
          <w:tcPr>
            <w:tcW w:w="883" w:type="pct"/>
            <w:gridSpan w:val="2"/>
            <w:tcBorders>
              <w:top w:val="single" w:color="auto" w:sz="4" w:space="0"/>
              <w:left w:val="nil"/>
              <w:bottom w:val="single" w:color="auto" w:sz="4" w:space="0"/>
              <w:right w:val="single" w:color="000000" w:sz="4" w:space="0"/>
            </w:tcBorders>
            <w:shd w:val="clear" w:color="auto" w:fill="auto"/>
            <w:vAlign w:val="center"/>
          </w:tcPr>
          <w:p>
            <w:pPr>
              <w:pStyle w:val="121"/>
            </w:pPr>
            <w:r>
              <w:t>预算</w:t>
            </w:r>
          </w:p>
          <w:p>
            <w:pPr>
              <w:pStyle w:val="121"/>
            </w:pPr>
            <w:r>
              <w:t>万元</w:t>
            </w:r>
          </w:p>
        </w:tc>
        <w:tc>
          <w:tcPr>
            <w:tcW w:w="392" w:type="pct"/>
            <w:vMerge w:val="restart"/>
            <w:tcBorders>
              <w:top w:val="single" w:color="auto" w:sz="4" w:space="0"/>
              <w:left w:val="single" w:color="auto" w:sz="4" w:space="0"/>
              <w:bottom w:val="nil"/>
              <w:right w:val="single" w:color="auto" w:sz="4" w:space="0"/>
            </w:tcBorders>
            <w:shd w:val="clear" w:color="auto" w:fill="auto"/>
            <w:vAlign w:val="center"/>
          </w:tcPr>
          <w:p>
            <w:pPr>
              <w:pStyle w:val="121"/>
            </w:pPr>
            <w:r>
              <w:t>备注</w:t>
            </w:r>
          </w:p>
        </w:tc>
      </w:tr>
      <w:tr>
        <w:tblPrEx>
          <w:tblCellMar>
            <w:top w:w="0" w:type="dxa"/>
            <w:left w:w="108" w:type="dxa"/>
            <w:bottom w:w="0" w:type="dxa"/>
            <w:right w:w="108" w:type="dxa"/>
          </w:tblCellMar>
        </w:tblPrEx>
        <w:trPr>
          <w:trHeight w:val="510" w:hRule="atLeast"/>
          <w:jc w:val="center"/>
        </w:trPr>
        <w:tc>
          <w:tcPr>
            <w:tcW w:w="1280" w:type="pct"/>
            <w:vMerge w:val="continue"/>
            <w:tcBorders>
              <w:top w:val="single" w:color="auto" w:sz="4" w:space="0"/>
              <w:left w:val="single" w:color="auto" w:sz="4" w:space="0"/>
              <w:bottom w:val="nil"/>
              <w:right w:val="single" w:color="auto" w:sz="4" w:space="0"/>
            </w:tcBorders>
            <w:vAlign w:val="center"/>
          </w:tcPr>
          <w:p/>
        </w:tc>
        <w:tc>
          <w:tcPr>
            <w:tcW w:w="489" w:type="pct"/>
            <w:tcBorders>
              <w:top w:val="nil"/>
              <w:left w:val="nil"/>
              <w:bottom w:val="nil"/>
              <w:right w:val="single" w:color="auto" w:sz="4" w:space="0"/>
            </w:tcBorders>
            <w:shd w:val="clear" w:color="auto" w:fill="auto"/>
            <w:vAlign w:val="center"/>
          </w:tcPr>
          <w:p>
            <w:pPr>
              <w:pStyle w:val="121"/>
            </w:pPr>
            <w:r>
              <w:t>技术</w:t>
            </w:r>
          </w:p>
          <w:p>
            <w:pPr>
              <w:pStyle w:val="121"/>
            </w:pPr>
            <w:r>
              <w:t>条件</w:t>
            </w:r>
          </w:p>
        </w:tc>
        <w:tc>
          <w:tcPr>
            <w:tcW w:w="443" w:type="pct"/>
            <w:gridSpan w:val="2"/>
            <w:tcBorders>
              <w:top w:val="nil"/>
              <w:left w:val="nil"/>
              <w:bottom w:val="nil"/>
              <w:right w:val="single" w:color="auto" w:sz="4" w:space="0"/>
            </w:tcBorders>
            <w:shd w:val="clear" w:color="auto" w:fill="auto"/>
            <w:vAlign w:val="center"/>
          </w:tcPr>
          <w:p>
            <w:pPr>
              <w:pStyle w:val="121"/>
            </w:pPr>
            <w:r>
              <w:t>计量</w:t>
            </w:r>
          </w:p>
          <w:p>
            <w:pPr>
              <w:pStyle w:val="121"/>
            </w:pPr>
            <w:r>
              <w:t>单位</w:t>
            </w:r>
          </w:p>
        </w:tc>
        <w:tc>
          <w:tcPr>
            <w:tcW w:w="404" w:type="pct"/>
            <w:tcBorders>
              <w:top w:val="nil"/>
              <w:left w:val="nil"/>
              <w:bottom w:val="single" w:color="auto" w:sz="4" w:space="0"/>
              <w:right w:val="single" w:color="auto" w:sz="4" w:space="0"/>
            </w:tcBorders>
            <w:shd w:val="clear" w:color="auto" w:fill="auto"/>
            <w:vAlign w:val="center"/>
          </w:tcPr>
          <w:p>
            <w:pPr>
              <w:pStyle w:val="121"/>
            </w:pPr>
            <w:r>
              <w:t>总工</w:t>
            </w:r>
          </w:p>
          <w:p>
            <w:pPr>
              <w:pStyle w:val="121"/>
            </w:pPr>
            <w:r>
              <w:t>作量</w:t>
            </w:r>
          </w:p>
        </w:tc>
        <w:tc>
          <w:tcPr>
            <w:tcW w:w="597" w:type="pct"/>
            <w:gridSpan w:val="2"/>
            <w:tcBorders>
              <w:top w:val="nil"/>
              <w:left w:val="nil"/>
              <w:bottom w:val="single" w:color="auto" w:sz="4" w:space="0"/>
              <w:right w:val="single" w:color="auto" w:sz="4" w:space="0"/>
            </w:tcBorders>
            <w:shd w:val="clear" w:color="auto" w:fill="auto"/>
            <w:vAlign w:val="center"/>
          </w:tcPr>
          <w:p>
            <w:pPr>
              <w:pStyle w:val="121"/>
            </w:pPr>
            <w:r>
              <w:t>本年工作量</w:t>
            </w:r>
          </w:p>
        </w:tc>
        <w:tc>
          <w:tcPr>
            <w:tcW w:w="511" w:type="pct"/>
            <w:gridSpan w:val="2"/>
            <w:vMerge w:val="continue"/>
            <w:tcBorders>
              <w:top w:val="single" w:color="auto" w:sz="4" w:space="0"/>
              <w:left w:val="single" w:color="auto" w:sz="4" w:space="0"/>
              <w:bottom w:val="single" w:color="000000" w:sz="4" w:space="0"/>
              <w:right w:val="single" w:color="auto" w:sz="4" w:space="0"/>
            </w:tcBorders>
            <w:vAlign w:val="center"/>
          </w:tcPr>
          <w:p/>
        </w:tc>
        <w:tc>
          <w:tcPr>
            <w:tcW w:w="445" w:type="pct"/>
            <w:tcBorders>
              <w:top w:val="nil"/>
              <w:left w:val="nil"/>
              <w:bottom w:val="nil"/>
              <w:right w:val="single" w:color="auto" w:sz="4" w:space="0"/>
            </w:tcBorders>
            <w:shd w:val="clear" w:color="auto" w:fill="auto"/>
            <w:vAlign w:val="center"/>
          </w:tcPr>
          <w:p>
            <w:pPr>
              <w:pStyle w:val="121"/>
            </w:pPr>
            <w:r>
              <w:t>总预算</w:t>
            </w:r>
          </w:p>
        </w:tc>
        <w:tc>
          <w:tcPr>
            <w:tcW w:w="438" w:type="pct"/>
            <w:tcBorders>
              <w:top w:val="nil"/>
              <w:left w:val="nil"/>
              <w:bottom w:val="nil"/>
              <w:right w:val="single" w:color="auto" w:sz="4" w:space="0"/>
            </w:tcBorders>
            <w:shd w:val="clear" w:color="auto" w:fill="auto"/>
            <w:vAlign w:val="center"/>
          </w:tcPr>
          <w:p>
            <w:pPr>
              <w:pStyle w:val="121"/>
            </w:pPr>
            <w:r>
              <w:t>本年预算</w:t>
            </w:r>
          </w:p>
        </w:tc>
        <w:tc>
          <w:tcPr>
            <w:tcW w:w="391" w:type="pct"/>
            <w:vMerge w:val="continue"/>
            <w:tcBorders>
              <w:top w:val="single" w:color="auto" w:sz="4" w:space="0"/>
              <w:left w:val="single" w:color="auto" w:sz="4" w:space="0"/>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128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甲</w:t>
            </w:r>
          </w:p>
        </w:tc>
        <w:tc>
          <w:tcPr>
            <w:tcW w:w="489" w:type="pct"/>
            <w:tcBorders>
              <w:top w:val="single" w:color="auto" w:sz="4" w:space="0"/>
              <w:left w:val="nil"/>
              <w:bottom w:val="single" w:color="auto" w:sz="4" w:space="0"/>
              <w:right w:val="single" w:color="auto" w:sz="4" w:space="0"/>
            </w:tcBorders>
            <w:shd w:val="clear" w:color="auto" w:fill="auto"/>
            <w:vAlign w:val="center"/>
          </w:tcPr>
          <w:p>
            <w:pPr>
              <w:pStyle w:val="121"/>
            </w:pPr>
            <w:r>
              <w:t>乙</w:t>
            </w:r>
          </w:p>
        </w:tc>
        <w:tc>
          <w:tcPr>
            <w:tcW w:w="443" w:type="pct"/>
            <w:gridSpan w:val="2"/>
            <w:tcBorders>
              <w:top w:val="single" w:color="auto" w:sz="4" w:space="0"/>
              <w:left w:val="nil"/>
              <w:bottom w:val="single" w:color="auto" w:sz="4" w:space="0"/>
              <w:right w:val="single" w:color="auto" w:sz="4" w:space="0"/>
            </w:tcBorders>
            <w:shd w:val="clear" w:color="auto" w:fill="auto"/>
            <w:vAlign w:val="center"/>
          </w:tcPr>
          <w:p>
            <w:pPr>
              <w:pStyle w:val="121"/>
            </w:pPr>
            <w:r>
              <w:t>丙</w:t>
            </w:r>
          </w:p>
        </w:tc>
        <w:tc>
          <w:tcPr>
            <w:tcW w:w="404" w:type="pct"/>
            <w:tcBorders>
              <w:top w:val="nil"/>
              <w:left w:val="nil"/>
              <w:bottom w:val="single" w:color="auto" w:sz="4" w:space="0"/>
              <w:right w:val="single" w:color="auto" w:sz="4" w:space="0"/>
            </w:tcBorders>
            <w:shd w:val="clear" w:color="auto" w:fill="auto"/>
            <w:vAlign w:val="center"/>
          </w:tcPr>
          <w:p>
            <w:pPr>
              <w:pStyle w:val="121"/>
            </w:pPr>
            <w:r>
              <w:t>1</w:t>
            </w:r>
          </w:p>
        </w:tc>
        <w:tc>
          <w:tcPr>
            <w:tcW w:w="597" w:type="pct"/>
            <w:gridSpan w:val="2"/>
            <w:tcBorders>
              <w:top w:val="nil"/>
              <w:left w:val="nil"/>
              <w:bottom w:val="single" w:color="auto" w:sz="4" w:space="0"/>
              <w:right w:val="single" w:color="auto" w:sz="4" w:space="0"/>
            </w:tcBorders>
            <w:shd w:val="clear" w:color="auto" w:fill="auto"/>
            <w:vAlign w:val="center"/>
          </w:tcPr>
          <w:p>
            <w:pPr>
              <w:pStyle w:val="121"/>
            </w:pPr>
            <w:r>
              <w:t>2</w:t>
            </w:r>
          </w:p>
        </w:tc>
        <w:tc>
          <w:tcPr>
            <w:tcW w:w="511" w:type="pct"/>
            <w:gridSpan w:val="2"/>
            <w:tcBorders>
              <w:top w:val="nil"/>
              <w:left w:val="nil"/>
              <w:bottom w:val="single" w:color="auto" w:sz="4" w:space="0"/>
              <w:right w:val="single" w:color="auto" w:sz="4" w:space="0"/>
            </w:tcBorders>
            <w:shd w:val="clear" w:color="auto" w:fill="auto"/>
            <w:vAlign w:val="center"/>
          </w:tcPr>
          <w:p>
            <w:pPr>
              <w:pStyle w:val="121"/>
            </w:pPr>
            <w:r>
              <w:t>3</w:t>
            </w:r>
          </w:p>
        </w:tc>
        <w:tc>
          <w:tcPr>
            <w:tcW w:w="445" w:type="pct"/>
            <w:tcBorders>
              <w:top w:val="single" w:color="auto" w:sz="4" w:space="0"/>
              <w:left w:val="nil"/>
              <w:bottom w:val="single" w:color="auto" w:sz="4" w:space="0"/>
              <w:right w:val="single" w:color="auto" w:sz="4" w:space="0"/>
            </w:tcBorders>
            <w:shd w:val="clear" w:color="auto" w:fill="auto"/>
            <w:vAlign w:val="center"/>
          </w:tcPr>
          <w:p>
            <w:pPr>
              <w:pStyle w:val="121"/>
            </w:pPr>
            <w:r>
              <w:t>4</w:t>
            </w:r>
          </w:p>
        </w:tc>
        <w:tc>
          <w:tcPr>
            <w:tcW w:w="438" w:type="pct"/>
            <w:tcBorders>
              <w:top w:val="single" w:color="auto" w:sz="4" w:space="0"/>
              <w:left w:val="nil"/>
              <w:bottom w:val="single" w:color="auto" w:sz="4" w:space="0"/>
              <w:right w:val="single" w:color="auto" w:sz="4" w:space="0"/>
            </w:tcBorders>
            <w:shd w:val="clear" w:color="auto" w:fill="auto"/>
            <w:vAlign w:val="center"/>
          </w:tcPr>
          <w:p>
            <w:pPr>
              <w:pStyle w:val="121"/>
            </w:pPr>
            <w:r>
              <w:t>5</w:t>
            </w:r>
          </w:p>
        </w:tc>
        <w:tc>
          <w:tcPr>
            <w:tcW w:w="392" w:type="pct"/>
            <w:tcBorders>
              <w:top w:val="single" w:color="auto" w:sz="4" w:space="0"/>
              <w:left w:val="nil"/>
              <w:bottom w:val="single" w:color="auto" w:sz="4" w:space="0"/>
              <w:right w:val="single" w:color="auto" w:sz="4" w:space="0"/>
            </w:tcBorders>
            <w:shd w:val="clear" w:color="auto" w:fill="auto"/>
            <w:vAlign w:val="center"/>
          </w:tcPr>
          <w:p>
            <w:pPr>
              <w:pStyle w:val="121"/>
            </w:pPr>
            <w:r>
              <w:t>6</w:t>
            </w:r>
          </w:p>
        </w:tc>
      </w:tr>
      <w:tr>
        <w:tblPrEx>
          <w:tblCellMar>
            <w:top w:w="0" w:type="dxa"/>
            <w:left w:w="108" w:type="dxa"/>
            <w:bottom w:w="0" w:type="dxa"/>
            <w:right w:w="108" w:type="dxa"/>
          </w:tblCellMar>
        </w:tblPrEx>
        <w:trPr>
          <w:trHeight w:val="510" w:hRule="atLeast"/>
          <w:jc w:val="center"/>
        </w:trPr>
        <w:tc>
          <w:tcPr>
            <w:tcW w:w="1280" w:type="pct"/>
            <w:tcBorders>
              <w:top w:val="nil"/>
              <w:left w:val="single" w:color="auto" w:sz="4" w:space="0"/>
              <w:bottom w:val="nil"/>
              <w:right w:val="single" w:color="auto" w:sz="4" w:space="0"/>
            </w:tcBorders>
            <w:shd w:val="clear" w:color="auto" w:fill="auto"/>
            <w:vAlign w:val="center"/>
          </w:tcPr>
          <w:p>
            <w:pPr>
              <w:pStyle w:val="121"/>
              <w:jc w:val="left"/>
            </w:pPr>
            <w:r>
              <w:t>一、地形测绘</w:t>
            </w:r>
          </w:p>
        </w:tc>
        <w:tc>
          <w:tcPr>
            <w:tcW w:w="3719" w:type="pct"/>
            <w:gridSpan w:val="11"/>
            <w:vMerge w:val="restart"/>
            <w:tcBorders>
              <w:top w:val="single" w:color="auto" w:sz="4" w:space="0"/>
              <w:left w:val="single" w:color="auto" w:sz="4" w:space="0"/>
              <w:bottom w:val="nil"/>
              <w:right w:val="single" w:color="auto" w:sz="4" w:space="0"/>
            </w:tcBorders>
            <w:shd w:val="clear" w:color="auto" w:fill="auto"/>
            <w:noWrap/>
            <w:vAlign w:val="center"/>
          </w:tcPr>
          <w:p>
            <w:pPr>
              <w:pStyle w:val="121"/>
            </w:pPr>
            <w:r>
              <w:t>填表说明</w:t>
            </w:r>
          </w:p>
        </w:tc>
      </w:tr>
      <w:tr>
        <w:tblPrEx>
          <w:tblCellMar>
            <w:top w:w="0" w:type="dxa"/>
            <w:left w:w="108" w:type="dxa"/>
            <w:bottom w:w="0" w:type="dxa"/>
            <w:right w:w="108" w:type="dxa"/>
          </w:tblCellMar>
        </w:tblPrEx>
        <w:trPr>
          <w:trHeight w:val="510" w:hRule="atLeast"/>
          <w:jc w:val="center"/>
        </w:trPr>
        <w:tc>
          <w:tcPr>
            <w:tcW w:w="1280" w:type="pct"/>
            <w:tcBorders>
              <w:top w:val="nil"/>
              <w:left w:val="single" w:color="auto" w:sz="4" w:space="0"/>
              <w:bottom w:val="nil"/>
              <w:right w:val="single" w:color="auto" w:sz="4" w:space="0"/>
            </w:tcBorders>
            <w:shd w:val="clear" w:color="auto" w:fill="auto"/>
            <w:vAlign w:val="center"/>
          </w:tcPr>
          <w:p>
            <w:pPr>
              <w:pStyle w:val="121"/>
              <w:jc w:val="left"/>
            </w:pPr>
            <w:r>
              <w:t>（一）地形测量</w:t>
            </w:r>
          </w:p>
        </w:tc>
        <w:tc>
          <w:tcPr>
            <w:tcW w:w="3719" w:type="pct"/>
            <w:gridSpan w:val="11"/>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600" w:hRule="atLeast"/>
          <w:jc w:val="center"/>
        </w:trPr>
        <w:tc>
          <w:tcPr>
            <w:tcW w:w="1280" w:type="pct"/>
            <w:tcBorders>
              <w:top w:val="nil"/>
              <w:left w:val="single" w:color="auto" w:sz="4" w:space="0"/>
              <w:bottom w:val="nil"/>
              <w:right w:val="single" w:color="auto" w:sz="4" w:space="0"/>
            </w:tcBorders>
            <w:shd w:val="clear" w:color="auto" w:fill="auto"/>
            <w:vAlign w:val="center"/>
          </w:tcPr>
          <w:p>
            <w:pPr>
              <w:pStyle w:val="121"/>
              <w:jc w:val="left"/>
            </w:pPr>
            <w:r>
              <w:t>……</w:t>
            </w:r>
          </w:p>
        </w:tc>
        <w:tc>
          <w:tcPr>
            <w:tcW w:w="579" w:type="pct"/>
            <w:gridSpan w:val="2"/>
            <w:tcBorders>
              <w:top w:val="nil"/>
              <w:left w:val="nil"/>
              <w:bottom w:val="nil"/>
              <w:right w:val="nil"/>
            </w:tcBorders>
            <w:shd w:val="clear" w:color="auto" w:fill="auto"/>
            <w:noWrap/>
          </w:tcPr>
          <w:p>
            <w:pPr>
              <w:pStyle w:val="121"/>
            </w:pPr>
            <w:r>
              <w:t>　</w:t>
            </w:r>
          </w:p>
        </w:tc>
        <w:tc>
          <w:tcPr>
            <w:tcW w:w="3140" w:type="pct"/>
            <w:gridSpan w:val="9"/>
            <w:tcBorders>
              <w:top w:val="nil"/>
              <w:left w:val="nil"/>
              <w:bottom w:val="nil"/>
              <w:right w:val="single" w:color="auto" w:sz="4" w:space="0"/>
            </w:tcBorders>
            <w:shd w:val="clear" w:color="auto" w:fill="auto"/>
          </w:tcPr>
          <w:p>
            <w:pPr>
              <w:pStyle w:val="121"/>
              <w:ind w:left="431" w:leftChars="-52" w:hanging="540" w:hangingChars="300"/>
              <w:jc w:val="left"/>
            </w:pPr>
            <w:r>
              <w:t>甲栏：按《工作手段目录》填列，该目录中缺少的工作手段，可在一级项下据实补列，并作相应说明。</w:t>
            </w:r>
          </w:p>
        </w:tc>
      </w:tr>
      <w:tr>
        <w:tblPrEx>
          <w:tblCellMar>
            <w:top w:w="0" w:type="dxa"/>
            <w:left w:w="108" w:type="dxa"/>
            <w:bottom w:w="0" w:type="dxa"/>
            <w:right w:w="108" w:type="dxa"/>
          </w:tblCellMar>
        </w:tblPrEx>
        <w:trPr>
          <w:trHeight w:val="615" w:hRule="atLeast"/>
          <w:jc w:val="center"/>
        </w:trPr>
        <w:tc>
          <w:tcPr>
            <w:tcW w:w="1280" w:type="pct"/>
            <w:tcBorders>
              <w:top w:val="nil"/>
              <w:left w:val="single" w:color="auto" w:sz="4" w:space="0"/>
              <w:bottom w:val="nil"/>
              <w:right w:val="single" w:color="auto" w:sz="4" w:space="0"/>
            </w:tcBorders>
            <w:shd w:val="clear" w:color="auto" w:fill="auto"/>
            <w:vAlign w:val="center"/>
          </w:tcPr>
          <w:p>
            <w:pPr>
              <w:pStyle w:val="121"/>
              <w:jc w:val="left"/>
            </w:pPr>
            <w:r>
              <w:t>二、地质测量</w:t>
            </w:r>
          </w:p>
        </w:tc>
        <w:tc>
          <w:tcPr>
            <w:tcW w:w="579" w:type="pct"/>
            <w:gridSpan w:val="2"/>
            <w:tcBorders>
              <w:top w:val="nil"/>
              <w:left w:val="nil"/>
              <w:bottom w:val="nil"/>
              <w:right w:val="nil"/>
            </w:tcBorders>
            <w:shd w:val="clear" w:color="auto" w:fill="auto"/>
            <w:noWrap/>
          </w:tcPr>
          <w:p>
            <w:pPr>
              <w:pStyle w:val="121"/>
            </w:pPr>
            <w:r>
              <w:t>　</w:t>
            </w:r>
          </w:p>
        </w:tc>
        <w:tc>
          <w:tcPr>
            <w:tcW w:w="3140" w:type="pct"/>
            <w:gridSpan w:val="9"/>
            <w:tcBorders>
              <w:top w:val="nil"/>
              <w:left w:val="nil"/>
              <w:bottom w:val="nil"/>
              <w:right w:val="single" w:color="auto" w:sz="4" w:space="0"/>
            </w:tcBorders>
            <w:shd w:val="clear" w:color="auto" w:fill="auto"/>
          </w:tcPr>
          <w:p>
            <w:pPr>
              <w:pStyle w:val="121"/>
            </w:pPr>
          </w:p>
        </w:tc>
      </w:tr>
      <w:tr>
        <w:tblPrEx>
          <w:tblCellMar>
            <w:top w:w="0" w:type="dxa"/>
            <w:left w:w="108" w:type="dxa"/>
            <w:bottom w:w="0" w:type="dxa"/>
            <w:right w:w="108" w:type="dxa"/>
          </w:tblCellMar>
        </w:tblPrEx>
        <w:trPr>
          <w:trHeight w:val="510" w:hRule="atLeast"/>
          <w:jc w:val="center"/>
        </w:trPr>
        <w:tc>
          <w:tcPr>
            <w:tcW w:w="1280" w:type="pct"/>
            <w:tcBorders>
              <w:top w:val="nil"/>
              <w:left w:val="single" w:color="auto" w:sz="4" w:space="0"/>
              <w:bottom w:val="nil"/>
              <w:right w:val="single" w:color="auto" w:sz="4" w:space="0"/>
            </w:tcBorders>
            <w:shd w:val="clear" w:color="auto" w:fill="auto"/>
            <w:vAlign w:val="center"/>
          </w:tcPr>
          <w:p>
            <w:pPr>
              <w:pStyle w:val="121"/>
              <w:jc w:val="left"/>
            </w:pPr>
            <w:r>
              <w:t>（一）区域地质调查</w:t>
            </w:r>
          </w:p>
        </w:tc>
        <w:tc>
          <w:tcPr>
            <w:tcW w:w="579" w:type="pct"/>
            <w:gridSpan w:val="2"/>
            <w:tcBorders>
              <w:top w:val="nil"/>
              <w:left w:val="nil"/>
              <w:bottom w:val="nil"/>
              <w:right w:val="nil"/>
            </w:tcBorders>
            <w:shd w:val="clear" w:color="auto" w:fill="auto"/>
            <w:noWrap/>
          </w:tcPr>
          <w:p>
            <w:pPr>
              <w:pStyle w:val="121"/>
            </w:pPr>
            <w:r>
              <w:t>　</w:t>
            </w:r>
          </w:p>
        </w:tc>
        <w:tc>
          <w:tcPr>
            <w:tcW w:w="3140" w:type="pct"/>
            <w:gridSpan w:val="9"/>
            <w:vMerge w:val="restart"/>
            <w:tcBorders>
              <w:top w:val="nil"/>
              <w:left w:val="nil"/>
              <w:bottom w:val="single" w:color="000000" w:sz="4" w:space="0"/>
              <w:right w:val="single" w:color="auto" w:sz="4" w:space="0"/>
            </w:tcBorders>
            <w:shd w:val="clear" w:color="auto" w:fill="auto"/>
          </w:tcPr>
          <w:p>
            <w:pPr>
              <w:pStyle w:val="121"/>
            </w:pPr>
          </w:p>
        </w:tc>
      </w:tr>
      <w:tr>
        <w:tblPrEx>
          <w:tblCellMar>
            <w:top w:w="0" w:type="dxa"/>
            <w:left w:w="108" w:type="dxa"/>
            <w:bottom w:w="0" w:type="dxa"/>
            <w:right w:w="108" w:type="dxa"/>
          </w:tblCellMar>
        </w:tblPrEx>
        <w:trPr>
          <w:trHeight w:val="510" w:hRule="atLeast"/>
          <w:jc w:val="center"/>
        </w:trPr>
        <w:tc>
          <w:tcPr>
            <w:tcW w:w="1280" w:type="pct"/>
            <w:tcBorders>
              <w:top w:val="nil"/>
              <w:left w:val="single" w:color="auto" w:sz="4" w:space="0"/>
              <w:bottom w:val="nil"/>
              <w:right w:val="single" w:color="auto" w:sz="4" w:space="0"/>
            </w:tcBorders>
            <w:shd w:val="clear" w:color="auto" w:fill="auto"/>
            <w:vAlign w:val="center"/>
          </w:tcPr>
          <w:p>
            <w:pPr>
              <w:pStyle w:val="121"/>
            </w:pPr>
            <w:r>
              <w:t>……</w:t>
            </w:r>
          </w:p>
        </w:tc>
        <w:tc>
          <w:tcPr>
            <w:tcW w:w="579" w:type="pct"/>
            <w:gridSpan w:val="2"/>
            <w:tcBorders>
              <w:top w:val="nil"/>
              <w:left w:val="nil"/>
              <w:bottom w:val="nil"/>
              <w:right w:val="nil"/>
            </w:tcBorders>
            <w:shd w:val="clear" w:color="auto" w:fill="auto"/>
          </w:tcPr>
          <w:p>
            <w:pPr>
              <w:pStyle w:val="121"/>
            </w:pPr>
          </w:p>
        </w:tc>
        <w:tc>
          <w:tcPr>
            <w:tcW w:w="3140" w:type="pct"/>
            <w:gridSpan w:val="9"/>
            <w:vMerge w:val="continue"/>
            <w:tcBorders>
              <w:top w:val="nil"/>
              <w:left w:val="nil"/>
              <w:bottom w:val="nil"/>
              <w:right w:val="single" w:color="auto" w:sz="4" w:space="0"/>
            </w:tcBorders>
            <w:vAlign w:val="center"/>
          </w:tcPr>
          <w:p/>
        </w:tc>
      </w:tr>
      <w:tr>
        <w:tblPrEx>
          <w:tblCellMar>
            <w:top w:w="0" w:type="dxa"/>
            <w:left w:w="108" w:type="dxa"/>
            <w:bottom w:w="0" w:type="dxa"/>
            <w:right w:w="108" w:type="dxa"/>
          </w:tblCellMar>
        </w:tblPrEx>
        <w:trPr>
          <w:trHeight w:val="510" w:hRule="atLeast"/>
          <w:jc w:val="center"/>
        </w:trPr>
        <w:tc>
          <w:tcPr>
            <w:tcW w:w="128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1"/>
            </w:pPr>
            <w:r>
              <w:t>合计</w:t>
            </w:r>
          </w:p>
        </w:tc>
        <w:tc>
          <w:tcPr>
            <w:tcW w:w="3719" w:type="pct"/>
            <w:gridSpan w:val="11"/>
            <w:tcBorders>
              <w:top w:val="single" w:color="auto" w:sz="4" w:space="0"/>
              <w:left w:val="nil"/>
              <w:bottom w:val="single" w:color="auto" w:sz="4" w:space="0"/>
              <w:right w:val="single" w:color="auto" w:sz="4" w:space="0"/>
            </w:tcBorders>
            <w:shd w:val="clear" w:color="auto" w:fill="auto"/>
            <w:vAlign w:val="center"/>
          </w:tcPr>
          <w:p>
            <w:pPr>
              <w:pStyle w:val="121"/>
            </w:pPr>
            <w:r>
              <w:t>　</w:t>
            </w:r>
          </w:p>
        </w:tc>
      </w:tr>
      <w:tr>
        <w:tblPrEx>
          <w:tblCellMar>
            <w:top w:w="0" w:type="dxa"/>
            <w:left w:w="108" w:type="dxa"/>
            <w:bottom w:w="0" w:type="dxa"/>
            <w:right w:w="108" w:type="dxa"/>
          </w:tblCellMar>
        </w:tblPrEx>
        <w:trPr>
          <w:trHeight w:val="453" w:hRule="atLeast"/>
          <w:jc w:val="center"/>
        </w:trPr>
        <w:tc>
          <w:tcPr>
            <w:tcW w:w="1280" w:type="pct"/>
            <w:tcBorders>
              <w:top w:val="nil"/>
              <w:left w:val="nil"/>
              <w:bottom w:val="nil"/>
              <w:right w:val="nil"/>
            </w:tcBorders>
            <w:shd w:val="clear" w:color="auto" w:fill="auto"/>
            <w:noWrap/>
            <w:vAlign w:val="bottom"/>
          </w:tcPr>
          <w:p>
            <w:pPr>
              <w:pStyle w:val="121"/>
              <w:jc w:val="both"/>
            </w:pPr>
            <w:r>
              <w:t>预算编制人：（签章）</w:t>
            </w:r>
          </w:p>
        </w:tc>
        <w:tc>
          <w:tcPr>
            <w:tcW w:w="579" w:type="pct"/>
            <w:gridSpan w:val="2"/>
            <w:tcBorders>
              <w:top w:val="nil"/>
              <w:left w:val="nil"/>
              <w:bottom w:val="nil"/>
              <w:right w:val="nil"/>
            </w:tcBorders>
            <w:shd w:val="clear" w:color="auto" w:fill="auto"/>
            <w:noWrap/>
            <w:vAlign w:val="bottom"/>
          </w:tcPr>
          <w:p>
            <w:pPr>
              <w:pStyle w:val="121"/>
              <w:jc w:val="both"/>
            </w:pPr>
          </w:p>
        </w:tc>
        <w:tc>
          <w:tcPr>
            <w:tcW w:w="353" w:type="pct"/>
            <w:tcBorders>
              <w:top w:val="nil"/>
              <w:left w:val="nil"/>
              <w:bottom w:val="nil"/>
              <w:right w:val="nil"/>
            </w:tcBorders>
            <w:shd w:val="clear" w:color="auto" w:fill="auto"/>
            <w:noWrap/>
            <w:vAlign w:val="bottom"/>
          </w:tcPr>
          <w:p>
            <w:pPr>
              <w:pStyle w:val="121"/>
              <w:jc w:val="both"/>
            </w:pPr>
          </w:p>
        </w:tc>
        <w:tc>
          <w:tcPr>
            <w:tcW w:w="554" w:type="pct"/>
            <w:gridSpan w:val="2"/>
            <w:tcBorders>
              <w:top w:val="nil"/>
              <w:left w:val="nil"/>
              <w:bottom w:val="nil"/>
              <w:right w:val="nil"/>
            </w:tcBorders>
            <w:shd w:val="clear" w:color="auto" w:fill="auto"/>
            <w:noWrap/>
            <w:vAlign w:val="bottom"/>
          </w:tcPr>
          <w:p>
            <w:pPr>
              <w:pStyle w:val="121"/>
              <w:jc w:val="both"/>
            </w:pPr>
          </w:p>
        </w:tc>
        <w:tc>
          <w:tcPr>
            <w:tcW w:w="447" w:type="pct"/>
            <w:tcBorders>
              <w:top w:val="nil"/>
              <w:left w:val="nil"/>
              <w:bottom w:val="nil"/>
              <w:right w:val="nil"/>
            </w:tcBorders>
            <w:shd w:val="clear" w:color="auto" w:fill="auto"/>
            <w:noWrap/>
            <w:vAlign w:val="bottom"/>
          </w:tcPr>
          <w:p>
            <w:pPr>
              <w:pStyle w:val="121"/>
              <w:jc w:val="both"/>
            </w:pPr>
          </w:p>
        </w:tc>
        <w:tc>
          <w:tcPr>
            <w:tcW w:w="144" w:type="pct"/>
            <w:tcBorders>
              <w:top w:val="nil"/>
              <w:left w:val="nil"/>
              <w:bottom w:val="nil"/>
              <w:right w:val="nil"/>
            </w:tcBorders>
            <w:shd w:val="clear" w:color="auto" w:fill="auto"/>
            <w:noWrap/>
            <w:vAlign w:val="bottom"/>
          </w:tcPr>
          <w:p>
            <w:pPr>
              <w:pStyle w:val="121"/>
              <w:jc w:val="both"/>
            </w:pPr>
          </w:p>
        </w:tc>
        <w:tc>
          <w:tcPr>
            <w:tcW w:w="1641" w:type="pct"/>
            <w:gridSpan w:val="4"/>
            <w:tcBorders>
              <w:top w:val="single" w:color="auto" w:sz="4" w:space="0"/>
              <w:left w:val="nil"/>
              <w:bottom w:val="nil"/>
              <w:right w:val="nil"/>
            </w:tcBorders>
            <w:shd w:val="clear" w:color="auto" w:fill="auto"/>
            <w:noWrap/>
            <w:vAlign w:val="bottom"/>
          </w:tcPr>
          <w:p>
            <w:pPr>
              <w:pStyle w:val="121"/>
              <w:jc w:val="both"/>
            </w:pPr>
            <w:r>
              <w:t>预算审核人：（签章）</w:t>
            </w:r>
          </w:p>
        </w:tc>
      </w:tr>
    </w:tbl>
    <w:p>
      <w:pPr>
        <w:pStyle w:val="121"/>
      </w:pPr>
    </w:p>
    <w:p>
      <w:pPr>
        <w:pStyle w:val="234"/>
      </w:pPr>
      <w:r>
        <w:br w:type="page"/>
      </w:r>
      <w:bookmarkStart w:id="132" w:name="_Toc16760290"/>
      <w:bookmarkStart w:id="133" w:name="_Toc36634248"/>
      <w:r>
        <w:rPr>
          <w:rFonts w:hint="eastAsia" w:ascii="黑体"/>
        </w:rPr>
        <w:t>附  录  E</w:t>
      </w:r>
      <w:r>
        <w:rPr>
          <w:rFonts w:hint="eastAsia" w:ascii="黑体"/>
          <w:kern w:val="32"/>
          <w:lang w:bidi="en-US"/>
        </w:rPr>
        <w:br w:type="textWrapping"/>
      </w:r>
      <w:r>
        <w:rPr>
          <w:rFonts w:hint="eastAsia" w:ascii="黑体"/>
        </w:rPr>
        <w:t>（规范性附录）</w:t>
      </w:r>
      <w:r>
        <w:rPr>
          <w:rFonts w:hint="eastAsia" w:ascii="黑体"/>
          <w:kern w:val="32"/>
          <w:lang w:bidi="en-US"/>
        </w:rPr>
        <w:br w:type="textWrapping"/>
      </w:r>
      <w:r>
        <w:rPr>
          <w:rFonts w:hint="eastAsia" w:ascii="黑体"/>
        </w:rPr>
        <w:t>地质灾害治理工程概（预）算表</w:t>
      </w:r>
      <w:bookmarkEnd w:id="132"/>
      <w:r>
        <w:rPr>
          <w:rFonts w:hint="eastAsia" w:ascii="黑体"/>
        </w:rPr>
        <w:t>样式</w:t>
      </w:r>
      <w:bookmarkEnd w:id="133"/>
    </w:p>
    <w:p>
      <w:pPr>
        <w:spacing w:before="120" w:beforeLines="50" w:after="120" w:afterLines="50" w:line="240" w:lineRule="auto"/>
        <w:ind w:firstLine="0"/>
        <w:jc w:val="center"/>
        <w:rPr>
          <w:rFonts w:ascii="黑体" w:eastAsia="黑体" w:cs="Times New Roman"/>
        </w:rPr>
      </w:pPr>
      <w:r>
        <w:rPr>
          <w:rFonts w:hint="eastAsia" w:ascii="黑体" w:eastAsia="黑体" w:cs="Times New Roman"/>
        </w:rPr>
        <w:t>附表E.1  总概（预）算表</w:t>
      </w:r>
    </w:p>
    <w:tbl>
      <w:tblPr>
        <w:tblStyle w:val="36"/>
        <w:tblW w:w="5000" w:type="pct"/>
        <w:jc w:val="center"/>
        <w:tblLayout w:type="autofit"/>
        <w:tblCellMar>
          <w:top w:w="0" w:type="dxa"/>
          <w:left w:w="15" w:type="dxa"/>
          <w:bottom w:w="0" w:type="dxa"/>
          <w:right w:w="15" w:type="dxa"/>
        </w:tblCellMar>
      </w:tblPr>
      <w:tblGrid>
        <w:gridCol w:w="900"/>
        <w:gridCol w:w="2995"/>
        <w:gridCol w:w="1047"/>
        <w:gridCol w:w="1126"/>
        <w:gridCol w:w="979"/>
        <w:gridCol w:w="900"/>
        <w:gridCol w:w="1351"/>
      </w:tblGrid>
      <w:tr>
        <w:tblPrEx>
          <w:tblCellMar>
            <w:top w:w="0" w:type="dxa"/>
            <w:left w:w="15" w:type="dxa"/>
            <w:bottom w:w="0" w:type="dxa"/>
            <w:right w:w="15" w:type="dxa"/>
          </w:tblCellMar>
        </w:tblPrEx>
        <w:trPr>
          <w:trHeight w:val="357" w:hRule="exact"/>
          <w:jc w:val="center"/>
        </w:trPr>
        <w:tc>
          <w:tcPr>
            <w:tcW w:w="484" w:type="pct"/>
            <w:tcBorders>
              <w:top w:val="nil"/>
              <w:left w:val="nil"/>
              <w:bottom w:val="single" w:color="auto" w:sz="4" w:space="0"/>
              <w:right w:val="nil"/>
            </w:tcBorders>
            <w:shd w:val="clear" w:color="auto" w:fill="FFFFFF"/>
            <w:vAlign w:val="center"/>
          </w:tcPr>
          <w:p>
            <w:pPr>
              <w:pStyle w:val="121"/>
            </w:pPr>
          </w:p>
        </w:tc>
        <w:tc>
          <w:tcPr>
            <w:tcW w:w="1610" w:type="pct"/>
            <w:tcBorders>
              <w:top w:val="nil"/>
              <w:left w:val="nil"/>
              <w:bottom w:val="single" w:color="auto" w:sz="4" w:space="0"/>
              <w:right w:val="nil"/>
            </w:tcBorders>
            <w:shd w:val="clear" w:color="auto" w:fill="FFFFFF"/>
            <w:vAlign w:val="center"/>
          </w:tcPr>
          <w:p>
            <w:pPr>
              <w:pStyle w:val="121"/>
            </w:pPr>
          </w:p>
        </w:tc>
        <w:tc>
          <w:tcPr>
            <w:tcW w:w="563" w:type="pct"/>
            <w:tcBorders>
              <w:top w:val="nil"/>
              <w:left w:val="nil"/>
              <w:bottom w:val="single" w:color="auto" w:sz="4" w:space="0"/>
              <w:right w:val="nil"/>
            </w:tcBorders>
            <w:shd w:val="clear" w:color="auto" w:fill="FFFFFF"/>
            <w:vAlign w:val="center"/>
          </w:tcPr>
          <w:p>
            <w:pPr>
              <w:pStyle w:val="121"/>
            </w:pPr>
          </w:p>
        </w:tc>
        <w:tc>
          <w:tcPr>
            <w:tcW w:w="605" w:type="pct"/>
            <w:tcBorders>
              <w:top w:val="nil"/>
              <w:left w:val="nil"/>
              <w:bottom w:val="single" w:color="auto" w:sz="4" w:space="0"/>
              <w:right w:val="nil"/>
            </w:tcBorders>
            <w:shd w:val="clear" w:color="auto" w:fill="FFFFFF"/>
            <w:vAlign w:val="center"/>
          </w:tcPr>
          <w:p>
            <w:pPr>
              <w:pStyle w:val="121"/>
            </w:pPr>
          </w:p>
        </w:tc>
        <w:tc>
          <w:tcPr>
            <w:tcW w:w="526" w:type="pct"/>
            <w:tcBorders>
              <w:top w:val="nil"/>
              <w:left w:val="nil"/>
              <w:bottom w:val="single" w:color="auto" w:sz="4" w:space="0"/>
              <w:right w:val="nil"/>
            </w:tcBorders>
            <w:shd w:val="clear" w:color="auto" w:fill="FFFFFF"/>
            <w:vAlign w:val="center"/>
          </w:tcPr>
          <w:p>
            <w:pPr>
              <w:pStyle w:val="121"/>
            </w:pPr>
          </w:p>
        </w:tc>
        <w:tc>
          <w:tcPr>
            <w:tcW w:w="1210" w:type="pct"/>
            <w:gridSpan w:val="2"/>
            <w:tcBorders>
              <w:top w:val="nil"/>
              <w:left w:val="nil"/>
              <w:bottom w:val="single" w:color="auto" w:sz="4" w:space="0"/>
              <w:right w:val="nil"/>
            </w:tcBorders>
            <w:shd w:val="clear" w:color="auto" w:fill="FFFFFF"/>
            <w:vAlign w:val="center"/>
          </w:tcPr>
          <w:p>
            <w:pPr>
              <w:pStyle w:val="121"/>
              <w:jc w:val="right"/>
              <w:rPr>
                <w:rFonts w:ascii="黑体" w:eastAsia="黑体"/>
              </w:rPr>
            </w:pPr>
            <w:r>
              <w:rPr>
                <w:rFonts w:hint="eastAsia" w:ascii="黑体" w:eastAsia="黑体"/>
              </w:rPr>
              <w:t>单位为万元</w:t>
            </w:r>
          </w:p>
        </w:tc>
      </w:tr>
      <w:tr>
        <w:tblPrEx>
          <w:tblCellMar>
            <w:top w:w="0" w:type="dxa"/>
            <w:left w:w="15" w:type="dxa"/>
            <w:bottom w:w="0" w:type="dxa"/>
            <w:right w:w="15" w:type="dxa"/>
          </w:tblCellMar>
        </w:tblPrEx>
        <w:trPr>
          <w:trHeight w:val="718"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序号</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工程或费用名称</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建安工程费</w:t>
            </w: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设备购置费</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独立费用</w:t>
            </w: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合计</w:t>
            </w: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占一至五部分投资比例（％）</w:t>
            </w: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第一部分 建筑工程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1</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抗滑桩工程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2</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格构护坡工程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3</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挡土墙工程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4</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排水沟工程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第二部分 机电设备及安装工程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第三部分 金属结构设备及安装工程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第四部分 施工临时工程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1</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施工交通工程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2</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施工场外供电工程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3</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施工房屋建筑工程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4</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其他施工临时工程</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第五部分 独立费用</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1</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建设管理费</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2</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工程建设监理费</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3</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勘测设计费</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4</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建设及施工场地征用费</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5</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监测费</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6</w:t>
            </w: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其他</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r>
              <w:t>一至五部分投资合计</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基本预备费</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r>
        <w:tblPrEx>
          <w:tblCellMar>
            <w:top w:w="0" w:type="dxa"/>
            <w:left w:w="15" w:type="dxa"/>
            <w:bottom w:w="0" w:type="dxa"/>
            <w:right w:w="15" w:type="dxa"/>
          </w:tblCellMar>
        </w:tblPrEx>
        <w:trPr>
          <w:trHeight w:val="431" w:hRule="exact"/>
          <w:jc w:val="center"/>
        </w:trPr>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161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jc w:val="left"/>
            </w:pPr>
            <w:r>
              <w:t>静态总投资</w:t>
            </w:r>
          </w:p>
        </w:tc>
        <w:tc>
          <w:tcPr>
            <w:tcW w:w="563"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60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484"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c>
          <w:tcPr>
            <w:tcW w:w="725"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121"/>
            </w:pPr>
          </w:p>
        </w:tc>
      </w:tr>
    </w:tbl>
    <w:p>
      <w:pPr>
        <w:pStyle w:val="121"/>
      </w:pPr>
    </w:p>
    <w:p>
      <w:pPr>
        <w:spacing w:before="120" w:beforeLines="50" w:after="120" w:afterLines="50" w:line="240" w:lineRule="auto"/>
        <w:ind w:firstLine="0"/>
        <w:jc w:val="center"/>
        <w:rPr>
          <w:rFonts w:ascii="黑体" w:eastAsia="黑体" w:cs="Times New Roman"/>
        </w:rPr>
      </w:pPr>
      <w:r>
        <w:rPr>
          <w:rFonts w:ascii="Times New Roman" w:hAnsi="Times New Roman" w:cs="Times New Roman"/>
        </w:rPr>
        <w:br w:type="page"/>
      </w:r>
      <w:r>
        <w:rPr>
          <w:rFonts w:hint="eastAsia" w:ascii="黑体" w:eastAsia="黑体" w:cs="Times New Roman"/>
        </w:rPr>
        <w:t>附表E.2  建筑工程概（预）算表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910"/>
        <w:gridCol w:w="2538"/>
        <w:gridCol w:w="865"/>
        <w:gridCol w:w="1682"/>
        <w:gridCol w:w="1684"/>
        <w:gridCol w:w="16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序号</w:t>
            </w:r>
          </w:p>
        </w:tc>
        <w:tc>
          <w:tcPr>
            <w:tcW w:w="1364" w:type="pct"/>
            <w:shd w:val="clear" w:color="auto" w:fill="FFFFFF"/>
            <w:vAlign w:val="center"/>
          </w:tcPr>
          <w:p>
            <w:pPr>
              <w:pStyle w:val="121"/>
            </w:pPr>
            <w:r>
              <w:t>工程或费用名称</w:t>
            </w:r>
          </w:p>
        </w:tc>
        <w:tc>
          <w:tcPr>
            <w:tcW w:w="465" w:type="pct"/>
            <w:shd w:val="clear" w:color="auto" w:fill="FFFFFF"/>
            <w:vAlign w:val="center"/>
          </w:tcPr>
          <w:p>
            <w:pPr>
              <w:pStyle w:val="121"/>
            </w:pPr>
            <w:r>
              <w:t>单位</w:t>
            </w:r>
          </w:p>
        </w:tc>
        <w:tc>
          <w:tcPr>
            <w:tcW w:w="904" w:type="pct"/>
            <w:shd w:val="clear" w:color="auto" w:fill="FFFFFF"/>
            <w:vAlign w:val="center"/>
          </w:tcPr>
          <w:p>
            <w:pPr>
              <w:pStyle w:val="121"/>
            </w:pPr>
            <w:r>
              <w:t>数量</w:t>
            </w:r>
          </w:p>
        </w:tc>
        <w:tc>
          <w:tcPr>
            <w:tcW w:w="905" w:type="pct"/>
            <w:shd w:val="clear" w:color="auto" w:fill="FFFFFF"/>
            <w:vAlign w:val="center"/>
          </w:tcPr>
          <w:p>
            <w:pPr>
              <w:pStyle w:val="121"/>
            </w:pPr>
            <w:r>
              <w:t>单价</w:t>
            </w:r>
          </w:p>
          <w:p>
            <w:pPr>
              <w:pStyle w:val="121"/>
            </w:pPr>
            <w:r>
              <w:t>元</w:t>
            </w:r>
          </w:p>
        </w:tc>
        <w:tc>
          <w:tcPr>
            <w:tcW w:w="870" w:type="pct"/>
            <w:shd w:val="clear" w:color="auto" w:fill="FFFFFF"/>
            <w:vAlign w:val="center"/>
          </w:tcPr>
          <w:p>
            <w:pPr>
              <w:pStyle w:val="121"/>
            </w:pPr>
            <w:r>
              <w:t>合计</w:t>
            </w:r>
          </w:p>
          <w:p>
            <w:pPr>
              <w:pStyle w:val="121"/>
            </w:pPr>
            <w: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pPr>
            <w:r>
              <w:t>第一部分 建筑工程</w:t>
            </w: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w:t>
            </w:r>
          </w:p>
        </w:tc>
        <w:tc>
          <w:tcPr>
            <w:tcW w:w="1364" w:type="pct"/>
            <w:shd w:val="clear" w:color="auto" w:fill="FFFFFF"/>
            <w:vAlign w:val="center"/>
          </w:tcPr>
          <w:p>
            <w:pPr>
              <w:pStyle w:val="121"/>
              <w:jc w:val="left"/>
            </w:pPr>
            <w:r>
              <w:t>抗滑桩工程</w:t>
            </w: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1.1</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1.2</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1.3</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w:t>
            </w:r>
          </w:p>
        </w:tc>
        <w:tc>
          <w:tcPr>
            <w:tcW w:w="1364" w:type="pct"/>
            <w:shd w:val="clear" w:color="auto" w:fill="FFFFFF"/>
            <w:vAlign w:val="center"/>
          </w:tcPr>
          <w:p>
            <w:pPr>
              <w:pStyle w:val="121"/>
              <w:jc w:val="left"/>
            </w:pPr>
            <w:r>
              <w:t>格构护坡工程</w:t>
            </w: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2.1</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2.2</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2.3</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3</w:t>
            </w:r>
          </w:p>
        </w:tc>
        <w:tc>
          <w:tcPr>
            <w:tcW w:w="1364" w:type="pct"/>
            <w:shd w:val="clear" w:color="auto" w:fill="FFFFFF"/>
            <w:vAlign w:val="center"/>
          </w:tcPr>
          <w:p>
            <w:pPr>
              <w:pStyle w:val="121"/>
              <w:jc w:val="left"/>
            </w:pPr>
            <w:r>
              <w:t>挡土墙工程</w:t>
            </w: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3.1</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3.2</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3.3</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4</w:t>
            </w:r>
          </w:p>
        </w:tc>
        <w:tc>
          <w:tcPr>
            <w:tcW w:w="1364" w:type="pct"/>
            <w:shd w:val="clear" w:color="auto" w:fill="FFFFFF"/>
            <w:vAlign w:val="center"/>
          </w:tcPr>
          <w:p>
            <w:pPr>
              <w:pStyle w:val="121"/>
              <w:jc w:val="left"/>
            </w:pPr>
            <w:r>
              <w:t>排水沟工程</w:t>
            </w: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4.1</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4.2</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4.3</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w:t>
            </w: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jc w:val="left"/>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364" w:type="pct"/>
            <w:shd w:val="clear" w:color="auto" w:fill="FFFFFF"/>
            <w:vAlign w:val="center"/>
          </w:tcPr>
          <w:p>
            <w:pPr>
              <w:pStyle w:val="121"/>
            </w:pPr>
          </w:p>
        </w:tc>
        <w:tc>
          <w:tcPr>
            <w:tcW w:w="465" w:type="pct"/>
            <w:shd w:val="clear" w:color="auto" w:fill="FFFFFF"/>
            <w:vAlign w:val="center"/>
          </w:tcPr>
          <w:p>
            <w:pPr>
              <w:pStyle w:val="121"/>
            </w:pPr>
          </w:p>
        </w:tc>
        <w:tc>
          <w:tcPr>
            <w:tcW w:w="904"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bl>
    <w:p>
      <w:pPr>
        <w:pStyle w:val="121"/>
      </w:pPr>
    </w:p>
    <w:p>
      <w:pPr>
        <w:spacing w:before="120" w:beforeLines="50" w:after="120" w:afterLines="50" w:line="240" w:lineRule="auto"/>
        <w:ind w:firstLine="0"/>
        <w:jc w:val="center"/>
        <w:rPr>
          <w:rFonts w:ascii="黑体" w:eastAsia="黑体" w:cs="Times New Roman"/>
        </w:rPr>
      </w:pPr>
      <w:r>
        <w:rPr>
          <w:rFonts w:ascii="Times New Roman" w:hAnsi="Times New Roman" w:cs="Times New Roman"/>
        </w:rPr>
        <w:br w:type="page"/>
      </w:r>
      <w:r>
        <w:rPr>
          <w:rFonts w:hint="eastAsia" w:ascii="黑体" w:eastAsia="黑体" w:cs="Times New Roman"/>
        </w:rPr>
        <w:t>附表E.3  安装工程概（预）算表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909"/>
        <w:gridCol w:w="3036"/>
        <w:gridCol w:w="750"/>
        <w:gridCol w:w="1300"/>
        <w:gridCol w:w="1684"/>
        <w:gridCol w:w="16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序号</w:t>
            </w:r>
          </w:p>
        </w:tc>
        <w:tc>
          <w:tcPr>
            <w:tcW w:w="1632" w:type="pct"/>
            <w:shd w:val="clear" w:color="auto" w:fill="FFFFFF"/>
            <w:vAlign w:val="center"/>
          </w:tcPr>
          <w:p>
            <w:pPr>
              <w:pStyle w:val="121"/>
            </w:pPr>
            <w:r>
              <w:t>工程或费用名称</w:t>
            </w:r>
          </w:p>
        </w:tc>
        <w:tc>
          <w:tcPr>
            <w:tcW w:w="403" w:type="pct"/>
            <w:shd w:val="clear" w:color="auto" w:fill="FFFFFF"/>
            <w:vAlign w:val="center"/>
          </w:tcPr>
          <w:p>
            <w:pPr>
              <w:pStyle w:val="121"/>
            </w:pPr>
            <w:r>
              <w:t>单位</w:t>
            </w:r>
          </w:p>
        </w:tc>
        <w:tc>
          <w:tcPr>
            <w:tcW w:w="699" w:type="pct"/>
            <w:shd w:val="clear" w:color="auto" w:fill="FFFFFF"/>
            <w:vAlign w:val="center"/>
          </w:tcPr>
          <w:p>
            <w:pPr>
              <w:pStyle w:val="121"/>
            </w:pPr>
            <w:r>
              <w:t>数量</w:t>
            </w:r>
          </w:p>
        </w:tc>
        <w:tc>
          <w:tcPr>
            <w:tcW w:w="905" w:type="pct"/>
            <w:shd w:val="clear" w:color="auto" w:fill="FFFFFF"/>
            <w:vAlign w:val="center"/>
          </w:tcPr>
          <w:p>
            <w:pPr>
              <w:pStyle w:val="121"/>
            </w:pPr>
            <w:r>
              <w:t>单价</w:t>
            </w:r>
          </w:p>
          <w:p>
            <w:pPr>
              <w:pStyle w:val="121"/>
            </w:pPr>
            <w:r>
              <w:t>元</w:t>
            </w:r>
          </w:p>
        </w:tc>
        <w:tc>
          <w:tcPr>
            <w:tcW w:w="870" w:type="pct"/>
            <w:shd w:val="clear" w:color="auto" w:fill="FFFFFF"/>
            <w:vAlign w:val="center"/>
          </w:tcPr>
          <w:p>
            <w:pPr>
              <w:pStyle w:val="121"/>
            </w:pPr>
            <w:r>
              <w:t>合计</w:t>
            </w:r>
          </w:p>
          <w:p>
            <w:pPr>
              <w:pStyle w:val="121"/>
            </w:pPr>
            <w: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r>
              <w:t>第二部分 机电设备及安装工程</w:t>
            </w: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1.1</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1.2</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1.3</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2.1</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2.2</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2.3</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r>
              <w:t>第三部分 金属结构设备及安装工程</w:t>
            </w: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1.1</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1.2</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1.3</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2.1</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2.2</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2.3</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r>
              <w:t>……</w:t>
            </w: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489" w:type="pct"/>
            <w:shd w:val="clear" w:color="auto" w:fill="FFFFFF"/>
            <w:vAlign w:val="center"/>
          </w:tcPr>
          <w:p>
            <w:pPr>
              <w:pStyle w:val="121"/>
            </w:pPr>
          </w:p>
        </w:tc>
        <w:tc>
          <w:tcPr>
            <w:tcW w:w="1632" w:type="pct"/>
            <w:shd w:val="clear" w:color="auto" w:fill="FFFFFF"/>
            <w:vAlign w:val="center"/>
          </w:tcPr>
          <w:p>
            <w:pPr>
              <w:pStyle w:val="121"/>
            </w:pPr>
          </w:p>
        </w:tc>
        <w:tc>
          <w:tcPr>
            <w:tcW w:w="403" w:type="pct"/>
            <w:shd w:val="clear" w:color="auto" w:fill="FFFFFF"/>
            <w:vAlign w:val="center"/>
          </w:tcPr>
          <w:p>
            <w:pPr>
              <w:pStyle w:val="121"/>
            </w:pPr>
          </w:p>
        </w:tc>
        <w:tc>
          <w:tcPr>
            <w:tcW w:w="699" w:type="pct"/>
            <w:shd w:val="clear" w:color="auto" w:fill="FFFFFF"/>
            <w:vAlign w:val="center"/>
          </w:tcPr>
          <w:p>
            <w:pPr>
              <w:pStyle w:val="121"/>
            </w:pPr>
          </w:p>
        </w:tc>
        <w:tc>
          <w:tcPr>
            <w:tcW w:w="905" w:type="pct"/>
            <w:shd w:val="clear" w:color="auto" w:fill="FFFFFF"/>
            <w:vAlign w:val="center"/>
          </w:tcPr>
          <w:p>
            <w:pPr>
              <w:pStyle w:val="121"/>
            </w:pPr>
          </w:p>
        </w:tc>
        <w:tc>
          <w:tcPr>
            <w:tcW w:w="870" w:type="pct"/>
            <w:shd w:val="clear" w:color="auto" w:fill="FFFFFF"/>
            <w:vAlign w:val="center"/>
          </w:tcPr>
          <w:p>
            <w:pPr>
              <w:pStyle w:val="121"/>
            </w:pPr>
          </w:p>
        </w:tc>
      </w:tr>
    </w:tbl>
    <w:p>
      <w:pPr>
        <w:pStyle w:val="121"/>
      </w:pPr>
    </w:p>
    <w:p>
      <w:pPr>
        <w:pStyle w:val="121"/>
        <w:spacing w:before="120" w:beforeLines="50" w:after="120" w:afterLines="50"/>
        <w:rPr>
          <w:rFonts w:ascii="黑体" w:eastAsia="黑体"/>
          <w:sz w:val="21"/>
        </w:rPr>
      </w:pPr>
      <w:r>
        <w:br w:type="page"/>
      </w:r>
      <w:r>
        <w:rPr>
          <w:rFonts w:hint="eastAsia" w:ascii="黑体" w:eastAsia="黑体"/>
          <w:sz w:val="21"/>
        </w:rPr>
        <w:t>附表E.4  施工临时工程概（预）算表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1208"/>
        <w:gridCol w:w="3243"/>
        <w:gridCol w:w="858"/>
        <w:gridCol w:w="984"/>
        <w:gridCol w:w="1353"/>
        <w:gridCol w:w="16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r>
              <w:t>序号</w:t>
            </w:r>
          </w:p>
        </w:tc>
        <w:tc>
          <w:tcPr>
            <w:tcW w:w="1743" w:type="pct"/>
            <w:shd w:val="clear" w:color="auto" w:fill="FFFFFF"/>
            <w:vAlign w:val="center"/>
          </w:tcPr>
          <w:p>
            <w:pPr>
              <w:pStyle w:val="121"/>
            </w:pPr>
            <w:r>
              <w:t>工程或费用名称</w:t>
            </w:r>
          </w:p>
        </w:tc>
        <w:tc>
          <w:tcPr>
            <w:tcW w:w="461" w:type="pct"/>
            <w:shd w:val="clear" w:color="auto" w:fill="FFFFFF"/>
            <w:vAlign w:val="center"/>
          </w:tcPr>
          <w:p>
            <w:pPr>
              <w:pStyle w:val="121"/>
            </w:pPr>
            <w:r>
              <w:t>单位</w:t>
            </w:r>
          </w:p>
        </w:tc>
        <w:tc>
          <w:tcPr>
            <w:tcW w:w="529" w:type="pct"/>
            <w:shd w:val="clear" w:color="auto" w:fill="FFFFFF"/>
            <w:vAlign w:val="center"/>
          </w:tcPr>
          <w:p>
            <w:pPr>
              <w:pStyle w:val="121"/>
            </w:pPr>
            <w:r>
              <w:t>数量</w:t>
            </w:r>
          </w:p>
        </w:tc>
        <w:tc>
          <w:tcPr>
            <w:tcW w:w="727" w:type="pct"/>
            <w:shd w:val="clear" w:color="auto" w:fill="FFFFFF"/>
            <w:vAlign w:val="center"/>
          </w:tcPr>
          <w:p>
            <w:pPr>
              <w:pStyle w:val="121"/>
            </w:pPr>
            <w:r>
              <w:t>单价</w:t>
            </w:r>
          </w:p>
          <w:p>
            <w:pPr>
              <w:pStyle w:val="121"/>
            </w:pPr>
            <w:r>
              <w:t>元</w:t>
            </w:r>
          </w:p>
        </w:tc>
        <w:tc>
          <w:tcPr>
            <w:tcW w:w="888" w:type="pct"/>
            <w:shd w:val="clear" w:color="auto" w:fill="FFFFFF"/>
            <w:vAlign w:val="center"/>
          </w:tcPr>
          <w:p>
            <w:pPr>
              <w:pStyle w:val="121"/>
            </w:pPr>
            <w:r>
              <w:t>合计</w:t>
            </w:r>
          </w:p>
          <w:p>
            <w:pPr>
              <w:pStyle w:val="121"/>
            </w:pPr>
            <w: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r>
              <w:t>第四部分 施工临时工程</w:t>
            </w: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r>
              <w:t>1</w:t>
            </w:r>
          </w:p>
        </w:tc>
        <w:tc>
          <w:tcPr>
            <w:tcW w:w="1743" w:type="pct"/>
            <w:shd w:val="clear" w:color="auto" w:fill="FFFFFF"/>
            <w:vAlign w:val="center"/>
          </w:tcPr>
          <w:p>
            <w:pPr>
              <w:pStyle w:val="121"/>
              <w:jc w:val="left"/>
            </w:pPr>
            <w:r>
              <w:t>施工交通工程</w:t>
            </w:r>
          </w:p>
        </w:tc>
        <w:tc>
          <w:tcPr>
            <w:tcW w:w="461" w:type="pct"/>
            <w:shd w:val="clear" w:color="auto" w:fill="FFFFFF"/>
            <w:vAlign w:val="center"/>
          </w:tcPr>
          <w:p>
            <w:pPr>
              <w:pStyle w:val="121"/>
            </w:pPr>
            <w:r>
              <w:t>m</w:t>
            </w: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r>
              <w:t>2</w:t>
            </w:r>
          </w:p>
        </w:tc>
        <w:tc>
          <w:tcPr>
            <w:tcW w:w="1743" w:type="pct"/>
            <w:shd w:val="clear" w:color="auto" w:fill="FFFFFF"/>
            <w:vAlign w:val="center"/>
          </w:tcPr>
          <w:p>
            <w:pPr>
              <w:pStyle w:val="121"/>
              <w:jc w:val="left"/>
            </w:pPr>
            <w:r>
              <w:t>施工场外供电工程</w:t>
            </w:r>
          </w:p>
        </w:tc>
        <w:tc>
          <w:tcPr>
            <w:tcW w:w="461" w:type="pct"/>
            <w:shd w:val="clear" w:color="auto" w:fill="FFFFFF"/>
            <w:vAlign w:val="center"/>
          </w:tcPr>
          <w:p>
            <w:pPr>
              <w:pStyle w:val="121"/>
            </w:pPr>
            <w:r>
              <w:t>元</w:t>
            </w: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r>
              <w:t>2..1</w:t>
            </w:r>
          </w:p>
        </w:tc>
        <w:tc>
          <w:tcPr>
            <w:tcW w:w="1743" w:type="pct"/>
            <w:shd w:val="clear" w:color="auto" w:fill="FFFFFF"/>
            <w:vAlign w:val="center"/>
          </w:tcPr>
          <w:p>
            <w:pPr>
              <w:pStyle w:val="121"/>
              <w:jc w:val="left"/>
            </w:pPr>
            <w:r>
              <w:t>供电线路</w:t>
            </w:r>
          </w:p>
        </w:tc>
        <w:tc>
          <w:tcPr>
            <w:tcW w:w="461" w:type="pct"/>
            <w:shd w:val="clear" w:color="auto" w:fill="FFFFFF"/>
            <w:vAlign w:val="center"/>
          </w:tcPr>
          <w:p>
            <w:pPr>
              <w:pStyle w:val="121"/>
            </w:pPr>
            <w:r>
              <w:t>m</w:t>
            </w: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r>
              <w:t>2.2</w:t>
            </w:r>
          </w:p>
        </w:tc>
        <w:tc>
          <w:tcPr>
            <w:tcW w:w="1743" w:type="pct"/>
            <w:shd w:val="clear" w:color="auto" w:fill="FFFFFF"/>
            <w:vAlign w:val="center"/>
          </w:tcPr>
          <w:p>
            <w:pPr>
              <w:pStyle w:val="121"/>
              <w:jc w:val="left"/>
            </w:pPr>
            <w:r>
              <w:t>临时供电设备</w:t>
            </w:r>
          </w:p>
        </w:tc>
        <w:tc>
          <w:tcPr>
            <w:tcW w:w="461" w:type="pct"/>
            <w:shd w:val="clear" w:color="auto" w:fill="FFFFFF"/>
            <w:vAlign w:val="center"/>
          </w:tcPr>
          <w:p>
            <w:pPr>
              <w:pStyle w:val="121"/>
            </w:pPr>
            <w:r>
              <w:t>套</w:t>
            </w: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r>
              <w:t>3</w:t>
            </w:r>
          </w:p>
        </w:tc>
        <w:tc>
          <w:tcPr>
            <w:tcW w:w="1743" w:type="pct"/>
            <w:shd w:val="clear" w:color="auto" w:fill="FFFFFF"/>
            <w:vAlign w:val="center"/>
          </w:tcPr>
          <w:p>
            <w:pPr>
              <w:pStyle w:val="121"/>
              <w:jc w:val="left"/>
            </w:pPr>
            <w:r>
              <w:t>施工房屋建筑工程</w:t>
            </w: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r>
              <w:t>3.1</w:t>
            </w:r>
          </w:p>
        </w:tc>
        <w:tc>
          <w:tcPr>
            <w:tcW w:w="1743" w:type="pct"/>
            <w:shd w:val="clear" w:color="auto" w:fill="FFFFFF"/>
            <w:vAlign w:val="center"/>
          </w:tcPr>
          <w:p>
            <w:pPr>
              <w:pStyle w:val="121"/>
              <w:jc w:val="left"/>
            </w:pPr>
            <w:r>
              <w:t>施工仓库</w:t>
            </w:r>
          </w:p>
        </w:tc>
        <w:tc>
          <w:tcPr>
            <w:tcW w:w="461" w:type="pct"/>
            <w:shd w:val="clear" w:color="auto" w:fill="FFFFFF"/>
            <w:vAlign w:val="center"/>
          </w:tcPr>
          <w:p>
            <w:pPr>
              <w:pStyle w:val="121"/>
            </w:pPr>
            <w:r>
              <w:t>m²</w:t>
            </w: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r>
              <w:t>3.2</w:t>
            </w:r>
          </w:p>
        </w:tc>
        <w:tc>
          <w:tcPr>
            <w:tcW w:w="1743" w:type="pct"/>
            <w:shd w:val="clear" w:color="auto" w:fill="FFFFFF"/>
            <w:vAlign w:val="center"/>
          </w:tcPr>
          <w:p>
            <w:pPr>
              <w:pStyle w:val="121"/>
              <w:jc w:val="left"/>
            </w:pPr>
            <w:r>
              <w:t>办公、生活及文化福利建筑</w:t>
            </w:r>
          </w:p>
        </w:tc>
        <w:tc>
          <w:tcPr>
            <w:tcW w:w="461" w:type="pct"/>
            <w:shd w:val="clear" w:color="auto" w:fill="FFFFFF"/>
            <w:vAlign w:val="center"/>
          </w:tcPr>
          <w:p>
            <w:pPr>
              <w:pStyle w:val="121"/>
            </w:pPr>
            <w:r>
              <w:t>%</w:t>
            </w: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r>
              <w:t>4</w:t>
            </w:r>
          </w:p>
        </w:tc>
        <w:tc>
          <w:tcPr>
            <w:tcW w:w="1743" w:type="pct"/>
            <w:shd w:val="clear" w:color="auto" w:fill="FFFFFF"/>
            <w:vAlign w:val="center"/>
          </w:tcPr>
          <w:p>
            <w:pPr>
              <w:pStyle w:val="121"/>
              <w:jc w:val="left"/>
            </w:pPr>
            <w:r>
              <w:t>其他施工临时工程</w:t>
            </w:r>
          </w:p>
        </w:tc>
        <w:tc>
          <w:tcPr>
            <w:tcW w:w="461" w:type="pct"/>
            <w:shd w:val="clear" w:color="auto" w:fill="FFFFFF"/>
            <w:vAlign w:val="center"/>
          </w:tcPr>
          <w:p>
            <w:pPr>
              <w:pStyle w:val="121"/>
            </w:pPr>
            <w:r>
              <w:t>%</w:t>
            </w: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49" w:type="pct"/>
            <w:shd w:val="clear" w:color="auto" w:fill="FFFFFF"/>
            <w:vAlign w:val="center"/>
          </w:tcPr>
          <w:p>
            <w:pPr>
              <w:pStyle w:val="121"/>
            </w:pPr>
            <w:r>
              <w:t>……</w:t>
            </w: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49" w:type="pct"/>
            <w:shd w:val="clear" w:color="auto" w:fill="FFFFFF"/>
            <w:vAlign w:val="center"/>
          </w:tcPr>
          <w:p>
            <w:pPr>
              <w:pStyle w:val="121"/>
            </w:pPr>
          </w:p>
        </w:tc>
        <w:tc>
          <w:tcPr>
            <w:tcW w:w="1743" w:type="pct"/>
            <w:shd w:val="clear" w:color="auto" w:fill="FFFFFF"/>
            <w:vAlign w:val="center"/>
          </w:tcPr>
          <w:p>
            <w:pPr>
              <w:pStyle w:val="121"/>
            </w:pPr>
          </w:p>
        </w:tc>
        <w:tc>
          <w:tcPr>
            <w:tcW w:w="461" w:type="pct"/>
            <w:shd w:val="clear" w:color="auto" w:fill="FFFFFF"/>
            <w:vAlign w:val="center"/>
          </w:tcPr>
          <w:p>
            <w:pPr>
              <w:pStyle w:val="121"/>
            </w:pPr>
          </w:p>
        </w:tc>
        <w:tc>
          <w:tcPr>
            <w:tcW w:w="529" w:type="pct"/>
            <w:shd w:val="clear" w:color="auto" w:fill="FFFFFF"/>
            <w:vAlign w:val="center"/>
          </w:tcPr>
          <w:p>
            <w:pPr>
              <w:pStyle w:val="121"/>
            </w:pPr>
          </w:p>
        </w:tc>
        <w:tc>
          <w:tcPr>
            <w:tcW w:w="727" w:type="pct"/>
            <w:shd w:val="clear" w:color="auto" w:fill="FFFFFF"/>
            <w:vAlign w:val="center"/>
          </w:tcPr>
          <w:p>
            <w:pPr>
              <w:pStyle w:val="121"/>
            </w:pPr>
          </w:p>
        </w:tc>
        <w:tc>
          <w:tcPr>
            <w:tcW w:w="888" w:type="pct"/>
            <w:shd w:val="clear" w:color="auto" w:fill="FFFFFF"/>
            <w:vAlign w:val="center"/>
          </w:tcPr>
          <w:p>
            <w:pPr>
              <w:pStyle w:val="121"/>
            </w:pPr>
          </w:p>
        </w:tc>
      </w:tr>
    </w:tbl>
    <w:p>
      <w:pPr>
        <w:pStyle w:val="121"/>
        <w:spacing w:before="120" w:beforeLines="50" w:after="120" w:afterLines="50"/>
        <w:rPr>
          <w:rFonts w:ascii="黑体" w:eastAsia="黑体"/>
          <w:sz w:val="21"/>
        </w:rPr>
      </w:pPr>
      <w:r>
        <w:br w:type="page"/>
      </w:r>
      <w:r>
        <w:rPr>
          <w:rFonts w:hint="eastAsia" w:ascii="黑体" w:eastAsia="黑体"/>
          <w:sz w:val="21"/>
        </w:rPr>
        <w:t>附表E.5  独立费用概（预）算表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971"/>
        <w:gridCol w:w="3809"/>
        <w:gridCol w:w="1511"/>
        <w:gridCol w:w="1455"/>
        <w:gridCol w:w="15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序号</w:t>
            </w:r>
          </w:p>
        </w:tc>
        <w:tc>
          <w:tcPr>
            <w:tcW w:w="2047" w:type="pct"/>
            <w:shd w:val="clear" w:color="auto" w:fill="FFFFFF"/>
            <w:vAlign w:val="center"/>
          </w:tcPr>
          <w:p>
            <w:pPr>
              <w:pStyle w:val="121"/>
            </w:pPr>
            <w:r>
              <w:t>费用名称</w:t>
            </w:r>
          </w:p>
        </w:tc>
        <w:tc>
          <w:tcPr>
            <w:tcW w:w="812" w:type="pct"/>
            <w:shd w:val="clear" w:color="auto" w:fill="FFFFFF"/>
            <w:vAlign w:val="center"/>
          </w:tcPr>
          <w:p>
            <w:pPr>
              <w:pStyle w:val="121"/>
            </w:pPr>
            <w:r>
              <w:t>数量</w:t>
            </w:r>
          </w:p>
        </w:tc>
        <w:tc>
          <w:tcPr>
            <w:tcW w:w="782" w:type="pct"/>
            <w:shd w:val="clear" w:color="auto" w:fill="FFFFFF"/>
            <w:vAlign w:val="center"/>
          </w:tcPr>
          <w:p>
            <w:pPr>
              <w:pStyle w:val="121"/>
            </w:pPr>
            <w:r>
              <w:t>单价</w:t>
            </w:r>
          </w:p>
          <w:p>
            <w:pPr>
              <w:pStyle w:val="121"/>
            </w:pPr>
            <w:r>
              <w:t>元</w:t>
            </w:r>
          </w:p>
        </w:tc>
        <w:tc>
          <w:tcPr>
            <w:tcW w:w="834" w:type="pct"/>
            <w:shd w:val="clear" w:color="auto" w:fill="FFFFFF"/>
            <w:vAlign w:val="center"/>
          </w:tcPr>
          <w:p>
            <w:pPr>
              <w:pStyle w:val="121"/>
            </w:pPr>
            <w:r>
              <w:t>合计</w:t>
            </w:r>
          </w:p>
          <w:p>
            <w:pPr>
              <w:pStyle w:val="121"/>
            </w:pPr>
            <w: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p>
        </w:tc>
        <w:tc>
          <w:tcPr>
            <w:tcW w:w="2047" w:type="pct"/>
            <w:shd w:val="clear" w:color="auto" w:fill="FFFFFF"/>
            <w:vAlign w:val="center"/>
          </w:tcPr>
          <w:p>
            <w:pPr>
              <w:pStyle w:val="121"/>
            </w:pPr>
            <w:r>
              <w:t>第五部分 独立费用</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1</w:t>
            </w:r>
          </w:p>
        </w:tc>
        <w:tc>
          <w:tcPr>
            <w:tcW w:w="2047" w:type="pct"/>
            <w:shd w:val="clear" w:color="auto" w:fill="FFFFFF"/>
            <w:vAlign w:val="center"/>
          </w:tcPr>
          <w:p>
            <w:pPr>
              <w:pStyle w:val="121"/>
              <w:jc w:val="left"/>
            </w:pPr>
            <w:r>
              <w:t>建设管理费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2</w:t>
            </w:r>
          </w:p>
        </w:tc>
        <w:tc>
          <w:tcPr>
            <w:tcW w:w="2047" w:type="pct"/>
            <w:shd w:val="clear" w:color="auto" w:fill="FFFFFF"/>
            <w:vAlign w:val="center"/>
          </w:tcPr>
          <w:p>
            <w:pPr>
              <w:pStyle w:val="121"/>
              <w:jc w:val="left"/>
            </w:pPr>
            <w:r>
              <w:t>工程建设监理费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w:t>
            </w:r>
          </w:p>
        </w:tc>
        <w:tc>
          <w:tcPr>
            <w:tcW w:w="2047" w:type="pct"/>
            <w:shd w:val="clear" w:color="auto" w:fill="FFFFFF"/>
            <w:vAlign w:val="center"/>
          </w:tcPr>
          <w:p>
            <w:pPr>
              <w:pStyle w:val="121"/>
              <w:jc w:val="left"/>
            </w:pPr>
            <w:r>
              <w:t>勘测设计费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3.1</w:t>
            </w:r>
          </w:p>
        </w:tc>
        <w:tc>
          <w:tcPr>
            <w:tcW w:w="2047" w:type="pct"/>
            <w:shd w:val="clear" w:color="auto" w:fill="FFFFFF"/>
            <w:vAlign w:val="center"/>
          </w:tcPr>
          <w:p>
            <w:pPr>
              <w:pStyle w:val="121"/>
              <w:jc w:val="left"/>
            </w:pPr>
            <w:r>
              <w:t>勘查费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w:t>
            </w:r>
          </w:p>
        </w:tc>
        <w:tc>
          <w:tcPr>
            <w:tcW w:w="2047" w:type="pct"/>
            <w:shd w:val="clear" w:color="auto" w:fill="FFFFFF"/>
            <w:vAlign w:val="center"/>
          </w:tcPr>
          <w:p>
            <w:pPr>
              <w:pStyle w:val="121"/>
              <w:jc w:val="left"/>
            </w:pPr>
            <w:r>
              <w:t>工程设计费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3.2.1</w:t>
            </w:r>
          </w:p>
        </w:tc>
        <w:tc>
          <w:tcPr>
            <w:tcW w:w="2047" w:type="pct"/>
            <w:shd w:val="clear" w:color="auto" w:fill="FFFFFF"/>
            <w:vAlign w:val="center"/>
          </w:tcPr>
          <w:p>
            <w:pPr>
              <w:pStyle w:val="121"/>
              <w:jc w:val="left"/>
            </w:pPr>
            <w:r>
              <w:t>可行性研究设计费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3.2.2</w:t>
            </w:r>
          </w:p>
        </w:tc>
        <w:tc>
          <w:tcPr>
            <w:tcW w:w="2047" w:type="pct"/>
            <w:shd w:val="clear" w:color="auto" w:fill="FFFFFF"/>
            <w:vAlign w:val="center"/>
          </w:tcPr>
          <w:p>
            <w:pPr>
              <w:pStyle w:val="121"/>
              <w:jc w:val="left"/>
            </w:pPr>
            <w:r>
              <w:t>基本设计收费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3.2.2.1</w:t>
            </w:r>
          </w:p>
        </w:tc>
        <w:tc>
          <w:tcPr>
            <w:tcW w:w="2047" w:type="pct"/>
            <w:shd w:val="clear" w:color="auto" w:fill="FFFFFF"/>
            <w:vAlign w:val="center"/>
          </w:tcPr>
          <w:p>
            <w:pPr>
              <w:pStyle w:val="121"/>
              <w:jc w:val="left"/>
            </w:pPr>
            <w:r>
              <w:t>设计收费计费额</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3.2.2.2</w:t>
            </w:r>
          </w:p>
        </w:tc>
        <w:tc>
          <w:tcPr>
            <w:tcW w:w="2047" w:type="pct"/>
            <w:shd w:val="clear" w:color="auto" w:fill="FFFFFF"/>
            <w:vAlign w:val="center"/>
          </w:tcPr>
          <w:p>
            <w:pPr>
              <w:pStyle w:val="121"/>
              <w:jc w:val="left"/>
            </w:pPr>
            <w:r>
              <w:t>设计收费基价</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3.2.2.3</w:t>
            </w:r>
          </w:p>
        </w:tc>
        <w:tc>
          <w:tcPr>
            <w:tcW w:w="2047" w:type="pct"/>
            <w:shd w:val="clear" w:color="auto" w:fill="FFFFFF"/>
            <w:vAlign w:val="center"/>
          </w:tcPr>
          <w:p>
            <w:pPr>
              <w:pStyle w:val="121"/>
              <w:jc w:val="left"/>
            </w:pPr>
            <w:r>
              <w:t>专业调整系数</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3.2.2.4</w:t>
            </w:r>
          </w:p>
        </w:tc>
        <w:tc>
          <w:tcPr>
            <w:tcW w:w="2047" w:type="pct"/>
            <w:shd w:val="clear" w:color="auto" w:fill="FFFFFF"/>
            <w:vAlign w:val="center"/>
          </w:tcPr>
          <w:p>
            <w:pPr>
              <w:pStyle w:val="121"/>
              <w:jc w:val="left"/>
            </w:pPr>
            <w:r>
              <w:t>工程复杂程度调整系数</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3.2.2.5</w:t>
            </w:r>
          </w:p>
        </w:tc>
        <w:tc>
          <w:tcPr>
            <w:tcW w:w="2047" w:type="pct"/>
            <w:shd w:val="clear" w:color="auto" w:fill="FFFFFF"/>
            <w:vAlign w:val="center"/>
          </w:tcPr>
          <w:p>
            <w:pPr>
              <w:pStyle w:val="121"/>
              <w:jc w:val="left"/>
            </w:pPr>
            <w:r>
              <w:t>附加调整系数</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3.2.3</w:t>
            </w:r>
          </w:p>
        </w:tc>
        <w:tc>
          <w:tcPr>
            <w:tcW w:w="2047" w:type="pct"/>
            <w:shd w:val="clear" w:color="auto" w:fill="FFFFFF"/>
            <w:vAlign w:val="center"/>
          </w:tcPr>
          <w:p>
            <w:pPr>
              <w:pStyle w:val="121"/>
              <w:jc w:val="left"/>
            </w:pPr>
            <w:r>
              <w:t>其他设计收费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3.2.3.1</w:t>
            </w:r>
          </w:p>
        </w:tc>
        <w:tc>
          <w:tcPr>
            <w:tcW w:w="2047" w:type="pct"/>
            <w:shd w:val="clear" w:color="auto" w:fill="FFFFFF"/>
            <w:vAlign w:val="center"/>
          </w:tcPr>
          <w:p>
            <w:pPr>
              <w:pStyle w:val="121"/>
              <w:jc w:val="left"/>
            </w:pPr>
            <w:r>
              <w:t>总体设计费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3.2.3.2</w:t>
            </w:r>
          </w:p>
        </w:tc>
        <w:tc>
          <w:tcPr>
            <w:tcW w:w="2047" w:type="pct"/>
            <w:shd w:val="clear" w:color="auto" w:fill="FFFFFF"/>
            <w:vAlign w:val="center"/>
          </w:tcPr>
          <w:p>
            <w:pPr>
              <w:pStyle w:val="121"/>
              <w:jc w:val="left"/>
            </w:pPr>
            <w:r>
              <w:t>施工图预算编制费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4</w:t>
            </w:r>
          </w:p>
        </w:tc>
        <w:tc>
          <w:tcPr>
            <w:tcW w:w="2047" w:type="pct"/>
            <w:shd w:val="clear" w:color="auto" w:fill="FFFFFF"/>
            <w:vAlign w:val="center"/>
          </w:tcPr>
          <w:p>
            <w:pPr>
              <w:pStyle w:val="121"/>
              <w:jc w:val="left"/>
            </w:pPr>
            <w:r>
              <w:t>建设及施工场地征用费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4.1</w:t>
            </w:r>
          </w:p>
        </w:tc>
        <w:tc>
          <w:tcPr>
            <w:tcW w:w="2047" w:type="pct"/>
            <w:shd w:val="clear" w:color="auto" w:fill="FFFFFF"/>
            <w:vAlign w:val="center"/>
          </w:tcPr>
          <w:p>
            <w:pPr>
              <w:pStyle w:val="121"/>
              <w:jc w:val="left"/>
            </w:pPr>
            <w:r>
              <w:t>永久性土地补偿费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4.2</w:t>
            </w:r>
          </w:p>
        </w:tc>
        <w:tc>
          <w:tcPr>
            <w:tcW w:w="2047" w:type="pct"/>
            <w:shd w:val="clear" w:color="auto" w:fill="FFFFFF"/>
            <w:vAlign w:val="center"/>
          </w:tcPr>
          <w:p>
            <w:pPr>
              <w:pStyle w:val="121"/>
              <w:jc w:val="left"/>
            </w:pPr>
            <w:r>
              <w:t>临时征地费费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4.3</w:t>
            </w:r>
          </w:p>
        </w:tc>
        <w:tc>
          <w:tcPr>
            <w:tcW w:w="2047" w:type="pct"/>
            <w:shd w:val="clear" w:color="auto" w:fill="FFFFFF"/>
            <w:vAlign w:val="center"/>
          </w:tcPr>
          <w:p>
            <w:pPr>
              <w:pStyle w:val="121"/>
              <w:jc w:val="left"/>
            </w:pPr>
            <w:r>
              <w:t>青苗赔偿费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5</w:t>
            </w:r>
          </w:p>
        </w:tc>
        <w:tc>
          <w:tcPr>
            <w:tcW w:w="2047" w:type="pct"/>
            <w:shd w:val="clear" w:color="auto" w:fill="FFFFFF"/>
            <w:vAlign w:val="center"/>
          </w:tcPr>
          <w:p>
            <w:pPr>
              <w:pStyle w:val="121"/>
              <w:jc w:val="left"/>
            </w:pPr>
            <w:r>
              <w:t>监测费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6</w:t>
            </w:r>
          </w:p>
        </w:tc>
        <w:tc>
          <w:tcPr>
            <w:tcW w:w="2047" w:type="pct"/>
            <w:shd w:val="clear" w:color="auto" w:fill="FFFFFF"/>
            <w:vAlign w:val="center"/>
          </w:tcPr>
          <w:p>
            <w:pPr>
              <w:pStyle w:val="121"/>
              <w:jc w:val="left"/>
            </w:pPr>
            <w:r>
              <w:t>其他</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6.1</w:t>
            </w:r>
          </w:p>
        </w:tc>
        <w:tc>
          <w:tcPr>
            <w:tcW w:w="2047" w:type="pct"/>
            <w:shd w:val="clear" w:color="auto" w:fill="FFFFFF"/>
            <w:vAlign w:val="center"/>
          </w:tcPr>
          <w:p>
            <w:pPr>
              <w:pStyle w:val="121"/>
              <w:jc w:val="left"/>
            </w:pPr>
            <w:r>
              <w:t>工程保险费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6.2</w:t>
            </w:r>
          </w:p>
        </w:tc>
        <w:tc>
          <w:tcPr>
            <w:tcW w:w="2047" w:type="pct"/>
            <w:shd w:val="clear" w:color="auto" w:fill="FFFFFF"/>
            <w:vAlign w:val="center"/>
          </w:tcPr>
          <w:p>
            <w:pPr>
              <w:pStyle w:val="121"/>
              <w:jc w:val="left"/>
            </w:pPr>
            <w:r>
              <w:t>竣工决算费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522" w:type="pct"/>
            <w:shd w:val="clear" w:color="auto" w:fill="FFFFFF"/>
            <w:vAlign w:val="center"/>
          </w:tcPr>
          <w:p>
            <w:pPr>
              <w:pStyle w:val="121"/>
            </w:pPr>
            <w:r>
              <w:t>6.3</w:t>
            </w:r>
          </w:p>
        </w:tc>
        <w:tc>
          <w:tcPr>
            <w:tcW w:w="2047" w:type="pct"/>
            <w:shd w:val="clear" w:color="auto" w:fill="FFFFFF"/>
            <w:vAlign w:val="center"/>
          </w:tcPr>
          <w:p>
            <w:pPr>
              <w:pStyle w:val="121"/>
              <w:jc w:val="left"/>
            </w:pPr>
            <w:r>
              <w:t>工程检测费</w:t>
            </w:r>
          </w:p>
        </w:tc>
        <w:tc>
          <w:tcPr>
            <w:tcW w:w="812" w:type="pct"/>
            <w:shd w:val="clear" w:color="auto" w:fill="FFFFFF"/>
            <w:vAlign w:val="center"/>
          </w:tcPr>
          <w:p>
            <w:pPr>
              <w:pStyle w:val="121"/>
            </w:pPr>
          </w:p>
        </w:tc>
        <w:tc>
          <w:tcPr>
            <w:tcW w:w="782" w:type="pct"/>
            <w:shd w:val="clear" w:color="auto" w:fill="FFFFFF"/>
            <w:vAlign w:val="center"/>
          </w:tcPr>
          <w:p>
            <w:pPr>
              <w:pStyle w:val="121"/>
            </w:pPr>
          </w:p>
        </w:tc>
        <w:tc>
          <w:tcPr>
            <w:tcW w:w="834" w:type="pct"/>
            <w:shd w:val="clear" w:color="auto" w:fill="FFFFFF"/>
            <w:vAlign w:val="center"/>
          </w:tcPr>
          <w:p>
            <w:pPr>
              <w:pStyle w:val="121"/>
            </w:pPr>
          </w:p>
        </w:tc>
      </w:tr>
    </w:tbl>
    <w:p>
      <w:pPr>
        <w:pStyle w:val="121"/>
        <w:spacing w:before="120" w:beforeLines="50" w:after="120" w:afterLines="50"/>
        <w:rPr>
          <w:rFonts w:ascii="黑体" w:eastAsia="黑体"/>
          <w:sz w:val="21"/>
        </w:rPr>
      </w:pPr>
      <w:r>
        <w:br w:type="page"/>
      </w:r>
      <w:r>
        <w:rPr>
          <w:rFonts w:hint="eastAsia" w:ascii="黑体" w:eastAsia="黑体"/>
          <w:sz w:val="21"/>
        </w:rPr>
        <w:t>附表E.6  建筑工程单价汇总表</w:t>
      </w:r>
    </w:p>
    <w:p>
      <w:pPr>
        <w:pStyle w:val="121"/>
        <w:jc w:val="right"/>
        <w:rPr>
          <w:rFonts w:ascii="黑体" w:eastAsia="黑体"/>
        </w:rPr>
      </w:pPr>
      <w:r>
        <w:rPr>
          <w:rFonts w:hint="eastAsia" w:ascii="黑体" w:eastAsia="黑体"/>
        </w:rPr>
        <w:t>单位为元</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7"/>
        <w:gridCol w:w="1142"/>
        <w:gridCol w:w="567"/>
        <w:gridCol w:w="816"/>
        <w:gridCol w:w="921"/>
        <w:gridCol w:w="921"/>
        <w:gridCol w:w="924"/>
        <w:gridCol w:w="921"/>
        <w:gridCol w:w="560"/>
        <w:gridCol w:w="535"/>
        <w:gridCol w:w="769"/>
        <w:gridCol w:w="7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序号</w:t>
            </w:r>
          </w:p>
        </w:tc>
        <w:tc>
          <w:tcPr>
            <w:tcW w:w="602"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名  称</w:t>
            </w:r>
          </w:p>
        </w:tc>
        <w:tc>
          <w:tcPr>
            <w:tcW w:w="299"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单位</w:t>
            </w:r>
          </w:p>
        </w:tc>
        <w:tc>
          <w:tcPr>
            <w:tcW w:w="430"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单价</w:t>
            </w:r>
          </w:p>
        </w:tc>
        <w:tc>
          <w:tcPr>
            <w:tcW w:w="1942" w:type="pct"/>
            <w:gridSpan w:val="4"/>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直接费</w:t>
            </w:r>
          </w:p>
        </w:tc>
        <w:tc>
          <w:tcPr>
            <w:tcW w:w="295"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间接费</w:t>
            </w:r>
          </w:p>
        </w:tc>
        <w:tc>
          <w:tcPr>
            <w:tcW w:w="282"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利润</w:t>
            </w:r>
          </w:p>
        </w:tc>
        <w:tc>
          <w:tcPr>
            <w:tcW w:w="405"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材料补差</w:t>
            </w:r>
          </w:p>
        </w:tc>
        <w:tc>
          <w:tcPr>
            <w:tcW w:w="406"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税金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vMerge w:val="continue"/>
            <w:vAlign w:val="center"/>
          </w:tcPr>
          <w:p/>
        </w:tc>
        <w:tc>
          <w:tcPr>
            <w:tcW w:w="602" w:type="pct"/>
            <w:vMerge w:val="continue"/>
            <w:vAlign w:val="center"/>
          </w:tcPr>
          <w:p/>
        </w:tc>
        <w:tc>
          <w:tcPr>
            <w:tcW w:w="299" w:type="pct"/>
            <w:vMerge w:val="continue"/>
            <w:vAlign w:val="center"/>
          </w:tcPr>
          <w:p/>
        </w:tc>
        <w:tc>
          <w:tcPr>
            <w:tcW w:w="430" w:type="pct"/>
            <w:vMerge w:val="continue"/>
            <w:vAlign w:val="center"/>
          </w:tcPr>
          <w:p/>
        </w:tc>
        <w:tc>
          <w:tcPr>
            <w:tcW w:w="1457" w:type="pct"/>
            <w:gridSpan w:val="3"/>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基本直接费</w:t>
            </w:r>
          </w:p>
        </w:tc>
        <w:tc>
          <w:tcPr>
            <w:tcW w:w="485"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其他</w:t>
            </w:r>
          </w:p>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直接费</w:t>
            </w:r>
          </w:p>
        </w:tc>
        <w:tc>
          <w:tcPr>
            <w:tcW w:w="295" w:type="pct"/>
            <w:vMerge w:val="continue"/>
            <w:vAlign w:val="center"/>
          </w:tcPr>
          <w:p/>
        </w:tc>
        <w:tc>
          <w:tcPr>
            <w:tcW w:w="282" w:type="pct"/>
            <w:vMerge w:val="continue"/>
            <w:vAlign w:val="center"/>
          </w:tcPr>
          <w:p/>
        </w:tc>
        <w:tc>
          <w:tcPr>
            <w:tcW w:w="405" w:type="pct"/>
            <w:vMerge w:val="continue"/>
            <w:vAlign w:val="center"/>
          </w:tcPr>
          <w:p/>
        </w:tc>
        <w:tc>
          <w:tcPr>
            <w:tcW w:w="406" w:type="pct"/>
            <w:vMerge w:val="continue"/>
            <w:vAlign w:val="center"/>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36" w:type="pct"/>
            <w:vMerge w:val="continue"/>
            <w:vAlign w:val="center"/>
          </w:tcPr>
          <w:p/>
        </w:tc>
        <w:tc>
          <w:tcPr>
            <w:tcW w:w="602" w:type="pct"/>
            <w:vMerge w:val="continue"/>
            <w:vAlign w:val="center"/>
          </w:tcPr>
          <w:p/>
        </w:tc>
        <w:tc>
          <w:tcPr>
            <w:tcW w:w="299" w:type="pct"/>
            <w:vMerge w:val="continue"/>
            <w:vAlign w:val="center"/>
          </w:tcPr>
          <w:p/>
        </w:tc>
        <w:tc>
          <w:tcPr>
            <w:tcW w:w="430" w:type="pct"/>
            <w:vMerge w:val="continue"/>
            <w:vAlign w:val="center"/>
          </w:tcPr>
          <w:p/>
        </w:tc>
        <w:tc>
          <w:tcPr>
            <w:tcW w:w="485"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人工费</w:t>
            </w:r>
          </w:p>
        </w:tc>
        <w:tc>
          <w:tcPr>
            <w:tcW w:w="485"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材料费</w:t>
            </w:r>
          </w:p>
        </w:tc>
        <w:tc>
          <w:tcPr>
            <w:tcW w:w="485"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机械</w:t>
            </w:r>
          </w:p>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使用费</w:t>
            </w:r>
          </w:p>
        </w:tc>
        <w:tc>
          <w:tcPr>
            <w:tcW w:w="485" w:type="pct"/>
            <w:vMerge w:val="continue"/>
            <w:vAlign w:val="center"/>
          </w:tcPr>
          <w:p/>
        </w:tc>
        <w:tc>
          <w:tcPr>
            <w:tcW w:w="295" w:type="pct"/>
            <w:vMerge w:val="continue"/>
            <w:vAlign w:val="center"/>
          </w:tcPr>
          <w:p/>
        </w:tc>
        <w:tc>
          <w:tcPr>
            <w:tcW w:w="282" w:type="pct"/>
            <w:vMerge w:val="continue"/>
            <w:vAlign w:val="center"/>
          </w:tcPr>
          <w:p/>
        </w:tc>
        <w:tc>
          <w:tcPr>
            <w:tcW w:w="405" w:type="pct"/>
            <w:vMerge w:val="continue"/>
            <w:vAlign w:val="center"/>
          </w:tcPr>
          <w:p/>
        </w:tc>
        <w:tc>
          <w:tcPr>
            <w:tcW w:w="406" w:type="pct"/>
            <w:vMerge w:val="continue"/>
            <w:vAlign w:val="center"/>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36" w:type="pct"/>
            <w:vMerge w:val="continue"/>
            <w:vAlign w:val="center"/>
          </w:tcPr>
          <w:p/>
        </w:tc>
        <w:tc>
          <w:tcPr>
            <w:tcW w:w="602" w:type="pct"/>
            <w:vMerge w:val="continue"/>
            <w:vAlign w:val="center"/>
          </w:tcPr>
          <w:p/>
        </w:tc>
        <w:tc>
          <w:tcPr>
            <w:tcW w:w="299" w:type="pct"/>
            <w:vMerge w:val="continue"/>
            <w:vAlign w:val="center"/>
          </w:tcPr>
          <w:p/>
        </w:tc>
        <w:tc>
          <w:tcPr>
            <w:tcW w:w="430" w:type="pct"/>
            <w:vMerge w:val="continue"/>
            <w:vAlign w:val="center"/>
          </w:tcPr>
          <w:p/>
        </w:tc>
        <w:tc>
          <w:tcPr>
            <w:tcW w:w="485" w:type="pct"/>
            <w:vMerge w:val="continue"/>
            <w:vAlign w:val="center"/>
          </w:tcPr>
          <w:p/>
        </w:tc>
        <w:tc>
          <w:tcPr>
            <w:tcW w:w="485" w:type="pct"/>
            <w:vMerge w:val="continue"/>
            <w:vAlign w:val="center"/>
          </w:tcPr>
          <w:p/>
        </w:tc>
        <w:tc>
          <w:tcPr>
            <w:tcW w:w="485" w:type="pct"/>
            <w:vMerge w:val="continue"/>
            <w:vAlign w:val="center"/>
          </w:tcPr>
          <w:p/>
        </w:tc>
        <w:tc>
          <w:tcPr>
            <w:tcW w:w="485" w:type="pct"/>
            <w:vMerge w:val="continue"/>
            <w:vAlign w:val="center"/>
          </w:tcPr>
          <w:p/>
        </w:tc>
        <w:tc>
          <w:tcPr>
            <w:tcW w:w="295" w:type="pct"/>
            <w:vMerge w:val="continue"/>
            <w:vAlign w:val="center"/>
          </w:tcPr>
          <w:p/>
        </w:tc>
        <w:tc>
          <w:tcPr>
            <w:tcW w:w="282" w:type="pct"/>
            <w:vMerge w:val="continue"/>
            <w:vAlign w:val="center"/>
          </w:tcPr>
          <w:p/>
        </w:tc>
        <w:tc>
          <w:tcPr>
            <w:tcW w:w="405" w:type="pct"/>
            <w:vMerge w:val="continue"/>
            <w:vAlign w:val="center"/>
          </w:tcPr>
          <w:p/>
        </w:tc>
        <w:tc>
          <w:tcPr>
            <w:tcW w:w="406" w:type="pct"/>
            <w:vMerge w:val="continue"/>
            <w:vAlign w:val="center"/>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6</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7</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9</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10</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3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60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9"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30"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8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8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6"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bl>
    <w:p>
      <w:pPr>
        <w:pStyle w:val="121"/>
        <w:tabs>
          <w:tab w:val="left" w:pos="6258"/>
        </w:tabs>
        <w:jc w:val="left"/>
      </w:pPr>
    </w:p>
    <w:p>
      <w:pPr>
        <w:pStyle w:val="121"/>
        <w:spacing w:before="120" w:beforeLines="50" w:after="120" w:afterLines="50"/>
        <w:rPr>
          <w:rFonts w:ascii="黑体" w:eastAsia="黑体"/>
          <w:sz w:val="21"/>
        </w:rPr>
      </w:pPr>
      <w:r>
        <w:br w:type="page"/>
      </w:r>
      <w:r>
        <w:rPr>
          <w:rFonts w:hint="eastAsia" w:ascii="黑体" w:eastAsia="黑体"/>
          <w:sz w:val="21"/>
        </w:rPr>
        <w:t>附表E.7  安装工程单价汇总表</w:t>
      </w:r>
    </w:p>
    <w:p>
      <w:pPr>
        <w:pStyle w:val="121"/>
        <w:jc w:val="right"/>
        <w:rPr>
          <w:rFonts w:ascii="黑体" w:eastAsia="黑体"/>
        </w:rPr>
      </w:pPr>
      <w:r>
        <w:rPr>
          <w:rFonts w:hint="eastAsia" w:ascii="黑体" w:eastAsia="黑体"/>
        </w:rPr>
        <w:t>单位为元</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94"/>
        <w:gridCol w:w="1053"/>
        <w:gridCol w:w="526"/>
        <w:gridCol w:w="761"/>
        <w:gridCol w:w="850"/>
        <w:gridCol w:w="848"/>
        <w:gridCol w:w="852"/>
        <w:gridCol w:w="850"/>
        <w:gridCol w:w="520"/>
        <w:gridCol w:w="497"/>
        <w:gridCol w:w="710"/>
        <w:gridCol w:w="862"/>
        <w:gridCol w:w="5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序号</w:t>
            </w:r>
          </w:p>
        </w:tc>
        <w:tc>
          <w:tcPr>
            <w:tcW w:w="555"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名  称</w:t>
            </w:r>
          </w:p>
        </w:tc>
        <w:tc>
          <w:tcPr>
            <w:tcW w:w="277"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单位</w:t>
            </w:r>
          </w:p>
        </w:tc>
        <w:tc>
          <w:tcPr>
            <w:tcW w:w="401" w:type="pct"/>
            <w:vMerge w:val="restart"/>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单价</w:t>
            </w:r>
          </w:p>
        </w:tc>
        <w:tc>
          <w:tcPr>
            <w:tcW w:w="1792" w:type="pct"/>
            <w:gridSpan w:val="4"/>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直接费</w:t>
            </w:r>
          </w:p>
        </w:tc>
        <w:tc>
          <w:tcPr>
            <w:tcW w:w="274"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间接费</w:t>
            </w:r>
          </w:p>
        </w:tc>
        <w:tc>
          <w:tcPr>
            <w:tcW w:w="262"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利润</w:t>
            </w:r>
          </w:p>
        </w:tc>
        <w:tc>
          <w:tcPr>
            <w:tcW w:w="374"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材料补差</w:t>
            </w:r>
          </w:p>
        </w:tc>
        <w:tc>
          <w:tcPr>
            <w:tcW w:w="454"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未计价装置性材料费</w:t>
            </w:r>
          </w:p>
        </w:tc>
        <w:tc>
          <w:tcPr>
            <w:tcW w:w="295"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税金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vMerge w:val="continue"/>
            <w:vAlign w:val="center"/>
          </w:tcPr>
          <w:p/>
        </w:tc>
        <w:tc>
          <w:tcPr>
            <w:tcW w:w="555" w:type="pct"/>
            <w:vMerge w:val="continue"/>
            <w:vAlign w:val="center"/>
          </w:tcPr>
          <w:p/>
        </w:tc>
        <w:tc>
          <w:tcPr>
            <w:tcW w:w="277" w:type="pct"/>
            <w:vMerge w:val="continue"/>
            <w:vAlign w:val="center"/>
          </w:tcPr>
          <w:p/>
        </w:tc>
        <w:tc>
          <w:tcPr>
            <w:tcW w:w="401" w:type="pct"/>
            <w:vMerge w:val="continue"/>
            <w:vAlign w:val="center"/>
          </w:tcPr>
          <w:p/>
        </w:tc>
        <w:tc>
          <w:tcPr>
            <w:tcW w:w="1344" w:type="pct"/>
            <w:gridSpan w:val="3"/>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基本直接费</w:t>
            </w:r>
          </w:p>
        </w:tc>
        <w:tc>
          <w:tcPr>
            <w:tcW w:w="447" w:type="pct"/>
            <w:vMerge w:val="restar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其他</w:t>
            </w:r>
          </w:p>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直接费</w:t>
            </w:r>
          </w:p>
        </w:tc>
        <w:tc>
          <w:tcPr>
            <w:tcW w:w="274" w:type="pct"/>
            <w:vMerge w:val="continue"/>
            <w:vAlign w:val="center"/>
          </w:tcPr>
          <w:p/>
        </w:tc>
        <w:tc>
          <w:tcPr>
            <w:tcW w:w="262" w:type="pct"/>
            <w:vMerge w:val="continue"/>
            <w:vAlign w:val="center"/>
          </w:tcPr>
          <w:p/>
        </w:tc>
        <w:tc>
          <w:tcPr>
            <w:tcW w:w="374" w:type="pct"/>
            <w:vMerge w:val="continue"/>
            <w:vAlign w:val="center"/>
          </w:tcPr>
          <w:p/>
        </w:tc>
        <w:tc>
          <w:tcPr>
            <w:tcW w:w="454" w:type="pct"/>
            <w:vMerge w:val="continue"/>
          </w:tcPr>
          <w:p/>
        </w:tc>
        <w:tc>
          <w:tcPr>
            <w:tcW w:w="295" w:type="pct"/>
            <w:vMerge w:val="continue"/>
            <w:vAlign w:val="center"/>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vMerge w:val="continue"/>
            <w:tcBorders>
              <w:bottom w:val="single" w:color="000000" w:sz="4" w:space="0"/>
            </w:tcBorders>
            <w:vAlign w:val="center"/>
          </w:tcPr>
          <w:p/>
        </w:tc>
        <w:tc>
          <w:tcPr>
            <w:tcW w:w="555" w:type="pct"/>
            <w:vMerge w:val="continue"/>
            <w:tcBorders>
              <w:bottom w:val="single" w:color="000000" w:sz="4" w:space="0"/>
            </w:tcBorders>
            <w:vAlign w:val="center"/>
          </w:tcPr>
          <w:p/>
        </w:tc>
        <w:tc>
          <w:tcPr>
            <w:tcW w:w="277" w:type="pct"/>
            <w:vMerge w:val="continue"/>
            <w:tcBorders>
              <w:bottom w:val="single" w:color="000000" w:sz="4" w:space="0"/>
            </w:tcBorders>
            <w:vAlign w:val="center"/>
          </w:tcPr>
          <w:p/>
        </w:tc>
        <w:tc>
          <w:tcPr>
            <w:tcW w:w="401" w:type="pct"/>
            <w:vMerge w:val="continue"/>
            <w:tcBorders>
              <w:bottom w:val="single" w:color="000000" w:sz="4" w:space="0"/>
            </w:tcBorders>
            <w:vAlign w:val="center"/>
          </w:tcPr>
          <w:p/>
        </w:tc>
        <w:tc>
          <w:tcPr>
            <w:tcW w:w="448" w:type="pct"/>
            <w:tcBorders>
              <w:bottom w:val="single" w:color="000000" w:sz="4" w:space="0"/>
            </w:tcBorders>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人工费</w:t>
            </w:r>
          </w:p>
        </w:tc>
        <w:tc>
          <w:tcPr>
            <w:tcW w:w="447" w:type="pct"/>
            <w:tcBorders>
              <w:bottom w:val="single" w:color="000000" w:sz="4" w:space="0"/>
            </w:tcBorders>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材料费</w:t>
            </w:r>
          </w:p>
        </w:tc>
        <w:tc>
          <w:tcPr>
            <w:tcW w:w="448" w:type="pct"/>
            <w:tcBorders>
              <w:bottom w:val="single" w:color="000000" w:sz="4" w:space="0"/>
            </w:tcBorders>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机械</w:t>
            </w:r>
          </w:p>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使用费</w:t>
            </w:r>
          </w:p>
        </w:tc>
        <w:tc>
          <w:tcPr>
            <w:tcW w:w="447" w:type="pct"/>
            <w:vMerge w:val="continue"/>
            <w:tcBorders>
              <w:bottom w:val="single" w:color="000000" w:sz="4" w:space="0"/>
            </w:tcBorders>
            <w:vAlign w:val="center"/>
          </w:tcPr>
          <w:p/>
        </w:tc>
        <w:tc>
          <w:tcPr>
            <w:tcW w:w="274" w:type="pct"/>
            <w:vMerge w:val="continue"/>
            <w:tcBorders>
              <w:bottom w:val="single" w:color="000000" w:sz="4" w:space="0"/>
            </w:tcBorders>
            <w:vAlign w:val="center"/>
          </w:tcPr>
          <w:p/>
        </w:tc>
        <w:tc>
          <w:tcPr>
            <w:tcW w:w="262" w:type="pct"/>
            <w:vMerge w:val="continue"/>
            <w:tcBorders>
              <w:bottom w:val="single" w:color="000000" w:sz="4" w:space="0"/>
            </w:tcBorders>
            <w:vAlign w:val="center"/>
          </w:tcPr>
          <w:p/>
        </w:tc>
        <w:tc>
          <w:tcPr>
            <w:tcW w:w="374" w:type="pct"/>
            <w:vMerge w:val="continue"/>
            <w:tcBorders>
              <w:bottom w:val="single" w:color="000000" w:sz="4" w:space="0"/>
            </w:tcBorders>
            <w:vAlign w:val="center"/>
          </w:tcPr>
          <w:p/>
        </w:tc>
        <w:tc>
          <w:tcPr>
            <w:tcW w:w="454" w:type="pct"/>
            <w:vMerge w:val="continue"/>
            <w:tcBorders>
              <w:bottom w:val="single" w:color="000000" w:sz="4" w:space="0"/>
            </w:tcBorders>
          </w:tcPr>
          <w:p/>
        </w:tc>
        <w:tc>
          <w:tcPr>
            <w:tcW w:w="295" w:type="pct"/>
            <w:vMerge w:val="continue"/>
            <w:tcBorders>
              <w:bottom w:val="single" w:color="000000" w:sz="4" w:space="0"/>
            </w:tcBorders>
            <w:vAlign w:val="center"/>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2</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3</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4</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5</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6</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7</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8</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9</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10</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313"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55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01"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8"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47"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262"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374"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c>
          <w:tcPr>
            <w:tcW w:w="454" w:type="pct"/>
            <w:shd w:val="clear" w:color="000000" w:fill="FFFFFF"/>
          </w:tcPr>
          <w:p>
            <w:pPr>
              <w:spacing w:line="240" w:lineRule="auto"/>
              <w:ind w:firstLine="0"/>
              <w:jc w:val="center"/>
              <w:rPr>
                <w:rFonts w:ascii="Times New Roman" w:hAnsi="Times New Roman" w:cs="Times New Roman"/>
                <w:sz w:val="18"/>
                <w:szCs w:val="18"/>
              </w:rPr>
            </w:pPr>
          </w:p>
        </w:tc>
        <w:tc>
          <w:tcPr>
            <w:tcW w:w="295" w:type="pct"/>
            <w:shd w:val="clear" w:color="000000" w:fill="FFFFFF"/>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　</w:t>
            </w:r>
          </w:p>
        </w:tc>
      </w:tr>
    </w:tbl>
    <w:p>
      <w:pPr>
        <w:pStyle w:val="121"/>
        <w:tabs>
          <w:tab w:val="left" w:pos="6258"/>
        </w:tabs>
        <w:jc w:val="left"/>
      </w:pPr>
    </w:p>
    <w:p>
      <w:pPr>
        <w:spacing w:before="120" w:beforeLines="50" w:after="120" w:afterLines="50" w:line="240" w:lineRule="auto"/>
        <w:ind w:firstLine="0"/>
        <w:jc w:val="center"/>
        <w:rPr>
          <w:rFonts w:ascii="黑体" w:eastAsia="黑体"/>
        </w:rPr>
      </w:pPr>
      <w:r>
        <w:rPr>
          <w:rFonts w:ascii="Times New Roman" w:hAnsi="Times New Roman" w:cs="Times New Roman"/>
        </w:rPr>
        <w:br w:type="page"/>
      </w:r>
      <w:r>
        <w:rPr>
          <w:rFonts w:hint="eastAsia" w:ascii="黑体" w:eastAsia="黑体"/>
        </w:rPr>
        <w:t>附表E.8  材料概（预）算价格汇总表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1159"/>
        <w:gridCol w:w="2142"/>
        <w:gridCol w:w="1349"/>
        <w:gridCol w:w="1498"/>
        <w:gridCol w:w="1500"/>
        <w:gridCol w:w="16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序号</w:t>
            </w:r>
          </w:p>
        </w:tc>
        <w:tc>
          <w:tcPr>
            <w:tcW w:w="1151" w:type="pct"/>
            <w:shd w:val="clear" w:color="auto" w:fill="FFFFFF"/>
            <w:vAlign w:val="center"/>
          </w:tcPr>
          <w:p>
            <w:pPr>
              <w:pStyle w:val="121"/>
            </w:pPr>
            <w:r>
              <w:t>名称及规格</w:t>
            </w:r>
          </w:p>
        </w:tc>
        <w:tc>
          <w:tcPr>
            <w:tcW w:w="725" w:type="pct"/>
            <w:shd w:val="clear" w:color="auto" w:fill="FFFFFF"/>
            <w:vAlign w:val="center"/>
          </w:tcPr>
          <w:p>
            <w:pPr>
              <w:pStyle w:val="121"/>
            </w:pPr>
            <w:r>
              <w:t>单位</w:t>
            </w:r>
          </w:p>
        </w:tc>
        <w:tc>
          <w:tcPr>
            <w:tcW w:w="805" w:type="pct"/>
            <w:shd w:val="clear" w:color="auto" w:fill="FFFFFF"/>
            <w:vAlign w:val="center"/>
          </w:tcPr>
          <w:p>
            <w:pPr>
              <w:pStyle w:val="121"/>
            </w:pPr>
            <w:r>
              <w:t>原价</w:t>
            </w:r>
          </w:p>
          <w:p>
            <w:pPr>
              <w:pStyle w:val="121"/>
            </w:pPr>
            <w:r>
              <w:t>元</w:t>
            </w:r>
          </w:p>
        </w:tc>
        <w:tc>
          <w:tcPr>
            <w:tcW w:w="806" w:type="pct"/>
            <w:shd w:val="clear" w:color="auto" w:fill="FFFFFF"/>
            <w:vAlign w:val="center"/>
          </w:tcPr>
          <w:p>
            <w:pPr>
              <w:pStyle w:val="121"/>
            </w:pPr>
            <w:r>
              <w:t>运杂费</w:t>
            </w:r>
          </w:p>
          <w:p>
            <w:pPr>
              <w:pStyle w:val="121"/>
            </w:pPr>
            <w:r>
              <w:t>元</w:t>
            </w:r>
          </w:p>
        </w:tc>
        <w:tc>
          <w:tcPr>
            <w:tcW w:w="886" w:type="pct"/>
            <w:shd w:val="clear" w:color="auto" w:fill="FFFFFF"/>
            <w:vAlign w:val="center"/>
          </w:tcPr>
          <w:p>
            <w:pPr>
              <w:pStyle w:val="121"/>
            </w:pPr>
            <w:r>
              <w:t>除税价</w:t>
            </w:r>
          </w:p>
          <w:p>
            <w:pPr>
              <w:pStyle w:val="121"/>
            </w:pPr>
            <w: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2</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3</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4</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5</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6</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7</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8</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9</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10</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11</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12</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13</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14</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15</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16</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17</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18</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19</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20</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21</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22</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23</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24</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r>
              <w:t>……</w:t>
            </w: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3" w:type="pct"/>
            <w:shd w:val="clear" w:color="auto" w:fill="FFFFFF"/>
            <w:vAlign w:val="center"/>
          </w:tcPr>
          <w:p>
            <w:pPr>
              <w:pStyle w:val="121"/>
            </w:pPr>
          </w:p>
        </w:tc>
        <w:tc>
          <w:tcPr>
            <w:tcW w:w="1151" w:type="pct"/>
            <w:shd w:val="clear" w:color="auto" w:fill="FFFFFF"/>
            <w:vAlign w:val="center"/>
          </w:tcPr>
          <w:p>
            <w:pPr>
              <w:pStyle w:val="121"/>
            </w:pPr>
          </w:p>
        </w:tc>
        <w:tc>
          <w:tcPr>
            <w:tcW w:w="725" w:type="pct"/>
            <w:shd w:val="clear" w:color="auto" w:fill="FFFFFF"/>
            <w:vAlign w:val="center"/>
          </w:tcPr>
          <w:p>
            <w:pPr>
              <w:pStyle w:val="121"/>
            </w:pPr>
          </w:p>
        </w:tc>
        <w:tc>
          <w:tcPr>
            <w:tcW w:w="805" w:type="pct"/>
            <w:shd w:val="clear" w:color="auto" w:fill="FFFFFF"/>
            <w:vAlign w:val="center"/>
          </w:tcPr>
          <w:p>
            <w:pPr>
              <w:pStyle w:val="121"/>
            </w:pPr>
          </w:p>
        </w:tc>
        <w:tc>
          <w:tcPr>
            <w:tcW w:w="806" w:type="pct"/>
            <w:shd w:val="clear" w:color="auto" w:fill="FFFFFF"/>
            <w:vAlign w:val="center"/>
          </w:tcPr>
          <w:p>
            <w:pPr>
              <w:pStyle w:val="121"/>
            </w:pPr>
          </w:p>
        </w:tc>
        <w:tc>
          <w:tcPr>
            <w:tcW w:w="886" w:type="pct"/>
            <w:shd w:val="clear" w:color="auto" w:fill="FFFFFF"/>
            <w:vAlign w:val="center"/>
          </w:tcPr>
          <w:p>
            <w:pPr>
              <w:pStyle w:val="121"/>
            </w:pPr>
          </w:p>
        </w:tc>
      </w:tr>
    </w:tbl>
    <w:p>
      <w:pPr>
        <w:pStyle w:val="121"/>
      </w:pPr>
    </w:p>
    <w:p>
      <w:pPr>
        <w:pStyle w:val="121"/>
        <w:spacing w:before="120" w:beforeLines="50" w:after="120" w:afterLines="50"/>
        <w:rPr>
          <w:rFonts w:ascii="黑体" w:eastAsia="黑体"/>
          <w:sz w:val="21"/>
        </w:rPr>
      </w:pPr>
      <w:r>
        <w:br w:type="page"/>
      </w:r>
      <w:r>
        <w:rPr>
          <w:rFonts w:hint="eastAsia" w:ascii="黑体" w:eastAsia="黑体"/>
          <w:sz w:val="21"/>
        </w:rPr>
        <w:t>附表E.9  施工机械台时费汇总表</w:t>
      </w:r>
    </w:p>
    <w:tbl>
      <w:tblPr>
        <w:tblStyle w:val="36"/>
        <w:tblW w:w="5000" w:type="pct"/>
        <w:jc w:val="center"/>
        <w:tblLayout w:type="autofit"/>
        <w:tblCellMar>
          <w:top w:w="0" w:type="dxa"/>
          <w:left w:w="15" w:type="dxa"/>
          <w:bottom w:w="0" w:type="dxa"/>
          <w:right w:w="15" w:type="dxa"/>
        </w:tblCellMar>
      </w:tblPr>
      <w:tblGrid>
        <w:gridCol w:w="920"/>
        <w:gridCol w:w="1964"/>
        <w:gridCol w:w="1373"/>
        <w:gridCol w:w="915"/>
        <w:gridCol w:w="1068"/>
        <w:gridCol w:w="921"/>
        <w:gridCol w:w="915"/>
        <w:gridCol w:w="1222"/>
      </w:tblGrid>
      <w:tr>
        <w:tblPrEx>
          <w:tblCellMar>
            <w:top w:w="0" w:type="dxa"/>
            <w:left w:w="15" w:type="dxa"/>
            <w:bottom w:w="0" w:type="dxa"/>
            <w:right w:w="15" w:type="dxa"/>
          </w:tblCellMar>
        </w:tblPrEx>
        <w:trPr>
          <w:trHeight w:val="340" w:hRule="atLeast"/>
          <w:jc w:val="center"/>
        </w:trPr>
        <w:tc>
          <w:tcPr>
            <w:tcW w:w="3850" w:type="pct"/>
            <w:gridSpan w:val="6"/>
            <w:tcBorders>
              <w:top w:val="nil"/>
              <w:left w:val="nil"/>
              <w:bottom w:val="single" w:color="000000" w:sz="4" w:space="0"/>
              <w:right w:val="nil"/>
            </w:tcBorders>
            <w:shd w:val="clear" w:color="auto" w:fill="FFFFFF"/>
            <w:vAlign w:val="center"/>
          </w:tcPr>
          <w:p>
            <w:pPr>
              <w:pStyle w:val="121"/>
            </w:pPr>
          </w:p>
        </w:tc>
        <w:tc>
          <w:tcPr>
            <w:tcW w:w="1149" w:type="pct"/>
            <w:gridSpan w:val="2"/>
            <w:tcBorders>
              <w:top w:val="nil"/>
              <w:left w:val="nil"/>
              <w:bottom w:val="single" w:color="000000" w:sz="4" w:space="0"/>
              <w:right w:val="nil"/>
            </w:tcBorders>
            <w:shd w:val="clear" w:color="auto" w:fill="FFFFFF"/>
            <w:vAlign w:val="center"/>
          </w:tcPr>
          <w:p>
            <w:pPr>
              <w:pStyle w:val="121"/>
              <w:jc w:val="right"/>
              <w:rPr>
                <w:rFonts w:ascii="黑体" w:eastAsia="黑体"/>
              </w:rPr>
            </w:pPr>
            <w:r>
              <w:rPr>
                <w:rFonts w:hint="eastAsia" w:ascii="黑体" w:eastAsia="黑体"/>
              </w:rPr>
              <w:t>单位为元</w:t>
            </w:r>
          </w:p>
        </w:tc>
      </w:tr>
      <w:tr>
        <w:tblPrEx>
          <w:tblCellMar>
            <w:top w:w="0" w:type="dxa"/>
            <w:left w:w="15" w:type="dxa"/>
            <w:bottom w:w="0" w:type="dxa"/>
            <w:right w:w="15" w:type="dxa"/>
          </w:tblCellMar>
        </w:tblPrEx>
        <w:trPr>
          <w:trHeight w:val="340" w:hRule="atLeast"/>
          <w:jc w:val="center"/>
        </w:trPr>
        <w:tc>
          <w:tcPr>
            <w:tcW w:w="49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r>
              <w:t>序号</w:t>
            </w:r>
          </w:p>
        </w:tc>
        <w:tc>
          <w:tcPr>
            <w:tcW w:w="10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r>
              <w:t>名称及规格</w:t>
            </w:r>
          </w:p>
        </w:tc>
        <w:tc>
          <w:tcPr>
            <w:tcW w:w="73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r>
              <w:t>台时费</w:t>
            </w:r>
          </w:p>
        </w:tc>
        <w:tc>
          <w:tcPr>
            <w:tcW w:w="2709"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r>
              <w:t>其中</w:t>
            </w:r>
          </w:p>
        </w:tc>
      </w:tr>
      <w:tr>
        <w:tblPrEx>
          <w:tblCellMar>
            <w:top w:w="0" w:type="dxa"/>
            <w:left w:w="15" w:type="dxa"/>
            <w:bottom w:w="0" w:type="dxa"/>
            <w:right w:w="15" w:type="dxa"/>
          </w:tblCellMar>
        </w:tblPrEx>
        <w:trPr>
          <w:trHeight w:val="340" w:hRule="atLeast"/>
          <w:jc w:val="center"/>
        </w:trPr>
        <w:tc>
          <w:tcPr>
            <w:tcW w:w="495" w:type="pct"/>
            <w:vMerge w:val="continue"/>
            <w:tcBorders>
              <w:top w:val="single" w:color="000000" w:sz="4" w:space="0"/>
              <w:left w:val="single" w:color="000000" w:sz="4" w:space="0"/>
              <w:bottom w:val="single" w:color="000000" w:sz="4" w:space="0"/>
              <w:right w:val="single" w:color="000000" w:sz="4" w:space="0"/>
            </w:tcBorders>
          </w:tcPr>
          <w:p/>
        </w:tc>
        <w:tc>
          <w:tcPr>
            <w:tcW w:w="1056" w:type="pct"/>
            <w:vMerge w:val="continue"/>
            <w:tcBorders>
              <w:top w:val="single" w:color="000000" w:sz="4" w:space="0"/>
              <w:left w:val="single" w:color="000000" w:sz="4" w:space="0"/>
              <w:bottom w:val="single" w:color="000000" w:sz="4" w:space="0"/>
              <w:right w:val="single" w:color="000000" w:sz="4" w:space="0"/>
            </w:tcBorders>
          </w:tcPr>
          <w:p/>
        </w:tc>
        <w:tc>
          <w:tcPr>
            <w:tcW w:w="738" w:type="pct"/>
            <w:vMerge w:val="continue"/>
            <w:tcBorders>
              <w:top w:val="single" w:color="000000" w:sz="4" w:space="0"/>
              <w:left w:val="single" w:color="000000" w:sz="4" w:space="0"/>
              <w:bottom w:val="single" w:color="000000" w:sz="4" w:space="0"/>
              <w:right w:val="single" w:color="000000" w:sz="4" w:space="0"/>
            </w:tcBorders>
          </w:tc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r>
              <w:t>折旧费</w:t>
            </w: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r>
              <w:t>修理及替换</w:t>
            </w:r>
          </w:p>
          <w:p>
            <w:pPr>
              <w:pStyle w:val="121"/>
            </w:pPr>
            <w:r>
              <w:t>设备费</w:t>
            </w: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r>
              <w:t>安拆费</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r>
              <w:t>人工费</w:t>
            </w: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r>
              <w:t>动力燃料费</w:t>
            </w: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blPrEx>
          <w:tblCellMar>
            <w:top w:w="0" w:type="dxa"/>
            <w:left w:w="15" w:type="dxa"/>
            <w:bottom w:w="0" w:type="dxa"/>
            <w:right w:w="15" w:type="dxa"/>
          </w:tblCellMar>
        </w:tblPrEx>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r>
        <w:trPr>
          <w:trHeight w:val="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10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c>
          <w:tcPr>
            <w:tcW w:w="6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121"/>
            </w:pPr>
          </w:p>
        </w:tc>
      </w:tr>
    </w:tbl>
    <w:p>
      <w:pPr>
        <w:pStyle w:val="121"/>
      </w:pPr>
    </w:p>
    <w:p>
      <w:pPr>
        <w:pStyle w:val="121"/>
        <w:spacing w:before="120" w:beforeLines="50" w:after="120" w:afterLines="50"/>
        <w:rPr>
          <w:rFonts w:ascii="黑体" w:eastAsia="黑体"/>
          <w:sz w:val="21"/>
        </w:rPr>
      </w:pPr>
      <w:r>
        <w:br w:type="page"/>
      </w:r>
      <w:r>
        <w:rPr>
          <w:rFonts w:hint="eastAsia" w:ascii="黑体" w:eastAsia="黑体"/>
          <w:sz w:val="21"/>
        </w:rPr>
        <w:t>附表E.10  主要工程量汇总表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1231"/>
        <w:gridCol w:w="3470"/>
        <w:gridCol w:w="999"/>
        <w:gridCol w:w="2495"/>
        <w:gridCol w:w="11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序号</w:t>
            </w:r>
          </w:p>
        </w:tc>
        <w:tc>
          <w:tcPr>
            <w:tcW w:w="1865" w:type="pct"/>
            <w:shd w:val="clear" w:color="auto" w:fill="FFFFFF"/>
            <w:vAlign w:val="center"/>
          </w:tcPr>
          <w:p>
            <w:pPr>
              <w:pStyle w:val="121"/>
            </w:pPr>
            <w:r>
              <w:t>工程名称</w:t>
            </w:r>
          </w:p>
        </w:tc>
        <w:tc>
          <w:tcPr>
            <w:tcW w:w="537" w:type="pct"/>
            <w:shd w:val="clear" w:color="auto" w:fill="FFFFFF"/>
            <w:vAlign w:val="center"/>
          </w:tcPr>
          <w:p>
            <w:pPr>
              <w:pStyle w:val="121"/>
            </w:pPr>
            <w:r>
              <w:t>单位</w:t>
            </w:r>
          </w:p>
        </w:tc>
        <w:tc>
          <w:tcPr>
            <w:tcW w:w="1341" w:type="pct"/>
            <w:shd w:val="clear" w:color="auto" w:fill="FFFFFF"/>
            <w:vAlign w:val="center"/>
          </w:tcPr>
          <w:p>
            <w:pPr>
              <w:pStyle w:val="121"/>
            </w:pPr>
            <w:r>
              <w:t>工程量</w:t>
            </w:r>
          </w:p>
        </w:tc>
        <w:tc>
          <w:tcPr>
            <w:tcW w:w="593" w:type="pct"/>
            <w:shd w:val="clear" w:color="auto" w:fill="FFFFFF"/>
            <w:vAlign w:val="center"/>
          </w:tcPr>
          <w:p>
            <w:pPr>
              <w:pStyle w:val="121"/>
            </w:pPr>
            <w: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1</w:t>
            </w:r>
          </w:p>
        </w:tc>
        <w:tc>
          <w:tcPr>
            <w:tcW w:w="1865" w:type="pct"/>
            <w:shd w:val="clear" w:color="auto" w:fill="FFFFFF"/>
            <w:vAlign w:val="center"/>
          </w:tcPr>
          <w:p>
            <w:pPr>
              <w:pStyle w:val="121"/>
            </w:pPr>
            <w:r>
              <w:t>抗滑桩工程</w:t>
            </w: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1.1</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1.2</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1.3</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62" w:type="pct"/>
            <w:shd w:val="clear" w:color="auto" w:fill="FFFFFF"/>
            <w:vAlign w:val="center"/>
          </w:tcPr>
          <w:p>
            <w:pPr>
              <w:pStyle w:val="121"/>
            </w:pPr>
            <w:r>
              <w:t>2</w:t>
            </w:r>
          </w:p>
        </w:tc>
        <w:tc>
          <w:tcPr>
            <w:tcW w:w="1865" w:type="pct"/>
            <w:shd w:val="clear" w:color="auto" w:fill="FFFFFF"/>
            <w:vAlign w:val="center"/>
          </w:tcPr>
          <w:p>
            <w:pPr>
              <w:pStyle w:val="121"/>
            </w:pPr>
            <w:r>
              <w:t>格构护坡工程</w:t>
            </w: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2.1</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62" w:type="pct"/>
            <w:shd w:val="clear" w:color="auto" w:fill="FFFFFF"/>
            <w:vAlign w:val="center"/>
          </w:tcPr>
          <w:p>
            <w:pPr>
              <w:pStyle w:val="121"/>
            </w:pPr>
            <w:r>
              <w:t>2.2</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2.3</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3</w:t>
            </w:r>
          </w:p>
        </w:tc>
        <w:tc>
          <w:tcPr>
            <w:tcW w:w="1865" w:type="pct"/>
            <w:shd w:val="clear" w:color="auto" w:fill="FFFFFF"/>
            <w:vAlign w:val="center"/>
          </w:tcPr>
          <w:p>
            <w:pPr>
              <w:pStyle w:val="121"/>
            </w:pPr>
            <w:r>
              <w:t>挡土墙工程</w:t>
            </w: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3.1</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3.2</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3.3</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4</w:t>
            </w:r>
          </w:p>
        </w:tc>
        <w:tc>
          <w:tcPr>
            <w:tcW w:w="1865" w:type="pct"/>
            <w:shd w:val="clear" w:color="auto" w:fill="FFFFFF"/>
            <w:vAlign w:val="center"/>
          </w:tcPr>
          <w:p>
            <w:pPr>
              <w:pStyle w:val="121"/>
            </w:pPr>
            <w:r>
              <w:t>排水沟工程</w:t>
            </w: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62" w:type="pct"/>
            <w:shd w:val="clear" w:color="auto" w:fill="FFFFFF"/>
            <w:vAlign w:val="center"/>
          </w:tcPr>
          <w:p>
            <w:pPr>
              <w:pStyle w:val="121"/>
            </w:pPr>
            <w:r>
              <w:t>4.1</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4.2</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4.3</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62" w:type="pct"/>
            <w:shd w:val="clear" w:color="auto" w:fill="FFFFFF"/>
            <w:vAlign w:val="center"/>
          </w:tcPr>
          <w:p>
            <w:pPr>
              <w:pStyle w:val="121"/>
            </w:pPr>
            <w:r>
              <w:t>……</w:t>
            </w: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62" w:type="pct"/>
            <w:shd w:val="clear" w:color="auto" w:fill="FFFFFF"/>
            <w:vAlign w:val="center"/>
          </w:tcPr>
          <w:p>
            <w:pPr>
              <w:pStyle w:val="121"/>
            </w:pP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865" w:type="pct"/>
            <w:shd w:val="clear" w:color="auto" w:fill="FFFFFF"/>
            <w:vAlign w:val="center"/>
          </w:tcPr>
          <w:p>
            <w:pPr>
              <w:pStyle w:val="121"/>
            </w:pPr>
          </w:p>
        </w:tc>
        <w:tc>
          <w:tcPr>
            <w:tcW w:w="537" w:type="pct"/>
            <w:shd w:val="clear" w:color="auto" w:fill="FFFFFF"/>
            <w:vAlign w:val="center"/>
          </w:tcPr>
          <w:p>
            <w:pPr>
              <w:pStyle w:val="121"/>
            </w:pPr>
          </w:p>
        </w:tc>
        <w:tc>
          <w:tcPr>
            <w:tcW w:w="1341" w:type="pct"/>
            <w:shd w:val="clear" w:color="auto" w:fill="FFFFFF"/>
            <w:vAlign w:val="center"/>
          </w:tcPr>
          <w:p>
            <w:pPr>
              <w:pStyle w:val="121"/>
            </w:pPr>
          </w:p>
        </w:tc>
        <w:tc>
          <w:tcPr>
            <w:tcW w:w="593" w:type="pct"/>
            <w:shd w:val="clear" w:color="auto" w:fill="FFFFFF"/>
            <w:vAlign w:val="center"/>
          </w:tcPr>
          <w:p>
            <w:pPr>
              <w:pStyle w:val="121"/>
            </w:pPr>
          </w:p>
        </w:tc>
      </w:tr>
    </w:tbl>
    <w:p>
      <w:pPr>
        <w:pStyle w:val="121"/>
        <w:spacing w:before="120" w:beforeLines="50" w:after="120" w:afterLines="50"/>
        <w:rPr>
          <w:rFonts w:ascii="黑体" w:eastAsia="黑体"/>
          <w:sz w:val="21"/>
          <w:szCs w:val="21"/>
        </w:rPr>
      </w:pPr>
      <w:r>
        <w:br w:type="page"/>
      </w:r>
      <w:r>
        <w:rPr>
          <w:rFonts w:hint="eastAsia" w:ascii="黑体" w:eastAsia="黑体"/>
          <w:sz w:val="21"/>
          <w:szCs w:val="21"/>
        </w:rPr>
        <w:t>附表E.11  主要材料量汇总表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1165"/>
        <w:gridCol w:w="2144"/>
        <w:gridCol w:w="998"/>
        <w:gridCol w:w="832"/>
        <w:gridCol w:w="998"/>
        <w:gridCol w:w="998"/>
        <w:gridCol w:w="1165"/>
        <w:gridCol w:w="9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序号</w:t>
            </w:r>
          </w:p>
        </w:tc>
        <w:tc>
          <w:tcPr>
            <w:tcW w:w="1152" w:type="pct"/>
            <w:shd w:val="clear" w:color="auto" w:fill="FFFFFF"/>
            <w:vAlign w:val="center"/>
          </w:tcPr>
          <w:p>
            <w:pPr>
              <w:pStyle w:val="121"/>
            </w:pPr>
            <w:r>
              <w:t>项目</w:t>
            </w:r>
          </w:p>
        </w:tc>
        <w:tc>
          <w:tcPr>
            <w:tcW w:w="536" w:type="pct"/>
            <w:shd w:val="clear" w:color="auto" w:fill="FFFFFF"/>
            <w:vAlign w:val="center"/>
          </w:tcPr>
          <w:p>
            <w:pPr>
              <w:pStyle w:val="121"/>
            </w:pPr>
            <w:r>
              <w:t>水泥</w:t>
            </w:r>
          </w:p>
          <w:p>
            <w:pPr>
              <w:pStyle w:val="121"/>
            </w:pPr>
            <w:r>
              <w:t>t</w:t>
            </w:r>
          </w:p>
        </w:tc>
        <w:tc>
          <w:tcPr>
            <w:tcW w:w="447" w:type="pct"/>
            <w:shd w:val="clear" w:color="auto" w:fill="FFFFFF"/>
            <w:vAlign w:val="center"/>
          </w:tcPr>
          <w:p>
            <w:pPr>
              <w:pStyle w:val="121"/>
            </w:pPr>
            <w:r>
              <w:t>钢筋</w:t>
            </w:r>
          </w:p>
          <w:p>
            <w:pPr>
              <w:pStyle w:val="121"/>
            </w:pPr>
            <w:r>
              <w:t>t</w:t>
            </w:r>
          </w:p>
        </w:tc>
        <w:tc>
          <w:tcPr>
            <w:tcW w:w="536" w:type="pct"/>
            <w:shd w:val="clear" w:color="auto" w:fill="FFFFFF"/>
            <w:vAlign w:val="center"/>
          </w:tcPr>
          <w:p>
            <w:pPr>
              <w:pStyle w:val="121"/>
            </w:pPr>
            <w:r>
              <w:t>碎石</w:t>
            </w:r>
          </w:p>
          <w:p>
            <w:pPr>
              <w:pStyle w:val="121"/>
            </w:pPr>
            <w:r>
              <w:t>m</w:t>
            </w:r>
            <w:r>
              <w:rPr>
                <w:vertAlign w:val="superscript"/>
              </w:rPr>
              <w:t>3</w:t>
            </w:r>
          </w:p>
        </w:tc>
        <w:tc>
          <w:tcPr>
            <w:tcW w:w="536" w:type="pct"/>
            <w:shd w:val="clear" w:color="auto" w:fill="FFFFFF"/>
            <w:vAlign w:val="center"/>
          </w:tcPr>
          <w:p>
            <w:pPr>
              <w:pStyle w:val="121"/>
            </w:pPr>
            <w:r>
              <w:t>汽油</w:t>
            </w:r>
          </w:p>
          <w:p>
            <w:pPr>
              <w:pStyle w:val="121"/>
            </w:pPr>
            <w:r>
              <w:t>t</w:t>
            </w:r>
          </w:p>
        </w:tc>
        <w:tc>
          <w:tcPr>
            <w:tcW w:w="626" w:type="pct"/>
            <w:shd w:val="clear" w:color="auto" w:fill="FFFFFF"/>
            <w:vAlign w:val="center"/>
          </w:tcPr>
          <w:p>
            <w:pPr>
              <w:pStyle w:val="121"/>
            </w:pPr>
            <w:r>
              <w:t>柴油</w:t>
            </w:r>
          </w:p>
          <w:p>
            <w:pPr>
              <w:pStyle w:val="121"/>
            </w:pPr>
            <w:r>
              <w:t>t</w:t>
            </w:r>
          </w:p>
        </w:tc>
        <w:tc>
          <w:tcPr>
            <w:tcW w:w="536" w:type="pct"/>
            <w:shd w:val="clear" w:color="auto" w:fill="FFFFFF"/>
            <w:vAlign w:val="center"/>
          </w:tcPr>
          <w:p>
            <w:pPr>
              <w:pStyle w:val="121"/>
            </w:pPr>
            <w: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p>
        </w:tc>
        <w:tc>
          <w:tcPr>
            <w:tcW w:w="1152" w:type="pct"/>
            <w:shd w:val="clear" w:color="auto" w:fill="FFFFFF"/>
            <w:vAlign w:val="center"/>
          </w:tcPr>
          <w:p>
            <w:pPr>
              <w:pStyle w:val="121"/>
            </w:pPr>
            <w:r>
              <w:t>第一部分建筑工程</w:t>
            </w: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1</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1.1</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1.2</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1.3</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1.4</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2</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2.1</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2.2</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2.3</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3</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3.1</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3.2</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3.3</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4</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4.1</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4.2</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4.3</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r>
              <w:t>……</w:t>
            </w: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p>
        </w:tc>
        <w:tc>
          <w:tcPr>
            <w:tcW w:w="1152" w:type="pct"/>
            <w:shd w:val="clear" w:color="auto" w:fill="FFFFFF"/>
            <w:vAlign w:val="center"/>
          </w:tcPr>
          <w:p>
            <w:pPr>
              <w:pStyle w:val="121"/>
            </w:pPr>
            <w:r>
              <w:t>合计</w:t>
            </w: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shd w:val="clear" w:color="auto" w:fill="FFFFFF"/>
            <w:vAlign w:val="center"/>
          </w:tcPr>
          <w:p>
            <w:pPr>
              <w:pStyle w:val="121"/>
            </w:pPr>
          </w:p>
        </w:tc>
        <w:tc>
          <w:tcPr>
            <w:tcW w:w="1152" w:type="pct"/>
            <w:shd w:val="clear" w:color="auto" w:fill="FFFFFF"/>
            <w:vAlign w:val="center"/>
          </w:tcPr>
          <w:p>
            <w:pPr>
              <w:pStyle w:val="121"/>
            </w:pPr>
          </w:p>
        </w:tc>
        <w:tc>
          <w:tcPr>
            <w:tcW w:w="536" w:type="pct"/>
            <w:shd w:val="clear" w:color="auto" w:fill="FFFFFF"/>
            <w:vAlign w:val="center"/>
          </w:tcPr>
          <w:p>
            <w:pPr>
              <w:pStyle w:val="121"/>
            </w:pPr>
          </w:p>
        </w:tc>
        <w:tc>
          <w:tcPr>
            <w:tcW w:w="447" w:type="pct"/>
            <w:shd w:val="clear" w:color="auto" w:fill="FFFFFF"/>
            <w:vAlign w:val="center"/>
          </w:tcPr>
          <w:p>
            <w:pPr>
              <w:pStyle w:val="121"/>
            </w:pPr>
          </w:p>
        </w:tc>
        <w:tc>
          <w:tcPr>
            <w:tcW w:w="536" w:type="pct"/>
            <w:shd w:val="clear" w:color="auto" w:fill="FFFFFF"/>
            <w:vAlign w:val="center"/>
          </w:tcPr>
          <w:p>
            <w:pPr>
              <w:pStyle w:val="121"/>
            </w:pPr>
          </w:p>
        </w:tc>
        <w:tc>
          <w:tcPr>
            <w:tcW w:w="536" w:type="pct"/>
            <w:shd w:val="clear" w:color="auto" w:fill="FFFFFF"/>
            <w:vAlign w:val="center"/>
          </w:tcPr>
          <w:p>
            <w:pPr>
              <w:pStyle w:val="121"/>
            </w:pPr>
          </w:p>
        </w:tc>
        <w:tc>
          <w:tcPr>
            <w:tcW w:w="626" w:type="pct"/>
            <w:shd w:val="clear" w:color="auto" w:fill="FFFFFF"/>
            <w:vAlign w:val="center"/>
          </w:tcPr>
          <w:p>
            <w:pPr>
              <w:pStyle w:val="121"/>
            </w:pPr>
          </w:p>
        </w:tc>
        <w:tc>
          <w:tcPr>
            <w:tcW w:w="536"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26" w:type="pct"/>
            <w:vAlign w:val="center"/>
          </w:tcPr>
          <w:p>
            <w:pPr>
              <w:pStyle w:val="121"/>
            </w:pPr>
          </w:p>
        </w:tc>
        <w:tc>
          <w:tcPr>
            <w:tcW w:w="1152" w:type="pct"/>
            <w:vAlign w:val="center"/>
          </w:tcPr>
          <w:p>
            <w:pPr>
              <w:pStyle w:val="121"/>
            </w:pPr>
          </w:p>
        </w:tc>
        <w:tc>
          <w:tcPr>
            <w:tcW w:w="536" w:type="pct"/>
            <w:vAlign w:val="center"/>
          </w:tcPr>
          <w:p>
            <w:pPr>
              <w:pStyle w:val="121"/>
            </w:pPr>
          </w:p>
        </w:tc>
        <w:tc>
          <w:tcPr>
            <w:tcW w:w="447" w:type="pct"/>
            <w:vAlign w:val="center"/>
          </w:tcPr>
          <w:p>
            <w:pPr>
              <w:pStyle w:val="121"/>
            </w:pPr>
          </w:p>
        </w:tc>
        <w:tc>
          <w:tcPr>
            <w:tcW w:w="536" w:type="pct"/>
            <w:vAlign w:val="center"/>
          </w:tcPr>
          <w:p>
            <w:pPr>
              <w:pStyle w:val="121"/>
            </w:pPr>
          </w:p>
        </w:tc>
        <w:tc>
          <w:tcPr>
            <w:tcW w:w="536" w:type="pct"/>
            <w:vAlign w:val="center"/>
          </w:tcPr>
          <w:p>
            <w:pPr>
              <w:pStyle w:val="121"/>
            </w:pPr>
          </w:p>
        </w:tc>
        <w:tc>
          <w:tcPr>
            <w:tcW w:w="626" w:type="pct"/>
            <w:vAlign w:val="center"/>
          </w:tcPr>
          <w:p>
            <w:pPr>
              <w:pStyle w:val="121"/>
            </w:pPr>
          </w:p>
        </w:tc>
        <w:tc>
          <w:tcPr>
            <w:tcW w:w="536" w:type="pct"/>
            <w:vAlign w:val="center"/>
          </w:tcPr>
          <w:p>
            <w:pPr>
              <w:pStyle w:val="121"/>
            </w:pPr>
          </w:p>
        </w:tc>
      </w:tr>
    </w:tbl>
    <w:p>
      <w:pPr>
        <w:pStyle w:val="121"/>
        <w:spacing w:before="120" w:beforeLines="50" w:after="120" w:afterLines="50"/>
        <w:rPr>
          <w:rFonts w:ascii="黑体" w:eastAsia="黑体"/>
          <w:sz w:val="21"/>
        </w:rPr>
      </w:pPr>
      <w:r>
        <w:br w:type="page"/>
      </w:r>
      <w:r>
        <w:rPr>
          <w:rFonts w:hint="eastAsia" w:ascii="黑体" w:eastAsia="黑体"/>
          <w:sz w:val="21"/>
        </w:rPr>
        <w:t>附表E.12  工时数量汇总表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567"/>
        <w:gridCol w:w="1626"/>
        <w:gridCol w:w="1263"/>
        <w:gridCol w:w="1105"/>
        <w:gridCol w:w="1105"/>
        <w:gridCol w:w="1263"/>
        <w:gridCol w:w="1263"/>
        <w:gridCol w:w="11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序号</w:t>
            </w:r>
          </w:p>
        </w:tc>
        <w:tc>
          <w:tcPr>
            <w:tcW w:w="874" w:type="pct"/>
            <w:shd w:val="clear" w:color="auto" w:fill="FFFFFF"/>
            <w:vAlign w:val="center"/>
          </w:tcPr>
          <w:p>
            <w:pPr>
              <w:pStyle w:val="121"/>
            </w:pPr>
            <w:r>
              <w:t>项目</w:t>
            </w:r>
          </w:p>
        </w:tc>
        <w:tc>
          <w:tcPr>
            <w:tcW w:w="679" w:type="pct"/>
            <w:shd w:val="clear" w:color="auto" w:fill="FFFFFF"/>
            <w:vAlign w:val="center"/>
          </w:tcPr>
          <w:p>
            <w:pPr>
              <w:pStyle w:val="121"/>
            </w:pPr>
            <w:r>
              <w:t>合计</w:t>
            </w:r>
          </w:p>
        </w:tc>
        <w:tc>
          <w:tcPr>
            <w:tcW w:w="594" w:type="pct"/>
            <w:shd w:val="clear" w:color="auto" w:fill="FFFFFF"/>
            <w:vAlign w:val="center"/>
          </w:tcPr>
          <w:p>
            <w:pPr>
              <w:pStyle w:val="121"/>
            </w:pPr>
            <w:r>
              <w:t>工长</w:t>
            </w:r>
          </w:p>
        </w:tc>
        <w:tc>
          <w:tcPr>
            <w:tcW w:w="594" w:type="pct"/>
            <w:shd w:val="clear" w:color="auto" w:fill="FFFFFF"/>
            <w:vAlign w:val="center"/>
          </w:tcPr>
          <w:p>
            <w:pPr>
              <w:pStyle w:val="121"/>
            </w:pPr>
            <w:r>
              <w:t>高级工</w:t>
            </w:r>
          </w:p>
        </w:tc>
        <w:tc>
          <w:tcPr>
            <w:tcW w:w="679" w:type="pct"/>
            <w:shd w:val="clear" w:color="auto" w:fill="FFFFFF"/>
            <w:vAlign w:val="center"/>
          </w:tcPr>
          <w:p>
            <w:pPr>
              <w:pStyle w:val="121"/>
            </w:pPr>
            <w:r>
              <w:t>中级工</w:t>
            </w:r>
          </w:p>
        </w:tc>
        <w:tc>
          <w:tcPr>
            <w:tcW w:w="679" w:type="pct"/>
            <w:shd w:val="clear" w:color="auto" w:fill="FFFFFF"/>
            <w:vAlign w:val="center"/>
          </w:tcPr>
          <w:p>
            <w:pPr>
              <w:pStyle w:val="121"/>
            </w:pPr>
            <w:r>
              <w:t>初级工</w:t>
            </w:r>
          </w:p>
        </w:tc>
        <w:tc>
          <w:tcPr>
            <w:tcW w:w="594" w:type="pct"/>
            <w:shd w:val="clear" w:color="auto" w:fill="FFFFFF"/>
            <w:vAlign w:val="center"/>
          </w:tcPr>
          <w:p>
            <w:pPr>
              <w:pStyle w:val="121"/>
            </w:pPr>
            <w: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1</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1.1</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1.2</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1.3</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1.4</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2</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2.1</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2.2</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2.3</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3</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3.1</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3.2</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3.3</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4</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4.1</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4.2</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4.3</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r>
              <w:t>……</w:t>
            </w: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p>
        </w:tc>
        <w:tc>
          <w:tcPr>
            <w:tcW w:w="874"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305" w:type="pct"/>
            <w:shd w:val="clear" w:color="auto" w:fill="FFFFFF"/>
            <w:vAlign w:val="center"/>
          </w:tcPr>
          <w:p>
            <w:pPr>
              <w:pStyle w:val="121"/>
            </w:pPr>
          </w:p>
        </w:tc>
        <w:tc>
          <w:tcPr>
            <w:tcW w:w="874" w:type="pct"/>
            <w:shd w:val="clear" w:color="auto" w:fill="FFFFFF"/>
            <w:vAlign w:val="center"/>
          </w:tcPr>
          <w:p>
            <w:pPr>
              <w:pStyle w:val="121"/>
            </w:pPr>
            <w:r>
              <w:t>合计</w:t>
            </w:r>
          </w:p>
        </w:tc>
        <w:tc>
          <w:tcPr>
            <w:tcW w:w="679" w:type="pct"/>
            <w:shd w:val="clear" w:color="auto" w:fill="FFFFFF"/>
            <w:vAlign w:val="center"/>
          </w:tcPr>
          <w:p>
            <w:pPr>
              <w:pStyle w:val="121"/>
            </w:pPr>
          </w:p>
        </w:tc>
        <w:tc>
          <w:tcPr>
            <w:tcW w:w="594" w:type="pct"/>
            <w:shd w:val="clear" w:color="auto" w:fill="FFFFFF"/>
            <w:vAlign w:val="center"/>
          </w:tcPr>
          <w:p>
            <w:pPr>
              <w:pStyle w:val="121"/>
            </w:pPr>
          </w:p>
        </w:tc>
        <w:tc>
          <w:tcPr>
            <w:tcW w:w="594" w:type="pct"/>
            <w:shd w:val="clear" w:color="auto" w:fill="FFFFFF"/>
            <w:vAlign w:val="center"/>
          </w:tcPr>
          <w:p>
            <w:pPr>
              <w:pStyle w:val="121"/>
            </w:pPr>
          </w:p>
        </w:tc>
        <w:tc>
          <w:tcPr>
            <w:tcW w:w="679" w:type="pct"/>
            <w:shd w:val="clear" w:color="auto" w:fill="FFFFFF"/>
            <w:vAlign w:val="center"/>
          </w:tcPr>
          <w:p>
            <w:pPr>
              <w:pStyle w:val="121"/>
            </w:pPr>
          </w:p>
        </w:tc>
        <w:tc>
          <w:tcPr>
            <w:tcW w:w="679" w:type="pct"/>
            <w:shd w:val="clear" w:color="auto" w:fill="FFFFFF"/>
            <w:vAlign w:val="center"/>
          </w:tcPr>
          <w:p>
            <w:pPr>
              <w:pStyle w:val="121"/>
            </w:pPr>
          </w:p>
        </w:tc>
        <w:tc>
          <w:tcPr>
            <w:tcW w:w="594" w:type="pct"/>
            <w:shd w:val="clear" w:color="auto" w:fill="FFFFFF"/>
            <w:vAlign w:val="center"/>
          </w:tcPr>
          <w:p>
            <w:pPr>
              <w:pStyle w:val="121"/>
            </w:pPr>
          </w:p>
        </w:tc>
      </w:tr>
    </w:tbl>
    <w:p>
      <w:pPr>
        <w:pStyle w:val="121"/>
        <w:spacing w:before="120" w:beforeLines="50" w:after="120" w:afterLines="50"/>
        <w:rPr>
          <w:rFonts w:ascii="黑体" w:eastAsia="黑体"/>
          <w:sz w:val="21"/>
        </w:rPr>
      </w:pPr>
      <w:r>
        <w:br w:type="page"/>
      </w:r>
      <w:r>
        <w:rPr>
          <w:rFonts w:hint="eastAsia" w:ascii="黑体" w:eastAsia="黑体"/>
          <w:sz w:val="21"/>
        </w:rPr>
        <w:t>附表E.13  人工材料汇总表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1232"/>
        <w:gridCol w:w="3077"/>
        <w:gridCol w:w="1663"/>
        <w:gridCol w:w="1663"/>
        <w:gridCol w:w="16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r>
              <w:t>序号</w:t>
            </w:r>
          </w:p>
        </w:tc>
        <w:tc>
          <w:tcPr>
            <w:tcW w:w="1654" w:type="pct"/>
            <w:shd w:val="clear" w:color="auto" w:fill="FFFFFF"/>
            <w:vAlign w:val="center"/>
          </w:tcPr>
          <w:p>
            <w:pPr>
              <w:pStyle w:val="121"/>
            </w:pPr>
            <w:r>
              <w:t>名称</w:t>
            </w:r>
          </w:p>
        </w:tc>
        <w:tc>
          <w:tcPr>
            <w:tcW w:w="894" w:type="pct"/>
            <w:shd w:val="clear" w:color="auto" w:fill="FFFFFF"/>
            <w:vAlign w:val="center"/>
          </w:tcPr>
          <w:p>
            <w:pPr>
              <w:pStyle w:val="121"/>
            </w:pPr>
            <w:r>
              <w:t>单位</w:t>
            </w:r>
          </w:p>
        </w:tc>
        <w:tc>
          <w:tcPr>
            <w:tcW w:w="894" w:type="pct"/>
            <w:shd w:val="clear" w:color="auto" w:fill="FFFFFF"/>
            <w:vAlign w:val="center"/>
          </w:tcPr>
          <w:p>
            <w:pPr>
              <w:pStyle w:val="121"/>
            </w:pPr>
            <w:r>
              <w:t>预算价</w:t>
            </w:r>
          </w:p>
        </w:tc>
        <w:tc>
          <w:tcPr>
            <w:tcW w:w="894" w:type="pct"/>
            <w:shd w:val="clear" w:color="auto" w:fill="FFFFFF"/>
            <w:vAlign w:val="center"/>
          </w:tcPr>
          <w:p>
            <w:pPr>
              <w:pStyle w:val="121"/>
            </w:pPr>
            <w:r>
              <w:t>总用量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662" w:type="pct"/>
            <w:shd w:val="clear" w:color="auto" w:fill="FFFFFF"/>
            <w:vAlign w:val="center"/>
          </w:tcPr>
          <w:p>
            <w:pPr>
              <w:pStyle w:val="121"/>
            </w:pPr>
          </w:p>
        </w:tc>
        <w:tc>
          <w:tcPr>
            <w:tcW w:w="165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c>
          <w:tcPr>
            <w:tcW w:w="894" w:type="pct"/>
            <w:shd w:val="clear" w:color="auto" w:fill="FFFFFF"/>
            <w:vAlign w:val="center"/>
          </w:tcPr>
          <w:p>
            <w:pPr>
              <w:pStyle w:val="121"/>
            </w:pPr>
          </w:p>
        </w:tc>
      </w:tr>
    </w:tbl>
    <w:p>
      <w:pPr>
        <w:pStyle w:val="121"/>
        <w:spacing w:before="120" w:beforeLines="50" w:after="120" w:afterLines="50"/>
        <w:rPr>
          <w:rFonts w:ascii="黑体" w:eastAsia="黑体"/>
          <w:sz w:val="21"/>
        </w:rPr>
      </w:pPr>
      <w:r>
        <w:br w:type="page"/>
      </w:r>
      <w:r>
        <w:rPr>
          <w:rFonts w:hint="eastAsia" w:ascii="黑体" w:eastAsia="黑体"/>
          <w:sz w:val="21"/>
        </w:rPr>
        <w:t>附表E.14  混凝土材料单价计算表</w:t>
      </w:r>
    </w:p>
    <w:tbl>
      <w:tblPr>
        <w:tblStyle w:val="3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3151"/>
        <w:gridCol w:w="945"/>
        <w:gridCol w:w="1222"/>
        <w:gridCol w:w="1050"/>
        <w:gridCol w:w="1050"/>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shd w:val="clear" w:color="auto" w:fill="auto"/>
            <w:vAlign w:val="center"/>
          </w:tcPr>
          <w:p>
            <w:pPr>
              <w:spacing w:line="240" w:lineRule="auto"/>
              <w:ind w:firstLine="0"/>
              <w:jc w:val="center"/>
              <w:rPr>
                <w:rFonts w:ascii="Times New Roman" w:hAnsi="Times New Roman" w:cs="Times New Roman"/>
                <w:sz w:val="18"/>
                <w:szCs w:val="18"/>
              </w:rPr>
            </w:pPr>
            <w:r>
              <w:rPr>
                <w:rFonts w:ascii="Times New Roman" w:hAnsi="Times New Roman" w:cs="Times New Roman"/>
                <w:sz w:val="18"/>
                <w:szCs w:val="18"/>
              </w:rPr>
              <w:t>序号</w:t>
            </w:r>
          </w:p>
        </w:tc>
        <w:tc>
          <w:tcPr>
            <w:tcW w:w="1660" w:type="pct"/>
            <w:shd w:val="clear" w:color="auto" w:fill="auto"/>
            <w:vAlign w:val="center"/>
          </w:tcPr>
          <w:p>
            <w:pPr>
              <w:pStyle w:val="121"/>
            </w:pPr>
            <w:r>
              <w:t>名称及规格</w:t>
            </w:r>
          </w:p>
        </w:tc>
        <w:tc>
          <w:tcPr>
            <w:tcW w:w="498" w:type="pct"/>
            <w:shd w:val="clear" w:color="auto" w:fill="auto"/>
            <w:vAlign w:val="center"/>
          </w:tcPr>
          <w:p>
            <w:pPr>
              <w:pStyle w:val="121"/>
            </w:pPr>
            <w:r>
              <w:t>单位</w:t>
            </w:r>
          </w:p>
        </w:tc>
        <w:tc>
          <w:tcPr>
            <w:tcW w:w="644" w:type="pct"/>
            <w:shd w:val="clear" w:color="auto" w:fill="auto"/>
            <w:vAlign w:val="center"/>
          </w:tcPr>
          <w:p>
            <w:pPr>
              <w:pStyle w:val="121"/>
            </w:pPr>
            <w:r>
              <w:t>预算量</w:t>
            </w:r>
          </w:p>
        </w:tc>
        <w:tc>
          <w:tcPr>
            <w:tcW w:w="553" w:type="pct"/>
            <w:shd w:val="clear" w:color="auto" w:fill="auto"/>
            <w:vAlign w:val="center"/>
          </w:tcPr>
          <w:p>
            <w:pPr>
              <w:pStyle w:val="121"/>
            </w:pPr>
            <w:r>
              <w:t>调整</w:t>
            </w:r>
          </w:p>
          <w:p>
            <w:pPr>
              <w:pStyle w:val="121"/>
            </w:pPr>
            <w:r>
              <w:t>系数</w:t>
            </w:r>
          </w:p>
        </w:tc>
        <w:tc>
          <w:tcPr>
            <w:tcW w:w="553" w:type="pct"/>
            <w:shd w:val="clear" w:color="auto" w:fill="auto"/>
            <w:vAlign w:val="center"/>
          </w:tcPr>
          <w:p>
            <w:pPr>
              <w:pStyle w:val="121"/>
            </w:pPr>
            <w:r>
              <w:t>单价</w:t>
            </w:r>
          </w:p>
          <w:p>
            <w:pPr>
              <w:pStyle w:val="121"/>
            </w:pPr>
            <w:r>
              <w:t>元</w:t>
            </w:r>
          </w:p>
        </w:tc>
        <w:tc>
          <w:tcPr>
            <w:tcW w:w="553" w:type="pct"/>
            <w:shd w:val="clear" w:color="auto" w:fill="auto"/>
            <w:vAlign w:val="center"/>
          </w:tcPr>
          <w:p>
            <w:pPr>
              <w:pStyle w:val="121"/>
            </w:pPr>
            <w:r>
              <w:t>合价</w:t>
            </w:r>
          </w:p>
          <w:p>
            <w:pPr>
              <w:pStyle w:val="121"/>
            </w:pPr>
            <w: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5" w:type="pct"/>
            <w:shd w:val="clear" w:color="auto" w:fill="auto"/>
            <w:vAlign w:val="center"/>
          </w:tcPr>
          <w:p>
            <w:pPr>
              <w:pStyle w:val="121"/>
            </w:pPr>
          </w:p>
        </w:tc>
        <w:tc>
          <w:tcPr>
            <w:tcW w:w="1660" w:type="pct"/>
            <w:shd w:val="clear" w:color="auto" w:fill="auto"/>
            <w:vAlign w:val="center"/>
          </w:tcPr>
          <w:p>
            <w:pPr>
              <w:pStyle w:val="121"/>
            </w:pPr>
          </w:p>
        </w:tc>
        <w:tc>
          <w:tcPr>
            <w:tcW w:w="498" w:type="pct"/>
            <w:shd w:val="clear" w:color="auto" w:fill="auto"/>
            <w:vAlign w:val="center"/>
          </w:tcPr>
          <w:p>
            <w:pPr>
              <w:pStyle w:val="121"/>
            </w:pPr>
          </w:p>
        </w:tc>
        <w:tc>
          <w:tcPr>
            <w:tcW w:w="644"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c>
          <w:tcPr>
            <w:tcW w:w="553" w:type="pct"/>
            <w:shd w:val="clear" w:color="auto" w:fill="auto"/>
            <w:vAlign w:val="center"/>
          </w:tcPr>
          <w:p>
            <w:pPr>
              <w:pStyle w:val="121"/>
            </w:pPr>
          </w:p>
        </w:tc>
      </w:tr>
    </w:tbl>
    <w:p>
      <w:pPr>
        <w:pStyle w:val="121"/>
        <w:spacing w:before="120" w:beforeLines="50" w:after="120" w:afterLines="50"/>
        <w:rPr>
          <w:rFonts w:ascii="黑体" w:eastAsia="黑体"/>
          <w:sz w:val="21"/>
        </w:rPr>
      </w:pPr>
      <w:r>
        <w:br w:type="page"/>
      </w:r>
      <w:r>
        <w:rPr>
          <w:rFonts w:hint="eastAsia" w:ascii="黑体" w:eastAsia="黑体"/>
          <w:sz w:val="21"/>
        </w:rPr>
        <w:t>附表E.15  建筑工程单价表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1320"/>
        <w:gridCol w:w="2610"/>
        <w:gridCol w:w="1577"/>
        <w:gridCol w:w="1140"/>
        <w:gridCol w:w="1304"/>
        <w:gridCol w:w="13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单价编号</w:t>
            </w:r>
          </w:p>
        </w:tc>
        <w:tc>
          <w:tcPr>
            <w:tcW w:w="1403" w:type="pct"/>
            <w:shd w:val="clear" w:color="auto" w:fill="FFFFFF"/>
            <w:vAlign w:val="center"/>
          </w:tcPr>
          <w:p>
            <w:pPr>
              <w:pStyle w:val="121"/>
            </w:pPr>
          </w:p>
        </w:tc>
        <w:tc>
          <w:tcPr>
            <w:tcW w:w="848" w:type="pct"/>
            <w:shd w:val="clear" w:color="auto" w:fill="FFFFFF"/>
            <w:vAlign w:val="center"/>
          </w:tcPr>
          <w:p>
            <w:pPr>
              <w:pStyle w:val="121"/>
            </w:pPr>
            <w:r>
              <w:t>项目名称</w:t>
            </w:r>
          </w:p>
        </w:tc>
        <w:tc>
          <w:tcPr>
            <w:tcW w:w="2036" w:type="pct"/>
            <w:gridSpan w:val="3"/>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0" w:type="pct"/>
            <w:shd w:val="clear" w:color="auto" w:fill="FFFFFF"/>
            <w:vAlign w:val="center"/>
          </w:tcPr>
          <w:p>
            <w:pPr>
              <w:pStyle w:val="121"/>
            </w:pPr>
            <w:r>
              <w:t>定额编号</w:t>
            </w:r>
          </w:p>
        </w:tc>
        <w:tc>
          <w:tcPr>
            <w:tcW w:w="2864" w:type="pct"/>
            <w:gridSpan w:val="3"/>
            <w:shd w:val="clear" w:color="auto" w:fill="FFFFFF"/>
            <w:vAlign w:val="center"/>
          </w:tcPr>
          <w:p>
            <w:pPr>
              <w:pStyle w:val="121"/>
            </w:pPr>
          </w:p>
        </w:tc>
        <w:tc>
          <w:tcPr>
            <w:tcW w:w="701" w:type="pct"/>
            <w:shd w:val="clear" w:color="auto" w:fill="FFFFFF"/>
            <w:vAlign w:val="center"/>
          </w:tcPr>
          <w:p>
            <w:pPr>
              <w:pStyle w:val="121"/>
            </w:pPr>
            <w:r>
              <w:t>定额单位</w:t>
            </w: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施工方法</w:t>
            </w:r>
          </w:p>
        </w:tc>
        <w:tc>
          <w:tcPr>
            <w:tcW w:w="4289" w:type="pct"/>
            <w:gridSpan w:val="5"/>
            <w:shd w:val="clear" w:color="auto" w:fill="FFFFFF"/>
            <w:vAlign w:val="center"/>
          </w:tcPr>
          <w:p>
            <w:pPr>
              <w:pStyle w:val="121"/>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编号</w:t>
            </w:r>
          </w:p>
        </w:tc>
        <w:tc>
          <w:tcPr>
            <w:tcW w:w="1403" w:type="pct"/>
            <w:shd w:val="clear" w:color="auto" w:fill="FFFFFF"/>
            <w:vAlign w:val="center"/>
          </w:tcPr>
          <w:p>
            <w:pPr>
              <w:pStyle w:val="121"/>
            </w:pPr>
            <w:r>
              <w:t>名称及规格</w:t>
            </w:r>
          </w:p>
        </w:tc>
        <w:tc>
          <w:tcPr>
            <w:tcW w:w="848" w:type="pct"/>
            <w:shd w:val="clear" w:color="auto" w:fill="FFFFFF"/>
            <w:vAlign w:val="center"/>
          </w:tcPr>
          <w:p>
            <w:pPr>
              <w:pStyle w:val="121"/>
            </w:pPr>
            <w:r>
              <w:t>单位</w:t>
            </w:r>
          </w:p>
        </w:tc>
        <w:tc>
          <w:tcPr>
            <w:tcW w:w="611" w:type="pct"/>
            <w:shd w:val="clear" w:color="auto" w:fill="FFFFFF"/>
            <w:vAlign w:val="center"/>
          </w:tcPr>
          <w:p>
            <w:pPr>
              <w:pStyle w:val="121"/>
            </w:pPr>
            <w:r>
              <w:t>数量</w:t>
            </w:r>
          </w:p>
        </w:tc>
        <w:tc>
          <w:tcPr>
            <w:tcW w:w="701" w:type="pct"/>
            <w:shd w:val="clear" w:color="auto" w:fill="FFFFFF"/>
            <w:vAlign w:val="center"/>
          </w:tcPr>
          <w:p>
            <w:pPr>
              <w:pStyle w:val="121"/>
            </w:pPr>
            <w:r>
              <w:t>单价</w:t>
            </w:r>
          </w:p>
          <w:p>
            <w:pPr>
              <w:pStyle w:val="121"/>
            </w:pPr>
            <w:r>
              <w:t>元</w:t>
            </w:r>
          </w:p>
        </w:tc>
        <w:tc>
          <w:tcPr>
            <w:tcW w:w="723" w:type="pct"/>
            <w:shd w:val="clear" w:color="auto" w:fill="FFFFFF"/>
            <w:vAlign w:val="center"/>
          </w:tcPr>
          <w:p>
            <w:pPr>
              <w:pStyle w:val="121"/>
            </w:pPr>
            <w:r>
              <w:t>合计</w:t>
            </w:r>
          </w:p>
          <w:p>
            <w:pPr>
              <w:pStyle w:val="121"/>
            </w:pPr>
            <w: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一</w:t>
            </w:r>
          </w:p>
        </w:tc>
        <w:tc>
          <w:tcPr>
            <w:tcW w:w="1403" w:type="pct"/>
            <w:shd w:val="clear" w:color="auto" w:fill="FFFFFF"/>
            <w:vAlign w:val="center"/>
          </w:tcPr>
          <w:p>
            <w:pPr>
              <w:pStyle w:val="121"/>
              <w:jc w:val="left"/>
            </w:pPr>
            <w:r>
              <w:t>直接费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（一）</w:t>
            </w:r>
          </w:p>
        </w:tc>
        <w:tc>
          <w:tcPr>
            <w:tcW w:w="1403" w:type="pct"/>
            <w:shd w:val="clear" w:color="auto" w:fill="FFFFFF"/>
            <w:vAlign w:val="center"/>
          </w:tcPr>
          <w:p>
            <w:pPr>
              <w:pStyle w:val="121"/>
              <w:jc w:val="left"/>
            </w:pPr>
            <w:r>
              <w:t>基本直接费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1</w:t>
            </w:r>
          </w:p>
        </w:tc>
        <w:tc>
          <w:tcPr>
            <w:tcW w:w="1403" w:type="pct"/>
            <w:shd w:val="clear" w:color="auto" w:fill="FFFFFF"/>
            <w:vAlign w:val="center"/>
          </w:tcPr>
          <w:p>
            <w:pPr>
              <w:pStyle w:val="121"/>
              <w:jc w:val="left"/>
            </w:pPr>
            <w:r>
              <w:t>人工费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工长</w:t>
            </w:r>
          </w:p>
        </w:tc>
        <w:tc>
          <w:tcPr>
            <w:tcW w:w="848" w:type="pct"/>
            <w:shd w:val="clear" w:color="auto" w:fill="FFFFFF"/>
            <w:vAlign w:val="center"/>
          </w:tcPr>
          <w:p>
            <w:pPr>
              <w:pStyle w:val="121"/>
            </w:pPr>
            <w:r>
              <w:t>工时</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高级工</w:t>
            </w:r>
          </w:p>
        </w:tc>
        <w:tc>
          <w:tcPr>
            <w:tcW w:w="848" w:type="pct"/>
            <w:shd w:val="clear" w:color="auto" w:fill="FFFFFF"/>
            <w:vAlign w:val="center"/>
          </w:tcPr>
          <w:p>
            <w:pPr>
              <w:pStyle w:val="121"/>
            </w:pPr>
            <w:r>
              <w:t>工时</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中级工</w:t>
            </w:r>
          </w:p>
        </w:tc>
        <w:tc>
          <w:tcPr>
            <w:tcW w:w="848" w:type="pct"/>
            <w:shd w:val="clear" w:color="auto" w:fill="FFFFFF"/>
            <w:vAlign w:val="center"/>
          </w:tcPr>
          <w:p>
            <w:pPr>
              <w:pStyle w:val="121"/>
            </w:pPr>
            <w:r>
              <w:t>工时</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初级工</w:t>
            </w:r>
          </w:p>
        </w:tc>
        <w:tc>
          <w:tcPr>
            <w:tcW w:w="848" w:type="pct"/>
            <w:shd w:val="clear" w:color="auto" w:fill="FFFFFF"/>
            <w:vAlign w:val="center"/>
          </w:tcPr>
          <w:p>
            <w:pPr>
              <w:pStyle w:val="121"/>
            </w:pPr>
            <w:r>
              <w:t>工时</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2</w:t>
            </w:r>
          </w:p>
        </w:tc>
        <w:tc>
          <w:tcPr>
            <w:tcW w:w="1403" w:type="pct"/>
            <w:shd w:val="clear" w:color="auto" w:fill="FFFFFF"/>
            <w:vAlign w:val="center"/>
          </w:tcPr>
          <w:p>
            <w:pPr>
              <w:pStyle w:val="121"/>
              <w:jc w:val="left"/>
            </w:pPr>
            <w:r>
              <w:t>材料费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w:t>
            </w: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其他材料费</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3</w:t>
            </w:r>
          </w:p>
        </w:tc>
        <w:tc>
          <w:tcPr>
            <w:tcW w:w="1403" w:type="pct"/>
            <w:shd w:val="clear" w:color="auto" w:fill="FFFFFF"/>
            <w:vAlign w:val="center"/>
          </w:tcPr>
          <w:p>
            <w:pPr>
              <w:pStyle w:val="121"/>
              <w:jc w:val="left"/>
            </w:pPr>
            <w:r>
              <w:t>机械使用费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w:t>
            </w: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（二）</w:t>
            </w:r>
          </w:p>
        </w:tc>
        <w:tc>
          <w:tcPr>
            <w:tcW w:w="1403" w:type="pct"/>
            <w:shd w:val="clear" w:color="auto" w:fill="FFFFFF"/>
            <w:vAlign w:val="center"/>
          </w:tcPr>
          <w:p>
            <w:pPr>
              <w:pStyle w:val="121"/>
              <w:jc w:val="left"/>
            </w:pPr>
            <w:r>
              <w:t>其他直接费</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二</w:t>
            </w:r>
          </w:p>
        </w:tc>
        <w:tc>
          <w:tcPr>
            <w:tcW w:w="1403" w:type="pct"/>
            <w:shd w:val="clear" w:color="auto" w:fill="FFFFFF"/>
            <w:vAlign w:val="center"/>
          </w:tcPr>
          <w:p>
            <w:pPr>
              <w:pStyle w:val="121"/>
              <w:jc w:val="left"/>
            </w:pPr>
            <w:r>
              <w:t>间接费</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三</w:t>
            </w:r>
          </w:p>
        </w:tc>
        <w:tc>
          <w:tcPr>
            <w:tcW w:w="1403" w:type="pct"/>
            <w:shd w:val="clear" w:color="auto" w:fill="FFFFFF"/>
            <w:vAlign w:val="center"/>
          </w:tcPr>
          <w:p>
            <w:pPr>
              <w:pStyle w:val="121"/>
              <w:jc w:val="left"/>
            </w:pPr>
            <w:r>
              <w:t>利润</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0" w:type="pct"/>
            <w:shd w:val="clear" w:color="auto" w:fill="FFFFFF"/>
            <w:vAlign w:val="center"/>
          </w:tcPr>
          <w:p>
            <w:pPr>
              <w:pStyle w:val="121"/>
            </w:pPr>
            <w:r>
              <w:t>四</w:t>
            </w:r>
          </w:p>
        </w:tc>
        <w:tc>
          <w:tcPr>
            <w:tcW w:w="1403" w:type="pct"/>
            <w:shd w:val="clear" w:color="auto" w:fill="FFFFFF"/>
            <w:vAlign w:val="center"/>
          </w:tcPr>
          <w:p>
            <w:pPr>
              <w:pStyle w:val="121"/>
              <w:jc w:val="left"/>
            </w:pPr>
            <w:r>
              <w:t>材料补差</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w:t>
            </w: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五</w:t>
            </w:r>
          </w:p>
        </w:tc>
        <w:tc>
          <w:tcPr>
            <w:tcW w:w="1403" w:type="pct"/>
            <w:shd w:val="clear" w:color="auto" w:fill="FFFFFF"/>
            <w:vAlign w:val="center"/>
          </w:tcPr>
          <w:p>
            <w:pPr>
              <w:pStyle w:val="121"/>
              <w:jc w:val="left"/>
            </w:pPr>
            <w:r>
              <w:t>税金</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合计</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bl>
    <w:p>
      <w:pPr>
        <w:pStyle w:val="121"/>
        <w:spacing w:before="120" w:beforeLines="50" w:after="120" w:afterLines="50"/>
        <w:rPr>
          <w:rFonts w:ascii="黑体" w:eastAsia="黑体"/>
          <w:sz w:val="21"/>
        </w:rPr>
      </w:pPr>
      <w:r>
        <w:br w:type="page"/>
      </w:r>
      <w:r>
        <w:rPr>
          <w:rFonts w:hint="eastAsia" w:ascii="黑体" w:eastAsia="黑体"/>
          <w:sz w:val="21"/>
        </w:rPr>
        <w:t>附表E.16  安装工程单价表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1320"/>
        <w:gridCol w:w="2610"/>
        <w:gridCol w:w="1577"/>
        <w:gridCol w:w="1140"/>
        <w:gridCol w:w="1304"/>
        <w:gridCol w:w="13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单价编号</w:t>
            </w:r>
          </w:p>
        </w:tc>
        <w:tc>
          <w:tcPr>
            <w:tcW w:w="1403" w:type="pct"/>
            <w:shd w:val="clear" w:color="auto" w:fill="FFFFFF"/>
            <w:vAlign w:val="center"/>
          </w:tcPr>
          <w:p>
            <w:pPr>
              <w:pStyle w:val="121"/>
            </w:pPr>
          </w:p>
        </w:tc>
        <w:tc>
          <w:tcPr>
            <w:tcW w:w="848" w:type="pct"/>
            <w:shd w:val="clear" w:color="auto" w:fill="FFFFFF"/>
            <w:vAlign w:val="center"/>
          </w:tcPr>
          <w:p>
            <w:pPr>
              <w:pStyle w:val="121"/>
            </w:pPr>
            <w:r>
              <w:t>项目名称</w:t>
            </w:r>
          </w:p>
        </w:tc>
        <w:tc>
          <w:tcPr>
            <w:tcW w:w="2036" w:type="pct"/>
            <w:gridSpan w:val="3"/>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定额编号</w:t>
            </w:r>
          </w:p>
        </w:tc>
        <w:tc>
          <w:tcPr>
            <w:tcW w:w="2864" w:type="pct"/>
            <w:gridSpan w:val="3"/>
            <w:shd w:val="clear" w:color="auto" w:fill="FFFFFF"/>
            <w:vAlign w:val="center"/>
          </w:tcPr>
          <w:p>
            <w:pPr>
              <w:pStyle w:val="121"/>
            </w:pPr>
          </w:p>
        </w:tc>
        <w:tc>
          <w:tcPr>
            <w:tcW w:w="701" w:type="pct"/>
            <w:shd w:val="clear" w:color="auto" w:fill="FFFFFF"/>
            <w:vAlign w:val="center"/>
          </w:tcPr>
          <w:p>
            <w:pPr>
              <w:pStyle w:val="121"/>
            </w:pPr>
            <w:r>
              <w:t>定额单位</w:t>
            </w: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型号规格</w:t>
            </w:r>
          </w:p>
        </w:tc>
        <w:tc>
          <w:tcPr>
            <w:tcW w:w="4289" w:type="pct"/>
            <w:gridSpan w:val="5"/>
            <w:shd w:val="clear" w:color="auto" w:fill="FFFFFF"/>
            <w:vAlign w:val="center"/>
          </w:tcPr>
          <w:p>
            <w:pPr>
              <w:pStyle w:val="121"/>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编号</w:t>
            </w:r>
          </w:p>
        </w:tc>
        <w:tc>
          <w:tcPr>
            <w:tcW w:w="1403" w:type="pct"/>
            <w:shd w:val="clear" w:color="auto" w:fill="FFFFFF"/>
            <w:vAlign w:val="center"/>
          </w:tcPr>
          <w:p>
            <w:pPr>
              <w:pStyle w:val="121"/>
            </w:pPr>
            <w:r>
              <w:t>名称及规格</w:t>
            </w:r>
          </w:p>
        </w:tc>
        <w:tc>
          <w:tcPr>
            <w:tcW w:w="848" w:type="pct"/>
            <w:shd w:val="clear" w:color="auto" w:fill="FFFFFF"/>
            <w:vAlign w:val="center"/>
          </w:tcPr>
          <w:p>
            <w:pPr>
              <w:pStyle w:val="121"/>
            </w:pPr>
            <w:r>
              <w:t>单位</w:t>
            </w:r>
          </w:p>
        </w:tc>
        <w:tc>
          <w:tcPr>
            <w:tcW w:w="611" w:type="pct"/>
            <w:shd w:val="clear" w:color="auto" w:fill="FFFFFF"/>
            <w:vAlign w:val="center"/>
          </w:tcPr>
          <w:p>
            <w:pPr>
              <w:pStyle w:val="121"/>
            </w:pPr>
            <w:r>
              <w:t>数量</w:t>
            </w:r>
          </w:p>
        </w:tc>
        <w:tc>
          <w:tcPr>
            <w:tcW w:w="701" w:type="pct"/>
            <w:shd w:val="clear" w:color="auto" w:fill="FFFFFF"/>
            <w:vAlign w:val="center"/>
          </w:tcPr>
          <w:p>
            <w:pPr>
              <w:pStyle w:val="121"/>
            </w:pPr>
            <w:r>
              <w:t>单价</w:t>
            </w:r>
          </w:p>
          <w:p>
            <w:pPr>
              <w:pStyle w:val="121"/>
            </w:pPr>
            <w:r>
              <w:t>元</w:t>
            </w:r>
          </w:p>
        </w:tc>
        <w:tc>
          <w:tcPr>
            <w:tcW w:w="723" w:type="pct"/>
            <w:shd w:val="clear" w:color="auto" w:fill="FFFFFF"/>
            <w:vAlign w:val="center"/>
          </w:tcPr>
          <w:p>
            <w:pPr>
              <w:pStyle w:val="121"/>
            </w:pPr>
            <w:r>
              <w:t>合计</w:t>
            </w:r>
          </w:p>
          <w:p>
            <w:pPr>
              <w:pStyle w:val="121"/>
            </w:pPr>
            <w: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一</w:t>
            </w:r>
          </w:p>
        </w:tc>
        <w:tc>
          <w:tcPr>
            <w:tcW w:w="1403" w:type="pct"/>
            <w:shd w:val="clear" w:color="auto" w:fill="FFFFFF"/>
            <w:vAlign w:val="center"/>
          </w:tcPr>
          <w:p>
            <w:pPr>
              <w:pStyle w:val="121"/>
              <w:jc w:val="left"/>
            </w:pPr>
            <w:r>
              <w:t>直接费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（一）</w:t>
            </w:r>
          </w:p>
        </w:tc>
        <w:tc>
          <w:tcPr>
            <w:tcW w:w="1403" w:type="pct"/>
            <w:shd w:val="clear" w:color="auto" w:fill="FFFFFF"/>
            <w:vAlign w:val="center"/>
          </w:tcPr>
          <w:p>
            <w:pPr>
              <w:pStyle w:val="121"/>
              <w:jc w:val="left"/>
            </w:pPr>
            <w:r>
              <w:t>基本直接费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1</w:t>
            </w:r>
          </w:p>
        </w:tc>
        <w:tc>
          <w:tcPr>
            <w:tcW w:w="1403" w:type="pct"/>
            <w:shd w:val="clear" w:color="auto" w:fill="FFFFFF"/>
            <w:vAlign w:val="center"/>
          </w:tcPr>
          <w:p>
            <w:pPr>
              <w:pStyle w:val="121"/>
              <w:jc w:val="left"/>
            </w:pPr>
            <w:r>
              <w:t>人工费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工长</w:t>
            </w:r>
          </w:p>
        </w:tc>
        <w:tc>
          <w:tcPr>
            <w:tcW w:w="848" w:type="pct"/>
            <w:shd w:val="clear" w:color="auto" w:fill="FFFFFF"/>
            <w:vAlign w:val="center"/>
          </w:tcPr>
          <w:p>
            <w:pPr>
              <w:pStyle w:val="121"/>
            </w:pPr>
            <w:r>
              <w:t>工时</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高级工</w:t>
            </w:r>
          </w:p>
        </w:tc>
        <w:tc>
          <w:tcPr>
            <w:tcW w:w="848" w:type="pct"/>
            <w:shd w:val="clear" w:color="auto" w:fill="FFFFFF"/>
            <w:vAlign w:val="center"/>
          </w:tcPr>
          <w:p>
            <w:pPr>
              <w:pStyle w:val="121"/>
            </w:pPr>
            <w:r>
              <w:t>工时</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中级工</w:t>
            </w:r>
          </w:p>
        </w:tc>
        <w:tc>
          <w:tcPr>
            <w:tcW w:w="848" w:type="pct"/>
            <w:shd w:val="clear" w:color="auto" w:fill="FFFFFF"/>
            <w:vAlign w:val="center"/>
          </w:tcPr>
          <w:p>
            <w:pPr>
              <w:pStyle w:val="121"/>
            </w:pPr>
            <w:r>
              <w:t>工时</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初级工</w:t>
            </w:r>
          </w:p>
        </w:tc>
        <w:tc>
          <w:tcPr>
            <w:tcW w:w="848" w:type="pct"/>
            <w:shd w:val="clear" w:color="auto" w:fill="FFFFFF"/>
            <w:vAlign w:val="center"/>
          </w:tcPr>
          <w:p>
            <w:pPr>
              <w:pStyle w:val="121"/>
            </w:pPr>
            <w:r>
              <w:t>工时</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2</w:t>
            </w:r>
          </w:p>
        </w:tc>
        <w:tc>
          <w:tcPr>
            <w:tcW w:w="1403" w:type="pct"/>
            <w:shd w:val="clear" w:color="auto" w:fill="FFFFFF"/>
            <w:vAlign w:val="center"/>
          </w:tcPr>
          <w:p>
            <w:pPr>
              <w:pStyle w:val="121"/>
              <w:jc w:val="left"/>
            </w:pPr>
            <w:r>
              <w:t>材料费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w:t>
            </w: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其他材料费</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3</w:t>
            </w:r>
          </w:p>
        </w:tc>
        <w:tc>
          <w:tcPr>
            <w:tcW w:w="1403" w:type="pct"/>
            <w:shd w:val="clear" w:color="auto" w:fill="FFFFFF"/>
            <w:vAlign w:val="center"/>
          </w:tcPr>
          <w:p>
            <w:pPr>
              <w:pStyle w:val="121"/>
              <w:jc w:val="left"/>
            </w:pPr>
            <w:r>
              <w:t>机械使用费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w:t>
            </w: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0" w:type="pct"/>
            <w:shd w:val="clear" w:color="auto" w:fill="FFFFFF"/>
            <w:vAlign w:val="center"/>
          </w:tcPr>
          <w:p>
            <w:pPr>
              <w:pStyle w:val="121"/>
            </w:pPr>
            <w:r>
              <w:t>（二）</w:t>
            </w:r>
          </w:p>
        </w:tc>
        <w:tc>
          <w:tcPr>
            <w:tcW w:w="1403" w:type="pct"/>
            <w:shd w:val="clear" w:color="auto" w:fill="FFFFFF"/>
            <w:vAlign w:val="center"/>
          </w:tcPr>
          <w:p>
            <w:pPr>
              <w:pStyle w:val="121"/>
              <w:jc w:val="left"/>
            </w:pPr>
            <w:r>
              <w:t>其他直接费</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二</w:t>
            </w:r>
          </w:p>
        </w:tc>
        <w:tc>
          <w:tcPr>
            <w:tcW w:w="1403" w:type="pct"/>
            <w:shd w:val="clear" w:color="auto" w:fill="FFFFFF"/>
            <w:vAlign w:val="center"/>
          </w:tcPr>
          <w:p>
            <w:pPr>
              <w:pStyle w:val="121"/>
              <w:jc w:val="left"/>
            </w:pPr>
            <w:r>
              <w:t>间接费</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三</w:t>
            </w:r>
          </w:p>
        </w:tc>
        <w:tc>
          <w:tcPr>
            <w:tcW w:w="1403" w:type="pct"/>
            <w:shd w:val="clear" w:color="auto" w:fill="FFFFFF"/>
            <w:vAlign w:val="center"/>
          </w:tcPr>
          <w:p>
            <w:pPr>
              <w:pStyle w:val="121"/>
              <w:jc w:val="left"/>
            </w:pPr>
            <w:r>
              <w:t>利润</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四</w:t>
            </w:r>
          </w:p>
        </w:tc>
        <w:tc>
          <w:tcPr>
            <w:tcW w:w="1403" w:type="pct"/>
            <w:shd w:val="clear" w:color="auto" w:fill="FFFFFF"/>
            <w:vAlign w:val="center"/>
          </w:tcPr>
          <w:p>
            <w:pPr>
              <w:pStyle w:val="121"/>
              <w:jc w:val="left"/>
            </w:pPr>
            <w:r>
              <w:t>材料补差</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w:t>
            </w: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五</w:t>
            </w:r>
          </w:p>
        </w:tc>
        <w:tc>
          <w:tcPr>
            <w:tcW w:w="1403" w:type="pct"/>
            <w:shd w:val="clear" w:color="auto" w:fill="FFFFFF"/>
            <w:vAlign w:val="center"/>
          </w:tcPr>
          <w:p>
            <w:pPr>
              <w:pStyle w:val="121"/>
              <w:jc w:val="left"/>
            </w:pPr>
            <w:r>
              <w:t>未计价装置性材料费</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w:t>
            </w: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r>
              <w:t>六</w:t>
            </w:r>
          </w:p>
        </w:tc>
        <w:tc>
          <w:tcPr>
            <w:tcW w:w="1403" w:type="pct"/>
            <w:shd w:val="clear" w:color="auto" w:fill="FFFFFF"/>
            <w:vAlign w:val="center"/>
          </w:tcPr>
          <w:p>
            <w:pPr>
              <w:pStyle w:val="121"/>
              <w:jc w:val="left"/>
            </w:pPr>
            <w:r>
              <w:t>税金</w:t>
            </w:r>
          </w:p>
        </w:tc>
        <w:tc>
          <w:tcPr>
            <w:tcW w:w="848" w:type="pct"/>
            <w:shd w:val="clear" w:color="auto" w:fill="FFFFFF"/>
            <w:vAlign w:val="center"/>
          </w:tcPr>
          <w:p>
            <w:pPr>
              <w:pStyle w:val="121"/>
            </w:pPr>
            <w:r>
              <w:t>%</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r>
              <w:t>合计</w:t>
            </w:r>
          </w:p>
        </w:tc>
        <w:tc>
          <w:tcPr>
            <w:tcW w:w="848" w:type="pct"/>
            <w:shd w:val="clear" w:color="auto" w:fill="FFFFFF"/>
            <w:vAlign w:val="center"/>
          </w:tcPr>
          <w:p>
            <w:pPr>
              <w:pStyle w:val="121"/>
            </w:pPr>
            <w:r>
              <w:t>元</w:t>
            </w: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jc w:val="left"/>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340" w:hRule="atLeast"/>
          <w:jc w:val="center"/>
        </w:trPr>
        <w:tc>
          <w:tcPr>
            <w:tcW w:w="710" w:type="pct"/>
            <w:shd w:val="clear" w:color="auto" w:fill="FFFFFF"/>
            <w:vAlign w:val="center"/>
          </w:tcPr>
          <w:p>
            <w:pPr>
              <w:pStyle w:val="121"/>
            </w:pPr>
          </w:p>
        </w:tc>
        <w:tc>
          <w:tcPr>
            <w:tcW w:w="1403" w:type="pct"/>
            <w:shd w:val="clear" w:color="auto" w:fill="FFFFFF"/>
            <w:vAlign w:val="center"/>
          </w:tcPr>
          <w:p>
            <w:pPr>
              <w:pStyle w:val="121"/>
            </w:pPr>
          </w:p>
        </w:tc>
        <w:tc>
          <w:tcPr>
            <w:tcW w:w="848" w:type="pct"/>
            <w:shd w:val="clear" w:color="auto" w:fill="FFFFFF"/>
            <w:vAlign w:val="center"/>
          </w:tcPr>
          <w:p>
            <w:pPr>
              <w:pStyle w:val="121"/>
            </w:pPr>
          </w:p>
        </w:tc>
        <w:tc>
          <w:tcPr>
            <w:tcW w:w="611" w:type="pct"/>
            <w:shd w:val="clear" w:color="auto" w:fill="FFFFFF"/>
            <w:vAlign w:val="center"/>
          </w:tcPr>
          <w:p>
            <w:pPr>
              <w:pStyle w:val="121"/>
            </w:pPr>
          </w:p>
        </w:tc>
        <w:tc>
          <w:tcPr>
            <w:tcW w:w="701" w:type="pct"/>
            <w:shd w:val="clear" w:color="auto" w:fill="FFFFFF"/>
            <w:vAlign w:val="center"/>
          </w:tcPr>
          <w:p>
            <w:pPr>
              <w:pStyle w:val="121"/>
            </w:pPr>
          </w:p>
        </w:tc>
        <w:tc>
          <w:tcPr>
            <w:tcW w:w="723" w:type="pct"/>
            <w:shd w:val="clear" w:color="auto" w:fill="FFFFFF"/>
            <w:vAlign w:val="center"/>
          </w:tcPr>
          <w:p>
            <w:pPr>
              <w:pStyle w:val="121"/>
            </w:pPr>
          </w:p>
        </w:tc>
      </w:tr>
    </w:tbl>
    <w:p>
      <w:pPr>
        <w:pStyle w:val="121"/>
      </w:pPr>
    </w:p>
    <w:p>
      <w:pPr>
        <w:rPr>
          <w:rFonts w:ascii="Times New Roman" w:hAnsi="Times New Roman" w:cs="Times New Roman"/>
        </w:rPr>
      </w:pPr>
    </w:p>
    <w:p>
      <w:pPr>
        <w:tabs>
          <w:tab w:val="left" w:pos="5575"/>
        </w:tabs>
        <w:rPr>
          <w:rFonts w:ascii="Times New Roman" w:hAnsi="Times New Roman" w:cs="Times New Roman"/>
        </w:rPr>
        <w:sectPr>
          <w:footerReference r:id="rId13" w:type="default"/>
          <w:pgSz w:w="11820" w:h="16700"/>
          <w:pgMar w:top="1418" w:right="1134" w:bottom="1134" w:left="1418" w:header="720" w:footer="720" w:gutter="0"/>
          <w:pgNumType w:start="1"/>
          <w:cols w:space="720" w:num="1"/>
          <w:docGrid w:linePitch="286" w:charSpace="0"/>
        </w:sectPr>
      </w:pPr>
      <w:r>
        <w:rPr>
          <w:rFonts w:ascii="Times New Roman" w:hAnsi="Times New Roman" w:cs="Times New Roman"/>
        </w:rPr>
        <w:tab/>
      </w:r>
    </w:p>
    <w:p>
      <w:pPr>
        <w:ind w:firstLine="0"/>
        <w:rPr>
          <w:rFonts w:ascii="Times New Roman" w:hAnsi="Times New Roman" w:cs="Times New Roman"/>
        </w:rPr>
      </w:pPr>
    </w:p>
    <w:p>
      <w:pPr>
        <w:ind w:firstLine="0"/>
        <w:rPr>
          <w:rFonts w:ascii="Times New Roman" w:hAnsi="Times New Roman" w:cs="Times New Roman"/>
        </w:rPr>
      </w:pPr>
    </w:p>
    <w:p>
      <w:pPr>
        <w:ind w:firstLine="0"/>
        <w:rPr>
          <w:rFonts w:ascii="Times New Roman" w:hAnsi="Times New Roman" w:cs="Times New Roman"/>
        </w:rPr>
      </w:pPr>
      <w:r>
        <w:rPr>
          <w:rFonts w:ascii="Times New Roman" w:hAnsi="Times New Roman" w:cs="Times New Roman"/>
        </w:rPr>
        <w:t>各位专家、从业人员：</w:t>
      </w:r>
    </w:p>
    <w:p>
      <w:pPr>
        <w:rPr>
          <w:rFonts w:ascii="Times New Roman" w:hAnsi="Times New Roman" w:cs="Times New Roman"/>
        </w:rPr>
      </w:pPr>
      <w:r>
        <w:rPr>
          <w:rFonts w:ascii="Times New Roman" w:hAnsi="Times New Roman" w:cs="Times New Roman"/>
        </w:rPr>
        <w:t>《</w:t>
      </w:r>
      <w:r>
        <w:rPr>
          <w:rFonts w:hint="eastAsia" w:ascii="Times New Roman" w:hAnsi="Times New Roman" w:cs="Times New Roman"/>
        </w:rPr>
        <w:t>湖北省地质灾害防治</w:t>
      </w:r>
      <w:r>
        <w:rPr>
          <w:rFonts w:ascii="Times New Roman" w:hAnsi="Times New Roman" w:cs="Times New Roman"/>
        </w:rPr>
        <w:t>项目概预算编制要求（试行）》将发布试行。为进一步提高标准质量，提升标准的适用性，我们将在标准试行过程中继续征求意见。各位专家、从业人员在标准使用中</w:t>
      </w:r>
      <w:r>
        <w:rPr>
          <w:rFonts w:hint="eastAsia" w:ascii="Times New Roman" w:hAnsi="Times New Roman" w:cs="Times New Roman"/>
        </w:rPr>
        <w:t>，</w:t>
      </w:r>
      <w:r>
        <w:rPr>
          <w:rFonts w:ascii="Times New Roman" w:hAnsi="Times New Roman" w:cs="Times New Roman"/>
        </w:rPr>
        <w:t>如发现存在不妥之处，请填写征求意见表，并通过邮件的方式发送给编制单位。</w:t>
      </w:r>
    </w:p>
    <w:p>
      <w:pPr>
        <w:rPr>
          <w:rFonts w:ascii="Times New Roman" w:hAnsi="Times New Roman" w:cs="Times New Roman"/>
          <w:b/>
        </w:rPr>
      </w:pPr>
      <w:r>
        <w:rPr>
          <w:rFonts w:ascii="Times New Roman" w:hAnsi="Times New Roman" w:cs="Times New Roman"/>
          <w:b/>
        </w:rPr>
        <w:t>联系方式</w:t>
      </w:r>
    </w:p>
    <w:p>
      <w:pPr>
        <w:rPr>
          <w:rFonts w:ascii="Times New Roman" w:hAnsi="Times New Roman" w:cs="Times New Roman"/>
        </w:rPr>
      </w:pPr>
      <w:r>
        <w:rPr>
          <w:rFonts w:ascii="Times New Roman" w:hAnsi="Times New Roman" w:cs="Times New Roman"/>
        </w:rPr>
        <w:t>联系人：曹劲</w:t>
      </w:r>
    </w:p>
    <w:p>
      <w:pPr>
        <w:rPr>
          <w:rFonts w:ascii="Times New Roman" w:hAnsi="Times New Roman" w:cs="Times New Roman"/>
        </w:rPr>
      </w:pPr>
      <w:r>
        <w:rPr>
          <w:rFonts w:ascii="Times New Roman" w:hAnsi="Times New Roman" w:cs="Times New Roman"/>
        </w:rPr>
        <w:t>电  话：13886592013</w:t>
      </w:r>
    </w:p>
    <w:p>
      <w:pPr>
        <w:rPr>
          <w:rFonts w:ascii="Times New Roman" w:hAnsi="Times New Roman" w:cs="Times New Roman"/>
        </w:rPr>
      </w:pPr>
      <w:r>
        <w:rPr>
          <w:rFonts w:ascii="Times New Roman" w:hAnsi="Times New Roman" w:cs="Times New Roman"/>
        </w:rPr>
        <w:t>邮  箱：214031314@qq.com</w:t>
      </w:r>
    </w:p>
    <w:p>
      <w:pPr>
        <w:rPr>
          <w:rFonts w:ascii="Times New Roman" w:hAnsi="Times New Roman" w:cs="Times New Roman"/>
        </w:rPr>
      </w:pPr>
    </w:p>
    <w:p>
      <w:pPr>
        <w:rPr>
          <w:rFonts w:ascii="Times New Roman" w:hAnsi="Times New Roman" w:cs="Times New Roman"/>
        </w:rPr>
      </w:pPr>
    </w:p>
    <w:p>
      <w:pPr>
        <w:spacing w:before="156" w:beforeLines="50" w:after="156" w:afterLines="50" w:line="240" w:lineRule="auto"/>
        <w:ind w:firstLine="0"/>
        <w:jc w:val="center"/>
        <w:rPr>
          <w:rFonts w:ascii="Times New Roman" w:hAnsi="Times New Roman" w:eastAsia="黑体" w:cs="Times New Roman"/>
          <w:bCs/>
          <w:vanish/>
        </w:rPr>
      </w:pPr>
      <w:r>
        <w:rPr>
          <w:rFonts w:ascii="Times New Roman" w:hAnsi="Times New Roman" w:eastAsia="黑体" w:cs="Times New Roman"/>
        </w:rPr>
        <w:t>征求意见表</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标准名称</w:t>
            </w:r>
          </w:p>
        </w:tc>
        <w:tc>
          <w:tcPr>
            <w:tcW w:w="3750" w:type="pct"/>
            <w:gridSpan w:val="3"/>
            <w:shd w:val="clear" w:color="auto" w:fill="auto"/>
            <w:vAlign w:val="center"/>
          </w:tcPr>
          <w:p>
            <w:pPr>
              <w:spacing w:line="240" w:lineRule="auto"/>
              <w:ind w:firstLine="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姓名</w:t>
            </w:r>
          </w:p>
        </w:tc>
        <w:tc>
          <w:tcPr>
            <w:tcW w:w="1250" w:type="pct"/>
            <w:shd w:val="clear" w:color="auto" w:fill="auto"/>
            <w:vAlign w:val="center"/>
          </w:tcPr>
          <w:p>
            <w:pPr>
              <w:spacing w:line="240" w:lineRule="auto"/>
              <w:ind w:firstLine="0"/>
              <w:jc w:val="center"/>
              <w:rPr>
                <w:rFonts w:ascii="Times New Roman" w:hAnsi="Times New Roman" w:cs="Times New Roman"/>
              </w:rPr>
            </w:pPr>
          </w:p>
        </w:tc>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所在单位</w:t>
            </w:r>
          </w:p>
        </w:tc>
        <w:tc>
          <w:tcPr>
            <w:tcW w:w="1250" w:type="pct"/>
            <w:shd w:val="clear" w:color="auto" w:fill="auto"/>
            <w:vAlign w:val="center"/>
          </w:tcPr>
          <w:p>
            <w:pPr>
              <w:spacing w:line="240" w:lineRule="auto"/>
              <w:ind w:firstLine="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职称/职务</w:t>
            </w:r>
          </w:p>
        </w:tc>
        <w:tc>
          <w:tcPr>
            <w:tcW w:w="1250" w:type="pct"/>
            <w:shd w:val="clear" w:color="auto" w:fill="auto"/>
            <w:vAlign w:val="center"/>
          </w:tcPr>
          <w:p>
            <w:pPr>
              <w:spacing w:line="240" w:lineRule="auto"/>
              <w:ind w:firstLine="0"/>
              <w:jc w:val="center"/>
              <w:rPr>
                <w:rFonts w:ascii="Times New Roman" w:hAnsi="Times New Roman" w:cs="Times New Roman"/>
              </w:rPr>
            </w:pPr>
          </w:p>
        </w:tc>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联系方式</w:t>
            </w:r>
          </w:p>
        </w:tc>
        <w:tc>
          <w:tcPr>
            <w:tcW w:w="1250" w:type="pct"/>
            <w:shd w:val="clear" w:color="auto" w:fill="auto"/>
            <w:vAlign w:val="center"/>
          </w:tcPr>
          <w:p>
            <w:pPr>
              <w:spacing w:line="240" w:lineRule="auto"/>
              <w:ind w:firstLine="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序号</w:t>
            </w:r>
          </w:p>
        </w:tc>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章节</w:t>
            </w:r>
          </w:p>
        </w:tc>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意见内容</w:t>
            </w:r>
          </w:p>
        </w:tc>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1</w:t>
            </w:r>
          </w:p>
        </w:tc>
        <w:tc>
          <w:tcPr>
            <w:tcW w:w="1250" w:type="pct"/>
            <w:shd w:val="clear" w:color="auto" w:fill="auto"/>
            <w:vAlign w:val="center"/>
          </w:tcPr>
          <w:p>
            <w:pPr>
              <w:spacing w:line="240" w:lineRule="auto"/>
              <w:ind w:firstLine="0"/>
              <w:jc w:val="center"/>
              <w:rPr>
                <w:rFonts w:ascii="Times New Roman" w:hAnsi="Times New Roman" w:cs="Times New Roman"/>
              </w:rPr>
            </w:pPr>
          </w:p>
        </w:tc>
        <w:tc>
          <w:tcPr>
            <w:tcW w:w="1250" w:type="pct"/>
            <w:shd w:val="clear" w:color="auto" w:fill="auto"/>
            <w:vAlign w:val="center"/>
          </w:tcPr>
          <w:p>
            <w:pPr>
              <w:spacing w:line="240" w:lineRule="auto"/>
              <w:ind w:firstLine="0"/>
              <w:jc w:val="center"/>
              <w:rPr>
                <w:rFonts w:ascii="Times New Roman" w:hAnsi="Times New Roman" w:cs="Times New Roman"/>
              </w:rPr>
            </w:pPr>
          </w:p>
        </w:tc>
        <w:tc>
          <w:tcPr>
            <w:tcW w:w="1250" w:type="pct"/>
            <w:shd w:val="clear" w:color="auto" w:fill="auto"/>
            <w:vAlign w:val="center"/>
          </w:tcPr>
          <w:p>
            <w:pPr>
              <w:spacing w:line="240" w:lineRule="auto"/>
              <w:ind w:firstLine="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2</w:t>
            </w:r>
          </w:p>
        </w:tc>
        <w:tc>
          <w:tcPr>
            <w:tcW w:w="1250" w:type="pct"/>
            <w:shd w:val="clear" w:color="auto" w:fill="auto"/>
            <w:vAlign w:val="center"/>
          </w:tcPr>
          <w:p>
            <w:pPr>
              <w:spacing w:line="240" w:lineRule="auto"/>
              <w:ind w:firstLine="0"/>
              <w:jc w:val="center"/>
              <w:rPr>
                <w:rFonts w:ascii="Times New Roman" w:hAnsi="Times New Roman" w:cs="Times New Roman"/>
              </w:rPr>
            </w:pPr>
          </w:p>
        </w:tc>
        <w:tc>
          <w:tcPr>
            <w:tcW w:w="1250" w:type="pct"/>
            <w:shd w:val="clear" w:color="auto" w:fill="auto"/>
            <w:vAlign w:val="center"/>
          </w:tcPr>
          <w:p>
            <w:pPr>
              <w:spacing w:line="240" w:lineRule="auto"/>
              <w:ind w:firstLine="0"/>
              <w:jc w:val="center"/>
              <w:rPr>
                <w:rFonts w:ascii="Times New Roman" w:hAnsi="Times New Roman" w:cs="Times New Roman"/>
              </w:rPr>
            </w:pPr>
          </w:p>
        </w:tc>
        <w:tc>
          <w:tcPr>
            <w:tcW w:w="1250" w:type="pct"/>
            <w:shd w:val="clear" w:color="auto" w:fill="auto"/>
            <w:vAlign w:val="center"/>
          </w:tcPr>
          <w:p>
            <w:pPr>
              <w:spacing w:line="240" w:lineRule="auto"/>
              <w:ind w:firstLine="0"/>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50" w:type="pct"/>
            <w:shd w:val="clear" w:color="auto" w:fill="auto"/>
            <w:vAlign w:val="center"/>
          </w:tcPr>
          <w:p>
            <w:pPr>
              <w:spacing w:line="240" w:lineRule="auto"/>
              <w:ind w:firstLine="0"/>
              <w:jc w:val="center"/>
              <w:rPr>
                <w:rFonts w:ascii="Times New Roman" w:hAnsi="Times New Roman" w:cs="Times New Roman"/>
              </w:rPr>
            </w:pPr>
            <w:r>
              <w:rPr>
                <w:rFonts w:ascii="Times New Roman" w:hAnsi="Times New Roman" w:cs="Times New Roman"/>
              </w:rPr>
              <w:t>…</w:t>
            </w:r>
          </w:p>
        </w:tc>
        <w:tc>
          <w:tcPr>
            <w:tcW w:w="1250" w:type="pct"/>
            <w:shd w:val="clear" w:color="auto" w:fill="auto"/>
            <w:vAlign w:val="center"/>
          </w:tcPr>
          <w:p>
            <w:pPr>
              <w:spacing w:line="240" w:lineRule="auto"/>
              <w:ind w:firstLine="0"/>
              <w:jc w:val="center"/>
              <w:rPr>
                <w:rFonts w:ascii="Times New Roman" w:hAnsi="Times New Roman" w:cs="Times New Roman"/>
              </w:rPr>
            </w:pPr>
          </w:p>
        </w:tc>
        <w:tc>
          <w:tcPr>
            <w:tcW w:w="1250" w:type="pct"/>
            <w:shd w:val="clear" w:color="auto" w:fill="auto"/>
            <w:vAlign w:val="center"/>
          </w:tcPr>
          <w:p>
            <w:pPr>
              <w:spacing w:line="240" w:lineRule="auto"/>
              <w:ind w:firstLine="0"/>
              <w:jc w:val="center"/>
              <w:rPr>
                <w:rFonts w:ascii="Times New Roman" w:hAnsi="Times New Roman" w:cs="Times New Roman"/>
              </w:rPr>
            </w:pPr>
          </w:p>
        </w:tc>
        <w:tc>
          <w:tcPr>
            <w:tcW w:w="1250" w:type="pct"/>
            <w:shd w:val="clear" w:color="auto" w:fill="auto"/>
            <w:vAlign w:val="center"/>
          </w:tcPr>
          <w:p>
            <w:pPr>
              <w:spacing w:line="240" w:lineRule="auto"/>
              <w:ind w:firstLine="0"/>
              <w:jc w:val="center"/>
              <w:rPr>
                <w:rFonts w:ascii="Times New Roman" w:hAnsi="Times New Roman" w:cs="Times New Roman"/>
              </w:rPr>
            </w:pPr>
          </w:p>
        </w:tc>
      </w:tr>
    </w:tbl>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ind w:firstLine="40"/>
        <w:rPr>
          <w:rFonts w:ascii="Times New Roman" w:hAnsi="Times New Roman" w:cs="Times New Roman"/>
          <w:sz w:val="2"/>
          <w:szCs w:val="2"/>
        </w:rPr>
      </w:pPr>
    </w:p>
    <w:sectPr>
      <w:footerReference r:id="rId14" w:type="default"/>
      <w:footerReference r:id="rId15" w:type="even"/>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FrankRuehl">
    <w:altName w:val="DejaVu Math TeX Gyre"/>
    <w:panose1 w:val="020E0503060101010101"/>
    <w:charset w:val="B1"/>
    <w:family w:val="swiss"/>
    <w:pitch w:val="default"/>
    <w:sig w:usb0="00000000" w:usb1="00000000" w:usb2="00000000" w:usb3="00000000" w:csb0="00000020"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CordiaUPC">
    <w:altName w:val="Yu Gothic UI Light"/>
    <w:panose1 w:val="020B0304020202020204"/>
    <w:charset w:val="00"/>
    <w:family w:val="swiss"/>
    <w:pitch w:val="default"/>
    <w:sig w:usb0="00000000" w:usb1="00000000" w:usb2="00000000" w:usb3="00000000" w:csb0="00010001" w:csb1="00000000"/>
  </w:font>
  <w:font w:name="Georgia">
    <w:panose1 w:val="02040502050405020303"/>
    <w:charset w:val="00"/>
    <w:family w:val="roman"/>
    <w:pitch w:val="default"/>
    <w:sig w:usb0="00000287" w:usb1="00000000" w:usb2="00000000" w:usb3="00000000" w:csb0="2000009F" w:csb1="00000000"/>
  </w:font>
  <w:font w:name="Lucida Sans Unicode">
    <w:panose1 w:val="020B0602030504020204"/>
    <w:charset w:val="00"/>
    <w:family w:val="swiss"/>
    <w:pitch w:val="default"/>
    <w:sig w:usb0="80001AFF" w:usb1="0000396B" w:usb2="00000000" w:usb3="00000000" w:csb0="200000BF" w:csb1="D7F70000"/>
  </w:font>
  <w:font w:name="楷体_GB2312">
    <w:altName w:val="楷体"/>
    <w:panose1 w:val="02010609030101010101"/>
    <w:charset w:val="86"/>
    <w:family w:val="modern"/>
    <w:pitch w:val="default"/>
    <w:sig w:usb0="00000000" w:usb1="00000000" w:usb2="00000010" w:usb3="00000000" w:csb0="00040000" w:csb1="00000000"/>
  </w:font>
  <w:font w:name="仿宋体">
    <w:altName w:val="宋体"/>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420"/>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ROMAN \* MERGEFORMAT</w:instrText>
    </w:r>
    <w:r>
      <w:rPr>
        <w:rFonts w:ascii="Times New Roman" w:hAnsi="Times New Roman" w:cs="Times New Roman"/>
      </w:rPr>
      <w:fldChar w:fldCharType="separate"/>
    </w:r>
    <w:r>
      <w:rPr>
        <w:rFonts w:ascii="Times New Roman" w:hAnsi="Times New Roman" w:cs="Times New Roman"/>
        <w:lang w:val="zh-CN"/>
      </w:rPr>
      <w:t>III</w:t>
    </w:r>
    <w:r>
      <w:rPr>
        <w:rFonts w:ascii="Times New Roman" w:hAnsi="Times New Roman" w:cs="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IV</w:t>
    </w:r>
    <w:r>
      <w:rPr>
        <w:rFonts w:ascii="Times New Roman" w:hAnsi="Times New Roman" w:cs="Times New Roman"/>
        <w:lang w:val="zh-C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spacing w:before="120" w:after="120"/>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81</w:t>
    </w:r>
    <w:r>
      <w:rPr>
        <w:rFonts w:ascii="Times New Roman" w:hAnsi="Times New Roman" w:cs="Times New Roman"/>
        <w:lang w:val="zh-C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jc w:val="right"/>
    </w:pPr>
    <w:r>
      <w:fldChar w:fldCharType="begin"/>
    </w:r>
    <w:r>
      <w:rPr>
        <w:rFonts w:hint="eastAsia"/>
      </w:rPr>
      <w:instrText xml:space="preserve">PAGE  \* MERGEFORMAT</w:instrText>
    </w:r>
    <w:r>
      <w:fldChar w:fldCharType="separate"/>
    </w:r>
    <w:r>
      <w:rPr>
        <w:lang w:val="zh-CN"/>
      </w:rPr>
      <w:t>83</w:t>
    </w:r>
    <w:r>
      <w:rPr>
        <w:lang w:val="zh-CN"/>
      </w:rPr>
      <w:fldChar w:fldCharType="end"/>
    </w:r>
  </w:p>
  <w:p>
    <w:pPr>
      <w:pStyle w:val="22"/>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2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2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6E08C2"/>
    <w:multiLevelType w:val="multilevel"/>
    <w:tmpl w:val="806E08C2"/>
    <w:lvl w:ilvl="0" w:tentative="0">
      <w:start w:val="1"/>
      <w:numFmt w:val="upperLetter"/>
      <w:pStyle w:val="50"/>
      <w:lvlText w:val="%1"/>
      <w:lvlJc w:val="left"/>
      <w:pPr>
        <w:tabs>
          <w:tab w:val="left" w:pos="0"/>
        </w:tabs>
        <w:ind w:left="0" w:hanging="425"/>
      </w:pPr>
      <w:rPr>
        <w:rFonts w:hint="eastAsia"/>
      </w:rPr>
    </w:lvl>
    <w:lvl w:ilvl="1" w:tentative="0">
      <w:start w:val="1"/>
      <w:numFmt w:val="decimal"/>
      <w:pStyle w:val="51"/>
      <w:suff w:val="nothing"/>
      <w:lvlText w:val="表%1.%2　"/>
      <w:lvlJc w:val="left"/>
      <w:pPr>
        <w:tabs>
          <w:tab w:val="left" w:pos="0"/>
        </w:tabs>
        <w:ind w:left="4253" w:hanging="567"/>
      </w:pPr>
      <w:rPr>
        <w:rFonts w:hint="eastAsia"/>
      </w:rPr>
    </w:lvl>
    <w:lvl w:ilvl="2" w:tentative="0">
      <w:start w:val="1"/>
      <w:numFmt w:val="decimal"/>
      <w:lvlText w:val="%1.%2.%3"/>
      <w:lvlJc w:val="left"/>
      <w:pPr>
        <w:tabs>
          <w:tab w:val="left" w:pos="0"/>
        </w:tabs>
        <w:ind w:left="993" w:hanging="567"/>
      </w:pPr>
      <w:rPr>
        <w:rFonts w:hint="eastAsia"/>
      </w:rPr>
    </w:lvl>
    <w:lvl w:ilvl="3" w:tentative="0">
      <w:start w:val="1"/>
      <w:numFmt w:val="decimal"/>
      <w:lvlText w:val="%1.%2.%3.%4"/>
      <w:lvlJc w:val="left"/>
      <w:pPr>
        <w:tabs>
          <w:tab w:val="left" w:pos="0"/>
        </w:tabs>
        <w:ind w:left="1559" w:hanging="708"/>
      </w:pPr>
      <w:rPr>
        <w:rFonts w:hint="eastAsia"/>
      </w:rPr>
    </w:lvl>
    <w:lvl w:ilvl="4" w:tentative="0">
      <w:start w:val="1"/>
      <w:numFmt w:val="decimal"/>
      <w:lvlText w:val="%1.%2.%3.%4.%5"/>
      <w:lvlJc w:val="left"/>
      <w:pPr>
        <w:tabs>
          <w:tab w:val="left" w:pos="0"/>
        </w:tabs>
        <w:ind w:left="2126" w:hanging="850"/>
      </w:pPr>
      <w:rPr>
        <w:rFonts w:hint="eastAsia"/>
      </w:rPr>
    </w:lvl>
    <w:lvl w:ilvl="5" w:tentative="0">
      <w:start w:val="1"/>
      <w:numFmt w:val="decimal"/>
      <w:lvlText w:val="%1.%2.%3.%4.%5.%6"/>
      <w:lvlJc w:val="left"/>
      <w:pPr>
        <w:tabs>
          <w:tab w:val="left" w:pos="0"/>
        </w:tabs>
        <w:ind w:left="2835" w:hanging="1134"/>
      </w:pPr>
      <w:rPr>
        <w:rFonts w:hint="eastAsia"/>
      </w:rPr>
    </w:lvl>
    <w:lvl w:ilvl="6" w:tentative="0">
      <w:start w:val="1"/>
      <w:numFmt w:val="decimal"/>
      <w:lvlText w:val="%1.%2.%3.%4.%5.%6.%7"/>
      <w:lvlJc w:val="left"/>
      <w:pPr>
        <w:tabs>
          <w:tab w:val="left" w:pos="0"/>
        </w:tabs>
        <w:ind w:left="3402" w:hanging="1276"/>
      </w:pPr>
      <w:rPr>
        <w:rFonts w:hint="eastAsia"/>
      </w:rPr>
    </w:lvl>
    <w:lvl w:ilvl="7" w:tentative="0">
      <w:start w:val="1"/>
      <w:numFmt w:val="decimal"/>
      <w:lvlText w:val="%1.%2.%3.%4.%5.%6.%7.%8"/>
      <w:lvlJc w:val="left"/>
      <w:pPr>
        <w:tabs>
          <w:tab w:val="left" w:pos="0"/>
        </w:tabs>
        <w:ind w:left="3969" w:hanging="1418"/>
      </w:pPr>
      <w:rPr>
        <w:rFonts w:hint="eastAsia"/>
      </w:rPr>
    </w:lvl>
    <w:lvl w:ilvl="8" w:tentative="0">
      <w:start w:val="1"/>
      <w:numFmt w:val="decimal"/>
      <w:lvlText w:val="%1.%2.%3.%4.%5.%6.%7.%8.%9"/>
      <w:lvlJc w:val="left"/>
      <w:pPr>
        <w:tabs>
          <w:tab w:val="left" w:pos="0"/>
        </w:tabs>
        <w:ind w:left="4677" w:hanging="1700"/>
      </w:pPr>
      <w:rPr>
        <w:rFonts w:hint="eastAsia"/>
      </w:rPr>
    </w:lvl>
  </w:abstractNum>
  <w:abstractNum w:abstractNumId="1">
    <w:nsid w:val="60728B93"/>
    <w:multiLevelType w:val="multilevel"/>
    <w:tmpl w:val="60728B93"/>
    <w:lvl w:ilvl="0" w:tentative="0">
      <w:start w:val="1"/>
      <w:numFmt w:val="upperLetter"/>
      <w:pStyle w:val="49"/>
      <w:suff w:val="nothing"/>
      <w:lvlText w:val="附　录　%1"/>
      <w:lvlJc w:val="left"/>
      <w:pPr>
        <w:tabs>
          <w:tab w:val="left" w:pos="0"/>
        </w:tabs>
        <w:ind w:left="7230" w:firstLine="0"/>
      </w:pPr>
      <w:rPr>
        <w:rFonts w:ascii="宋体" w:hAnsi="宋体" w:eastAsia="黑体" w:cs="Times New Roman"/>
        <w:b w:val="0"/>
        <w:i w:val="0"/>
        <w:caps/>
        <w:smallCaps w:val="0"/>
        <w:color w:val="auto"/>
        <w:spacing w:val="0"/>
        <w:position w:val="0"/>
        <w:sz w:val="21"/>
        <w:szCs w:val="21"/>
        <w:u w:val="none"/>
      </w:rPr>
    </w:lvl>
    <w:lvl w:ilvl="1" w:tentative="0">
      <w:start w:val="1"/>
      <w:numFmt w:val="decimal"/>
      <w:pStyle w:val="56"/>
      <w:suff w:val="nothing"/>
      <w:lvlText w:val="%1.%2　"/>
      <w:lvlJc w:val="left"/>
      <w:pPr>
        <w:tabs>
          <w:tab w:val="left" w:pos="0"/>
        </w:tabs>
        <w:ind w:left="2127" w:firstLine="0"/>
      </w:pPr>
      <w:rPr>
        <w:rFonts w:hint="eastAsia" w:ascii="黑体" w:hAnsi="黑体" w:eastAsia="黑体"/>
        <w:b w:val="0"/>
        <w:i w:val="0"/>
        <w:spacing w:val="0"/>
        <w:sz w:val="21"/>
        <w:szCs w:val="21"/>
      </w:rPr>
    </w:lvl>
    <w:lvl w:ilvl="2" w:tentative="0">
      <w:start w:val="1"/>
      <w:numFmt w:val="decimal"/>
      <w:suff w:val="nothing"/>
      <w:lvlText w:val="%1.%2.%3　"/>
      <w:lvlJc w:val="left"/>
      <w:pPr>
        <w:tabs>
          <w:tab w:val="left" w:pos="0"/>
        </w:tabs>
        <w:ind w:left="0" w:firstLine="0"/>
      </w:pPr>
      <w:rPr>
        <w:rFonts w:hint="eastAsia" w:ascii="宋体" w:hAnsi="宋体" w:eastAsia="宋体"/>
        <w:b w:val="0"/>
        <w:i w:val="0"/>
        <w:sz w:val="21"/>
        <w:szCs w:val="21"/>
      </w:rPr>
    </w:lvl>
    <w:lvl w:ilvl="3" w:tentative="0">
      <w:start w:val="1"/>
      <w:numFmt w:val="decimal"/>
      <w:pStyle w:val="52"/>
      <w:suff w:val="nothing"/>
      <w:lvlText w:val="%1.%2.%3.%4　"/>
      <w:lvlJc w:val="left"/>
      <w:pPr>
        <w:tabs>
          <w:tab w:val="left" w:pos="0"/>
        </w:tabs>
        <w:ind w:left="1560" w:firstLine="0"/>
      </w:pPr>
      <w:rPr>
        <w:rFonts w:hint="eastAsia" w:ascii="黑体" w:hAnsi="黑体" w:eastAsia="黑体"/>
        <w:b w:val="0"/>
        <w:i w:val="0"/>
        <w:sz w:val="21"/>
        <w:szCs w:val="21"/>
      </w:rPr>
    </w:lvl>
    <w:lvl w:ilvl="4" w:tentative="0">
      <w:start w:val="1"/>
      <w:numFmt w:val="decimal"/>
      <w:suff w:val="nothing"/>
      <w:lvlText w:val="%1.%2.%3.%4.%5　"/>
      <w:lvlJc w:val="left"/>
      <w:pPr>
        <w:tabs>
          <w:tab w:val="left" w:pos="0"/>
        </w:tabs>
        <w:ind w:left="2127" w:firstLine="0"/>
      </w:pPr>
      <w:rPr>
        <w:rFonts w:hint="eastAsia" w:ascii="黑体" w:hAnsi="黑体" w:eastAsia="黑体"/>
        <w:b w:val="0"/>
        <w:i w:val="0"/>
        <w:sz w:val="21"/>
        <w:szCs w:val="21"/>
      </w:rPr>
    </w:lvl>
    <w:lvl w:ilvl="5" w:tentative="0">
      <w:start w:val="1"/>
      <w:numFmt w:val="decimal"/>
      <w:suff w:val="nothing"/>
      <w:lvlText w:val="%1.%2.%3.%4.%5.%6　"/>
      <w:lvlJc w:val="left"/>
      <w:pPr>
        <w:tabs>
          <w:tab w:val="left" w:pos="0"/>
        </w:tabs>
        <w:ind w:left="2127" w:firstLine="0"/>
      </w:pPr>
      <w:rPr>
        <w:rFonts w:hint="eastAsia" w:ascii="黑体" w:hAnsi="黑体" w:eastAsia="黑体"/>
        <w:b w:val="0"/>
        <w:i w:val="0"/>
        <w:sz w:val="21"/>
        <w:szCs w:val="21"/>
      </w:rPr>
    </w:lvl>
    <w:lvl w:ilvl="6" w:tentative="0">
      <w:start w:val="1"/>
      <w:numFmt w:val="decimal"/>
      <w:suff w:val="nothing"/>
      <w:lvlText w:val="%1.%2.%3.%4.%5.%6.%7　"/>
      <w:lvlJc w:val="left"/>
      <w:pPr>
        <w:tabs>
          <w:tab w:val="left" w:pos="0"/>
        </w:tabs>
        <w:ind w:left="2127" w:firstLine="0"/>
      </w:pPr>
      <w:rPr>
        <w:rFonts w:hint="eastAsia" w:ascii="黑体" w:hAnsi="黑体" w:eastAsia="黑体"/>
        <w:b w:val="0"/>
        <w:i w:val="0"/>
        <w:sz w:val="21"/>
        <w:szCs w:val="21"/>
      </w:rPr>
    </w:lvl>
    <w:lvl w:ilvl="7" w:tentative="0">
      <w:start w:val="1"/>
      <w:numFmt w:val="decimal"/>
      <w:lvlText w:val="%1.%2.%3.%4.%5.%6.%7.%8"/>
      <w:lvlJc w:val="left"/>
      <w:pPr>
        <w:tabs>
          <w:tab w:val="left" w:pos="0"/>
        </w:tabs>
        <w:ind w:left="6521" w:hanging="1418"/>
      </w:pPr>
      <w:rPr>
        <w:rFonts w:hint="eastAsia"/>
      </w:rPr>
    </w:lvl>
    <w:lvl w:ilvl="8" w:tentative="0">
      <w:start w:val="1"/>
      <w:numFmt w:val="decimal"/>
      <w:lvlText w:val="%1.%2.%3.%4.%5.%6.%7.%8.%9"/>
      <w:lvlJc w:val="left"/>
      <w:pPr>
        <w:tabs>
          <w:tab w:val="left" w:pos="0"/>
        </w:tabs>
        <w:ind w:left="7229"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5YjllZWJkNGU4OTNjOGIyMDAzNjYyZmIyMGU4ZjEifQ=="/>
  </w:docVars>
  <w:rsids>
    <w:rsidRoot w:val="0048491C"/>
    <w:rsid w:val="00086312"/>
    <w:rsid w:val="001958F0"/>
    <w:rsid w:val="001C2EAD"/>
    <w:rsid w:val="0020696B"/>
    <w:rsid w:val="00210DF2"/>
    <w:rsid w:val="00241D60"/>
    <w:rsid w:val="002B1907"/>
    <w:rsid w:val="00302B0D"/>
    <w:rsid w:val="004459DB"/>
    <w:rsid w:val="00455B16"/>
    <w:rsid w:val="0048491C"/>
    <w:rsid w:val="004F26F3"/>
    <w:rsid w:val="00560CC8"/>
    <w:rsid w:val="005C14C3"/>
    <w:rsid w:val="00775EB6"/>
    <w:rsid w:val="007B00D3"/>
    <w:rsid w:val="00857791"/>
    <w:rsid w:val="008B548C"/>
    <w:rsid w:val="009130EF"/>
    <w:rsid w:val="009210B4"/>
    <w:rsid w:val="009A5588"/>
    <w:rsid w:val="00A20671"/>
    <w:rsid w:val="00AA44D0"/>
    <w:rsid w:val="00B84C65"/>
    <w:rsid w:val="00B91CFE"/>
    <w:rsid w:val="00C478E9"/>
    <w:rsid w:val="00C61EF9"/>
    <w:rsid w:val="00C709A6"/>
    <w:rsid w:val="00CC6788"/>
    <w:rsid w:val="00D336A3"/>
    <w:rsid w:val="00D677D7"/>
    <w:rsid w:val="00DA50AE"/>
    <w:rsid w:val="00E07A02"/>
    <w:rsid w:val="00EF7698"/>
    <w:rsid w:val="00F8045E"/>
    <w:rsid w:val="1D9178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nhideWhenUsed="0"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360" w:lineRule="auto"/>
      <w:ind w:firstLine="200"/>
    </w:pPr>
    <w:rPr>
      <w:rFonts w:ascii="Calibri" w:hAnsi="Calibri" w:eastAsia="宋体" w:cs="Arial"/>
      <w:sz w:val="21"/>
      <w:szCs w:val="21"/>
      <w:lang w:val="en-US" w:eastAsia="zh-CN" w:bidi="ar-SA"/>
    </w:rPr>
  </w:style>
  <w:style w:type="paragraph" w:styleId="2">
    <w:name w:val="heading 1"/>
    <w:basedOn w:val="1"/>
    <w:next w:val="1"/>
    <w:uiPriority w:val="0"/>
    <w:pPr>
      <w:spacing w:before="340" w:after="330" w:line="578" w:lineRule="auto"/>
      <w:outlineLvl w:val="0"/>
    </w:pPr>
    <w:rPr>
      <w:rFonts w:ascii="Times New Roman" w:hAnsi="Times New Roman" w:cs="Times New Roman"/>
      <w:b/>
      <w:sz w:val="44"/>
      <w:szCs w:val="44"/>
    </w:rPr>
  </w:style>
  <w:style w:type="paragraph" w:styleId="3">
    <w:name w:val="heading 2"/>
    <w:basedOn w:val="1"/>
    <w:next w:val="1"/>
    <w:qFormat/>
    <w:uiPriority w:val="0"/>
    <w:pPr>
      <w:spacing w:before="120" w:after="120" w:line="240" w:lineRule="auto"/>
      <w:ind w:firstLine="0"/>
      <w:outlineLvl w:val="1"/>
    </w:pPr>
    <w:rPr>
      <w:rFonts w:ascii="Arial" w:hAnsi="Arial" w:eastAsia="黑体" w:cs="Times New Roman"/>
    </w:rPr>
  </w:style>
  <w:style w:type="paragraph" w:styleId="4">
    <w:name w:val="heading 3"/>
    <w:basedOn w:val="1"/>
    <w:next w:val="1"/>
    <w:link w:val="44"/>
    <w:uiPriority w:val="0"/>
    <w:pPr>
      <w:spacing w:before="120" w:after="120" w:line="240" w:lineRule="auto"/>
      <w:ind w:firstLine="0"/>
      <w:outlineLvl w:val="2"/>
    </w:pPr>
    <w:rPr>
      <w:rFonts w:ascii="黑体" w:eastAsia="黑体"/>
    </w:rPr>
  </w:style>
  <w:style w:type="paragraph" w:styleId="5">
    <w:name w:val="heading 4"/>
    <w:basedOn w:val="1"/>
    <w:next w:val="1"/>
    <w:qFormat/>
    <w:uiPriority w:val="0"/>
    <w:pPr>
      <w:spacing w:before="120" w:after="120"/>
      <w:outlineLvl w:val="3"/>
    </w:pPr>
    <w:rPr>
      <w:rFonts w:ascii="等线 Light" w:hAnsi="等线 Light" w:cs="Times New Roman"/>
      <w:sz w:val="24"/>
      <w:szCs w:val="24"/>
    </w:rPr>
  </w:style>
  <w:style w:type="paragraph" w:styleId="6">
    <w:name w:val="heading 5"/>
    <w:basedOn w:val="1"/>
    <w:next w:val="1"/>
    <w:qFormat/>
    <w:uiPriority w:val="0"/>
    <w:pPr>
      <w:tabs>
        <w:tab w:val="left" w:pos="1008"/>
      </w:tabs>
      <w:spacing w:before="120"/>
      <w:ind w:left="-1" w:hanging="1008"/>
      <w:outlineLvl w:val="4"/>
    </w:pPr>
    <w:rPr>
      <w:rFonts w:ascii="宋体" w:hAnsi="宋体" w:eastAsia="黑体" w:cs="宋体"/>
      <w:b/>
    </w:rPr>
  </w:style>
  <w:style w:type="paragraph" w:styleId="7">
    <w:name w:val="heading 6"/>
    <w:basedOn w:val="1"/>
    <w:next w:val="1"/>
    <w:uiPriority w:val="0"/>
    <w:pPr>
      <w:tabs>
        <w:tab w:val="left" w:pos="1152"/>
      </w:tabs>
      <w:spacing w:line="440" w:lineRule="exact"/>
      <w:ind w:left="1152" w:hanging="1152"/>
      <w:outlineLvl w:val="5"/>
    </w:pPr>
    <w:rPr>
      <w:rFonts w:ascii="Arial" w:hAnsi="Arial" w:cs="宋体"/>
      <w:sz w:val="24"/>
      <w:szCs w:val="24"/>
    </w:rPr>
  </w:style>
  <w:style w:type="paragraph" w:styleId="8">
    <w:name w:val="heading 7"/>
    <w:basedOn w:val="1"/>
    <w:next w:val="1"/>
    <w:uiPriority w:val="0"/>
    <w:pPr>
      <w:tabs>
        <w:tab w:val="left" w:pos="1296"/>
      </w:tabs>
      <w:spacing w:before="240" w:after="64" w:line="319" w:lineRule="auto"/>
      <w:ind w:left="1296" w:hanging="1296"/>
      <w:outlineLvl w:val="6"/>
    </w:pPr>
    <w:rPr>
      <w:rFonts w:ascii="Times New Roman" w:hAnsi="Times New Roman" w:cs="宋体"/>
      <w:b/>
      <w:sz w:val="24"/>
      <w:szCs w:val="24"/>
    </w:rPr>
  </w:style>
  <w:style w:type="paragraph" w:styleId="9">
    <w:name w:val="heading 8"/>
    <w:basedOn w:val="1"/>
    <w:next w:val="1"/>
    <w:qFormat/>
    <w:uiPriority w:val="0"/>
    <w:pPr>
      <w:tabs>
        <w:tab w:val="left" w:pos="1440"/>
      </w:tabs>
      <w:spacing w:before="240" w:after="64" w:line="320" w:lineRule="atLeast"/>
      <w:ind w:left="1440" w:hanging="1440"/>
      <w:outlineLvl w:val="7"/>
    </w:pPr>
    <w:rPr>
      <w:rFonts w:ascii="Arial" w:hAnsi="Arial" w:eastAsia="黑体" w:cs="宋体"/>
      <w:sz w:val="24"/>
      <w:szCs w:val="24"/>
    </w:rPr>
  </w:style>
  <w:style w:type="paragraph" w:styleId="10">
    <w:name w:val="heading 9"/>
    <w:basedOn w:val="1"/>
    <w:next w:val="1"/>
    <w:qFormat/>
    <w:uiPriority w:val="0"/>
    <w:pPr>
      <w:tabs>
        <w:tab w:val="left" w:pos="1584"/>
      </w:tabs>
      <w:spacing w:before="240" w:after="64" w:line="320" w:lineRule="atLeast"/>
      <w:ind w:left="1584" w:hanging="1584"/>
      <w:outlineLvl w:val="8"/>
    </w:pPr>
    <w:rPr>
      <w:rFonts w:ascii="Arial" w:hAnsi="Arial" w:eastAsia="黑体" w:cs="宋体"/>
      <w:sz w:val="24"/>
      <w:szCs w:val="24"/>
    </w:rPr>
  </w:style>
  <w:style w:type="character" w:default="1" w:styleId="37">
    <w:name w:val="Default Paragraph Font"/>
    <w:semiHidden/>
    <w:unhideWhenUsed/>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rPr>
      <w:rFonts w:ascii="Times New Roman" w:hAnsi="Times New Roman" w:eastAsia="仿宋体" w:cs="Times New Roman"/>
      <w:sz w:val="24"/>
      <w:szCs w:val="24"/>
    </w:rPr>
  </w:style>
  <w:style w:type="paragraph" w:styleId="12">
    <w:name w:val="Document Map"/>
    <w:basedOn w:val="1"/>
    <w:qFormat/>
    <w:uiPriority w:val="0"/>
    <w:rPr>
      <w:rFonts w:ascii="宋体"/>
      <w:sz w:val="18"/>
      <w:szCs w:val="18"/>
    </w:rPr>
  </w:style>
  <w:style w:type="paragraph" w:styleId="13">
    <w:name w:val="annotation text"/>
    <w:basedOn w:val="1"/>
    <w:qFormat/>
    <w:uiPriority w:val="0"/>
    <w:rPr>
      <w:rFonts w:ascii="Times New Roman" w:hAnsi="Times New Roman" w:cs="Times New Roman"/>
      <w:sz w:val="24"/>
      <w:szCs w:val="24"/>
    </w:rPr>
  </w:style>
  <w:style w:type="paragraph" w:styleId="14">
    <w:name w:val="Body Text"/>
    <w:basedOn w:val="1"/>
    <w:uiPriority w:val="0"/>
    <w:pPr>
      <w:spacing w:after="120"/>
    </w:pPr>
    <w:rPr>
      <w:rFonts w:ascii="仿宋_GB2312" w:eastAsia="仿宋_GB2312" w:cs="Times New Roman"/>
      <w:sz w:val="32"/>
      <w:szCs w:val="32"/>
    </w:rPr>
  </w:style>
  <w:style w:type="paragraph" w:styleId="15">
    <w:name w:val="Body Text Indent"/>
    <w:basedOn w:val="1"/>
    <w:qFormat/>
    <w:uiPriority w:val="0"/>
    <w:pPr>
      <w:spacing w:after="120"/>
      <w:ind w:left="419" w:leftChars="419" w:firstLine="0"/>
    </w:pPr>
    <w:rPr>
      <w:rFonts w:ascii="仿宋_GB2312" w:eastAsia="仿宋_GB2312" w:cs="Times New Roman"/>
      <w:sz w:val="32"/>
      <w:szCs w:val="32"/>
    </w:rPr>
  </w:style>
  <w:style w:type="paragraph" w:styleId="16">
    <w:name w:val="List 2"/>
    <w:basedOn w:val="1"/>
    <w:qFormat/>
    <w:uiPriority w:val="0"/>
    <w:pPr>
      <w:ind w:left="100" w:leftChars="-100" w:hanging="200"/>
    </w:pPr>
    <w:rPr>
      <w:rFonts w:ascii="Times New Roman" w:hAnsi="Times New Roman" w:cs="Times New Roman"/>
    </w:rPr>
  </w:style>
  <w:style w:type="paragraph" w:styleId="17">
    <w:name w:val="toc 3"/>
    <w:basedOn w:val="1"/>
    <w:next w:val="1"/>
    <w:qFormat/>
    <w:uiPriority w:val="39"/>
    <w:pPr>
      <w:tabs>
        <w:tab w:val="right" w:leader="dot" w:pos="9344"/>
      </w:tabs>
      <w:ind w:firstLine="424"/>
    </w:pPr>
    <w:rPr>
      <w:rFonts w:ascii="Times New Roman" w:hAnsi="Times New Roman" w:cs="Times New Roman"/>
      <w:sz w:val="24"/>
      <w:szCs w:val="24"/>
    </w:rPr>
  </w:style>
  <w:style w:type="paragraph" w:styleId="18">
    <w:name w:val="Plain Text"/>
    <w:basedOn w:val="1"/>
    <w:qFormat/>
    <w:uiPriority w:val="0"/>
    <w:rPr>
      <w:rFonts w:ascii="宋体" w:cs="Courier New"/>
    </w:rPr>
  </w:style>
  <w:style w:type="paragraph" w:styleId="19">
    <w:name w:val="Date"/>
    <w:basedOn w:val="1"/>
    <w:next w:val="1"/>
    <w:qFormat/>
    <w:uiPriority w:val="0"/>
    <w:rPr>
      <w:rFonts w:ascii="仿宋_GB2312" w:eastAsia="仿宋_GB2312" w:cs="Times New Roman"/>
      <w:sz w:val="32"/>
      <w:szCs w:val="32"/>
    </w:rPr>
  </w:style>
  <w:style w:type="paragraph" w:styleId="20">
    <w:name w:val="Body Text Indent 2"/>
    <w:basedOn w:val="1"/>
    <w:qFormat/>
    <w:uiPriority w:val="0"/>
    <w:pPr>
      <w:spacing w:after="120" w:line="480" w:lineRule="auto"/>
      <w:ind w:left="419" w:leftChars="419" w:firstLine="0"/>
    </w:pPr>
  </w:style>
  <w:style w:type="paragraph" w:styleId="21">
    <w:name w:val="Balloon Text"/>
    <w:basedOn w:val="1"/>
    <w:uiPriority w:val="0"/>
    <w:rPr>
      <w:sz w:val="18"/>
      <w:szCs w:val="18"/>
    </w:rPr>
  </w:style>
  <w:style w:type="paragraph" w:styleId="22">
    <w:name w:val="footer"/>
    <w:basedOn w:val="1"/>
    <w:qFormat/>
    <w:uiPriority w:val="0"/>
    <w:pPr>
      <w:tabs>
        <w:tab w:val="center" w:pos="4153"/>
        <w:tab w:val="right" w:pos="8306"/>
      </w:tabs>
    </w:pPr>
    <w:rPr>
      <w:sz w:val="18"/>
      <w:szCs w:val="18"/>
    </w:rPr>
  </w:style>
  <w:style w:type="paragraph" w:styleId="23">
    <w:name w:val="header"/>
    <w:basedOn w:val="1"/>
    <w:qFormat/>
    <w:uiPriority w:val="0"/>
    <w:pPr>
      <w:pBdr>
        <w:bottom w:val="single" w:color="000000" w:sz="6" w:space="1"/>
      </w:pBdr>
      <w:tabs>
        <w:tab w:val="center" w:pos="4153"/>
        <w:tab w:val="right" w:pos="8306"/>
      </w:tabs>
      <w:jc w:val="center"/>
    </w:pPr>
    <w:rPr>
      <w:sz w:val="18"/>
      <w:szCs w:val="18"/>
    </w:rPr>
  </w:style>
  <w:style w:type="paragraph" w:styleId="24">
    <w:name w:val="Signature"/>
    <w:basedOn w:val="1"/>
    <w:qFormat/>
    <w:uiPriority w:val="0"/>
    <w:pPr>
      <w:ind w:left="100" w:leftChars="100" w:firstLine="0"/>
    </w:pPr>
    <w:rPr>
      <w:rFonts w:ascii="Times New Roman" w:hAnsi="Times New Roman" w:cs="Times New Roman"/>
    </w:rPr>
  </w:style>
  <w:style w:type="paragraph" w:styleId="25">
    <w:name w:val="toc 1"/>
    <w:basedOn w:val="1"/>
    <w:next w:val="1"/>
    <w:qFormat/>
    <w:uiPriority w:val="39"/>
    <w:pPr>
      <w:tabs>
        <w:tab w:val="right" w:leader="dot" w:pos="9337"/>
      </w:tabs>
      <w:ind w:left="141" w:leftChars="141" w:firstLine="586"/>
    </w:pPr>
    <w:rPr>
      <w:rFonts w:ascii="Times New Roman" w:hAnsi="Times New Roman" w:cs="Times New Roman"/>
      <w:sz w:val="24"/>
      <w:szCs w:val="24"/>
    </w:rPr>
  </w:style>
  <w:style w:type="paragraph" w:styleId="26">
    <w:name w:val="Subtitle"/>
    <w:basedOn w:val="1"/>
    <w:next w:val="1"/>
    <w:qFormat/>
    <w:uiPriority w:val="0"/>
    <w:pPr>
      <w:spacing w:line="0" w:lineRule="atLeast"/>
      <w:jc w:val="center"/>
    </w:pPr>
    <w:rPr>
      <w:sz w:val="18"/>
      <w:szCs w:val="18"/>
    </w:rPr>
  </w:style>
  <w:style w:type="paragraph" w:styleId="27">
    <w:name w:val="List"/>
    <w:basedOn w:val="1"/>
    <w:qFormat/>
    <w:uiPriority w:val="0"/>
    <w:pPr>
      <w:ind w:left="200" w:hanging="200"/>
    </w:pPr>
    <w:rPr>
      <w:rFonts w:ascii="Times New Roman" w:hAnsi="Times New Roman" w:cs="Times New Roman"/>
    </w:rPr>
  </w:style>
  <w:style w:type="paragraph" w:styleId="28">
    <w:name w:val="Body Text Indent 3"/>
    <w:basedOn w:val="1"/>
    <w:qFormat/>
    <w:uiPriority w:val="0"/>
    <w:pPr>
      <w:spacing w:after="120"/>
      <w:ind w:left="419" w:leftChars="419" w:firstLine="0"/>
    </w:pPr>
    <w:rPr>
      <w:rFonts w:ascii="Times New Roman" w:hAnsi="Times New Roman" w:cs="Times New Roman"/>
      <w:sz w:val="16"/>
      <w:szCs w:val="16"/>
    </w:rPr>
  </w:style>
  <w:style w:type="paragraph" w:styleId="29">
    <w:name w:val="table of figures"/>
    <w:basedOn w:val="1"/>
    <w:next w:val="1"/>
    <w:qFormat/>
    <w:uiPriority w:val="0"/>
    <w:pPr>
      <w:ind w:left="420" w:hanging="420"/>
    </w:pPr>
    <w:rPr>
      <w:rFonts w:ascii="Times New Roman" w:hAnsi="Times New Roman" w:cs="Times New Roman"/>
      <w:smallCaps/>
      <w:sz w:val="20"/>
      <w:szCs w:val="20"/>
    </w:rPr>
  </w:style>
  <w:style w:type="paragraph" w:styleId="30">
    <w:name w:val="toc 2"/>
    <w:basedOn w:val="1"/>
    <w:next w:val="1"/>
    <w:uiPriority w:val="39"/>
    <w:pPr>
      <w:tabs>
        <w:tab w:val="right" w:leader="dot" w:pos="9344"/>
      </w:tabs>
      <w:ind w:firstLine="210"/>
    </w:pPr>
    <w:rPr>
      <w:rFonts w:ascii="Times New Roman" w:hAnsi="Times New Roman" w:cs="Times New Roman"/>
      <w:sz w:val="24"/>
      <w:szCs w:val="24"/>
    </w:rPr>
  </w:style>
  <w:style w:type="paragraph" w:styleId="31">
    <w:name w:val="Normal (Web)"/>
    <w:basedOn w:val="1"/>
    <w:qFormat/>
    <w:uiPriority w:val="0"/>
    <w:pPr>
      <w:spacing w:before="100" w:beforeAutospacing="1" w:after="100" w:afterAutospacing="1"/>
    </w:pPr>
    <w:rPr>
      <w:rFonts w:ascii="宋体" w:cs="宋体"/>
      <w:sz w:val="24"/>
      <w:szCs w:val="24"/>
    </w:rPr>
  </w:style>
  <w:style w:type="paragraph" w:styleId="32">
    <w:name w:val="Title"/>
    <w:basedOn w:val="1"/>
    <w:next w:val="1"/>
    <w:qFormat/>
    <w:uiPriority w:val="0"/>
    <w:pPr>
      <w:spacing w:before="240" w:after="60"/>
      <w:ind w:firstLine="163"/>
      <w:jc w:val="center"/>
      <w:outlineLvl w:val="0"/>
    </w:pPr>
    <w:rPr>
      <w:rFonts w:ascii="Cambria" w:hAnsi="Cambria" w:eastAsia="黑体" w:cs="Times New Roman"/>
      <w:b/>
      <w:sz w:val="32"/>
      <w:szCs w:val="32"/>
    </w:rPr>
  </w:style>
  <w:style w:type="paragraph" w:styleId="33">
    <w:name w:val="annotation subject"/>
    <w:basedOn w:val="13"/>
    <w:next w:val="13"/>
    <w:qFormat/>
    <w:uiPriority w:val="0"/>
    <w:rPr>
      <w:b/>
    </w:rPr>
  </w:style>
  <w:style w:type="paragraph" w:styleId="34">
    <w:name w:val="Body Text First Indent"/>
    <w:basedOn w:val="14"/>
    <w:qFormat/>
    <w:uiPriority w:val="0"/>
    <w:pPr>
      <w:ind w:firstLine="100"/>
    </w:pPr>
    <w:rPr>
      <w:rFonts w:ascii="Calibri" w:eastAsia="宋体" w:cs="Arial"/>
      <w:sz w:val="21"/>
      <w:szCs w:val="21"/>
    </w:rPr>
  </w:style>
  <w:style w:type="paragraph" w:styleId="35">
    <w:name w:val="Body Text First Indent 2"/>
    <w:basedOn w:val="15"/>
    <w:qFormat/>
    <w:uiPriority w:val="0"/>
    <w:pPr>
      <w:ind w:firstLine="420"/>
    </w:pPr>
    <w:rPr>
      <w:rFonts w:ascii="Calibri" w:eastAsia="宋体" w:cs="Arial"/>
      <w:sz w:val="21"/>
      <w:szCs w:val="21"/>
    </w:rPr>
  </w:style>
  <w:style w:type="character" w:styleId="38">
    <w:name w:val="Strong"/>
    <w:qFormat/>
    <w:uiPriority w:val="0"/>
    <w:rPr>
      <w:b/>
    </w:rPr>
  </w:style>
  <w:style w:type="character" w:styleId="39">
    <w:name w:val="page number"/>
    <w:basedOn w:val="37"/>
    <w:qFormat/>
    <w:uiPriority w:val="0"/>
  </w:style>
  <w:style w:type="character" w:styleId="40">
    <w:name w:val="FollowedHyperlink"/>
    <w:basedOn w:val="37"/>
    <w:qFormat/>
    <w:uiPriority w:val="0"/>
    <w:rPr>
      <w:color w:val="800080"/>
      <w:u w:val="single"/>
    </w:rPr>
  </w:style>
  <w:style w:type="character" w:styleId="41">
    <w:name w:val="line number"/>
    <w:basedOn w:val="37"/>
    <w:qFormat/>
    <w:uiPriority w:val="0"/>
  </w:style>
  <w:style w:type="character" w:styleId="42">
    <w:name w:val="Hyperlink"/>
    <w:basedOn w:val="37"/>
    <w:qFormat/>
    <w:uiPriority w:val="99"/>
    <w:rPr>
      <w:color w:val="0000FF"/>
      <w:u w:val="single"/>
    </w:rPr>
  </w:style>
  <w:style w:type="character" w:styleId="43">
    <w:name w:val="annotation reference"/>
    <w:uiPriority w:val="0"/>
    <w:rPr>
      <w:sz w:val="21"/>
      <w:szCs w:val="21"/>
    </w:rPr>
  </w:style>
  <w:style w:type="character" w:customStyle="1" w:styleId="44">
    <w:name w:val="标题 3 Char"/>
    <w:basedOn w:val="37"/>
    <w:link w:val="4"/>
    <w:qFormat/>
    <w:uiPriority w:val="0"/>
    <w:rPr>
      <w:rFonts w:ascii="黑体" w:eastAsia="黑体" w:cs="Arial"/>
      <w:sz w:val="21"/>
      <w:szCs w:val="21"/>
      <w:lang w:val="en-US" w:eastAsia="zh-CN" w:bidi="ar-SA"/>
    </w:rPr>
  </w:style>
  <w:style w:type="paragraph" w:customStyle="1" w:styleId="45">
    <w:name w:val="无间隔1"/>
    <w:qFormat/>
    <w:uiPriority w:val="0"/>
    <w:pPr>
      <w:jc w:val="both"/>
    </w:pPr>
    <w:rPr>
      <w:rFonts w:ascii="Calibri" w:hAnsi="Calibri" w:eastAsia="宋体" w:cs="Times New Roman"/>
      <w:sz w:val="21"/>
      <w:szCs w:val="21"/>
      <w:lang w:val="en-US" w:eastAsia="zh-CN" w:bidi="ar-SA"/>
    </w:rPr>
  </w:style>
  <w:style w:type="paragraph" w:customStyle="1" w:styleId="46">
    <w:name w:val="列出段落1"/>
    <w:basedOn w:val="1"/>
    <w:qFormat/>
    <w:uiPriority w:val="0"/>
  </w:style>
  <w:style w:type="paragraph" w:customStyle="1" w:styleId="47">
    <w:name w:val="TOC 标题1"/>
    <w:basedOn w:val="2"/>
    <w:next w:val="1"/>
    <w:qFormat/>
    <w:uiPriority w:val="0"/>
    <w:pPr>
      <w:outlineLvl w:val="9"/>
    </w:pPr>
    <w:rPr>
      <w:rFonts w:cs="Arial"/>
    </w:rPr>
  </w:style>
  <w:style w:type="paragraph" w:customStyle="1" w:styleId="48">
    <w:name w:val="段"/>
    <w:qFormat/>
    <w:uiPriority w:val="0"/>
    <w:pPr>
      <w:tabs>
        <w:tab w:val="center" w:pos="4201"/>
        <w:tab w:val="right" w:leader="dot" w:pos="9298"/>
      </w:tabs>
      <w:autoSpaceDE w:val="0"/>
      <w:autoSpaceDN w:val="0"/>
      <w:ind w:firstLine="420"/>
      <w:jc w:val="both"/>
    </w:pPr>
    <w:rPr>
      <w:rFonts w:ascii="宋体" w:hAnsi="Times New Roman" w:eastAsia="宋体" w:cs="Times New Roman"/>
      <w:sz w:val="21"/>
      <w:szCs w:val="21"/>
      <w:lang w:val="en-US" w:eastAsia="zh-CN" w:bidi="ar-SA"/>
    </w:rPr>
  </w:style>
  <w:style w:type="paragraph" w:customStyle="1" w:styleId="49">
    <w:name w:val="附录标识"/>
    <w:basedOn w:val="1"/>
    <w:next w:val="48"/>
    <w:qFormat/>
    <w:uiPriority w:val="0"/>
    <w:pPr>
      <w:numPr>
        <w:ilvl w:val="0"/>
        <w:numId w:val="1"/>
      </w:numPr>
      <w:shd w:val="clear" w:color="FFFFFF" w:fill="FFFFFF"/>
      <w:tabs>
        <w:tab w:val="left" w:pos="6405"/>
      </w:tabs>
      <w:spacing w:before="640" w:after="280"/>
      <w:jc w:val="center"/>
      <w:outlineLvl w:val="0"/>
    </w:pPr>
    <w:rPr>
      <w:rFonts w:ascii="黑体" w:eastAsia="黑体" w:cs="Times New Roman"/>
    </w:rPr>
  </w:style>
  <w:style w:type="paragraph" w:customStyle="1" w:styleId="50">
    <w:name w:val="附录表标号"/>
    <w:basedOn w:val="1"/>
    <w:next w:val="48"/>
    <w:qFormat/>
    <w:uiPriority w:val="0"/>
    <w:pPr>
      <w:numPr>
        <w:ilvl w:val="0"/>
        <w:numId w:val="2"/>
      </w:numPr>
      <w:spacing w:line="14" w:lineRule="exact"/>
      <w:jc w:val="center"/>
      <w:outlineLvl w:val="0"/>
    </w:pPr>
    <w:rPr>
      <w:rFonts w:ascii="Times New Roman" w:hAnsi="Times New Roman" w:cs="Times New Roman"/>
      <w:color w:val="FFFFFF"/>
    </w:rPr>
  </w:style>
  <w:style w:type="paragraph" w:customStyle="1" w:styleId="51">
    <w:name w:val="附录表标题"/>
    <w:basedOn w:val="1"/>
    <w:next w:val="48"/>
    <w:qFormat/>
    <w:uiPriority w:val="0"/>
    <w:pPr>
      <w:numPr>
        <w:ilvl w:val="1"/>
        <w:numId w:val="2"/>
      </w:numPr>
      <w:spacing w:before="120" w:after="120"/>
      <w:jc w:val="center"/>
    </w:pPr>
    <w:rPr>
      <w:rFonts w:ascii="黑体" w:eastAsia="黑体" w:cs="Times New Roman"/>
    </w:rPr>
  </w:style>
  <w:style w:type="paragraph" w:customStyle="1" w:styleId="52">
    <w:name w:val="附录二级条标题"/>
    <w:basedOn w:val="1"/>
    <w:next w:val="48"/>
    <w:uiPriority w:val="0"/>
    <w:pPr>
      <w:numPr>
        <w:ilvl w:val="3"/>
        <w:numId w:val="1"/>
      </w:numPr>
      <w:overflowPunct w:val="0"/>
      <w:autoSpaceDE w:val="0"/>
      <w:autoSpaceDN w:val="0"/>
      <w:spacing w:before="120" w:after="120"/>
      <w:outlineLvl w:val="3"/>
    </w:pPr>
    <w:rPr>
      <w:rFonts w:ascii="黑体" w:eastAsia="黑体" w:cs="Times New Roman"/>
    </w:rPr>
  </w:style>
  <w:style w:type="paragraph" w:customStyle="1" w:styleId="53">
    <w:name w:val="附录三级条标题"/>
    <w:basedOn w:val="52"/>
    <w:next w:val="48"/>
    <w:qFormat/>
    <w:uiPriority w:val="0"/>
    <w:pPr>
      <w:numPr>
        <w:ilvl w:val="0"/>
        <w:numId w:val="0"/>
      </w:numPr>
      <w:outlineLvl w:val="4"/>
    </w:pPr>
  </w:style>
  <w:style w:type="paragraph" w:customStyle="1" w:styleId="54">
    <w:name w:val="附录四级条标题"/>
    <w:basedOn w:val="53"/>
    <w:next w:val="48"/>
    <w:qFormat/>
    <w:uiPriority w:val="0"/>
    <w:pPr>
      <w:outlineLvl w:val="5"/>
    </w:pPr>
  </w:style>
  <w:style w:type="paragraph" w:customStyle="1" w:styleId="55">
    <w:name w:val="附录五级条标题"/>
    <w:basedOn w:val="54"/>
    <w:next w:val="48"/>
    <w:qFormat/>
    <w:uiPriority w:val="0"/>
    <w:pPr>
      <w:outlineLvl w:val="6"/>
    </w:pPr>
  </w:style>
  <w:style w:type="paragraph" w:customStyle="1" w:styleId="56">
    <w:name w:val="附录章标题"/>
    <w:next w:val="48"/>
    <w:qFormat/>
    <w:uiPriority w:val="0"/>
    <w:pPr>
      <w:numPr>
        <w:ilvl w:val="1"/>
        <w:numId w:val="1"/>
      </w:numPr>
      <w:overflowPunct w:val="0"/>
      <w:autoSpaceDE w:val="0"/>
      <w:spacing w:before="240" w:after="240"/>
      <w:jc w:val="both"/>
      <w:outlineLvl w:val="1"/>
    </w:pPr>
    <w:rPr>
      <w:rFonts w:ascii="黑体" w:hAnsi="Times New Roman" w:eastAsia="黑体" w:cs="Times New Roman"/>
      <w:sz w:val="21"/>
      <w:szCs w:val="21"/>
      <w:lang w:val="en-US" w:eastAsia="zh-CN" w:bidi="ar-SA"/>
    </w:rPr>
  </w:style>
  <w:style w:type="paragraph" w:customStyle="1" w:styleId="57">
    <w:name w:val="附录一级条标题"/>
    <w:basedOn w:val="56"/>
    <w:next w:val="48"/>
    <w:qFormat/>
    <w:uiPriority w:val="0"/>
    <w:pPr>
      <w:numPr>
        <w:ilvl w:val="0"/>
        <w:numId w:val="0"/>
      </w:numPr>
      <w:autoSpaceDN w:val="0"/>
      <w:spacing w:before="120" w:after="120"/>
      <w:outlineLvl w:val="2"/>
    </w:pPr>
  </w:style>
  <w:style w:type="paragraph" w:customStyle="1" w:styleId="58">
    <w:name w:val="正文文本 (2)1"/>
    <w:basedOn w:val="1"/>
    <w:qFormat/>
    <w:uiPriority w:val="0"/>
    <w:pPr>
      <w:shd w:val="clear" w:color="000000" w:fill="FFFFFF"/>
      <w:spacing w:before="1320" w:after="120" w:line="240" w:lineRule="atLeast"/>
      <w:ind w:left="1600" w:hanging="1600"/>
      <w:jc w:val="distribute"/>
    </w:pPr>
    <w:rPr>
      <w:rFonts w:ascii="MingLiU" w:hAnsi="MingLiU" w:eastAsia="MingLiU" w:cs="MingLiU"/>
      <w:spacing w:val="20"/>
      <w:sz w:val="38"/>
      <w:szCs w:val="38"/>
    </w:rPr>
  </w:style>
  <w:style w:type="character" w:customStyle="1" w:styleId="59">
    <w:name w:val="正文文本 (2) + FrankRuehl"/>
    <w:qFormat/>
    <w:uiPriority w:val="0"/>
    <w:rPr>
      <w:rFonts w:ascii="FrankRuehl" w:hAnsi="FrankRuehl" w:eastAsia="宋体" w:cs="FrankRuehl"/>
      <w:spacing w:val="0"/>
      <w:sz w:val="56"/>
      <w:szCs w:val="56"/>
      <w:shd w:val="clear" w:color="000000" w:fill="FFFFFF"/>
      <w:lang w:val="en-US" w:eastAsia="en-US" w:bidi="he-IL"/>
    </w:rPr>
  </w:style>
  <w:style w:type="character" w:customStyle="1" w:styleId="60">
    <w:name w:val="正文文本 (2) + Verdana3"/>
    <w:qFormat/>
    <w:uiPriority w:val="0"/>
    <w:rPr>
      <w:rFonts w:ascii="Verdana" w:hAnsi="Verdana" w:eastAsia="宋体" w:cs="Verdana"/>
      <w:spacing w:val="0"/>
      <w:sz w:val="42"/>
      <w:szCs w:val="42"/>
      <w:shd w:val="clear" w:color="000000" w:fill="FFFFFF"/>
      <w:lang w:val="en-US" w:eastAsia="en-US"/>
    </w:rPr>
  </w:style>
  <w:style w:type="character" w:customStyle="1" w:styleId="61">
    <w:name w:val="正文文本 (2) + Arial Unicode MS13"/>
    <w:qFormat/>
    <w:uiPriority w:val="0"/>
    <w:rPr>
      <w:rFonts w:ascii="Arial Unicode MS" w:hAnsi="Arial Unicode MS" w:eastAsia="Arial Unicode MS" w:cs="Arial Unicode MS"/>
      <w:spacing w:val="0"/>
      <w:sz w:val="20"/>
      <w:szCs w:val="28"/>
      <w:u w:val="none"/>
      <w:shd w:val="clear" w:color="000000" w:fill="FFFFFF"/>
      <w:lang w:val="en-US" w:eastAsia="en-US"/>
    </w:rPr>
  </w:style>
  <w:style w:type="character" w:customStyle="1" w:styleId="62">
    <w:name w:val="正文文本 (2) + Arial Unicode MS"/>
    <w:qFormat/>
    <w:uiPriority w:val="0"/>
    <w:rPr>
      <w:rFonts w:ascii="Arial Unicode MS" w:hAnsi="Arial Unicode MS" w:eastAsia="Arial Unicode MS" w:cs="Arial Unicode MS"/>
      <w:spacing w:val="0"/>
      <w:sz w:val="36"/>
      <w:szCs w:val="36"/>
      <w:u w:val="none"/>
      <w:shd w:val="clear" w:color="000000" w:fill="FFFFFF"/>
      <w:lang w:val="en-US" w:eastAsia="en-US"/>
    </w:rPr>
  </w:style>
  <w:style w:type="character" w:customStyle="1" w:styleId="63">
    <w:name w:val="正文文本 (2) + 间距 4 pt"/>
    <w:qFormat/>
    <w:uiPriority w:val="0"/>
    <w:rPr>
      <w:rFonts w:ascii="Times New Roman" w:hAnsi="Times New Roman" w:eastAsia="宋体" w:cs="Times New Roman"/>
      <w:spacing w:val="80"/>
      <w:sz w:val="20"/>
      <w:szCs w:val="28"/>
      <w:u w:val="none"/>
      <w:shd w:val="clear" w:color="000000" w:fill="FFFFFF"/>
    </w:rPr>
  </w:style>
  <w:style w:type="character" w:customStyle="1" w:styleId="64">
    <w:name w:val="正文文本 (2) + 间距 7 pt"/>
    <w:qFormat/>
    <w:uiPriority w:val="0"/>
    <w:rPr>
      <w:rFonts w:ascii="Times New Roman" w:hAnsi="Times New Roman" w:eastAsia="宋体" w:cs="Times New Roman"/>
      <w:spacing w:val="140"/>
      <w:sz w:val="20"/>
      <w:szCs w:val="28"/>
      <w:u w:val="none"/>
      <w:shd w:val="clear" w:color="000000" w:fill="FFFFFF"/>
    </w:rPr>
  </w:style>
  <w:style w:type="character" w:customStyle="1" w:styleId="65">
    <w:name w:val="副标题 Char1"/>
    <w:basedOn w:val="37"/>
    <w:uiPriority w:val="0"/>
    <w:rPr>
      <w:rFonts w:ascii="Cambria" w:hAnsi="Cambria" w:eastAsia="宋体" w:cs="Arial"/>
      <w:b/>
      <w:sz w:val="32"/>
      <w:szCs w:val="32"/>
    </w:rPr>
  </w:style>
  <w:style w:type="character" w:customStyle="1" w:styleId="66">
    <w:name w:val="正文文本 (2)9"/>
    <w:uiPriority w:val="0"/>
    <w:rPr>
      <w:rFonts w:ascii="Times New Roman" w:hAnsi="Times New Roman" w:eastAsia="宋体" w:cs="Times New Roman"/>
      <w:spacing w:val="0"/>
      <w:sz w:val="20"/>
      <w:szCs w:val="28"/>
      <w:u w:val="none"/>
      <w:shd w:val="clear" w:color="000000" w:fill="FFFFFF"/>
    </w:rPr>
  </w:style>
  <w:style w:type="character" w:customStyle="1" w:styleId="67">
    <w:name w:val="正文文本 (2) + CordiaUPC"/>
    <w:qFormat/>
    <w:uiPriority w:val="0"/>
    <w:rPr>
      <w:rFonts w:ascii="CordiaUPC" w:hAnsi="CordiaUPC" w:eastAsia="宋体" w:cs="CordiaUPC"/>
      <w:spacing w:val="-20"/>
      <w:sz w:val="62"/>
      <w:szCs w:val="62"/>
      <w:u w:val="none"/>
      <w:shd w:val="clear" w:color="000000" w:fill="FFFFFF"/>
      <w:lang w:val="en-US" w:eastAsia="en-US"/>
    </w:rPr>
  </w:style>
  <w:style w:type="character" w:customStyle="1" w:styleId="68">
    <w:name w:val="正文文本 (2) + Verdana2"/>
    <w:qFormat/>
    <w:uiPriority w:val="0"/>
    <w:rPr>
      <w:rFonts w:ascii="Verdana" w:hAnsi="Verdana" w:eastAsia="宋体" w:cs="Verdana"/>
      <w:spacing w:val="0"/>
      <w:sz w:val="40"/>
      <w:szCs w:val="40"/>
      <w:u w:val="none"/>
      <w:shd w:val="clear" w:color="000000" w:fill="FFFFFF"/>
      <w:lang w:val="en-US" w:eastAsia="en-US"/>
    </w:rPr>
  </w:style>
  <w:style w:type="paragraph" w:customStyle="1" w:styleId="69">
    <w:name w:val="正文文本 (6)1"/>
    <w:basedOn w:val="1"/>
    <w:qFormat/>
    <w:uiPriority w:val="0"/>
    <w:pPr>
      <w:shd w:val="clear" w:color="000000" w:fill="FFFFFF"/>
      <w:spacing w:line="650" w:lineRule="exact"/>
      <w:ind w:left="860" w:hanging="860"/>
    </w:pPr>
    <w:rPr>
      <w:rFonts w:ascii="MingLiU" w:hAnsi="MingLiU" w:eastAsia="MingLiU" w:cs="MingLiU"/>
      <w:spacing w:val="20"/>
      <w:sz w:val="38"/>
      <w:szCs w:val="38"/>
    </w:rPr>
  </w:style>
  <w:style w:type="character" w:customStyle="1" w:styleId="70">
    <w:name w:val="正文文本 (6) + Georgia7"/>
    <w:uiPriority w:val="0"/>
    <w:rPr>
      <w:rFonts w:ascii="Georgia" w:hAnsi="Georgia" w:eastAsia="宋体" w:cs="Georgia"/>
      <w:b/>
      <w:spacing w:val="40"/>
      <w:sz w:val="40"/>
      <w:szCs w:val="40"/>
      <w:shd w:val="clear" w:color="000000" w:fill="FFFFFF"/>
      <w:lang w:val="en-US" w:eastAsia="en-US"/>
    </w:rPr>
  </w:style>
  <w:style w:type="character" w:customStyle="1" w:styleId="71">
    <w:name w:val="正文文本 (6) + 间距 -1 pt"/>
    <w:qFormat/>
    <w:uiPriority w:val="0"/>
    <w:rPr>
      <w:rFonts w:ascii="Times New Roman" w:hAnsi="Times New Roman" w:eastAsia="宋体" w:cs="Times New Roman"/>
      <w:spacing w:val="-20"/>
      <w:sz w:val="20"/>
      <w:szCs w:val="28"/>
      <w:u w:val="none"/>
      <w:shd w:val="clear" w:color="000000" w:fill="FFFFFF"/>
    </w:rPr>
  </w:style>
  <w:style w:type="character" w:customStyle="1" w:styleId="72">
    <w:name w:val="正文文本 (6) + 间距 4 pt"/>
    <w:qFormat/>
    <w:uiPriority w:val="0"/>
    <w:rPr>
      <w:rFonts w:ascii="Times New Roman" w:hAnsi="Times New Roman" w:eastAsia="宋体" w:cs="Times New Roman"/>
      <w:spacing w:val="90"/>
      <w:sz w:val="20"/>
      <w:szCs w:val="28"/>
      <w:u w:val="none"/>
      <w:shd w:val="clear" w:color="000000" w:fill="FFFFFF"/>
    </w:rPr>
  </w:style>
  <w:style w:type="character" w:customStyle="1" w:styleId="73">
    <w:name w:val="正文文本 (2) + 间距 4 pt2"/>
    <w:qFormat/>
    <w:uiPriority w:val="0"/>
    <w:rPr>
      <w:rFonts w:ascii="Times New Roman" w:hAnsi="Times New Roman" w:eastAsia="宋体" w:cs="Times New Roman"/>
      <w:spacing w:val="80"/>
      <w:sz w:val="20"/>
      <w:szCs w:val="28"/>
      <w:u w:val="none"/>
      <w:shd w:val="clear" w:color="000000" w:fill="FFFFFF"/>
    </w:rPr>
  </w:style>
  <w:style w:type="character" w:customStyle="1" w:styleId="74">
    <w:name w:val="正文文本 (2) Exact"/>
    <w:basedOn w:val="37"/>
    <w:qFormat/>
    <w:uiPriority w:val="0"/>
    <w:rPr>
      <w:rFonts w:ascii="MingLiU" w:hAnsi="MingLiU" w:eastAsia="MingLiU" w:cs="MingLiU"/>
      <w:spacing w:val="20"/>
      <w:sz w:val="38"/>
      <w:szCs w:val="38"/>
      <w:u w:val="none"/>
    </w:rPr>
  </w:style>
  <w:style w:type="character" w:customStyle="1" w:styleId="75">
    <w:name w:val="正文文本 (2) + 间距 4 pt Exact"/>
    <w:qFormat/>
    <w:uiPriority w:val="0"/>
    <w:rPr>
      <w:rFonts w:ascii="Times New Roman" w:hAnsi="Times New Roman" w:eastAsia="宋体" w:cs="Times New Roman"/>
      <w:spacing w:val="80"/>
      <w:sz w:val="20"/>
      <w:szCs w:val="28"/>
      <w:u w:val="none"/>
      <w:shd w:val="clear" w:color="000000" w:fill="FFFFFF"/>
    </w:rPr>
  </w:style>
  <w:style w:type="character" w:customStyle="1" w:styleId="76">
    <w:name w:val="正文文本 (2) + 间距 4 pt Exact2"/>
    <w:qFormat/>
    <w:uiPriority w:val="0"/>
    <w:rPr>
      <w:rFonts w:ascii="Times New Roman" w:hAnsi="Times New Roman" w:eastAsia="宋体" w:cs="Times New Roman"/>
      <w:spacing w:val="80"/>
      <w:sz w:val="20"/>
      <w:szCs w:val="28"/>
      <w:u w:val="none"/>
      <w:shd w:val="clear" w:color="000000" w:fill="FFFFFF"/>
    </w:rPr>
  </w:style>
  <w:style w:type="character" w:customStyle="1" w:styleId="77">
    <w:name w:val="正文文本 (2) + Arial Unicode MS21"/>
    <w:qFormat/>
    <w:uiPriority w:val="0"/>
    <w:rPr>
      <w:rFonts w:ascii="Arial Unicode MS" w:hAnsi="Arial Unicode MS" w:eastAsia="Arial Unicode MS" w:cs="Arial Unicode MS"/>
      <w:spacing w:val="0"/>
      <w:sz w:val="36"/>
      <w:szCs w:val="36"/>
      <w:u w:val="none"/>
      <w:shd w:val="clear" w:color="000000" w:fill="FFFFFF"/>
      <w:lang w:val="en-US" w:eastAsia="en-US"/>
    </w:rPr>
  </w:style>
  <w:style w:type="character" w:customStyle="1" w:styleId="78">
    <w:name w:val="正文文本 (2) + 间距 4 pt3"/>
    <w:uiPriority w:val="0"/>
    <w:rPr>
      <w:rFonts w:ascii="Times New Roman" w:hAnsi="Times New Roman" w:eastAsia="宋体" w:cs="Times New Roman"/>
      <w:spacing w:val="80"/>
      <w:sz w:val="20"/>
      <w:szCs w:val="28"/>
      <w:u w:val="none"/>
      <w:shd w:val="clear" w:color="000000" w:fill="FFFFFF"/>
    </w:rPr>
  </w:style>
  <w:style w:type="character" w:customStyle="1" w:styleId="79">
    <w:name w:val="正文文本 (2)8"/>
    <w:qFormat/>
    <w:uiPriority w:val="0"/>
    <w:rPr>
      <w:rFonts w:ascii="Times New Roman" w:hAnsi="Times New Roman" w:eastAsia="宋体" w:cs="Times New Roman"/>
      <w:spacing w:val="0"/>
      <w:sz w:val="20"/>
      <w:szCs w:val="28"/>
      <w:u w:val="none"/>
      <w:shd w:val="clear" w:color="000000" w:fill="FFFFFF"/>
    </w:rPr>
  </w:style>
  <w:style w:type="character" w:customStyle="1" w:styleId="80">
    <w:name w:val="正文文本 (2) + 间距 7 pt2"/>
    <w:qFormat/>
    <w:uiPriority w:val="0"/>
    <w:rPr>
      <w:rFonts w:ascii="Times New Roman" w:hAnsi="Times New Roman" w:eastAsia="宋体" w:cs="Times New Roman"/>
      <w:spacing w:val="140"/>
      <w:sz w:val="20"/>
      <w:szCs w:val="28"/>
      <w:u w:val="none"/>
      <w:shd w:val="clear" w:color="000000" w:fill="FFFFFF"/>
    </w:rPr>
  </w:style>
  <w:style w:type="character" w:customStyle="1" w:styleId="81">
    <w:name w:val="正文文本 (2) + 间距 7 pt1"/>
    <w:qFormat/>
    <w:uiPriority w:val="0"/>
    <w:rPr>
      <w:rFonts w:ascii="Times New Roman" w:hAnsi="Times New Roman" w:eastAsia="宋体" w:cs="Times New Roman"/>
      <w:spacing w:val="140"/>
      <w:sz w:val="20"/>
      <w:szCs w:val="28"/>
      <w:u w:val="single"/>
      <w:shd w:val="clear" w:color="000000" w:fill="FFFFFF"/>
    </w:rPr>
  </w:style>
  <w:style w:type="character" w:customStyle="1" w:styleId="82">
    <w:name w:val="正文文本 (2) + Arial Unicode MS7"/>
    <w:uiPriority w:val="0"/>
    <w:rPr>
      <w:rFonts w:ascii="Arial Unicode MS" w:hAnsi="Arial Unicode MS" w:eastAsia="Arial Unicode MS" w:cs="Arial Unicode MS"/>
      <w:smallCaps/>
      <w:spacing w:val="0"/>
      <w:sz w:val="36"/>
      <w:szCs w:val="36"/>
      <w:u w:val="none"/>
      <w:shd w:val="clear" w:color="000000" w:fill="FFFFFF"/>
      <w:lang w:val="en-US" w:eastAsia="en-US"/>
    </w:rPr>
  </w:style>
  <w:style w:type="paragraph" w:customStyle="1" w:styleId="83">
    <w:name w:val="表格标题"/>
    <w:basedOn w:val="1"/>
    <w:qFormat/>
    <w:uiPriority w:val="0"/>
    <w:pPr>
      <w:shd w:val="clear" w:color="000000" w:fill="FFFFFF"/>
      <w:spacing w:line="240" w:lineRule="atLeast"/>
    </w:pPr>
    <w:rPr>
      <w:rFonts w:ascii="MingLiU" w:hAnsi="MingLiU" w:eastAsia="MingLiU" w:cs="MingLiU"/>
      <w:spacing w:val="20"/>
      <w:sz w:val="38"/>
      <w:szCs w:val="38"/>
    </w:rPr>
  </w:style>
  <w:style w:type="character" w:customStyle="1" w:styleId="84">
    <w:name w:val="表格标题 + 间距 4 pt"/>
    <w:qFormat/>
    <w:uiPriority w:val="0"/>
    <w:rPr>
      <w:rFonts w:ascii="Times New Roman" w:hAnsi="Times New Roman" w:eastAsia="宋体" w:cs="Times New Roman"/>
      <w:spacing w:val="80"/>
      <w:sz w:val="20"/>
      <w:szCs w:val="28"/>
      <w:shd w:val="clear" w:color="000000" w:fill="FFFFFF"/>
    </w:rPr>
  </w:style>
  <w:style w:type="character" w:customStyle="1" w:styleId="85">
    <w:name w:val="正文文本 (2) + 16 pt7"/>
    <w:qFormat/>
    <w:uiPriority w:val="0"/>
    <w:rPr>
      <w:rFonts w:ascii="Times New Roman" w:hAnsi="Times New Roman" w:eastAsia="宋体" w:cs="Times New Roman"/>
      <w:spacing w:val="0"/>
      <w:sz w:val="32"/>
      <w:szCs w:val="32"/>
      <w:u w:val="none"/>
      <w:shd w:val="clear" w:color="000000" w:fill="FFFFFF"/>
    </w:rPr>
  </w:style>
  <w:style w:type="character" w:customStyle="1" w:styleId="86">
    <w:name w:val="正文文本 (2) + Verdana"/>
    <w:qFormat/>
    <w:uiPriority w:val="0"/>
    <w:rPr>
      <w:rFonts w:ascii="Verdana" w:hAnsi="Verdana" w:eastAsia="宋体" w:cs="Verdana"/>
      <w:spacing w:val="-60"/>
      <w:sz w:val="46"/>
      <w:szCs w:val="46"/>
      <w:u w:val="none"/>
      <w:shd w:val="clear" w:color="000000" w:fill="FFFFFF"/>
      <w:lang w:val="en-US" w:eastAsia="en-US"/>
    </w:rPr>
  </w:style>
  <w:style w:type="character" w:customStyle="1" w:styleId="87">
    <w:name w:val="正文文本 (2) + Arial Unicode MS18"/>
    <w:qFormat/>
    <w:uiPriority w:val="0"/>
    <w:rPr>
      <w:rFonts w:ascii="Arial Unicode MS" w:hAnsi="Arial Unicode MS" w:eastAsia="Arial Unicode MS" w:cs="Arial Unicode MS"/>
      <w:spacing w:val="0"/>
      <w:sz w:val="32"/>
      <w:szCs w:val="32"/>
      <w:u w:val="none"/>
      <w:shd w:val="clear" w:color="000000" w:fill="FFFFFF"/>
    </w:rPr>
  </w:style>
  <w:style w:type="character" w:customStyle="1" w:styleId="88">
    <w:name w:val="正文文本 (2) + Lucida Sans Unicode"/>
    <w:qFormat/>
    <w:uiPriority w:val="0"/>
    <w:rPr>
      <w:rFonts w:ascii="Lucida Sans Unicode" w:hAnsi="Lucida Sans Unicode" w:eastAsia="宋体" w:cs="Lucida Sans Unicode"/>
      <w:spacing w:val="0"/>
      <w:sz w:val="20"/>
      <w:szCs w:val="28"/>
      <w:u w:val="none"/>
      <w:shd w:val="clear" w:color="000000" w:fill="FFFFFF"/>
    </w:rPr>
  </w:style>
  <w:style w:type="character" w:customStyle="1" w:styleId="89">
    <w:name w:val="正文文本 (2) + 16 pt5"/>
    <w:qFormat/>
    <w:uiPriority w:val="0"/>
    <w:rPr>
      <w:rFonts w:ascii="Times New Roman" w:hAnsi="Times New Roman" w:eastAsia="宋体" w:cs="Times New Roman"/>
      <w:spacing w:val="-20"/>
      <w:sz w:val="32"/>
      <w:szCs w:val="32"/>
      <w:u w:val="none"/>
      <w:shd w:val="clear" w:color="000000" w:fill="FFFFFF"/>
    </w:rPr>
  </w:style>
  <w:style w:type="character" w:customStyle="1" w:styleId="90">
    <w:name w:val="正文文本 (2) + Lucida Sans Unicode2"/>
    <w:qFormat/>
    <w:uiPriority w:val="0"/>
    <w:rPr>
      <w:rFonts w:ascii="Lucida Sans Unicode" w:hAnsi="Lucida Sans Unicode" w:eastAsia="宋体" w:cs="Lucida Sans Unicode"/>
      <w:spacing w:val="-20"/>
      <w:sz w:val="20"/>
      <w:szCs w:val="28"/>
      <w:u w:val="none"/>
      <w:shd w:val="clear" w:color="000000" w:fill="FFFFFF"/>
      <w:lang w:val="en-US" w:eastAsia="en-US"/>
    </w:rPr>
  </w:style>
  <w:style w:type="character" w:customStyle="1" w:styleId="91">
    <w:name w:val="正文文本 (2) + Arial Unicode MS6"/>
    <w:qFormat/>
    <w:uiPriority w:val="0"/>
    <w:rPr>
      <w:rFonts w:ascii="Arial Unicode MS" w:hAnsi="Arial Unicode MS" w:eastAsia="Arial Unicode MS" w:cs="Arial Unicode MS"/>
      <w:spacing w:val="0"/>
      <w:sz w:val="20"/>
      <w:szCs w:val="28"/>
      <w:u w:val="none"/>
      <w:shd w:val="clear" w:color="000000" w:fill="FFFFFF"/>
      <w:lang w:val="en-US" w:eastAsia="en-US"/>
    </w:rPr>
  </w:style>
  <w:style w:type="character" w:customStyle="1" w:styleId="92">
    <w:name w:val="正文文本 (2) + Times New Roman"/>
    <w:qFormat/>
    <w:uiPriority w:val="0"/>
    <w:rPr>
      <w:rFonts w:ascii="Times New Roman" w:hAnsi="Times New Roman" w:eastAsia="宋体" w:cs="Times New Roman"/>
      <w:spacing w:val="0"/>
      <w:sz w:val="42"/>
      <w:szCs w:val="42"/>
      <w:u w:val="none"/>
      <w:shd w:val="clear" w:color="000000" w:fill="FFFFFF"/>
      <w:lang w:val="en-US" w:eastAsia="en-US"/>
    </w:rPr>
  </w:style>
  <w:style w:type="character" w:customStyle="1" w:styleId="93">
    <w:name w:val="正文文本 (2) + Lucida Sans Unicode1"/>
    <w:qFormat/>
    <w:uiPriority w:val="0"/>
    <w:rPr>
      <w:rFonts w:ascii="Lucida Sans Unicode" w:hAnsi="Lucida Sans Unicode" w:eastAsia="宋体" w:cs="Lucida Sans Unicode"/>
      <w:spacing w:val="-40"/>
      <w:sz w:val="40"/>
      <w:szCs w:val="40"/>
      <w:u w:val="none"/>
      <w:shd w:val="clear" w:color="000000" w:fill="FFFFFF"/>
      <w:lang w:val="en-US" w:eastAsia="en-US"/>
    </w:rPr>
  </w:style>
  <w:style w:type="character" w:customStyle="1" w:styleId="94">
    <w:name w:val="正文文本 (2) + Verdana1"/>
    <w:uiPriority w:val="0"/>
    <w:rPr>
      <w:rFonts w:ascii="Verdana" w:hAnsi="Verdana" w:eastAsia="宋体" w:cs="Verdana"/>
      <w:spacing w:val="0"/>
      <w:sz w:val="40"/>
      <w:szCs w:val="40"/>
      <w:u w:val="none"/>
      <w:shd w:val="clear" w:color="000000" w:fill="FFFFFF"/>
      <w:lang w:val="en-US" w:eastAsia="en-US"/>
    </w:rPr>
  </w:style>
  <w:style w:type="character" w:customStyle="1" w:styleId="95">
    <w:name w:val="正文文本 (2)3"/>
    <w:qFormat/>
    <w:uiPriority w:val="0"/>
    <w:rPr>
      <w:rFonts w:ascii="Times New Roman" w:hAnsi="Times New Roman" w:eastAsia="宋体" w:cs="Times New Roman"/>
      <w:spacing w:val="0"/>
      <w:sz w:val="20"/>
      <w:szCs w:val="28"/>
      <w:u w:val="single"/>
      <w:shd w:val="clear" w:color="000000" w:fill="FFFFFF"/>
    </w:rPr>
  </w:style>
  <w:style w:type="character" w:customStyle="1" w:styleId="96">
    <w:name w:val="占位符文本1"/>
    <w:basedOn w:val="37"/>
    <w:qFormat/>
    <w:uiPriority w:val="0"/>
    <w:rPr>
      <w:color w:val="808080"/>
    </w:rPr>
  </w:style>
  <w:style w:type="paragraph" w:customStyle="1" w:styleId="97">
    <w:name w:val="Char"/>
    <w:basedOn w:val="1"/>
    <w:qFormat/>
    <w:uiPriority w:val="0"/>
    <w:pPr>
      <w:ind w:left="-48" w:firstLine="0"/>
    </w:pPr>
    <w:rPr>
      <w:rFonts w:ascii="Times New Roman" w:hAnsi="Times New Roman" w:cs="Times New Roman"/>
    </w:rPr>
  </w:style>
  <w:style w:type="paragraph" w:customStyle="1" w:styleId="98">
    <w:name w:val="Char3"/>
    <w:basedOn w:val="1"/>
    <w:uiPriority w:val="0"/>
    <w:pPr>
      <w:kinsoku w:val="0"/>
      <w:overflowPunct w:val="0"/>
      <w:autoSpaceDE w:val="0"/>
      <w:autoSpaceDN w:val="0"/>
      <w:ind w:left="240" w:firstLine="163"/>
      <w:jc w:val="center"/>
    </w:pPr>
    <w:rPr>
      <w:rFonts w:ascii="宋体" w:cs="Times New Roman"/>
      <w:color w:val="000000"/>
      <w:w w:val="90"/>
      <w:sz w:val="24"/>
      <w:szCs w:val="24"/>
    </w:rPr>
  </w:style>
  <w:style w:type="paragraph" w:customStyle="1" w:styleId="99">
    <w:name w:val="神农架3"/>
    <w:basedOn w:val="1"/>
    <w:qFormat/>
    <w:uiPriority w:val="0"/>
    <w:pPr>
      <w:tabs>
        <w:tab w:val="left" w:pos="0"/>
      </w:tabs>
      <w:spacing w:before="48" w:after="48"/>
      <w:ind w:firstLine="472"/>
      <w:outlineLvl w:val="2"/>
    </w:pPr>
    <w:rPr>
      <w:rFonts w:ascii="宋体" w:cs="Times New Roman"/>
      <w:b/>
      <w:spacing w:val="10"/>
      <w:sz w:val="30"/>
      <w:szCs w:val="30"/>
    </w:rPr>
  </w:style>
  <w:style w:type="paragraph" w:customStyle="1" w:styleId="100">
    <w:name w:val="神农架正文"/>
    <w:basedOn w:val="1"/>
    <w:qFormat/>
    <w:uiPriority w:val="0"/>
    <w:pPr>
      <w:ind w:firstLine="650"/>
    </w:pPr>
    <w:rPr>
      <w:rFonts w:ascii="宋体" w:cs="Times New Roman"/>
      <w:spacing w:val="10"/>
      <w:sz w:val="24"/>
      <w:szCs w:val="24"/>
    </w:rPr>
  </w:style>
  <w:style w:type="paragraph" w:customStyle="1" w:styleId="101">
    <w:name w:val="神农架标题"/>
    <w:basedOn w:val="100"/>
    <w:qFormat/>
    <w:uiPriority w:val="0"/>
    <w:pPr>
      <w:spacing w:line="400" w:lineRule="exact"/>
      <w:ind w:left="-171" w:leftChars="-530" w:hanging="359"/>
    </w:pPr>
    <w:rPr>
      <w:rFonts w:ascii="Times New Roman" w:hAnsi="Times New Roman"/>
      <w:spacing w:val="0"/>
      <w:sz w:val="21"/>
      <w:szCs w:val="21"/>
    </w:rPr>
  </w:style>
  <w:style w:type="paragraph" w:customStyle="1" w:styleId="102">
    <w:name w:val="节"/>
    <w:basedOn w:val="1"/>
    <w:uiPriority w:val="0"/>
    <w:pPr>
      <w:tabs>
        <w:tab w:val="left" w:pos="0"/>
      </w:tabs>
      <w:ind w:firstLine="163"/>
      <w:jc w:val="center"/>
      <w:outlineLvl w:val="1"/>
    </w:pPr>
    <w:rPr>
      <w:rFonts w:ascii="宋体" w:cs="Times New Roman"/>
      <w:sz w:val="24"/>
      <w:szCs w:val="24"/>
    </w:rPr>
  </w:style>
  <w:style w:type="paragraph" w:customStyle="1" w:styleId="103">
    <w:name w:val="一"/>
    <w:basedOn w:val="1"/>
    <w:uiPriority w:val="0"/>
    <w:pPr>
      <w:tabs>
        <w:tab w:val="left" w:pos="0"/>
      </w:tabs>
      <w:ind w:left="173" w:leftChars="173" w:firstLine="562"/>
      <w:outlineLvl w:val="2"/>
    </w:pPr>
    <w:rPr>
      <w:rFonts w:ascii="Times New Roman" w:hAnsi="Times New Roman" w:eastAsia="楷体_GB2312" w:cs="Times New Roman"/>
      <w:b/>
      <w:sz w:val="28"/>
      <w:szCs w:val="28"/>
    </w:rPr>
  </w:style>
  <w:style w:type="paragraph" w:customStyle="1" w:styleId="104">
    <w:name w:val="Default"/>
    <w:qFormat/>
    <w:uiPriority w:val="0"/>
    <w:pPr>
      <w:autoSpaceDE w:val="0"/>
      <w:autoSpaceDN w:val="0"/>
      <w:spacing w:line="360" w:lineRule="auto"/>
      <w:ind w:firstLine="163"/>
    </w:pPr>
    <w:rPr>
      <w:rFonts w:ascii="宋体" w:hAnsi="Times New Roman" w:eastAsia="宋体" w:cs="宋体"/>
      <w:color w:val="000000"/>
      <w:sz w:val="24"/>
      <w:szCs w:val="24"/>
      <w:lang w:val="en-US" w:eastAsia="zh-CN" w:bidi="ar-SA"/>
    </w:rPr>
  </w:style>
  <w:style w:type="paragraph" w:customStyle="1" w:styleId="105">
    <w:name w:val="默认段落字体 Para Char"/>
    <w:basedOn w:val="1"/>
    <w:next w:val="1"/>
    <w:qFormat/>
    <w:uiPriority w:val="0"/>
    <w:rPr>
      <w:rFonts w:ascii="宋体" w:cs="宋体"/>
      <w:sz w:val="24"/>
      <w:szCs w:val="24"/>
    </w:rPr>
  </w:style>
  <w:style w:type="paragraph" w:customStyle="1" w:styleId="106">
    <w:name w:val="xl24"/>
    <w:basedOn w:val="1"/>
    <w:qFormat/>
    <w:uiPriority w:val="0"/>
    <w:pPr>
      <w:spacing w:before="100" w:beforeAutospacing="1" w:after="100" w:afterAutospacing="1"/>
      <w:ind w:firstLine="163"/>
      <w:jc w:val="center"/>
    </w:pPr>
    <w:rPr>
      <w:rFonts w:ascii="宋体" w:cs="Times New Roman"/>
      <w:sz w:val="24"/>
      <w:szCs w:val="24"/>
    </w:rPr>
  </w:style>
  <w:style w:type="paragraph" w:customStyle="1" w:styleId="107">
    <w:name w:val="样式1"/>
    <w:basedOn w:val="100"/>
    <w:qFormat/>
    <w:uiPriority w:val="0"/>
  </w:style>
  <w:style w:type="paragraph" w:customStyle="1" w:styleId="108">
    <w:name w:val="样式 黑体 四号 加粗1"/>
    <w:basedOn w:val="1"/>
    <w:qFormat/>
    <w:uiPriority w:val="0"/>
    <w:pPr>
      <w:ind w:firstLine="562"/>
    </w:pPr>
    <w:rPr>
      <w:rFonts w:ascii="黑体" w:eastAsia="黑体" w:cs="宋体"/>
      <w:sz w:val="28"/>
      <w:szCs w:val="28"/>
    </w:rPr>
  </w:style>
  <w:style w:type="character" w:customStyle="1" w:styleId="109">
    <w:name w:val="标题 4 Char"/>
    <w:basedOn w:val="37"/>
    <w:qFormat/>
    <w:uiPriority w:val="0"/>
    <w:rPr>
      <w:rFonts w:ascii="Cambria" w:hAnsi="Cambria" w:eastAsia="宋体" w:cs="Arial"/>
      <w:b/>
      <w:sz w:val="28"/>
      <w:szCs w:val="28"/>
    </w:rPr>
  </w:style>
  <w:style w:type="character" w:customStyle="1" w:styleId="110">
    <w:name w:val="标题 2 字符"/>
    <w:qFormat/>
    <w:uiPriority w:val="0"/>
    <w:rPr>
      <w:rFonts w:ascii="等线 Light" w:hAnsi="等线 Light" w:eastAsia="黑体"/>
      <w:sz w:val="21"/>
      <w:szCs w:val="21"/>
    </w:rPr>
  </w:style>
  <w:style w:type="character" w:customStyle="1" w:styleId="111">
    <w:name w:val="标题 1 字符"/>
    <w:qFormat/>
    <w:uiPriority w:val="0"/>
    <w:rPr>
      <w:rFonts w:eastAsia="黑体"/>
      <w:sz w:val="32"/>
      <w:szCs w:val="32"/>
    </w:rPr>
  </w:style>
  <w:style w:type="character" w:customStyle="1" w:styleId="112">
    <w:name w:val="标题 3 字符"/>
    <w:qFormat/>
    <w:uiPriority w:val="0"/>
    <w:rPr>
      <w:rFonts w:eastAsia="黑体"/>
      <w:sz w:val="24"/>
      <w:szCs w:val="24"/>
    </w:rPr>
  </w:style>
  <w:style w:type="paragraph" w:customStyle="1" w:styleId="113">
    <w:name w:val="5"/>
    <w:basedOn w:val="1"/>
    <w:next w:val="1"/>
    <w:qFormat/>
    <w:uiPriority w:val="0"/>
    <w:pPr>
      <w:ind w:left="3359" w:leftChars="3359" w:firstLine="0"/>
    </w:pPr>
    <w:rPr>
      <w:rFonts w:ascii="等线" w:eastAsia="等线" w:cs="Times New Roman"/>
    </w:rPr>
  </w:style>
  <w:style w:type="character" w:customStyle="1" w:styleId="114">
    <w:name w:val="页眉 字符"/>
    <w:qFormat/>
    <w:uiPriority w:val="0"/>
    <w:rPr>
      <w:rFonts w:eastAsia="宋体"/>
      <w:sz w:val="18"/>
      <w:szCs w:val="18"/>
    </w:rPr>
  </w:style>
  <w:style w:type="character" w:customStyle="1" w:styleId="115">
    <w:name w:val="页脚 字符"/>
    <w:qFormat/>
    <w:uiPriority w:val="0"/>
    <w:rPr>
      <w:rFonts w:eastAsia="宋体"/>
      <w:sz w:val="18"/>
      <w:szCs w:val="18"/>
    </w:rPr>
  </w:style>
  <w:style w:type="character" w:customStyle="1" w:styleId="116">
    <w:name w:val="批注文字 Char"/>
    <w:basedOn w:val="37"/>
    <w:qFormat/>
    <w:uiPriority w:val="0"/>
  </w:style>
  <w:style w:type="character" w:customStyle="1" w:styleId="117">
    <w:name w:val="批注主题 Char"/>
    <w:basedOn w:val="116"/>
    <w:qFormat/>
    <w:uiPriority w:val="0"/>
    <w:rPr>
      <w:b/>
    </w:rPr>
  </w:style>
  <w:style w:type="character" w:customStyle="1" w:styleId="118">
    <w:name w:val="批注框文本 字符"/>
    <w:qFormat/>
    <w:uiPriority w:val="0"/>
    <w:rPr>
      <w:rFonts w:eastAsia="宋体"/>
      <w:sz w:val="18"/>
      <w:szCs w:val="18"/>
    </w:rPr>
  </w:style>
  <w:style w:type="paragraph" w:customStyle="1" w:styleId="119">
    <w:name w:val="表名"/>
    <w:basedOn w:val="1"/>
    <w:link w:val="120"/>
    <w:qFormat/>
    <w:uiPriority w:val="0"/>
    <w:pPr>
      <w:ind w:firstLine="0"/>
      <w:jc w:val="center"/>
    </w:pPr>
    <w:rPr>
      <w:rFonts w:ascii="Times New Roman" w:hAnsi="Times New Roman" w:eastAsia="黑体" w:cs="Times New Roman"/>
    </w:rPr>
  </w:style>
  <w:style w:type="character" w:customStyle="1" w:styleId="120">
    <w:name w:val="表名 Char"/>
    <w:basedOn w:val="37"/>
    <w:link w:val="119"/>
    <w:qFormat/>
    <w:uiPriority w:val="0"/>
    <w:rPr>
      <w:rFonts w:ascii="Times New Roman" w:hAnsi="Times New Roman" w:eastAsia="黑体" w:cs="Times New Roman"/>
      <w:sz w:val="21"/>
      <w:szCs w:val="21"/>
      <w:lang w:val="en-US" w:eastAsia="zh-CN" w:bidi="ar-SA"/>
    </w:rPr>
  </w:style>
  <w:style w:type="paragraph" w:customStyle="1" w:styleId="121">
    <w:name w:val="表格文字"/>
    <w:basedOn w:val="1"/>
    <w:qFormat/>
    <w:uiPriority w:val="0"/>
    <w:pPr>
      <w:spacing w:line="240" w:lineRule="auto"/>
      <w:ind w:firstLine="0"/>
      <w:jc w:val="center"/>
    </w:pPr>
    <w:rPr>
      <w:rFonts w:ascii="Times New Roman" w:hAnsi="Times New Roman" w:cs="Times New Roman"/>
      <w:sz w:val="18"/>
      <w:szCs w:val="18"/>
    </w:rPr>
  </w:style>
  <w:style w:type="character" w:customStyle="1" w:styleId="122">
    <w:name w:val="文档结构图 字符"/>
    <w:qFormat/>
    <w:uiPriority w:val="0"/>
    <w:rPr>
      <w:rFonts w:ascii="宋体" w:eastAsia="宋体"/>
      <w:sz w:val="18"/>
      <w:szCs w:val="18"/>
    </w:rPr>
  </w:style>
  <w:style w:type="character" w:customStyle="1" w:styleId="123">
    <w:name w:val="纯文本 字符"/>
    <w:qFormat/>
    <w:uiPriority w:val="0"/>
    <w:rPr>
      <w:rFonts w:ascii="宋体" w:eastAsia="宋体" w:cs="Courier New"/>
      <w:sz w:val="21"/>
      <w:szCs w:val="21"/>
    </w:rPr>
  </w:style>
  <w:style w:type="character" w:customStyle="1" w:styleId="124">
    <w:name w:val="正文文本缩进 字符"/>
    <w:qFormat/>
    <w:uiPriority w:val="0"/>
    <w:rPr>
      <w:rFonts w:ascii="仿宋_GB2312" w:eastAsia="仿宋_GB2312"/>
      <w:sz w:val="32"/>
      <w:szCs w:val="32"/>
    </w:rPr>
  </w:style>
  <w:style w:type="character" w:customStyle="1" w:styleId="125">
    <w:name w:val="正文文本缩进 2 字符"/>
    <w:uiPriority w:val="0"/>
    <w:rPr>
      <w:rFonts w:ascii="Calibri" w:hAnsi="Calibri" w:eastAsia="宋体"/>
      <w:sz w:val="21"/>
      <w:szCs w:val="21"/>
    </w:rPr>
  </w:style>
  <w:style w:type="character" w:customStyle="1" w:styleId="126">
    <w:name w:val="正文文本缩进 3 字符"/>
    <w:qFormat/>
    <w:uiPriority w:val="0"/>
    <w:rPr>
      <w:rFonts w:ascii="Times New Roman" w:hAnsi="Times New Roman" w:eastAsia="宋体"/>
      <w:sz w:val="16"/>
      <w:szCs w:val="16"/>
    </w:rPr>
  </w:style>
  <w:style w:type="character" w:customStyle="1" w:styleId="127">
    <w:name w:val="副标题 字符"/>
    <w:qFormat/>
    <w:uiPriority w:val="0"/>
    <w:rPr>
      <w:sz w:val="18"/>
      <w:szCs w:val="18"/>
    </w:rPr>
  </w:style>
  <w:style w:type="character" w:customStyle="1" w:styleId="128">
    <w:name w:val="副标题 字符1"/>
    <w:uiPriority w:val="0"/>
    <w:rPr>
      <w:rFonts w:ascii="等线 Light" w:hAnsi="等线 Light" w:eastAsia="宋体" w:cs="Times New Roman"/>
      <w:b/>
      <w:sz w:val="32"/>
      <w:szCs w:val="32"/>
    </w:rPr>
  </w:style>
  <w:style w:type="character" w:customStyle="1" w:styleId="129">
    <w:name w:val="标题 字符"/>
    <w:qFormat/>
    <w:uiPriority w:val="0"/>
    <w:rPr>
      <w:rFonts w:ascii="Cambria" w:hAnsi="Cambria" w:eastAsia="宋体"/>
      <w:b/>
      <w:sz w:val="32"/>
      <w:szCs w:val="32"/>
    </w:rPr>
  </w:style>
  <w:style w:type="character" w:customStyle="1" w:styleId="130">
    <w:name w:val="未处理的提及1"/>
    <w:uiPriority w:val="0"/>
    <w:rPr>
      <w:color w:val="605E5C"/>
      <w:shd w:val="clear" w:color="000000" w:fill="E1DFDD"/>
    </w:rPr>
  </w:style>
  <w:style w:type="paragraph" w:customStyle="1" w:styleId="131">
    <w:name w:val="font5"/>
    <w:basedOn w:val="1"/>
    <w:qFormat/>
    <w:uiPriority w:val="0"/>
    <w:pPr>
      <w:spacing w:before="100" w:beforeAutospacing="1" w:after="100" w:afterAutospacing="1"/>
    </w:pPr>
    <w:rPr>
      <w:rFonts w:ascii="宋体" w:cs="宋体"/>
      <w:sz w:val="18"/>
      <w:szCs w:val="18"/>
    </w:rPr>
  </w:style>
  <w:style w:type="paragraph" w:customStyle="1" w:styleId="132">
    <w:name w:val="font6"/>
    <w:basedOn w:val="1"/>
    <w:qFormat/>
    <w:uiPriority w:val="0"/>
    <w:pPr>
      <w:spacing w:before="100" w:beforeAutospacing="1" w:after="100" w:afterAutospacing="1"/>
    </w:pPr>
    <w:rPr>
      <w:rFonts w:ascii="仿宋_GB2312" w:eastAsia="仿宋_GB2312" w:cs="宋体"/>
      <w:sz w:val="22"/>
      <w:szCs w:val="22"/>
    </w:rPr>
  </w:style>
  <w:style w:type="paragraph" w:customStyle="1" w:styleId="133">
    <w:name w:val="xl71"/>
    <w:basedOn w:val="1"/>
    <w:qFormat/>
    <w:uiPriority w:val="0"/>
    <w:pPr>
      <w:pBdr>
        <w:top w:val="single" w:color="000000" w:sz="4" w:space="0"/>
        <w:bottom w:val="single" w:color="000000" w:sz="4" w:space="0"/>
        <w:right w:val="single" w:color="000000" w:sz="4" w:space="0"/>
      </w:pBdr>
      <w:spacing w:before="100" w:beforeAutospacing="1" w:after="100" w:afterAutospacing="1"/>
      <w:jc w:val="center"/>
    </w:pPr>
    <w:rPr>
      <w:rFonts w:ascii="仿宋_GB2312" w:eastAsia="仿宋_GB2312" w:cs="宋体"/>
      <w:sz w:val="22"/>
      <w:szCs w:val="22"/>
    </w:rPr>
  </w:style>
  <w:style w:type="paragraph" w:customStyle="1" w:styleId="134">
    <w:name w:val="xl72"/>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eastAsia="仿宋_GB2312" w:cs="宋体"/>
      <w:sz w:val="22"/>
      <w:szCs w:val="22"/>
    </w:rPr>
  </w:style>
  <w:style w:type="paragraph" w:customStyle="1" w:styleId="135">
    <w:name w:val="xl73"/>
    <w:basedOn w:val="1"/>
    <w:qFormat/>
    <w:uiPriority w:val="0"/>
    <w:pPr>
      <w:pBdr>
        <w:top w:val="single" w:color="000000" w:sz="4" w:space="0"/>
        <w:left w:val="single" w:color="000000" w:sz="4" w:space="0"/>
        <w:bottom w:val="single" w:color="000000" w:sz="4" w:space="0"/>
      </w:pBdr>
      <w:spacing w:before="100" w:beforeAutospacing="1" w:after="100" w:afterAutospacing="1"/>
      <w:jc w:val="center"/>
    </w:pPr>
    <w:rPr>
      <w:rFonts w:ascii="仿宋_GB2312" w:eastAsia="仿宋_GB2312" w:cs="宋体"/>
      <w:sz w:val="22"/>
      <w:szCs w:val="22"/>
    </w:rPr>
  </w:style>
  <w:style w:type="paragraph" w:customStyle="1" w:styleId="136">
    <w:name w:val="xl74"/>
    <w:basedOn w:val="1"/>
    <w:qFormat/>
    <w:uiPriority w:val="0"/>
    <w:pPr>
      <w:pBdr>
        <w:top w:val="single" w:color="000000" w:sz="4" w:space="0"/>
        <w:bottom w:val="single" w:color="000000" w:sz="4" w:space="0"/>
        <w:right w:val="single" w:color="000000" w:sz="4" w:space="0"/>
      </w:pBdr>
      <w:spacing w:before="100" w:beforeAutospacing="1" w:after="100" w:afterAutospacing="1"/>
    </w:pPr>
    <w:rPr>
      <w:rFonts w:ascii="仿宋_GB2312" w:eastAsia="仿宋_GB2312" w:cs="宋体"/>
      <w:b/>
      <w:sz w:val="22"/>
      <w:szCs w:val="22"/>
    </w:rPr>
  </w:style>
  <w:style w:type="paragraph" w:customStyle="1" w:styleId="137">
    <w:name w:val="xl75"/>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eastAsia="仿宋_GB2312" w:cs="宋体"/>
    </w:rPr>
  </w:style>
  <w:style w:type="paragraph" w:customStyle="1" w:styleId="138">
    <w:name w:val="xl76"/>
    <w:basedOn w:val="1"/>
    <w:uiPriority w:val="0"/>
    <w:pPr>
      <w:pBdr>
        <w:top w:val="single" w:color="000000" w:sz="4" w:space="0"/>
        <w:left w:val="single" w:color="000000" w:sz="4" w:space="0"/>
        <w:bottom w:val="single" w:color="000000" w:sz="4" w:space="0"/>
      </w:pBdr>
      <w:spacing w:before="100" w:beforeAutospacing="1" w:after="100" w:afterAutospacing="1"/>
      <w:jc w:val="right"/>
    </w:pPr>
    <w:rPr>
      <w:rFonts w:ascii="仿宋_GB2312" w:eastAsia="仿宋_GB2312" w:cs="宋体"/>
    </w:rPr>
  </w:style>
  <w:style w:type="paragraph" w:customStyle="1" w:styleId="139">
    <w:name w:val="xl77"/>
    <w:basedOn w:val="1"/>
    <w:uiPriority w:val="0"/>
    <w:pPr>
      <w:pBdr>
        <w:top w:val="single" w:color="000000" w:sz="4" w:space="0"/>
        <w:bottom w:val="single" w:color="000000" w:sz="4" w:space="0"/>
        <w:right w:val="single" w:color="000000" w:sz="4" w:space="0"/>
      </w:pBdr>
      <w:spacing w:before="100" w:beforeAutospacing="1" w:after="100" w:afterAutospacing="1"/>
      <w:ind w:firstLine="100"/>
    </w:pPr>
    <w:rPr>
      <w:rFonts w:ascii="仿宋_GB2312" w:eastAsia="仿宋_GB2312" w:cs="宋体"/>
      <w:sz w:val="22"/>
      <w:szCs w:val="22"/>
    </w:rPr>
  </w:style>
  <w:style w:type="paragraph" w:customStyle="1" w:styleId="140">
    <w:name w:val="xl78"/>
    <w:basedOn w:val="1"/>
    <w:qFormat/>
    <w:uiPriority w:val="0"/>
    <w:pPr>
      <w:pBdr>
        <w:top w:val="single" w:color="000000" w:sz="4" w:space="0"/>
        <w:bottom w:val="single" w:color="000000" w:sz="4" w:space="0"/>
        <w:right w:val="single" w:color="000000" w:sz="4" w:space="0"/>
      </w:pBdr>
      <w:spacing w:before="100" w:beforeAutospacing="1" w:after="100" w:afterAutospacing="1"/>
    </w:pPr>
    <w:rPr>
      <w:rFonts w:ascii="仿宋_GB2312" w:eastAsia="仿宋_GB2312" w:cs="宋体"/>
      <w:sz w:val="22"/>
      <w:szCs w:val="22"/>
    </w:rPr>
  </w:style>
  <w:style w:type="paragraph" w:customStyle="1" w:styleId="141">
    <w:name w:val="xl7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eastAsia="仿宋_GB2312" w:cs="宋体"/>
      <w:sz w:val="22"/>
      <w:szCs w:val="22"/>
    </w:rPr>
  </w:style>
  <w:style w:type="paragraph" w:customStyle="1" w:styleId="142">
    <w:name w:val="xl80"/>
    <w:basedOn w:val="1"/>
    <w:uiPriority w:val="0"/>
    <w:pPr>
      <w:pBdr>
        <w:top w:val="single" w:color="000000" w:sz="4" w:space="0"/>
        <w:bottom w:val="single" w:color="000000" w:sz="4" w:space="0"/>
        <w:right w:val="single" w:color="000000" w:sz="4" w:space="0"/>
      </w:pBdr>
      <w:spacing w:before="100" w:beforeAutospacing="1" w:after="100" w:afterAutospacing="1"/>
      <w:ind w:firstLine="300"/>
    </w:pPr>
    <w:rPr>
      <w:rFonts w:ascii="仿宋_GB2312" w:eastAsia="仿宋_GB2312" w:cs="宋体"/>
      <w:sz w:val="22"/>
      <w:szCs w:val="22"/>
    </w:rPr>
  </w:style>
  <w:style w:type="paragraph" w:customStyle="1" w:styleId="143">
    <w:name w:val="xl8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仿宋_GB2312" w:eastAsia="仿宋_GB2312" w:cs="宋体"/>
    </w:rPr>
  </w:style>
  <w:style w:type="paragraph" w:customStyle="1" w:styleId="144">
    <w:name w:val="xl82"/>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_GB2312" w:eastAsia="仿宋_GB2312" w:cs="宋体"/>
    </w:rPr>
  </w:style>
  <w:style w:type="paragraph" w:customStyle="1" w:styleId="145">
    <w:name w:val="xl83"/>
    <w:basedOn w:val="1"/>
    <w:uiPriority w:val="0"/>
    <w:pPr>
      <w:pBdr>
        <w:top w:val="single" w:color="000000" w:sz="4" w:space="0"/>
        <w:left w:val="single" w:color="000000" w:sz="4" w:space="0"/>
        <w:bottom w:val="single" w:color="000000" w:sz="4" w:space="0"/>
      </w:pBdr>
      <w:spacing w:before="100" w:beforeAutospacing="1" w:after="100" w:afterAutospacing="1"/>
    </w:pPr>
    <w:rPr>
      <w:rFonts w:ascii="仿宋_GB2312" w:eastAsia="仿宋_GB2312" w:cs="宋体"/>
    </w:rPr>
  </w:style>
  <w:style w:type="paragraph" w:customStyle="1" w:styleId="146">
    <w:name w:val="xl84"/>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仿宋_GB2312" w:eastAsia="仿宋_GB2312" w:cs="宋体"/>
    </w:rPr>
  </w:style>
  <w:style w:type="paragraph" w:customStyle="1" w:styleId="147">
    <w:name w:val="xl85"/>
    <w:basedOn w:val="1"/>
    <w:qFormat/>
    <w:uiPriority w:val="0"/>
    <w:pPr>
      <w:pBdr>
        <w:top w:val="single" w:color="000000" w:sz="4" w:space="0"/>
        <w:bottom w:val="single" w:color="000000" w:sz="4" w:space="0"/>
        <w:right w:val="single" w:color="000000" w:sz="4" w:space="0"/>
      </w:pBdr>
      <w:spacing w:before="100" w:beforeAutospacing="1" w:after="100" w:afterAutospacing="1"/>
    </w:pPr>
    <w:rPr>
      <w:rFonts w:ascii="仿宋_GB2312" w:eastAsia="仿宋_GB2312" w:cs="宋体"/>
      <w:sz w:val="22"/>
      <w:szCs w:val="22"/>
    </w:rPr>
  </w:style>
  <w:style w:type="paragraph" w:customStyle="1" w:styleId="148">
    <w:name w:val="xl86"/>
    <w:basedOn w:val="1"/>
    <w:uiPriority w:val="0"/>
    <w:pPr>
      <w:pBdr>
        <w:top w:val="single" w:color="000000" w:sz="4" w:space="0"/>
        <w:bottom w:val="single" w:color="000000" w:sz="4" w:space="0"/>
        <w:right w:val="single" w:color="000000" w:sz="4" w:space="0"/>
      </w:pBdr>
      <w:spacing w:before="100" w:beforeAutospacing="1" w:after="100" w:afterAutospacing="1"/>
      <w:ind w:firstLine="300"/>
    </w:pPr>
    <w:rPr>
      <w:rFonts w:ascii="仿宋_GB2312" w:eastAsia="仿宋_GB2312" w:cs="宋体"/>
      <w:sz w:val="22"/>
      <w:szCs w:val="22"/>
    </w:rPr>
  </w:style>
  <w:style w:type="paragraph" w:customStyle="1" w:styleId="149">
    <w:name w:val="xl8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仿宋_GB2312" w:eastAsia="仿宋_GB2312" w:cs="宋体"/>
      <w:sz w:val="24"/>
      <w:szCs w:val="24"/>
    </w:rPr>
  </w:style>
  <w:style w:type="paragraph" w:customStyle="1" w:styleId="150">
    <w:name w:val="xl88"/>
    <w:basedOn w:val="1"/>
    <w:qFormat/>
    <w:uiPriority w:val="0"/>
    <w:pPr>
      <w:pBdr>
        <w:top w:val="single" w:color="000000" w:sz="4" w:space="0"/>
        <w:left w:val="single" w:color="000000" w:sz="4" w:space="0"/>
        <w:bottom w:val="single" w:color="000000" w:sz="4" w:space="0"/>
      </w:pBdr>
      <w:spacing w:before="100" w:beforeAutospacing="1" w:after="100" w:afterAutospacing="1"/>
    </w:pPr>
    <w:rPr>
      <w:rFonts w:ascii="仿宋_GB2312" w:eastAsia="仿宋_GB2312" w:cs="宋体"/>
      <w:sz w:val="24"/>
      <w:szCs w:val="24"/>
    </w:rPr>
  </w:style>
  <w:style w:type="paragraph" w:customStyle="1" w:styleId="151">
    <w:name w:val="xl89"/>
    <w:basedOn w:val="1"/>
    <w:uiPriority w:val="0"/>
    <w:pPr>
      <w:pBdr>
        <w:top w:val="single" w:color="000000" w:sz="4" w:space="0"/>
        <w:bottom w:val="single" w:color="000000" w:sz="4" w:space="0"/>
        <w:right w:val="single" w:color="000000" w:sz="4" w:space="0"/>
      </w:pBdr>
      <w:spacing w:before="100" w:beforeAutospacing="1" w:after="100" w:afterAutospacing="1"/>
    </w:pPr>
    <w:rPr>
      <w:rFonts w:ascii="仿宋_GB2312" w:eastAsia="仿宋_GB2312" w:cs="宋体"/>
      <w:b/>
      <w:sz w:val="24"/>
      <w:szCs w:val="24"/>
    </w:rPr>
  </w:style>
  <w:style w:type="paragraph" w:customStyle="1" w:styleId="152">
    <w:name w:val="xl70"/>
    <w:basedOn w:val="1"/>
    <w:qFormat/>
    <w:uiPriority w:val="0"/>
    <w:pPr>
      <w:spacing w:before="100" w:beforeAutospacing="1" w:after="100" w:afterAutospacing="1"/>
    </w:pPr>
    <w:rPr>
      <w:rFonts w:ascii="仿宋" w:eastAsia="仿宋" w:cs="宋体"/>
      <w:sz w:val="24"/>
      <w:szCs w:val="24"/>
    </w:rPr>
  </w:style>
  <w:style w:type="paragraph" w:customStyle="1" w:styleId="153">
    <w:name w:val="xl69"/>
    <w:basedOn w:val="1"/>
    <w:qFormat/>
    <w:uiPriority w:val="0"/>
    <w:pPr>
      <w:spacing w:before="100" w:beforeAutospacing="1" w:after="100" w:afterAutospacing="1"/>
      <w:jc w:val="center"/>
    </w:pPr>
    <w:rPr>
      <w:rFonts w:ascii="仿宋" w:eastAsia="仿宋" w:cs="宋体"/>
      <w:b/>
      <w:sz w:val="36"/>
      <w:szCs w:val="36"/>
    </w:rPr>
  </w:style>
  <w:style w:type="paragraph" w:customStyle="1" w:styleId="154">
    <w:name w:val="xl63"/>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 w:eastAsia="仿宋" w:cs="宋体"/>
      <w:b/>
      <w:sz w:val="24"/>
      <w:szCs w:val="24"/>
    </w:rPr>
  </w:style>
  <w:style w:type="paragraph" w:customStyle="1" w:styleId="155">
    <w:name w:val="xl6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仿宋" w:eastAsia="仿宋" w:cs="宋体"/>
      <w:sz w:val="24"/>
      <w:szCs w:val="24"/>
    </w:rPr>
  </w:style>
  <w:style w:type="paragraph" w:customStyle="1" w:styleId="156">
    <w:name w:val="xl6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 w:eastAsia="仿宋" w:cs="宋体"/>
      <w:sz w:val="24"/>
      <w:szCs w:val="24"/>
    </w:rPr>
  </w:style>
  <w:style w:type="paragraph" w:customStyle="1" w:styleId="157">
    <w:name w:val="xl6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仿宋" w:eastAsia="仿宋" w:cs="宋体"/>
      <w:sz w:val="24"/>
      <w:szCs w:val="24"/>
    </w:rPr>
  </w:style>
  <w:style w:type="paragraph" w:customStyle="1" w:styleId="158">
    <w:name w:val="xl64"/>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仿宋" w:eastAsia="仿宋" w:cs="宋体"/>
      <w:b/>
      <w:sz w:val="24"/>
      <w:szCs w:val="24"/>
    </w:rPr>
  </w:style>
  <w:style w:type="paragraph" w:customStyle="1" w:styleId="159">
    <w:name w:val="xl6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仿宋" w:eastAsia="仿宋" w:cs="宋体"/>
      <w:sz w:val="24"/>
      <w:szCs w:val="24"/>
    </w:rPr>
  </w:style>
  <w:style w:type="character" w:customStyle="1" w:styleId="160">
    <w:name w:val="Char Char5"/>
    <w:qFormat/>
    <w:uiPriority w:val="0"/>
    <w:rPr>
      <w:rFonts w:ascii="Cambria" w:hAnsi="Cambria" w:eastAsia="宋体" w:cs="宋体"/>
      <w:b/>
      <w:sz w:val="32"/>
      <w:szCs w:val="32"/>
      <w:lang w:bidi="ar-SA"/>
    </w:rPr>
  </w:style>
  <w:style w:type="character" w:customStyle="1" w:styleId="161">
    <w:name w:val="Char Char4"/>
    <w:qFormat/>
    <w:uiPriority w:val="0"/>
    <w:rPr>
      <w:rFonts w:ascii="仿宋_GB2312" w:eastAsia="仿宋_GB2312"/>
      <w:sz w:val="18"/>
      <w:szCs w:val="18"/>
      <w:lang w:val="en-US" w:eastAsia="zh-CN" w:bidi="ar-SA"/>
    </w:rPr>
  </w:style>
  <w:style w:type="character" w:customStyle="1" w:styleId="162">
    <w:name w:val="Char Char3"/>
    <w:qFormat/>
    <w:uiPriority w:val="0"/>
    <w:rPr>
      <w:rFonts w:ascii="仿宋_GB2312" w:eastAsia="仿宋_GB2312"/>
      <w:sz w:val="18"/>
      <w:szCs w:val="18"/>
      <w:lang w:val="en-US" w:eastAsia="zh-CN" w:bidi="ar-SA"/>
    </w:rPr>
  </w:style>
  <w:style w:type="character" w:customStyle="1" w:styleId="163">
    <w:name w:val="Char Char2"/>
    <w:qFormat/>
    <w:uiPriority w:val="0"/>
    <w:rPr>
      <w:rFonts w:ascii="仿宋_GB2312" w:eastAsia="仿宋_GB2312"/>
      <w:sz w:val="18"/>
      <w:szCs w:val="18"/>
      <w:lang w:val="en-US" w:eastAsia="zh-CN" w:bidi="ar-SA"/>
    </w:rPr>
  </w:style>
  <w:style w:type="character" w:customStyle="1" w:styleId="164">
    <w:name w:val="Char Char1"/>
    <w:uiPriority w:val="0"/>
    <w:rPr>
      <w:rFonts w:ascii="宋体" w:eastAsia="宋体"/>
      <w:sz w:val="32"/>
      <w:szCs w:val="32"/>
      <w:lang w:bidi="ar-SA"/>
    </w:rPr>
  </w:style>
  <w:style w:type="character" w:customStyle="1" w:styleId="165">
    <w:name w:val="Char Char"/>
    <w:qFormat/>
    <w:uiPriority w:val="0"/>
    <w:rPr>
      <w:rFonts w:ascii="宋体" w:eastAsia="宋体"/>
      <w:sz w:val="18"/>
      <w:szCs w:val="18"/>
      <w:lang w:bidi="ar-SA"/>
    </w:rPr>
  </w:style>
  <w:style w:type="paragraph" w:customStyle="1" w:styleId="166">
    <w:name w:val="reader-word-layer"/>
    <w:basedOn w:val="1"/>
    <w:qFormat/>
    <w:uiPriority w:val="0"/>
    <w:pPr>
      <w:spacing w:before="100" w:beforeAutospacing="1" w:after="100" w:afterAutospacing="1"/>
    </w:pPr>
    <w:rPr>
      <w:rFonts w:ascii="宋体" w:cs="宋体"/>
      <w:sz w:val="24"/>
      <w:szCs w:val="24"/>
    </w:rPr>
  </w:style>
  <w:style w:type="character" w:customStyle="1" w:styleId="167">
    <w:name w:val="apple-converted-space"/>
    <w:basedOn w:val="37"/>
    <w:uiPriority w:val="0"/>
  </w:style>
  <w:style w:type="paragraph" w:customStyle="1" w:styleId="168">
    <w:name w:val="4"/>
    <w:basedOn w:val="1"/>
    <w:next w:val="1"/>
    <w:qFormat/>
    <w:uiPriority w:val="0"/>
    <w:pPr>
      <w:ind w:left="1680" w:firstLine="0"/>
    </w:pPr>
    <w:rPr>
      <w:rFonts w:ascii="Times New Roman" w:hAnsi="Times New Roman" w:cs="Times New Roman"/>
      <w:sz w:val="18"/>
      <w:szCs w:val="18"/>
    </w:rPr>
  </w:style>
  <w:style w:type="character" w:customStyle="1" w:styleId="169">
    <w:name w:val="textcontents"/>
    <w:basedOn w:val="37"/>
    <w:qFormat/>
    <w:uiPriority w:val="0"/>
  </w:style>
  <w:style w:type="paragraph" w:customStyle="1" w:styleId="170">
    <w:name w:val="Char Char Char Char Char Char Char"/>
    <w:basedOn w:val="1"/>
    <w:qFormat/>
    <w:uiPriority w:val="0"/>
    <w:pPr>
      <w:spacing w:after="160" w:line="240" w:lineRule="exact"/>
    </w:pPr>
    <w:rPr>
      <w:rFonts w:ascii="Verdana" w:hAnsi="Verdana" w:eastAsia="仿宋_GB2312" w:cs="Times New Roman"/>
      <w:sz w:val="30"/>
      <w:szCs w:val="30"/>
      <w:lang w:eastAsia="en-US"/>
    </w:rPr>
  </w:style>
  <w:style w:type="paragraph" w:customStyle="1" w:styleId="171">
    <w:name w:val="Char Char Char Char Char Char Char1"/>
    <w:basedOn w:val="1"/>
    <w:qFormat/>
    <w:uiPriority w:val="0"/>
    <w:rPr>
      <w:rFonts w:ascii="Times New Roman" w:hAnsi="Times New Roman" w:cs="Times New Roman"/>
    </w:rPr>
  </w:style>
  <w:style w:type="paragraph" w:customStyle="1" w:styleId="172">
    <w:name w:val="表内"/>
    <w:basedOn w:val="1"/>
    <w:uiPriority w:val="0"/>
    <w:pPr>
      <w:autoSpaceDE w:val="0"/>
      <w:autoSpaceDN w:val="0"/>
      <w:spacing w:line="320" w:lineRule="atLeast"/>
    </w:pPr>
    <w:rPr>
      <w:rFonts w:ascii="宋体" w:cs="Times New Roman"/>
      <w:sz w:val="24"/>
      <w:szCs w:val="24"/>
    </w:rPr>
  </w:style>
  <w:style w:type="paragraph" w:customStyle="1" w:styleId="173">
    <w:name w:val="样式2"/>
    <w:basedOn w:val="1"/>
    <w:qFormat/>
    <w:uiPriority w:val="0"/>
    <w:rPr>
      <w:rFonts w:ascii="宋体" w:cs="宋体"/>
      <w:b/>
      <w:sz w:val="24"/>
      <w:szCs w:val="24"/>
    </w:rPr>
  </w:style>
  <w:style w:type="paragraph" w:customStyle="1" w:styleId="174">
    <w:name w:val="报告样式"/>
    <w:basedOn w:val="1"/>
    <w:qFormat/>
    <w:uiPriority w:val="0"/>
    <w:rPr>
      <w:rFonts w:ascii="宋体" w:cs="宋体"/>
      <w:b/>
      <w:sz w:val="24"/>
      <w:szCs w:val="24"/>
    </w:rPr>
  </w:style>
  <w:style w:type="paragraph" w:customStyle="1" w:styleId="175">
    <w:name w:val="zdj"/>
    <w:basedOn w:val="1"/>
    <w:qFormat/>
    <w:uiPriority w:val="0"/>
    <w:pPr>
      <w:ind w:firstLine="480"/>
    </w:pPr>
    <w:rPr>
      <w:rFonts w:ascii="宋体" w:cs="宋体"/>
      <w:color w:val="000000"/>
      <w:sz w:val="24"/>
      <w:szCs w:val="24"/>
    </w:rPr>
  </w:style>
  <w:style w:type="paragraph" w:customStyle="1" w:styleId="176">
    <w:name w:val="font7"/>
    <w:basedOn w:val="1"/>
    <w:qFormat/>
    <w:uiPriority w:val="0"/>
    <w:pPr>
      <w:spacing w:before="100" w:beforeAutospacing="1" w:after="100" w:afterAutospacing="1"/>
    </w:pPr>
    <w:rPr>
      <w:rFonts w:ascii="宋体" w:cs="宋体"/>
      <w:sz w:val="18"/>
      <w:szCs w:val="18"/>
    </w:rPr>
  </w:style>
  <w:style w:type="paragraph" w:customStyle="1" w:styleId="177">
    <w:name w:val="xl25"/>
    <w:basedOn w:val="1"/>
    <w:uiPriority w:val="0"/>
    <w:pPr>
      <w:pBdr>
        <w:top w:val="single" w:color="000000" w:sz="4" w:space="0"/>
        <w:left w:val="single" w:color="000000" w:sz="4" w:space="0"/>
        <w:right w:val="single" w:color="000000" w:sz="4" w:space="0"/>
      </w:pBdr>
      <w:spacing w:before="100" w:beforeAutospacing="1" w:after="100" w:afterAutospacing="1"/>
      <w:jc w:val="center"/>
    </w:pPr>
    <w:rPr>
      <w:rFonts w:ascii="宋体" w:cs="宋体"/>
      <w:sz w:val="18"/>
      <w:szCs w:val="18"/>
    </w:rPr>
  </w:style>
  <w:style w:type="paragraph" w:customStyle="1" w:styleId="178">
    <w:name w:val="xl26"/>
    <w:basedOn w:val="1"/>
    <w:uiPriority w:val="0"/>
    <w:pPr>
      <w:pBdr>
        <w:top w:val="single" w:color="000000" w:sz="4" w:space="0"/>
        <w:left w:val="single" w:color="000000" w:sz="4" w:space="0"/>
      </w:pBdr>
      <w:spacing w:before="100" w:beforeAutospacing="1" w:after="100" w:afterAutospacing="1"/>
      <w:jc w:val="center"/>
    </w:pPr>
    <w:rPr>
      <w:rFonts w:ascii="宋体" w:cs="宋体"/>
      <w:sz w:val="18"/>
      <w:szCs w:val="18"/>
    </w:rPr>
  </w:style>
  <w:style w:type="paragraph" w:customStyle="1" w:styleId="179">
    <w:name w:val="xl27"/>
    <w:basedOn w:val="1"/>
    <w:uiPriority w:val="0"/>
    <w:pPr>
      <w:pBdr>
        <w:top w:val="single" w:color="000000" w:sz="4" w:space="0"/>
        <w:right w:val="single" w:color="000000" w:sz="4" w:space="0"/>
      </w:pBdr>
      <w:spacing w:before="100" w:beforeAutospacing="1" w:after="100" w:afterAutospacing="1"/>
      <w:jc w:val="center"/>
    </w:pPr>
    <w:rPr>
      <w:rFonts w:ascii="宋体" w:cs="宋体"/>
      <w:sz w:val="18"/>
      <w:szCs w:val="18"/>
    </w:rPr>
  </w:style>
  <w:style w:type="paragraph" w:customStyle="1" w:styleId="180">
    <w:name w:val="xl28"/>
    <w:basedOn w:val="1"/>
    <w:qFormat/>
    <w:uiPriority w:val="0"/>
    <w:pPr>
      <w:pBdr>
        <w:top w:val="single" w:color="000000" w:sz="4" w:space="0"/>
        <w:left w:val="single" w:color="000000" w:sz="4" w:space="0"/>
        <w:bottom w:val="single" w:color="000000" w:sz="4" w:space="0"/>
      </w:pBdr>
      <w:spacing w:before="100" w:beforeAutospacing="1" w:after="100" w:afterAutospacing="1"/>
      <w:jc w:val="center"/>
    </w:pPr>
    <w:rPr>
      <w:rFonts w:ascii="宋体" w:cs="宋体"/>
      <w:sz w:val="18"/>
      <w:szCs w:val="18"/>
    </w:rPr>
  </w:style>
  <w:style w:type="paragraph" w:customStyle="1" w:styleId="181">
    <w:name w:val="xl29"/>
    <w:basedOn w:val="1"/>
    <w:qFormat/>
    <w:uiPriority w:val="0"/>
    <w:pPr>
      <w:pBdr>
        <w:top w:val="single" w:color="000000" w:sz="4" w:space="0"/>
        <w:bottom w:val="single" w:color="000000" w:sz="4" w:space="0"/>
        <w:right w:val="single" w:color="000000" w:sz="4" w:space="0"/>
      </w:pBdr>
      <w:spacing w:before="100" w:beforeAutospacing="1" w:after="100" w:afterAutospacing="1"/>
      <w:jc w:val="center"/>
    </w:pPr>
    <w:rPr>
      <w:rFonts w:ascii="宋体" w:cs="宋体"/>
      <w:sz w:val="18"/>
      <w:szCs w:val="18"/>
    </w:rPr>
  </w:style>
  <w:style w:type="paragraph" w:customStyle="1" w:styleId="182">
    <w:name w:val="xl30"/>
    <w:basedOn w:val="1"/>
    <w:qFormat/>
    <w:uiPriority w:val="0"/>
    <w:pPr>
      <w:pBdr>
        <w:left w:val="single" w:color="000000" w:sz="4" w:space="0"/>
        <w:right w:val="single" w:color="000000" w:sz="4" w:space="0"/>
      </w:pBdr>
      <w:spacing w:before="100" w:beforeAutospacing="1" w:after="100" w:afterAutospacing="1"/>
      <w:jc w:val="center"/>
    </w:pPr>
    <w:rPr>
      <w:rFonts w:ascii="宋体" w:cs="宋体"/>
      <w:sz w:val="18"/>
      <w:szCs w:val="18"/>
    </w:rPr>
  </w:style>
  <w:style w:type="paragraph" w:customStyle="1" w:styleId="183">
    <w:name w:val="xl31"/>
    <w:basedOn w:val="1"/>
    <w:uiPriority w:val="0"/>
    <w:pPr>
      <w:pBdr>
        <w:left w:val="single" w:color="000000" w:sz="4" w:space="0"/>
        <w:right w:val="single" w:color="000000" w:sz="4" w:space="0"/>
      </w:pBdr>
      <w:spacing w:before="100" w:beforeAutospacing="1" w:after="100" w:afterAutospacing="1"/>
      <w:jc w:val="center"/>
    </w:pPr>
    <w:rPr>
      <w:rFonts w:ascii="宋体" w:cs="宋体"/>
      <w:sz w:val="18"/>
      <w:szCs w:val="18"/>
    </w:rPr>
  </w:style>
  <w:style w:type="paragraph" w:customStyle="1" w:styleId="184">
    <w:name w:val="xl32"/>
    <w:basedOn w:val="1"/>
    <w:qFormat/>
    <w:uiPriority w:val="0"/>
    <w:pPr>
      <w:pBdr>
        <w:left w:val="single" w:color="000000" w:sz="4" w:space="0"/>
        <w:bottom w:val="single" w:color="000000" w:sz="4" w:space="0"/>
      </w:pBdr>
      <w:spacing w:before="100" w:beforeAutospacing="1" w:after="100" w:afterAutospacing="1"/>
      <w:jc w:val="center"/>
    </w:pPr>
    <w:rPr>
      <w:rFonts w:ascii="宋体" w:cs="宋体"/>
      <w:sz w:val="18"/>
      <w:szCs w:val="18"/>
    </w:rPr>
  </w:style>
  <w:style w:type="paragraph" w:customStyle="1" w:styleId="185">
    <w:name w:val="xl33"/>
    <w:basedOn w:val="1"/>
    <w:qFormat/>
    <w:uiPriority w:val="0"/>
    <w:pPr>
      <w:pBdr>
        <w:bottom w:val="single" w:color="000000" w:sz="4" w:space="0"/>
        <w:right w:val="single" w:color="000000" w:sz="4" w:space="0"/>
      </w:pBdr>
      <w:spacing w:before="100" w:beforeAutospacing="1" w:after="100" w:afterAutospacing="1"/>
      <w:jc w:val="center"/>
    </w:pPr>
    <w:rPr>
      <w:rFonts w:ascii="宋体" w:cs="宋体"/>
      <w:sz w:val="18"/>
      <w:szCs w:val="18"/>
    </w:rPr>
  </w:style>
  <w:style w:type="paragraph" w:customStyle="1" w:styleId="186">
    <w:name w:val="xl34"/>
    <w:basedOn w:val="1"/>
    <w:uiPriority w:val="0"/>
    <w:pPr>
      <w:pBdr>
        <w:left w:val="single" w:color="000000" w:sz="4" w:space="0"/>
        <w:bottom w:val="single" w:color="000000" w:sz="4" w:space="0"/>
        <w:right w:val="single" w:color="000000" w:sz="4" w:space="0"/>
      </w:pBdr>
      <w:spacing w:before="100" w:beforeAutospacing="1" w:after="100" w:afterAutospacing="1"/>
      <w:jc w:val="center"/>
    </w:pPr>
    <w:rPr>
      <w:rFonts w:ascii="宋体" w:cs="宋体"/>
      <w:sz w:val="18"/>
      <w:szCs w:val="18"/>
    </w:rPr>
  </w:style>
  <w:style w:type="paragraph" w:customStyle="1" w:styleId="187">
    <w:name w:val="font8"/>
    <w:basedOn w:val="1"/>
    <w:uiPriority w:val="0"/>
    <w:pPr>
      <w:spacing w:before="100" w:beforeAutospacing="1" w:after="100" w:afterAutospacing="1"/>
    </w:pPr>
    <w:rPr>
      <w:rFonts w:ascii="Times New Roman" w:hAnsi="Times New Roman" w:cs="宋体"/>
      <w:sz w:val="22"/>
      <w:szCs w:val="22"/>
    </w:rPr>
  </w:style>
  <w:style w:type="paragraph" w:customStyle="1" w:styleId="188">
    <w:name w:val="xl35"/>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sz w:val="20"/>
      <w:szCs w:val="20"/>
    </w:rPr>
  </w:style>
  <w:style w:type="paragraph" w:customStyle="1" w:styleId="189">
    <w:name w:val="xl3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sz w:val="24"/>
      <w:szCs w:val="24"/>
    </w:rPr>
  </w:style>
  <w:style w:type="paragraph" w:customStyle="1" w:styleId="190">
    <w:name w:val="xl3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sz w:val="20"/>
      <w:szCs w:val="20"/>
    </w:rPr>
  </w:style>
  <w:style w:type="paragraph" w:customStyle="1" w:styleId="191">
    <w:name w:val="xl3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sz w:val="20"/>
      <w:szCs w:val="20"/>
    </w:rPr>
  </w:style>
  <w:style w:type="paragraph" w:customStyle="1" w:styleId="192">
    <w:name w:val="xl39"/>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cs="宋体"/>
      <w:sz w:val="22"/>
      <w:szCs w:val="22"/>
    </w:rPr>
  </w:style>
  <w:style w:type="paragraph" w:customStyle="1" w:styleId="193">
    <w:name w:val="xl40"/>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cs="宋体"/>
      <w:sz w:val="22"/>
      <w:szCs w:val="22"/>
    </w:rPr>
  </w:style>
  <w:style w:type="paragraph" w:customStyle="1" w:styleId="194">
    <w:name w:val="xl4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sz w:val="22"/>
      <w:szCs w:val="22"/>
    </w:rPr>
  </w:style>
  <w:style w:type="paragraph" w:customStyle="1" w:styleId="195">
    <w:name w:val="xl42"/>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sz w:val="22"/>
      <w:szCs w:val="22"/>
    </w:rPr>
  </w:style>
  <w:style w:type="paragraph" w:customStyle="1" w:styleId="196">
    <w:name w:val="xl43"/>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cs="宋体"/>
      <w:sz w:val="22"/>
      <w:szCs w:val="22"/>
    </w:rPr>
  </w:style>
  <w:style w:type="paragraph" w:customStyle="1" w:styleId="197">
    <w:name w:val="xl44"/>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cs="宋体"/>
      <w:sz w:val="22"/>
      <w:szCs w:val="22"/>
    </w:rPr>
  </w:style>
  <w:style w:type="paragraph" w:customStyle="1" w:styleId="198">
    <w:name w:val="xl4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sz w:val="22"/>
      <w:szCs w:val="22"/>
    </w:rPr>
  </w:style>
  <w:style w:type="paragraph" w:customStyle="1" w:styleId="199">
    <w:name w:val="xl46"/>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cs="宋体"/>
      <w:sz w:val="22"/>
      <w:szCs w:val="22"/>
    </w:rPr>
  </w:style>
  <w:style w:type="paragraph" w:customStyle="1" w:styleId="200">
    <w:name w:val="xl47"/>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sz w:val="22"/>
      <w:szCs w:val="22"/>
    </w:rPr>
  </w:style>
  <w:style w:type="paragraph" w:customStyle="1" w:styleId="201">
    <w:name w:val="xl48"/>
    <w:basedOn w:val="1"/>
    <w:qFormat/>
    <w:uiPriority w:val="0"/>
    <w:pPr>
      <w:pBdr>
        <w:top w:val="single" w:color="000000" w:sz="4" w:space="0"/>
        <w:left w:val="single" w:color="000000" w:sz="4" w:space="0"/>
        <w:right w:val="single" w:color="000000" w:sz="4" w:space="0"/>
      </w:pBdr>
      <w:spacing w:before="100" w:beforeAutospacing="1" w:after="100" w:afterAutospacing="1"/>
      <w:jc w:val="center"/>
    </w:pPr>
    <w:rPr>
      <w:rFonts w:ascii="宋体" w:cs="宋体"/>
      <w:sz w:val="22"/>
      <w:szCs w:val="22"/>
    </w:rPr>
  </w:style>
  <w:style w:type="paragraph" w:customStyle="1" w:styleId="202">
    <w:name w:val="xl49"/>
    <w:basedOn w:val="1"/>
    <w:uiPriority w:val="0"/>
    <w:pPr>
      <w:pBdr>
        <w:left w:val="single" w:color="000000" w:sz="4" w:space="0"/>
        <w:right w:val="single" w:color="000000" w:sz="4" w:space="0"/>
      </w:pBdr>
      <w:spacing w:before="100" w:beforeAutospacing="1" w:after="100" w:afterAutospacing="1"/>
      <w:jc w:val="center"/>
    </w:pPr>
    <w:rPr>
      <w:rFonts w:ascii="宋体" w:cs="宋体"/>
      <w:sz w:val="22"/>
      <w:szCs w:val="22"/>
    </w:rPr>
  </w:style>
  <w:style w:type="paragraph" w:customStyle="1" w:styleId="203">
    <w:name w:val="xl50"/>
    <w:basedOn w:val="1"/>
    <w:qFormat/>
    <w:uiPriority w:val="0"/>
    <w:pPr>
      <w:pBdr>
        <w:left w:val="single" w:color="000000" w:sz="4" w:space="0"/>
        <w:right w:val="single" w:color="000000" w:sz="4" w:space="0"/>
      </w:pBdr>
      <w:spacing w:before="100" w:beforeAutospacing="1" w:after="100" w:afterAutospacing="1"/>
      <w:jc w:val="center"/>
    </w:pPr>
    <w:rPr>
      <w:rFonts w:ascii="宋体" w:cs="宋体"/>
      <w:sz w:val="22"/>
      <w:szCs w:val="22"/>
    </w:rPr>
  </w:style>
  <w:style w:type="paragraph" w:customStyle="1" w:styleId="204">
    <w:name w:val="xl51"/>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cs="宋体"/>
      <w:sz w:val="22"/>
      <w:szCs w:val="22"/>
    </w:rPr>
  </w:style>
  <w:style w:type="paragraph" w:customStyle="1" w:styleId="205">
    <w:name w:val="1。1。1"/>
    <w:basedOn w:val="1"/>
    <w:uiPriority w:val="0"/>
    <w:rPr>
      <w:rFonts w:ascii="Times New Roman" w:hAnsi="Times New Roman" w:cs="Times New Roman"/>
      <w:b/>
      <w:color w:val="000000"/>
      <w:sz w:val="24"/>
      <w:szCs w:val="24"/>
    </w:rPr>
  </w:style>
  <w:style w:type="paragraph" w:customStyle="1" w:styleId="206">
    <w:name w:val="文字"/>
    <w:basedOn w:val="1"/>
    <w:uiPriority w:val="0"/>
    <w:rPr>
      <w:rFonts w:ascii="Times New Roman" w:hAnsi="Times New Roman" w:cs="Times New Roman"/>
      <w:color w:val="000000"/>
      <w:sz w:val="24"/>
      <w:szCs w:val="24"/>
    </w:rPr>
  </w:style>
  <w:style w:type="paragraph" w:customStyle="1" w:styleId="207">
    <w:name w:val="Char1 Char Char Char1"/>
    <w:basedOn w:val="1"/>
    <w:qFormat/>
    <w:uiPriority w:val="0"/>
    <w:rPr>
      <w:rFonts w:ascii="Times New Roman" w:hAnsi="Times New Roman" w:cs="Times New Roman"/>
    </w:rPr>
  </w:style>
  <w:style w:type="paragraph" w:customStyle="1" w:styleId="208">
    <w:name w:val="1"/>
    <w:basedOn w:val="1"/>
    <w:qFormat/>
    <w:uiPriority w:val="0"/>
    <w:rPr>
      <w:rFonts w:ascii="Times New Roman" w:hAnsi="Times New Roman" w:cs="Times New Roman"/>
      <w:b/>
      <w:sz w:val="36"/>
      <w:szCs w:val="36"/>
    </w:rPr>
  </w:style>
  <w:style w:type="paragraph" w:customStyle="1" w:styleId="209">
    <w:name w:val="3"/>
    <w:basedOn w:val="1"/>
    <w:qFormat/>
    <w:uiPriority w:val="0"/>
    <w:rPr>
      <w:rFonts w:ascii="Times New Roman" w:hAnsi="Times New Roman" w:cs="Times New Roman"/>
      <w:sz w:val="24"/>
      <w:szCs w:val="24"/>
    </w:rPr>
  </w:style>
  <w:style w:type="paragraph" w:customStyle="1" w:styleId="210">
    <w:name w:val="1.1"/>
    <w:basedOn w:val="3"/>
    <w:qFormat/>
    <w:uiPriority w:val="0"/>
    <w:rPr>
      <w:rFonts w:eastAsia="宋体" w:cs="宋体"/>
      <w:color w:val="000000"/>
      <w:sz w:val="28"/>
      <w:szCs w:val="28"/>
    </w:rPr>
  </w:style>
  <w:style w:type="paragraph" w:customStyle="1" w:styleId="211">
    <w:name w:val="1章"/>
    <w:basedOn w:val="2"/>
    <w:qFormat/>
    <w:uiPriority w:val="0"/>
    <w:pPr>
      <w:spacing w:line="360" w:lineRule="auto"/>
      <w:ind w:left="4014" w:hanging="4014"/>
      <w:jc w:val="center"/>
    </w:pPr>
    <w:rPr>
      <w:rFonts w:ascii="华文中宋" w:hAnsi="华文中宋" w:cs="宋体"/>
      <w:sz w:val="36"/>
      <w:szCs w:val="36"/>
    </w:rPr>
  </w:style>
  <w:style w:type="paragraph" w:customStyle="1" w:styleId="212">
    <w:name w:val="1.1.1"/>
    <w:basedOn w:val="4"/>
    <w:uiPriority w:val="0"/>
    <w:pPr>
      <w:jc w:val="center"/>
    </w:pPr>
    <w:rPr>
      <w:rFonts w:ascii="华文中宋" w:hAnsi="华文中宋" w:eastAsia="宋体" w:cs="宋体"/>
      <w:sz w:val="24"/>
      <w:szCs w:val="24"/>
    </w:rPr>
  </w:style>
  <w:style w:type="paragraph" w:customStyle="1" w:styleId="213">
    <w:name w:val="3 一"/>
    <w:basedOn w:val="1"/>
    <w:uiPriority w:val="0"/>
    <w:pPr>
      <w:ind w:firstLine="150"/>
    </w:pPr>
    <w:rPr>
      <w:rFonts w:ascii="黑体" w:eastAsia="黑体" w:cs="Times New Roman"/>
      <w:sz w:val="28"/>
      <w:szCs w:val="28"/>
    </w:rPr>
  </w:style>
  <w:style w:type="paragraph" w:customStyle="1" w:styleId="214">
    <w:name w:val="4（一）"/>
    <w:basedOn w:val="1"/>
    <w:qFormat/>
    <w:uiPriority w:val="0"/>
    <w:pPr>
      <w:outlineLvl w:val="0"/>
    </w:pPr>
    <w:rPr>
      <w:rFonts w:ascii="华文中宋" w:eastAsia="华文中宋" w:cs="Times New Roman"/>
      <w:sz w:val="28"/>
      <w:szCs w:val="28"/>
    </w:rPr>
  </w:style>
  <w:style w:type="paragraph" w:customStyle="1" w:styleId="215">
    <w:name w:val="5.1"/>
    <w:basedOn w:val="1"/>
    <w:qFormat/>
    <w:uiPriority w:val="0"/>
    <w:pPr>
      <w:spacing w:before="120"/>
      <w:outlineLvl w:val="0"/>
    </w:pPr>
    <w:rPr>
      <w:rFonts w:ascii="黑体" w:eastAsia="黑体" w:cs="Times New Roman"/>
      <w:sz w:val="24"/>
      <w:szCs w:val="24"/>
    </w:rPr>
  </w:style>
  <w:style w:type="paragraph" w:customStyle="1" w:styleId="216">
    <w:name w:val="Char1 Char Char Char1 Char Char Char"/>
    <w:basedOn w:val="1"/>
    <w:uiPriority w:val="0"/>
    <w:rPr>
      <w:rFonts w:ascii="Times New Roman" w:hAnsi="Times New Roman" w:cs="Times New Roman"/>
      <w:sz w:val="24"/>
      <w:szCs w:val="24"/>
    </w:rPr>
  </w:style>
  <w:style w:type="paragraph" w:customStyle="1" w:styleId="217">
    <w:name w:val="样式 仿宋_GB2312 三号1"/>
    <w:basedOn w:val="1"/>
    <w:qFormat/>
    <w:uiPriority w:val="0"/>
    <w:pPr>
      <w:ind w:firstLine="622"/>
    </w:pPr>
    <w:rPr>
      <w:rFonts w:ascii="Times New Roman" w:hAnsi="Times New Roman" w:eastAsia="仿宋_GB2312" w:cs="宋体"/>
      <w:sz w:val="32"/>
      <w:szCs w:val="32"/>
    </w:rPr>
  </w:style>
  <w:style w:type="paragraph" w:customStyle="1" w:styleId="218">
    <w:name w:val="简单回函地址"/>
    <w:basedOn w:val="1"/>
    <w:qFormat/>
    <w:uiPriority w:val="0"/>
    <w:rPr>
      <w:rFonts w:ascii="Times New Roman" w:hAnsi="Times New Roman" w:cs="Times New Roman"/>
    </w:rPr>
  </w:style>
  <w:style w:type="paragraph" w:customStyle="1" w:styleId="219">
    <w:name w:val="PP 行"/>
    <w:basedOn w:val="24"/>
    <w:qFormat/>
    <w:uiPriority w:val="0"/>
  </w:style>
  <w:style w:type="paragraph" w:customStyle="1" w:styleId="220">
    <w:name w:val="wu二级标题"/>
    <w:basedOn w:val="1"/>
    <w:qFormat/>
    <w:uiPriority w:val="0"/>
    <w:pPr>
      <w:ind w:firstLine="563"/>
    </w:pPr>
    <w:rPr>
      <w:rFonts w:ascii="宋体" w:cs="Times New Roman"/>
      <w:color w:val="000000"/>
      <w:sz w:val="28"/>
      <w:szCs w:val="28"/>
    </w:rPr>
  </w:style>
  <w:style w:type="paragraph" w:customStyle="1" w:styleId="221">
    <w:name w:val="报告正文"/>
    <w:basedOn w:val="1"/>
    <w:qFormat/>
    <w:uiPriority w:val="0"/>
    <w:pPr>
      <w:ind w:firstLine="480"/>
    </w:pPr>
    <w:rPr>
      <w:rFonts w:ascii="Times New Roman" w:hAnsi="Times New Roman" w:cs="Times New Roman"/>
      <w:sz w:val="24"/>
      <w:szCs w:val="24"/>
    </w:rPr>
  </w:style>
  <w:style w:type="paragraph" w:customStyle="1" w:styleId="222">
    <w:name w:val="已访问的超链接1"/>
    <w:qFormat/>
    <w:uiPriority w:val="0"/>
    <w:pPr>
      <w:jc w:val="both"/>
    </w:pPr>
    <w:rPr>
      <w:rFonts w:ascii="Calibri" w:hAnsi="Calibri" w:eastAsia="宋体" w:cs="Times New Roman"/>
      <w:sz w:val="21"/>
      <w:szCs w:val="21"/>
      <w:lang w:val="en-US" w:eastAsia="zh-CN" w:bidi="ar-SA"/>
    </w:rPr>
  </w:style>
  <w:style w:type="character" w:customStyle="1" w:styleId="223">
    <w:name w:val="正文文本缩进 Char1"/>
    <w:qFormat/>
    <w:uiPriority w:val="0"/>
    <w:rPr>
      <w:sz w:val="21"/>
      <w:szCs w:val="21"/>
    </w:rPr>
  </w:style>
  <w:style w:type="character" w:customStyle="1" w:styleId="224">
    <w:name w:val="正文文本缩进 2 Char1"/>
    <w:qFormat/>
    <w:uiPriority w:val="0"/>
    <w:rPr>
      <w:sz w:val="21"/>
      <w:szCs w:val="21"/>
    </w:rPr>
  </w:style>
  <w:style w:type="paragraph" w:customStyle="1" w:styleId="225">
    <w:name w:val="zdj21"/>
    <w:basedOn w:val="1"/>
    <w:qFormat/>
    <w:uiPriority w:val="0"/>
    <w:pPr>
      <w:ind w:firstLine="514"/>
    </w:pPr>
    <w:rPr>
      <w:rFonts w:ascii="宋体" w:cs="Times New Roman"/>
      <w:color w:val="000000"/>
      <w:sz w:val="24"/>
      <w:szCs w:val="24"/>
    </w:rPr>
  </w:style>
  <w:style w:type="paragraph" w:customStyle="1" w:styleId="226">
    <w:name w:val="zdj41"/>
    <w:basedOn w:val="1"/>
    <w:uiPriority w:val="0"/>
    <w:pPr>
      <w:spacing w:line="480" w:lineRule="exact"/>
      <w:ind w:firstLine="518"/>
    </w:pPr>
    <w:rPr>
      <w:rFonts w:ascii="Times New Roman" w:hAnsi="Times New Roman" w:cs="Times New Roman"/>
      <w:sz w:val="24"/>
      <w:szCs w:val="24"/>
    </w:rPr>
  </w:style>
  <w:style w:type="character" w:customStyle="1" w:styleId="227">
    <w:name w:val="批注框文本 Char1"/>
    <w:qFormat/>
    <w:uiPriority w:val="0"/>
    <w:rPr>
      <w:sz w:val="18"/>
      <w:szCs w:val="18"/>
    </w:rPr>
  </w:style>
  <w:style w:type="paragraph" w:customStyle="1" w:styleId="228">
    <w:name w:val="标题4"/>
    <w:basedOn w:val="4"/>
    <w:qFormat/>
    <w:uiPriority w:val="0"/>
    <w:pPr>
      <w:spacing w:before="50" w:after="50"/>
      <w:outlineLvl w:val="3"/>
    </w:pPr>
    <w:rPr>
      <w:rFonts w:ascii="宋体" w:hAnsi="宋体"/>
    </w:rPr>
  </w:style>
  <w:style w:type="paragraph" w:customStyle="1" w:styleId="229">
    <w:name w:val="标题5"/>
    <w:basedOn w:val="5"/>
    <w:uiPriority w:val="0"/>
    <w:pPr>
      <w:spacing w:before="0" w:after="0" w:line="240" w:lineRule="auto"/>
      <w:ind w:firstLine="0"/>
      <w:outlineLvl w:val="4"/>
    </w:pPr>
    <w:rPr>
      <w:rFonts w:ascii="黑体" w:eastAsia="黑体"/>
      <w:sz w:val="21"/>
      <w:szCs w:val="21"/>
    </w:rPr>
  </w:style>
  <w:style w:type="paragraph" w:customStyle="1" w:styleId="230">
    <w:name w:val="样式 标题 3 + 首行缩进:  2 字符"/>
    <w:basedOn w:val="4"/>
    <w:qFormat/>
    <w:uiPriority w:val="0"/>
    <w:pPr>
      <w:ind w:firstLine="200"/>
    </w:pPr>
    <w:rPr>
      <w:rFonts w:cs="宋体"/>
    </w:rPr>
  </w:style>
  <w:style w:type="paragraph" w:customStyle="1" w:styleId="231">
    <w:name w:val="样式 样式 标题 3 + 首行缩进:  2 字符 + 首行缩进:  2 字符 段前: 0.5 行 段后: 0.5 行"/>
    <w:basedOn w:val="230"/>
    <w:qFormat/>
    <w:uiPriority w:val="0"/>
  </w:style>
  <w:style w:type="paragraph" w:customStyle="1" w:styleId="232">
    <w:name w:val="附录标题"/>
    <w:basedOn w:val="48"/>
    <w:next w:val="48"/>
    <w:qFormat/>
    <w:uiPriority w:val="0"/>
    <w:pPr>
      <w:ind w:firstLine="0"/>
      <w:jc w:val="center"/>
    </w:pPr>
    <w:rPr>
      <w:rFonts w:ascii="黑体" w:eastAsia="黑体"/>
    </w:rPr>
  </w:style>
  <w:style w:type="paragraph" w:customStyle="1" w:styleId="233">
    <w:name w:val="样式 标题 2 + 段前: 12 磅 段后: 12 磅 首行缩进:  0 字符"/>
    <w:basedOn w:val="3"/>
    <w:qFormat/>
    <w:uiPriority w:val="0"/>
    <w:rPr>
      <w:rFonts w:cs="宋体"/>
    </w:rPr>
  </w:style>
  <w:style w:type="paragraph" w:customStyle="1" w:styleId="234">
    <w:name w:val="标题-附录"/>
    <w:basedOn w:val="3"/>
    <w:qFormat/>
    <w:uiPriority w:val="0"/>
    <w:pPr>
      <w:spacing w:before="0" w:after="0"/>
      <w:jc w:val="center"/>
      <w:outlineLvl w:val="0"/>
    </w:pPr>
  </w:style>
  <w:style w:type="paragraph" w:customStyle="1" w:styleId="235">
    <w:name w:val="标题6"/>
    <w:basedOn w:val="229"/>
    <w:uiPriority w:val="0"/>
    <w:pPr>
      <w:outlineLvl w:val="5"/>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88</Pages>
  <Words>35054</Words>
  <Characters>39515</Characters>
  <Lines>389</Lines>
  <Paragraphs>109</Paragraphs>
  <TotalTime>0</TotalTime>
  <ScaleCrop>false</ScaleCrop>
  <LinksUpToDate>false</LinksUpToDate>
  <CharactersWithSpaces>43836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2020-04-13T09:10:00Z</dcterms:created>
  <dc:creator>Administrator</dc:creator>
  <cp:lastModifiedBy>sebastion.f</cp:lastModifiedBy>
  <cp:lastPrinted>2020-03-26T06:56:00Z</cp:lastPrinted>
  <dcterms:modified xsi:type="dcterms:W3CDTF">2023-06-07T10:08:31Z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E547464EF9FB46A69EE8C591C1BE3BAC_12</vt:lpwstr>
  </property>
</Properties>
</file>