
<file path=[Content_Types].xml><?xml version="1.0" encoding="utf-8"?>
<Types xmlns="http://schemas.openxmlformats.org/package/2006/content-types">
  <Default Extension="xml" ContentType="application/xml"/>
  <Default Extension="png" ContentType="image/png"/>
  <Default Extension="wdp" ContentType="image/vnd.ms-photo"/>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400"/>
        <w:jc w:val="center"/>
        <w:rPr>
          <w:rFonts w:asciiTheme="minorEastAsia" w:hAnsiTheme="minorEastAsia" w:eastAsiaTheme="minorEastAsia"/>
          <w:b/>
          <w:sz w:val="52"/>
          <w:szCs w:val="52"/>
        </w:rPr>
      </w:pPr>
      <w:r>
        <w:rPr>
          <w:rFonts w:hint="eastAsia" w:asciiTheme="minorEastAsia" w:hAnsiTheme="minorEastAsia" w:eastAsiaTheme="minorEastAsia"/>
          <w:b/>
          <w:sz w:val="52"/>
          <w:szCs w:val="52"/>
        </w:rPr>
        <w:t>湖北省地质灾害防治</w:t>
      </w:r>
    </w:p>
    <w:p>
      <w:pPr>
        <w:jc w:val="center"/>
        <w:rPr>
          <w:rFonts w:asciiTheme="minorEastAsia" w:hAnsiTheme="minorEastAsia" w:eastAsiaTheme="minorEastAsia"/>
          <w:b/>
          <w:sz w:val="52"/>
          <w:szCs w:val="52"/>
        </w:rPr>
      </w:pPr>
      <w:r>
        <w:rPr>
          <w:rFonts w:hint="eastAsia" w:asciiTheme="minorEastAsia" w:hAnsiTheme="minorEastAsia" w:eastAsiaTheme="minorEastAsia"/>
          <w:b/>
          <w:sz w:val="52"/>
          <w:szCs w:val="52"/>
        </w:rPr>
        <w:t>专业监测预警工程建设</w:t>
      </w:r>
      <w:r>
        <w:rPr>
          <w:rFonts w:asciiTheme="minorEastAsia" w:hAnsiTheme="minorEastAsia" w:eastAsiaTheme="minorEastAsia"/>
          <w:b/>
          <w:sz w:val="52"/>
          <w:szCs w:val="52"/>
        </w:rPr>
        <w:t>技术要求</w:t>
      </w:r>
    </w:p>
    <w:p>
      <w:pPr>
        <w:jc w:val="center"/>
        <w:rPr>
          <w:rFonts w:asciiTheme="minorEastAsia" w:hAnsiTheme="minorEastAsia" w:eastAsiaTheme="minorEastAsia"/>
          <w:b/>
          <w:sz w:val="52"/>
          <w:szCs w:val="52"/>
        </w:rPr>
      </w:pPr>
      <w:r>
        <w:rPr>
          <w:rFonts w:asciiTheme="minorEastAsia" w:hAnsiTheme="minorEastAsia" w:eastAsiaTheme="minorEastAsia"/>
          <w:b/>
          <w:sz w:val="52"/>
          <w:szCs w:val="52"/>
        </w:rPr>
        <w:t>（</w:t>
      </w:r>
      <w:r>
        <w:rPr>
          <w:rFonts w:hint="eastAsia" w:asciiTheme="minorEastAsia" w:hAnsiTheme="minorEastAsia" w:eastAsiaTheme="minorEastAsia"/>
          <w:b/>
          <w:sz w:val="52"/>
          <w:szCs w:val="52"/>
        </w:rPr>
        <w:t>试行</w:t>
      </w:r>
      <w:r>
        <w:rPr>
          <w:rFonts w:asciiTheme="minorEastAsia" w:hAnsiTheme="minorEastAsia" w:eastAsiaTheme="minorEastAsia"/>
          <w:b/>
          <w:sz w:val="52"/>
          <w:szCs w:val="52"/>
        </w:rPr>
        <w:t>）</w:t>
      </w:r>
    </w:p>
    <w:p>
      <w:pPr>
        <w:spacing w:line="480" w:lineRule="auto"/>
        <w:jc w:val="center"/>
        <w:rPr>
          <w:rFonts w:ascii="Times New Roman" w:hAnsi="Times New Roman"/>
          <w:b/>
          <w:sz w:val="30"/>
          <w:szCs w:val="30"/>
        </w:rPr>
      </w:pPr>
    </w:p>
    <w:p>
      <w:pPr>
        <w:spacing w:line="480" w:lineRule="auto"/>
        <w:jc w:val="center"/>
        <w:rPr>
          <w:rFonts w:ascii="Times New Roman" w:hAnsi="Times New Roman"/>
          <w:b/>
          <w:sz w:val="30"/>
          <w:szCs w:val="30"/>
        </w:rPr>
      </w:pPr>
    </w:p>
    <w:p>
      <w:pPr>
        <w:spacing w:line="720" w:lineRule="auto"/>
        <w:jc w:val="center"/>
        <w:rPr>
          <w:rFonts w:ascii="Times New Roman" w:hAnsi="Times New Roman"/>
          <w:b/>
          <w:sz w:val="30"/>
          <w:szCs w:val="30"/>
        </w:rPr>
      </w:pPr>
    </w:p>
    <w:p>
      <w:pPr>
        <w:spacing w:line="720" w:lineRule="auto"/>
        <w:jc w:val="center"/>
        <w:rPr>
          <w:rFonts w:ascii="Times New Roman" w:hAnsi="Times New Roman"/>
          <w:b/>
          <w:sz w:val="30"/>
          <w:szCs w:val="30"/>
        </w:rPr>
      </w:pPr>
    </w:p>
    <w:p>
      <w:pPr>
        <w:spacing w:line="720" w:lineRule="auto"/>
        <w:jc w:val="center"/>
        <w:rPr>
          <w:rFonts w:ascii="Times New Roman" w:hAnsi="Times New Roman"/>
          <w:b/>
          <w:sz w:val="30"/>
          <w:szCs w:val="30"/>
        </w:rPr>
      </w:pPr>
    </w:p>
    <w:p>
      <w:pPr>
        <w:spacing w:line="720" w:lineRule="auto"/>
        <w:jc w:val="center"/>
        <w:rPr>
          <w:rFonts w:ascii="Times New Roman" w:hAnsi="Times New Roman"/>
          <w:b/>
          <w:sz w:val="30"/>
          <w:szCs w:val="30"/>
        </w:rPr>
      </w:pPr>
    </w:p>
    <w:p>
      <w:pPr>
        <w:spacing w:line="720" w:lineRule="auto"/>
        <w:jc w:val="center"/>
        <w:rPr>
          <w:rFonts w:ascii="Times New Roman" w:hAnsi="Times New Roman"/>
          <w:b/>
          <w:sz w:val="30"/>
          <w:szCs w:val="30"/>
        </w:rPr>
      </w:pPr>
    </w:p>
    <w:p>
      <w:pPr>
        <w:spacing w:line="720" w:lineRule="auto"/>
        <w:jc w:val="center"/>
        <w:rPr>
          <w:rFonts w:ascii="Times New Roman" w:hAnsi="Times New Roman"/>
          <w:b/>
          <w:sz w:val="30"/>
          <w:szCs w:val="30"/>
        </w:rPr>
      </w:pPr>
    </w:p>
    <w:p>
      <w:pPr>
        <w:jc w:val="center"/>
        <w:rPr>
          <w:rFonts w:ascii="仿宋" w:hAnsi="仿宋" w:eastAsia="仿宋"/>
          <w:b/>
          <w:sz w:val="32"/>
          <w:szCs w:val="32"/>
        </w:rPr>
      </w:pPr>
      <w:r>
        <w:rPr>
          <w:rFonts w:ascii="仿宋" w:hAnsi="仿宋" w:eastAsia="仿宋"/>
          <w:b/>
          <w:sz w:val="32"/>
          <w:szCs w:val="32"/>
        </w:rPr>
        <w:t>湖北省自然资源厅</w:t>
      </w:r>
      <w:r>
        <w:rPr>
          <w:rFonts w:hint="eastAsia" w:ascii="仿宋" w:hAnsi="仿宋" w:eastAsia="仿宋"/>
          <w:b/>
          <w:sz w:val="32"/>
          <w:szCs w:val="32"/>
        </w:rPr>
        <w:t xml:space="preserve">   </w:t>
      </w:r>
      <w:r>
        <w:rPr>
          <w:rFonts w:ascii="仿宋" w:hAnsi="仿宋" w:eastAsia="仿宋"/>
          <w:b/>
          <w:sz w:val="32"/>
          <w:szCs w:val="32"/>
        </w:rPr>
        <w:t>发布</w:t>
      </w:r>
    </w:p>
    <w:p>
      <w:pPr>
        <w:jc w:val="center"/>
        <w:rPr>
          <w:rFonts w:ascii="黑体" w:hAnsi="黑体" w:eastAsia="黑体"/>
          <w:sz w:val="30"/>
          <w:szCs w:val="30"/>
        </w:rPr>
      </w:pPr>
    </w:p>
    <w:p>
      <w:pPr>
        <w:spacing w:line="360" w:lineRule="auto"/>
        <w:rPr>
          <w:rFonts w:ascii="宋体" w:hAnsi="宋体"/>
        </w:rPr>
        <w:sectPr>
          <w:headerReference r:id="rId3" w:type="even"/>
          <w:pgSz w:w="11906" w:h="16838"/>
          <w:pgMar w:top="1418" w:right="1134" w:bottom="1134" w:left="1418" w:header="851" w:footer="992" w:gutter="0"/>
          <w:cols w:space="425" w:num="1"/>
          <w:docGrid w:linePitch="312" w:charSpace="0"/>
        </w:sectPr>
      </w:pPr>
    </w:p>
    <w:p>
      <w:pPr>
        <w:spacing w:before="851" w:after="680"/>
        <w:jc w:val="center"/>
        <w:rPr>
          <w:rFonts w:ascii="宋体" w:hAnsi="宋体"/>
        </w:rPr>
      </w:pPr>
      <w:r>
        <w:rPr>
          <w:rFonts w:ascii="黑体" w:hAnsi="黑体" w:eastAsia="黑体"/>
          <w:sz w:val="32"/>
          <w:szCs w:val="32"/>
        </w:rPr>
        <w:t>目</w:t>
      </w:r>
      <w:r>
        <w:rPr>
          <w:rFonts w:hint="eastAsia" w:ascii="黑体" w:hAnsi="黑体" w:eastAsia="黑体"/>
          <w:sz w:val="32"/>
          <w:szCs w:val="32"/>
        </w:rPr>
        <w:t xml:space="preserve">  次</w:t>
      </w:r>
    </w:p>
    <w:p>
      <w:pPr>
        <w:pStyle w:val="12"/>
        <w:rPr>
          <w:rFonts w:eastAsiaTheme="minorEastAsia"/>
        </w:rPr>
      </w:pPr>
      <w:r>
        <w:rPr>
          <w:szCs w:val="21"/>
        </w:rPr>
        <w:fldChar w:fldCharType="begin"/>
      </w:r>
      <w:r>
        <w:rPr>
          <w:szCs w:val="21"/>
        </w:rPr>
        <w:instrText xml:space="preserve"> TOC \o "1-2" \h \z \u </w:instrText>
      </w:r>
      <w:r>
        <w:rPr>
          <w:szCs w:val="21"/>
        </w:rPr>
        <w:fldChar w:fldCharType="separate"/>
      </w:r>
      <w:r>
        <w:fldChar w:fldCharType="begin"/>
      </w:r>
      <w:r>
        <w:instrText xml:space="preserve"> HYPERLINK \l "_Toc33177667" </w:instrText>
      </w:r>
      <w:r>
        <w:fldChar w:fldCharType="separate"/>
      </w:r>
      <w:r>
        <w:rPr>
          <w:rStyle w:val="17"/>
          <w:rFonts w:ascii="Times New Roman" w:hAnsi="Times New Roman" w:eastAsiaTheme="minorEastAsia"/>
          <w:kern w:val="0"/>
        </w:rPr>
        <w:t>前  言</w:t>
      </w:r>
      <w:r>
        <w:rPr>
          <w:rFonts w:eastAsiaTheme="minorEastAsia"/>
        </w:rPr>
        <w:tab/>
      </w:r>
      <w:r>
        <w:rPr>
          <w:rFonts w:eastAsiaTheme="minorEastAsia"/>
        </w:rPr>
        <w:fldChar w:fldCharType="begin"/>
      </w:r>
      <w:r>
        <w:rPr>
          <w:rFonts w:eastAsiaTheme="minorEastAsia"/>
        </w:rPr>
        <w:instrText xml:space="preserve"> PAGEREF _Toc33177667 \h </w:instrText>
      </w:r>
      <w:r>
        <w:rPr>
          <w:rFonts w:eastAsiaTheme="minorEastAsia"/>
        </w:rPr>
        <w:fldChar w:fldCharType="separate"/>
      </w:r>
      <w:r>
        <w:rPr>
          <w:rFonts w:eastAsiaTheme="minorEastAsia"/>
        </w:rPr>
        <w:t>III</w:t>
      </w:r>
      <w:r>
        <w:rPr>
          <w:rFonts w:eastAsiaTheme="minorEastAsia"/>
        </w:rPr>
        <w:fldChar w:fldCharType="end"/>
      </w:r>
      <w:r>
        <w:rPr>
          <w:rFonts w:eastAsiaTheme="minorEastAsia"/>
        </w:rPr>
        <w:fldChar w:fldCharType="end"/>
      </w:r>
    </w:p>
    <w:p>
      <w:pPr>
        <w:pStyle w:val="12"/>
      </w:pPr>
      <w:r>
        <w:fldChar w:fldCharType="begin"/>
      </w:r>
      <w:r>
        <w:instrText xml:space="preserve"> HYPERLINK \l "_Toc33177668" </w:instrText>
      </w:r>
      <w:r>
        <w:fldChar w:fldCharType="separate"/>
      </w:r>
      <w:r>
        <w:rPr>
          <w:rStyle w:val="17"/>
          <w:rFonts w:ascii="Times New Roman" w:hAnsi="Times New Roman" w:eastAsiaTheme="minorEastAsia"/>
          <w:kern w:val="0"/>
        </w:rPr>
        <w:t>引  言</w:t>
      </w:r>
      <w:r>
        <w:tab/>
      </w:r>
      <w:r>
        <w:fldChar w:fldCharType="begin"/>
      </w:r>
      <w:r>
        <w:instrText xml:space="preserve"> PAGEREF _Toc33177668 \h </w:instrText>
      </w:r>
      <w:r>
        <w:fldChar w:fldCharType="separate"/>
      </w:r>
      <w:r>
        <w:t>IV</w:t>
      </w:r>
      <w:r>
        <w:fldChar w:fldCharType="end"/>
      </w:r>
      <w:r>
        <w:fldChar w:fldCharType="end"/>
      </w:r>
    </w:p>
    <w:p>
      <w:pPr>
        <w:pStyle w:val="12"/>
      </w:pPr>
      <w:r>
        <w:fldChar w:fldCharType="begin"/>
      </w:r>
      <w:r>
        <w:instrText xml:space="preserve"> HYPERLINK \l "_Toc33177669" </w:instrText>
      </w:r>
      <w:r>
        <w:fldChar w:fldCharType="separate"/>
      </w:r>
      <w:r>
        <w:rPr>
          <w:rStyle w:val="17"/>
          <w:rFonts w:ascii="Times New Roman" w:hAnsi="Times New Roman" w:eastAsiaTheme="minorEastAsia"/>
        </w:rPr>
        <w:t>1  范围</w:t>
      </w:r>
      <w:r>
        <w:tab/>
      </w:r>
      <w:r>
        <w:fldChar w:fldCharType="begin"/>
      </w:r>
      <w:r>
        <w:instrText xml:space="preserve"> PAGEREF _Toc33177669 \h </w:instrText>
      </w:r>
      <w:r>
        <w:fldChar w:fldCharType="separate"/>
      </w:r>
      <w:r>
        <w:t>1</w:t>
      </w:r>
      <w:r>
        <w:fldChar w:fldCharType="end"/>
      </w:r>
      <w:r>
        <w:fldChar w:fldCharType="end"/>
      </w:r>
    </w:p>
    <w:p>
      <w:pPr>
        <w:pStyle w:val="12"/>
      </w:pPr>
      <w:r>
        <w:fldChar w:fldCharType="begin"/>
      </w:r>
      <w:r>
        <w:instrText xml:space="preserve"> HYPERLINK \l "_Toc33177670" </w:instrText>
      </w:r>
      <w:r>
        <w:fldChar w:fldCharType="separate"/>
      </w:r>
      <w:r>
        <w:rPr>
          <w:rStyle w:val="17"/>
          <w:rFonts w:ascii="Times New Roman" w:hAnsi="Times New Roman" w:eastAsiaTheme="minorEastAsia"/>
        </w:rPr>
        <w:t>2  规范性引用文件</w:t>
      </w:r>
      <w:r>
        <w:tab/>
      </w:r>
      <w:r>
        <w:fldChar w:fldCharType="begin"/>
      </w:r>
      <w:r>
        <w:instrText xml:space="preserve"> PAGEREF _Toc33177670 \h </w:instrText>
      </w:r>
      <w:r>
        <w:fldChar w:fldCharType="separate"/>
      </w:r>
      <w:r>
        <w:t>1</w:t>
      </w:r>
      <w:r>
        <w:fldChar w:fldCharType="end"/>
      </w:r>
      <w:r>
        <w:fldChar w:fldCharType="end"/>
      </w:r>
    </w:p>
    <w:p>
      <w:pPr>
        <w:pStyle w:val="12"/>
      </w:pPr>
      <w:r>
        <w:fldChar w:fldCharType="begin"/>
      </w:r>
      <w:r>
        <w:instrText xml:space="preserve"> HYPERLINK \l "_Toc33177671" </w:instrText>
      </w:r>
      <w:r>
        <w:fldChar w:fldCharType="separate"/>
      </w:r>
      <w:r>
        <w:rPr>
          <w:rStyle w:val="17"/>
          <w:rFonts w:ascii="Times New Roman" w:hAnsi="Times New Roman" w:eastAsiaTheme="minorEastAsia"/>
        </w:rPr>
        <w:t>3  术语与定义</w:t>
      </w:r>
      <w:r>
        <w:tab/>
      </w:r>
      <w:r>
        <w:fldChar w:fldCharType="begin"/>
      </w:r>
      <w:r>
        <w:instrText xml:space="preserve"> PAGEREF _Toc33177671 \h </w:instrText>
      </w:r>
      <w:r>
        <w:fldChar w:fldCharType="separate"/>
      </w:r>
      <w:r>
        <w:t>2</w:t>
      </w:r>
      <w:r>
        <w:fldChar w:fldCharType="end"/>
      </w:r>
      <w:r>
        <w:fldChar w:fldCharType="end"/>
      </w:r>
    </w:p>
    <w:p>
      <w:pPr>
        <w:pStyle w:val="12"/>
      </w:pPr>
      <w:r>
        <w:fldChar w:fldCharType="begin"/>
      </w:r>
      <w:r>
        <w:instrText xml:space="preserve"> HYPERLINK \l "_Toc33177672" </w:instrText>
      </w:r>
      <w:r>
        <w:fldChar w:fldCharType="separate"/>
      </w:r>
      <w:r>
        <w:rPr>
          <w:rStyle w:val="17"/>
          <w:rFonts w:ascii="Times New Roman" w:hAnsi="Times New Roman" w:eastAsiaTheme="minorEastAsia"/>
        </w:rPr>
        <w:t>4  总则</w:t>
      </w:r>
      <w:r>
        <w:tab/>
      </w:r>
      <w:r>
        <w:fldChar w:fldCharType="begin"/>
      </w:r>
      <w:r>
        <w:instrText xml:space="preserve"> PAGEREF _Toc33177672 \h </w:instrText>
      </w:r>
      <w:r>
        <w:fldChar w:fldCharType="separate"/>
      </w:r>
      <w:r>
        <w:t>4</w:t>
      </w:r>
      <w:r>
        <w:fldChar w:fldCharType="end"/>
      </w:r>
      <w:r>
        <w:fldChar w:fldCharType="end"/>
      </w:r>
    </w:p>
    <w:p>
      <w:pPr>
        <w:pStyle w:val="13"/>
        <w:rPr>
          <w:rFonts w:ascii="Times New Roman" w:hAnsi="Times New Roman" w:eastAsiaTheme="minorEastAsia"/>
        </w:rPr>
      </w:pPr>
      <w:r>
        <w:fldChar w:fldCharType="begin"/>
      </w:r>
      <w:r>
        <w:instrText xml:space="preserve"> HYPERLINK \l "_Toc33177673" </w:instrText>
      </w:r>
      <w:r>
        <w:fldChar w:fldCharType="separate"/>
      </w:r>
      <w:r>
        <w:rPr>
          <w:rStyle w:val="17"/>
          <w:rFonts w:ascii="Times New Roman" w:hAnsi="Times New Roman" w:eastAsiaTheme="minorEastAsia"/>
        </w:rPr>
        <w:t>4.1  专业监测目的</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_Toc33177673 \h </w:instrText>
      </w:r>
      <w:r>
        <w:rPr>
          <w:rFonts w:ascii="Times New Roman" w:hAnsi="Times New Roman" w:eastAsiaTheme="minorEastAsia"/>
        </w:rPr>
        <w:fldChar w:fldCharType="separate"/>
      </w:r>
      <w:r>
        <w:rPr>
          <w:rFonts w:ascii="Times New Roman" w:hAnsi="Times New Roman" w:eastAsiaTheme="minorEastAsia"/>
        </w:rPr>
        <w:t>4</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"_Toc33177674" </w:instrText>
      </w:r>
      <w:r>
        <w:fldChar w:fldCharType="separate"/>
      </w:r>
      <w:r>
        <w:rPr>
          <w:rStyle w:val="17"/>
          <w:rFonts w:ascii="Times New Roman" w:hAnsi="Times New Roman" w:eastAsiaTheme="minorEastAsia"/>
        </w:rPr>
        <w:t>4.2  专业监测任务</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_Toc33177674 \h </w:instrText>
      </w:r>
      <w:r>
        <w:rPr>
          <w:rFonts w:ascii="Times New Roman" w:hAnsi="Times New Roman" w:eastAsiaTheme="minorEastAsia"/>
        </w:rPr>
        <w:fldChar w:fldCharType="separate"/>
      </w:r>
      <w:r>
        <w:rPr>
          <w:rFonts w:ascii="Times New Roman" w:hAnsi="Times New Roman" w:eastAsiaTheme="minorEastAsia"/>
        </w:rPr>
        <w:t>4</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"_Toc33177675" </w:instrText>
      </w:r>
      <w:r>
        <w:fldChar w:fldCharType="separate"/>
      </w:r>
      <w:r>
        <w:rPr>
          <w:rStyle w:val="17"/>
          <w:rFonts w:ascii="Times New Roman" w:hAnsi="Times New Roman" w:eastAsiaTheme="minorEastAsia"/>
        </w:rPr>
        <w:t>4.3  专业监测分类</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_Toc33177675 \h </w:instrText>
      </w:r>
      <w:r>
        <w:rPr>
          <w:rFonts w:ascii="Times New Roman" w:hAnsi="Times New Roman" w:eastAsiaTheme="minorEastAsia"/>
        </w:rPr>
        <w:fldChar w:fldCharType="separate"/>
      </w:r>
      <w:r>
        <w:rPr>
          <w:rFonts w:ascii="Times New Roman" w:hAnsi="Times New Roman" w:eastAsiaTheme="minorEastAsia"/>
        </w:rPr>
        <w:t>4</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"_Toc33177676" </w:instrText>
      </w:r>
      <w:r>
        <w:fldChar w:fldCharType="separate"/>
      </w:r>
      <w:r>
        <w:rPr>
          <w:rStyle w:val="17"/>
          <w:rFonts w:ascii="Times New Roman" w:hAnsi="Times New Roman" w:eastAsiaTheme="minorEastAsia"/>
        </w:rPr>
        <w:t>4.4  工作流程</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_Toc33177676 \h </w:instrText>
      </w:r>
      <w:r>
        <w:rPr>
          <w:rFonts w:ascii="Times New Roman" w:hAnsi="Times New Roman" w:eastAsiaTheme="minorEastAsia"/>
        </w:rPr>
        <w:fldChar w:fldCharType="separate"/>
      </w:r>
      <w:r>
        <w:rPr>
          <w:rFonts w:ascii="Times New Roman" w:hAnsi="Times New Roman" w:eastAsiaTheme="minorEastAsia"/>
        </w:rPr>
        <w:t>4</w:t>
      </w:r>
      <w:r>
        <w:rPr>
          <w:rFonts w:ascii="Times New Roman" w:hAnsi="Times New Roman" w:eastAsiaTheme="minorEastAsia"/>
        </w:rPr>
        <w:fldChar w:fldCharType="end"/>
      </w:r>
      <w:r>
        <w:rPr>
          <w:rFonts w:ascii="Times New Roman" w:hAnsi="Times New Roman" w:eastAsiaTheme="minorEastAsia"/>
        </w:rPr>
        <w:fldChar w:fldCharType="end"/>
      </w:r>
    </w:p>
    <w:p>
      <w:pPr>
        <w:pStyle w:val="12"/>
      </w:pPr>
      <w:r>
        <w:fldChar w:fldCharType="begin"/>
      </w:r>
      <w:r>
        <w:instrText xml:space="preserve"> HYPERLINK \l "_Toc33177677" </w:instrText>
      </w:r>
      <w:r>
        <w:fldChar w:fldCharType="separate"/>
      </w:r>
      <w:r>
        <w:rPr>
          <w:rStyle w:val="17"/>
          <w:rFonts w:ascii="Times New Roman" w:hAnsi="Times New Roman" w:eastAsiaTheme="minorEastAsia"/>
        </w:rPr>
        <w:t>5  专业监测预警分级</w:t>
      </w:r>
      <w:r>
        <w:tab/>
      </w:r>
      <w:r>
        <w:fldChar w:fldCharType="begin"/>
      </w:r>
      <w:r>
        <w:instrText xml:space="preserve"> PAGEREF _Toc33177677 \h </w:instrText>
      </w:r>
      <w:r>
        <w:fldChar w:fldCharType="separate"/>
      </w:r>
      <w:r>
        <w:t>6</w:t>
      </w:r>
      <w:r>
        <w:fldChar w:fldCharType="end"/>
      </w:r>
      <w:r>
        <w:fldChar w:fldCharType="end"/>
      </w:r>
    </w:p>
    <w:p>
      <w:pPr>
        <w:pStyle w:val="13"/>
        <w:rPr>
          <w:rFonts w:ascii="Times New Roman" w:hAnsi="Times New Roman" w:eastAsiaTheme="minorEastAsia"/>
        </w:rPr>
      </w:pPr>
      <w:r>
        <w:fldChar w:fldCharType="begin"/>
      </w:r>
      <w:r>
        <w:instrText xml:space="preserve"> HYPERLINK \l "_Toc33177678" </w:instrText>
      </w:r>
      <w:r>
        <w:fldChar w:fldCharType="separate"/>
      </w:r>
      <w:r>
        <w:rPr>
          <w:rStyle w:val="17"/>
          <w:rFonts w:ascii="Times New Roman" w:hAnsi="Times New Roman" w:eastAsiaTheme="minorEastAsia"/>
        </w:rPr>
        <w:t>5.1  规模分级</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_Toc33177678 \h </w:instrText>
      </w:r>
      <w:r>
        <w:rPr>
          <w:rFonts w:ascii="Times New Roman" w:hAnsi="Times New Roman" w:eastAsiaTheme="minorEastAsia"/>
        </w:rPr>
        <w:fldChar w:fldCharType="separate"/>
      </w:r>
      <w:r>
        <w:rPr>
          <w:rFonts w:ascii="Times New Roman" w:hAnsi="Times New Roman" w:eastAsiaTheme="minorEastAsia"/>
        </w:rPr>
        <w:t>6</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"_Toc33177679" </w:instrText>
      </w:r>
      <w:r>
        <w:fldChar w:fldCharType="separate"/>
      </w:r>
      <w:r>
        <w:rPr>
          <w:rStyle w:val="17"/>
          <w:rFonts w:ascii="Times New Roman" w:hAnsi="Times New Roman" w:eastAsiaTheme="minorEastAsia"/>
        </w:rPr>
        <w:t>5.2  事件（灾情险情）分级</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_Toc33177679 \h </w:instrText>
      </w:r>
      <w:r>
        <w:rPr>
          <w:rFonts w:ascii="Times New Roman" w:hAnsi="Times New Roman" w:eastAsiaTheme="minorEastAsia"/>
        </w:rPr>
        <w:fldChar w:fldCharType="separate"/>
      </w:r>
      <w:r>
        <w:rPr>
          <w:rFonts w:ascii="Times New Roman" w:hAnsi="Times New Roman" w:eastAsiaTheme="minorEastAsia"/>
        </w:rPr>
        <w:t>6</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"_Toc33177680" </w:instrText>
      </w:r>
      <w:r>
        <w:fldChar w:fldCharType="separate"/>
      </w:r>
      <w:r>
        <w:rPr>
          <w:rStyle w:val="17"/>
          <w:rFonts w:ascii="Times New Roman" w:hAnsi="Times New Roman" w:eastAsiaTheme="minorEastAsia"/>
        </w:rPr>
        <w:t>5.3  监测分级</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_Toc33177680 \h </w:instrText>
      </w:r>
      <w:r>
        <w:rPr>
          <w:rFonts w:ascii="Times New Roman" w:hAnsi="Times New Roman" w:eastAsiaTheme="minorEastAsia"/>
        </w:rPr>
        <w:fldChar w:fldCharType="separate"/>
      </w:r>
      <w:r>
        <w:rPr>
          <w:rFonts w:ascii="Times New Roman" w:hAnsi="Times New Roman" w:eastAsiaTheme="minorEastAsia"/>
        </w:rPr>
        <w:t>6</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"_Toc33177681" </w:instrText>
      </w:r>
      <w:r>
        <w:fldChar w:fldCharType="separate"/>
      </w:r>
      <w:r>
        <w:rPr>
          <w:rStyle w:val="17"/>
          <w:rFonts w:ascii="Times New Roman" w:hAnsi="Times New Roman" w:eastAsiaTheme="minorEastAsia"/>
        </w:rPr>
        <w:t>5.4  预警分级</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_Toc33177681 \h </w:instrText>
      </w:r>
      <w:r>
        <w:rPr>
          <w:rFonts w:ascii="Times New Roman" w:hAnsi="Times New Roman" w:eastAsiaTheme="minorEastAsia"/>
        </w:rPr>
        <w:fldChar w:fldCharType="separate"/>
      </w:r>
      <w:r>
        <w:rPr>
          <w:rFonts w:ascii="Times New Roman" w:hAnsi="Times New Roman" w:eastAsiaTheme="minorEastAsia"/>
        </w:rPr>
        <w:t>6</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"_Toc33177682" </w:instrText>
      </w:r>
      <w:r>
        <w:fldChar w:fldCharType="separate"/>
      </w:r>
      <w:r>
        <w:rPr>
          <w:rStyle w:val="17"/>
          <w:rFonts w:ascii="Times New Roman" w:hAnsi="Times New Roman" w:eastAsiaTheme="minorEastAsia"/>
        </w:rPr>
        <w:t>5.5  预报分级</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_Toc33177682 \h </w:instrText>
      </w:r>
      <w:r>
        <w:rPr>
          <w:rFonts w:ascii="Times New Roman" w:hAnsi="Times New Roman" w:eastAsiaTheme="minorEastAsia"/>
        </w:rPr>
        <w:fldChar w:fldCharType="separate"/>
      </w:r>
      <w:r>
        <w:rPr>
          <w:rFonts w:ascii="Times New Roman" w:hAnsi="Times New Roman" w:eastAsiaTheme="minorEastAsia"/>
        </w:rPr>
        <w:t>7</w:t>
      </w:r>
      <w:r>
        <w:rPr>
          <w:rFonts w:ascii="Times New Roman" w:hAnsi="Times New Roman" w:eastAsiaTheme="minorEastAsia"/>
        </w:rPr>
        <w:fldChar w:fldCharType="end"/>
      </w:r>
      <w:r>
        <w:rPr>
          <w:rFonts w:ascii="Times New Roman" w:hAnsi="Times New Roman" w:eastAsiaTheme="minorEastAsia"/>
        </w:rPr>
        <w:fldChar w:fldCharType="end"/>
      </w:r>
    </w:p>
    <w:p>
      <w:pPr>
        <w:pStyle w:val="12"/>
      </w:pPr>
      <w:r>
        <w:fldChar w:fldCharType="begin"/>
      </w:r>
      <w:r>
        <w:instrText xml:space="preserve"> HYPERLINK \l "_Toc33177683" </w:instrText>
      </w:r>
      <w:r>
        <w:fldChar w:fldCharType="separate"/>
      </w:r>
      <w:r>
        <w:rPr>
          <w:rStyle w:val="17"/>
          <w:rFonts w:ascii="Times New Roman" w:hAnsi="Times New Roman" w:eastAsiaTheme="minorEastAsia"/>
        </w:rPr>
        <w:t>6  基本要求</w:t>
      </w:r>
      <w:r>
        <w:tab/>
      </w:r>
      <w:r>
        <w:fldChar w:fldCharType="begin"/>
      </w:r>
      <w:r>
        <w:instrText xml:space="preserve"> PAGEREF _Toc33177683 \h </w:instrText>
      </w:r>
      <w:r>
        <w:fldChar w:fldCharType="separate"/>
      </w:r>
      <w:r>
        <w:t>7</w:t>
      </w:r>
      <w:r>
        <w:fldChar w:fldCharType="end"/>
      </w:r>
      <w:r>
        <w:fldChar w:fldCharType="end"/>
      </w:r>
    </w:p>
    <w:p>
      <w:pPr>
        <w:pStyle w:val="13"/>
        <w:rPr>
          <w:rFonts w:ascii="Times New Roman" w:hAnsi="Times New Roman" w:eastAsiaTheme="minorEastAsia"/>
        </w:rPr>
      </w:pPr>
      <w:r>
        <w:fldChar w:fldCharType="begin"/>
      </w:r>
      <w:r>
        <w:instrText xml:space="preserve"> HYPERLINK \l "_Toc33177684" </w:instrText>
      </w:r>
      <w:r>
        <w:fldChar w:fldCharType="separate"/>
      </w:r>
      <w:r>
        <w:rPr>
          <w:rStyle w:val="17"/>
          <w:rFonts w:ascii="Times New Roman" w:hAnsi="Times New Roman" w:eastAsiaTheme="minorEastAsia"/>
        </w:rPr>
        <w:t>6.1  一般规定</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_Toc33177684 \h </w:instrText>
      </w:r>
      <w:r>
        <w:rPr>
          <w:rFonts w:ascii="Times New Roman" w:hAnsi="Times New Roman" w:eastAsiaTheme="minorEastAsia"/>
        </w:rPr>
        <w:fldChar w:fldCharType="separate"/>
      </w:r>
      <w:r>
        <w:rPr>
          <w:rFonts w:ascii="Times New Roman" w:hAnsi="Times New Roman" w:eastAsiaTheme="minorEastAsia"/>
        </w:rPr>
        <w:t>7</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"_Toc33177685" </w:instrText>
      </w:r>
      <w:r>
        <w:fldChar w:fldCharType="separate"/>
      </w:r>
      <w:r>
        <w:rPr>
          <w:rStyle w:val="17"/>
          <w:rFonts w:ascii="Times New Roman" w:hAnsi="Times New Roman" w:eastAsiaTheme="minorEastAsia"/>
        </w:rPr>
        <w:t>6.2  区域监测</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_Toc33177685 \h </w:instrText>
      </w:r>
      <w:r>
        <w:rPr>
          <w:rFonts w:ascii="Times New Roman" w:hAnsi="Times New Roman" w:eastAsiaTheme="minorEastAsia"/>
        </w:rPr>
        <w:fldChar w:fldCharType="separate"/>
      </w:r>
      <w:r>
        <w:rPr>
          <w:rFonts w:ascii="Times New Roman" w:hAnsi="Times New Roman" w:eastAsiaTheme="minorEastAsia"/>
        </w:rPr>
        <w:t>8</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"_Toc33177686" </w:instrText>
      </w:r>
      <w:r>
        <w:fldChar w:fldCharType="separate"/>
      </w:r>
      <w:r>
        <w:rPr>
          <w:rStyle w:val="17"/>
          <w:rFonts w:ascii="Times New Roman" w:hAnsi="Times New Roman" w:eastAsiaTheme="minorEastAsia"/>
        </w:rPr>
        <w:t>6.3  隐患点监测</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_Toc33177686 \h </w:instrText>
      </w:r>
      <w:r>
        <w:rPr>
          <w:rFonts w:ascii="Times New Roman" w:hAnsi="Times New Roman" w:eastAsiaTheme="minorEastAsia"/>
        </w:rPr>
        <w:fldChar w:fldCharType="separate"/>
      </w:r>
      <w:r>
        <w:rPr>
          <w:rFonts w:ascii="Times New Roman" w:hAnsi="Times New Roman" w:eastAsiaTheme="minorEastAsia"/>
        </w:rPr>
        <w:t>11</w:t>
      </w:r>
      <w:r>
        <w:rPr>
          <w:rFonts w:ascii="Times New Roman" w:hAnsi="Times New Roman" w:eastAsiaTheme="minorEastAsia"/>
        </w:rPr>
        <w:fldChar w:fldCharType="end"/>
      </w:r>
      <w:r>
        <w:rPr>
          <w:rFonts w:ascii="Times New Roman" w:hAnsi="Times New Roman" w:eastAsiaTheme="minorEastAsia"/>
        </w:rPr>
        <w:fldChar w:fldCharType="end"/>
      </w:r>
    </w:p>
    <w:p>
      <w:pPr>
        <w:pStyle w:val="12"/>
      </w:pPr>
      <w:r>
        <w:fldChar w:fldCharType="begin"/>
      </w:r>
      <w:r>
        <w:instrText xml:space="preserve"> HYPERLINK \l "_Toc33177687" </w:instrText>
      </w:r>
      <w:r>
        <w:fldChar w:fldCharType="separate"/>
      </w:r>
      <w:r>
        <w:rPr>
          <w:rStyle w:val="17"/>
          <w:rFonts w:ascii="Times New Roman" w:hAnsi="Times New Roman" w:eastAsiaTheme="minorEastAsia"/>
        </w:rPr>
        <w:t>7  监测预警工程建设</w:t>
      </w:r>
      <w:r>
        <w:tab/>
      </w:r>
      <w:r>
        <w:fldChar w:fldCharType="begin"/>
      </w:r>
      <w:r>
        <w:instrText xml:space="preserve"> PAGEREF _Toc33177687 \h </w:instrText>
      </w:r>
      <w:r>
        <w:fldChar w:fldCharType="separate"/>
      </w:r>
      <w:r>
        <w:t>15</w:t>
      </w:r>
      <w:r>
        <w:fldChar w:fldCharType="end"/>
      </w:r>
      <w:r>
        <w:fldChar w:fldCharType="end"/>
      </w:r>
    </w:p>
    <w:p>
      <w:pPr>
        <w:pStyle w:val="13"/>
        <w:rPr>
          <w:rFonts w:ascii="Times New Roman" w:hAnsi="Times New Roman" w:eastAsiaTheme="minorEastAsia"/>
        </w:rPr>
      </w:pPr>
      <w:r>
        <w:fldChar w:fldCharType="begin"/>
      </w:r>
      <w:r>
        <w:instrText xml:space="preserve"> HYPERLINK \l "_Toc33177688" </w:instrText>
      </w:r>
      <w:r>
        <w:fldChar w:fldCharType="separate"/>
      </w:r>
      <w:r>
        <w:rPr>
          <w:rStyle w:val="17"/>
          <w:rFonts w:ascii="Times New Roman" w:hAnsi="Times New Roman" w:eastAsiaTheme="minorEastAsia"/>
        </w:rPr>
        <w:t>7.1  一般规定</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_Toc33177688 \h </w:instrText>
      </w:r>
      <w:r>
        <w:rPr>
          <w:rFonts w:ascii="Times New Roman" w:hAnsi="Times New Roman" w:eastAsiaTheme="minorEastAsia"/>
        </w:rPr>
        <w:fldChar w:fldCharType="separate"/>
      </w:r>
      <w:r>
        <w:rPr>
          <w:rFonts w:ascii="Times New Roman" w:hAnsi="Times New Roman" w:eastAsiaTheme="minorEastAsia"/>
        </w:rPr>
        <w:t>15</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"_Toc33177689" </w:instrText>
      </w:r>
      <w:r>
        <w:fldChar w:fldCharType="separate"/>
      </w:r>
      <w:r>
        <w:rPr>
          <w:rStyle w:val="17"/>
          <w:rFonts w:ascii="Times New Roman" w:hAnsi="Times New Roman" w:eastAsiaTheme="minorEastAsia"/>
        </w:rPr>
        <w:t>7.2  监测设备要求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_Toc33177689 \h </w:instrText>
      </w:r>
      <w:r>
        <w:rPr>
          <w:rFonts w:ascii="Times New Roman" w:hAnsi="Times New Roman" w:eastAsiaTheme="minorEastAsia"/>
        </w:rPr>
        <w:fldChar w:fldCharType="separate"/>
      </w:r>
      <w:r>
        <w:rPr>
          <w:rFonts w:ascii="Times New Roman" w:hAnsi="Times New Roman" w:eastAsiaTheme="minorEastAsia"/>
        </w:rPr>
        <w:t>16</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"_Toc33177690" </w:instrText>
      </w:r>
      <w:r>
        <w:fldChar w:fldCharType="separate"/>
      </w:r>
      <w:r>
        <w:rPr>
          <w:rStyle w:val="17"/>
          <w:rFonts w:ascii="Times New Roman" w:hAnsi="Times New Roman" w:eastAsiaTheme="minorEastAsia"/>
        </w:rPr>
        <w:t>7.3  基础工程建设</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_Toc33177690 \h </w:instrText>
      </w:r>
      <w:r>
        <w:rPr>
          <w:rFonts w:ascii="Times New Roman" w:hAnsi="Times New Roman" w:eastAsiaTheme="minorEastAsia"/>
        </w:rPr>
        <w:fldChar w:fldCharType="separate"/>
      </w:r>
      <w:r>
        <w:rPr>
          <w:rFonts w:ascii="Times New Roman" w:hAnsi="Times New Roman" w:eastAsiaTheme="minorEastAsia"/>
        </w:rPr>
        <w:t>16</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"_Toc33177691" </w:instrText>
      </w:r>
      <w:r>
        <w:fldChar w:fldCharType="separate"/>
      </w:r>
      <w:r>
        <w:rPr>
          <w:rStyle w:val="17"/>
          <w:rFonts w:ascii="Times New Roman" w:hAnsi="Times New Roman" w:eastAsiaTheme="minorEastAsia"/>
        </w:rPr>
        <w:t>7.4  仪器设备安装</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_Toc33177691 \h </w:instrText>
      </w:r>
      <w:r>
        <w:rPr>
          <w:rFonts w:ascii="Times New Roman" w:hAnsi="Times New Roman" w:eastAsiaTheme="minorEastAsia"/>
        </w:rPr>
        <w:fldChar w:fldCharType="separate"/>
      </w:r>
      <w:r>
        <w:rPr>
          <w:rFonts w:ascii="Times New Roman" w:hAnsi="Times New Roman" w:eastAsiaTheme="minorEastAsia"/>
        </w:rPr>
        <w:t>17</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"_Toc33177692" </w:instrText>
      </w:r>
      <w:r>
        <w:fldChar w:fldCharType="separate"/>
      </w:r>
      <w:r>
        <w:rPr>
          <w:rStyle w:val="17"/>
          <w:rFonts w:ascii="Times New Roman" w:hAnsi="Times New Roman" w:eastAsiaTheme="minorEastAsia"/>
        </w:rPr>
        <w:t>7.5  监测系统调试</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_Toc33177692 \h </w:instrText>
      </w:r>
      <w:r>
        <w:rPr>
          <w:rFonts w:ascii="Times New Roman" w:hAnsi="Times New Roman" w:eastAsiaTheme="minorEastAsia"/>
        </w:rPr>
        <w:fldChar w:fldCharType="separate"/>
      </w:r>
      <w:r>
        <w:rPr>
          <w:rFonts w:ascii="Times New Roman" w:hAnsi="Times New Roman" w:eastAsiaTheme="minorEastAsia"/>
        </w:rPr>
        <w:t>18</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"_Toc33177693" </w:instrText>
      </w:r>
      <w:r>
        <w:fldChar w:fldCharType="separate"/>
      </w:r>
      <w:r>
        <w:rPr>
          <w:rStyle w:val="17"/>
          <w:rFonts w:ascii="Times New Roman" w:hAnsi="Times New Roman" w:eastAsiaTheme="minorEastAsia"/>
        </w:rPr>
        <w:t>7.6  监测系统试运行</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_Toc33177693 \h </w:instrText>
      </w:r>
      <w:r>
        <w:rPr>
          <w:rFonts w:ascii="Times New Roman" w:hAnsi="Times New Roman" w:eastAsiaTheme="minorEastAsia"/>
        </w:rPr>
        <w:fldChar w:fldCharType="separate"/>
      </w:r>
      <w:r>
        <w:rPr>
          <w:rFonts w:ascii="Times New Roman" w:hAnsi="Times New Roman" w:eastAsiaTheme="minorEastAsia"/>
        </w:rPr>
        <w:t>19</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"_Toc33177694" </w:instrText>
      </w:r>
      <w:r>
        <w:fldChar w:fldCharType="separate"/>
      </w:r>
      <w:r>
        <w:rPr>
          <w:rStyle w:val="17"/>
          <w:rFonts w:ascii="Times New Roman" w:hAnsi="Times New Roman" w:eastAsiaTheme="minorEastAsia"/>
        </w:rPr>
        <w:t>7.7  监测系统运行与维护</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_Toc33177694 \h </w:instrText>
      </w:r>
      <w:r>
        <w:rPr>
          <w:rFonts w:ascii="Times New Roman" w:hAnsi="Times New Roman" w:eastAsiaTheme="minorEastAsia"/>
        </w:rPr>
        <w:fldChar w:fldCharType="separate"/>
      </w:r>
      <w:r>
        <w:rPr>
          <w:rFonts w:ascii="Times New Roman" w:hAnsi="Times New Roman" w:eastAsiaTheme="minorEastAsia"/>
        </w:rPr>
        <w:t>19</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"_Toc33177695" </w:instrText>
      </w:r>
      <w:r>
        <w:fldChar w:fldCharType="separate"/>
      </w:r>
      <w:r>
        <w:rPr>
          <w:rStyle w:val="17"/>
          <w:rFonts w:ascii="Times New Roman" w:hAnsi="Times New Roman" w:eastAsiaTheme="minorEastAsia"/>
        </w:rPr>
        <w:t>7.8  工程建设竣工验收</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_Toc33177695 \h </w:instrText>
      </w:r>
      <w:r>
        <w:rPr>
          <w:rFonts w:ascii="Times New Roman" w:hAnsi="Times New Roman" w:eastAsiaTheme="minorEastAsia"/>
        </w:rPr>
        <w:fldChar w:fldCharType="separate"/>
      </w:r>
      <w:r>
        <w:rPr>
          <w:rFonts w:ascii="Times New Roman" w:hAnsi="Times New Roman" w:eastAsiaTheme="minorEastAsia"/>
        </w:rPr>
        <w:t>19</w:t>
      </w:r>
      <w:r>
        <w:rPr>
          <w:rFonts w:ascii="Times New Roman" w:hAnsi="Times New Roman" w:eastAsiaTheme="minorEastAsia"/>
        </w:rPr>
        <w:fldChar w:fldCharType="end"/>
      </w:r>
      <w:r>
        <w:rPr>
          <w:rFonts w:ascii="Times New Roman" w:hAnsi="Times New Roman" w:eastAsiaTheme="minorEastAsia"/>
        </w:rPr>
        <w:fldChar w:fldCharType="end"/>
      </w:r>
    </w:p>
    <w:p>
      <w:pPr>
        <w:pStyle w:val="12"/>
      </w:pPr>
      <w:r>
        <w:fldChar w:fldCharType="begin"/>
      </w:r>
      <w:r>
        <w:instrText xml:space="preserve"> HYPERLINK \l "_Toc33177696" </w:instrText>
      </w:r>
      <w:r>
        <w:fldChar w:fldCharType="separate"/>
      </w:r>
      <w:r>
        <w:rPr>
          <w:rStyle w:val="17"/>
          <w:rFonts w:ascii="Times New Roman" w:hAnsi="Times New Roman" w:eastAsiaTheme="minorEastAsia"/>
        </w:rPr>
        <w:t>8  监测预警信息化建设</w:t>
      </w:r>
      <w:r>
        <w:tab/>
      </w:r>
      <w:r>
        <w:fldChar w:fldCharType="begin"/>
      </w:r>
      <w:r>
        <w:instrText xml:space="preserve"> PAGEREF _Toc33177696 \h </w:instrText>
      </w:r>
      <w:r>
        <w:fldChar w:fldCharType="separate"/>
      </w:r>
      <w:r>
        <w:t>21</w:t>
      </w:r>
      <w:r>
        <w:fldChar w:fldCharType="end"/>
      </w:r>
      <w:r>
        <w:fldChar w:fldCharType="end"/>
      </w:r>
    </w:p>
    <w:p>
      <w:pPr>
        <w:pStyle w:val="13"/>
        <w:rPr>
          <w:rFonts w:ascii="Times New Roman" w:hAnsi="Times New Roman" w:eastAsiaTheme="minorEastAsia"/>
        </w:rPr>
      </w:pPr>
      <w:r>
        <w:fldChar w:fldCharType="begin"/>
      </w:r>
      <w:r>
        <w:instrText xml:space="preserve"> HYPERLINK \l "_Toc33177697" </w:instrText>
      </w:r>
      <w:r>
        <w:fldChar w:fldCharType="separate"/>
      </w:r>
      <w:r>
        <w:rPr>
          <w:rStyle w:val="17"/>
          <w:rFonts w:ascii="Times New Roman" w:hAnsi="Times New Roman" w:eastAsiaTheme="minorEastAsia"/>
        </w:rPr>
        <w:t>8.1  一般规定</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_Toc33177697 \h </w:instrText>
      </w:r>
      <w:r>
        <w:rPr>
          <w:rFonts w:ascii="Times New Roman" w:hAnsi="Times New Roman" w:eastAsiaTheme="minorEastAsia"/>
        </w:rPr>
        <w:fldChar w:fldCharType="separate"/>
      </w:r>
      <w:r>
        <w:rPr>
          <w:rFonts w:ascii="Times New Roman" w:hAnsi="Times New Roman" w:eastAsiaTheme="minorEastAsia"/>
        </w:rPr>
        <w:t>21</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"_Toc33177698" </w:instrText>
      </w:r>
      <w:r>
        <w:fldChar w:fldCharType="separate"/>
      </w:r>
      <w:r>
        <w:rPr>
          <w:rStyle w:val="17"/>
          <w:rFonts w:ascii="Times New Roman" w:hAnsi="Times New Roman" w:eastAsiaTheme="minorEastAsia"/>
        </w:rPr>
        <w:t>8.2  对接流程</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_Toc33177698 \h </w:instrText>
      </w:r>
      <w:r>
        <w:rPr>
          <w:rFonts w:ascii="Times New Roman" w:hAnsi="Times New Roman" w:eastAsiaTheme="minorEastAsia"/>
        </w:rPr>
        <w:fldChar w:fldCharType="separate"/>
      </w:r>
      <w:r>
        <w:rPr>
          <w:rFonts w:ascii="Times New Roman" w:hAnsi="Times New Roman" w:eastAsiaTheme="minorEastAsia"/>
        </w:rPr>
        <w:t>21</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"_Toc33177699" </w:instrText>
      </w:r>
      <w:r>
        <w:fldChar w:fldCharType="separate"/>
      </w:r>
      <w:r>
        <w:rPr>
          <w:rStyle w:val="17"/>
          <w:rFonts w:ascii="Times New Roman" w:hAnsi="Times New Roman" w:eastAsiaTheme="minorEastAsia"/>
        </w:rPr>
        <w:t>8.3  信息采集与录入</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_Toc33177699 \h </w:instrText>
      </w:r>
      <w:r>
        <w:rPr>
          <w:rFonts w:ascii="Times New Roman" w:hAnsi="Times New Roman" w:eastAsiaTheme="minorEastAsia"/>
        </w:rPr>
        <w:fldChar w:fldCharType="separate"/>
      </w:r>
      <w:r>
        <w:rPr>
          <w:rFonts w:ascii="Times New Roman" w:hAnsi="Times New Roman" w:eastAsiaTheme="minorEastAsia"/>
        </w:rPr>
        <w:t>21</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"_Toc33177700" </w:instrText>
      </w:r>
      <w:r>
        <w:fldChar w:fldCharType="separate"/>
      </w:r>
      <w:r>
        <w:rPr>
          <w:rStyle w:val="17"/>
          <w:rFonts w:ascii="Times New Roman" w:hAnsi="Times New Roman" w:eastAsiaTheme="minorEastAsia"/>
        </w:rPr>
        <w:t>8.4  监测设备对接</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_Toc33177700 \h </w:instrText>
      </w:r>
      <w:r>
        <w:rPr>
          <w:rFonts w:ascii="Times New Roman" w:hAnsi="Times New Roman" w:eastAsiaTheme="minorEastAsia"/>
        </w:rPr>
        <w:fldChar w:fldCharType="separate"/>
      </w:r>
      <w:r>
        <w:rPr>
          <w:rFonts w:ascii="Times New Roman" w:hAnsi="Times New Roman" w:eastAsiaTheme="minorEastAsia"/>
        </w:rPr>
        <w:t>22</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"_Toc33177701" </w:instrText>
      </w:r>
      <w:r>
        <w:fldChar w:fldCharType="separate"/>
      </w:r>
      <w:r>
        <w:rPr>
          <w:rStyle w:val="17"/>
          <w:rFonts w:ascii="Times New Roman" w:hAnsi="Times New Roman" w:eastAsiaTheme="minorEastAsia"/>
        </w:rPr>
        <w:t>8.5  平台监测信息展示</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_Toc33177701 \h </w:instrText>
      </w:r>
      <w:r>
        <w:rPr>
          <w:rFonts w:ascii="Times New Roman" w:hAnsi="Times New Roman" w:eastAsiaTheme="minorEastAsia"/>
        </w:rPr>
        <w:fldChar w:fldCharType="separate"/>
      </w:r>
      <w:r>
        <w:rPr>
          <w:rFonts w:ascii="Times New Roman" w:hAnsi="Times New Roman" w:eastAsiaTheme="minorEastAsia"/>
        </w:rPr>
        <w:t>22</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"_Toc33177702" </w:instrText>
      </w:r>
      <w:r>
        <w:fldChar w:fldCharType="separate"/>
      </w:r>
      <w:r>
        <w:rPr>
          <w:rStyle w:val="17"/>
          <w:rFonts w:ascii="Times New Roman" w:hAnsi="Times New Roman" w:eastAsiaTheme="minorEastAsia"/>
        </w:rPr>
        <w:t>8.6  平台信息分析</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_Toc33177702 \h </w:instrText>
      </w:r>
      <w:r>
        <w:rPr>
          <w:rFonts w:ascii="Times New Roman" w:hAnsi="Times New Roman" w:eastAsiaTheme="minorEastAsia"/>
        </w:rPr>
        <w:fldChar w:fldCharType="separate"/>
      </w:r>
      <w:r>
        <w:rPr>
          <w:rFonts w:ascii="Times New Roman" w:hAnsi="Times New Roman" w:eastAsiaTheme="minorEastAsia"/>
        </w:rPr>
        <w:t>22</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"_Toc33177703" </w:instrText>
      </w:r>
      <w:r>
        <w:fldChar w:fldCharType="separate"/>
      </w:r>
      <w:r>
        <w:rPr>
          <w:rStyle w:val="17"/>
          <w:rFonts w:ascii="Times New Roman" w:hAnsi="Times New Roman" w:eastAsiaTheme="minorEastAsia"/>
          <w:bCs/>
        </w:rPr>
        <w:t>8.7  平台信息预警信息反馈</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_Toc33177703 \h </w:instrText>
      </w:r>
      <w:r>
        <w:rPr>
          <w:rFonts w:ascii="Times New Roman" w:hAnsi="Times New Roman" w:eastAsiaTheme="minorEastAsia"/>
        </w:rPr>
        <w:fldChar w:fldCharType="separate"/>
      </w:r>
      <w:r>
        <w:rPr>
          <w:rFonts w:ascii="Times New Roman" w:hAnsi="Times New Roman" w:eastAsiaTheme="minorEastAsia"/>
        </w:rPr>
        <w:t>22</w:t>
      </w:r>
      <w:r>
        <w:rPr>
          <w:rFonts w:ascii="Times New Roman" w:hAnsi="Times New Roman" w:eastAsiaTheme="minorEastAsia"/>
        </w:rPr>
        <w:fldChar w:fldCharType="end"/>
      </w:r>
      <w:r>
        <w:rPr>
          <w:rFonts w:ascii="Times New Roman" w:hAnsi="Times New Roman" w:eastAsiaTheme="minorEastAsia"/>
        </w:rPr>
        <w:fldChar w:fldCharType="end"/>
      </w:r>
    </w:p>
    <w:p>
      <w:pPr>
        <w:pStyle w:val="12"/>
      </w:pPr>
      <w:r>
        <w:fldChar w:fldCharType="begin"/>
      </w:r>
      <w:r>
        <w:instrText xml:space="preserve"> HYPERLINK \l "_Toc33177704" </w:instrText>
      </w:r>
      <w:r>
        <w:fldChar w:fldCharType="separate"/>
      </w:r>
      <w:r>
        <w:rPr>
          <w:rStyle w:val="17"/>
          <w:rFonts w:ascii="Times New Roman" w:hAnsi="Times New Roman" w:eastAsiaTheme="minorEastAsia"/>
        </w:rPr>
        <w:t>9  监测数据分析与预警预报</w:t>
      </w:r>
      <w:r>
        <w:tab/>
      </w:r>
      <w:r>
        <w:fldChar w:fldCharType="begin"/>
      </w:r>
      <w:r>
        <w:instrText xml:space="preserve"> PAGEREF _Toc33177704 \h </w:instrText>
      </w:r>
      <w:r>
        <w:fldChar w:fldCharType="separate"/>
      </w:r>
      <w:r>
        <w:t>22</w:t>
      </w:r>
      <w:r>
        <w:fldChar w:fldCharType="end"/>
      </w:r>
      <w:r>
        <w:fldChar w:fldCharType="end"/>
      </w:r>
    </w:p>
    <w:p>
      <w:pPr>
        <w:pStyle w:val="13"/>
        <w:rPr>
          <w:rFonts w:ascii="Times New Roman" w:hAnsi="Times New Roman" w:eastAsiaTheme="minorEastAsia"/>
        </w:rPr>
      </w:pPr>
      <w:r>
        <w:fldChar w:fldCharType="begin"/>
      </w:r>
      <w:r>
        <w:instrText xml:space="preserve"> HYPERLINK \l "_Toc33177705" </w:instrText>
      </w:r>
      <w:r>
        <w:fldChar w:fldCharType="separate"/>
      </w:r>
      <w:r>
        <w:rPr>
          <w:rStyle w:val="17"/>
          <w:rFonts w:ascii="Times New Roman" w:hAnsi="Times New Roman" w:eastAsiaTheme="minorEastAsia"/>
        </w:rPr>
        <w:t>9.1  一般规定</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_Toc33177705 \h </w:instrText>
      </w:r>
      <w:r>
        <w:rPr>
          <w:rFonts w:ascii="Times New Roman" w:hAnsi="Times New Roman" w:eastAsiaTheme="minorEastAsia"/>
        </w:rPr>
        <w:fldChar w:fldCharType="separate"/>
      </w:r>
      <w:r>
        <w:rPr>
          <w:rFonts w:ascii="Times New Roman" w:hAnsi="Times New Roman" w:eastAsiaTheme="minorEastAsia"/>
        </w:rPr>
        <w:t>22</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"_Toc33177706" </w:instrText>
      </w:r>
      <w:r>
        <w:fldChar w:fldCharType="separate"/>
      </w:r>
      <w:r>
        <w:rPr>
          <w:rStyle w:val="17"/>
          <w:rFonts w:ascii="Times New Roman" w:hAnsi="Times New Roman" w:eastAsiaTheme="minorEastAsia"/>
        </w:rPr>
        <w:t>9.2  区域监测</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_Toc33177706 \h </w:instrText>
      </w:r>
      <w:r>
        <w:rPr>
          <w:rFonts w:ascii="Times New Roman" w:hAnsi="Times New Roman" w:eastAsiaTheme="minorEastAsia"/>
        </w:rPr>
        <w:fldChar w:fldCharType="separate"/>
      </w:r>
      <w:r>
        <w:rPr>
          <w:rFonts w:ascii="Times New Roman" w:hAnsi="Times New Roman" w:eastAsiaTheme="minorEastAsia"/>
        </w:rPr>
        <w:t>23</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"_Toc33177707" </w:instrText>
      </w:r>
      <w:r>
        <w:fldChar w:fldCharType="separate"/>
      </w:r>
      <w:r>
        <w:rPr>
          <w:rStyle w:val="17"/>
          <w:rFonts w:ascii="Times New Roman" w:hAnsi="Times New Roman" w:eastAsiaTheme="minorEastAsia"/>
        </w:rPr>
        <w:t>9.3  隐患点监测</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_Toc33177707 \h </w:instrText>
      </w:r>
      <w:r>
        <w:rPr>
          <w:rFonts w:ascii="Times New Roman" w:hAnsi="Times New Roman" w:eastAsiaTheme="minorEastAsia"/>
        </w:rPr>
        <w:fldChar w:fldCharType="separate"/>
      </w:r>
      <w:r>
        <w:rPr>
          <w:rFonts w:ascii="Times New Roman" w:hAnsi="Times New Roman" w:eastAsiaTheme="minorEastAsia"/>
        </w:rPr>
        <w:t>25</w:t>
      </w:r>
      <w:r>
        <w:rPr>
          <w:rFonts w:ascii="Times New Roman" w:hAnsi="Times New Roman" w:eastAsiaTheme="minorEastAsia"/>
        </w:rPr>
        <w:fldChar w:fldCharType="end"/>
      </w:r>
      <w:r>
        <w:rPr>
          <w:rFonts w:ascii="Times New Roman" w:hAnsi="Times New Roman" w:eastAsiaTheme="minorEastAsia"/>
        </w:rPr>
        <w:fldChar w:fldCharType="end"/>
      </w:r>
    </w:p>
    <w:p>
      <w:pPr>
        <w:pStyle w:val="12"/>
      </w:pPr>
      <w:r>
        <w:fldChar w:fldCharType="begin"/>
      </w:r>
      <w:r>
        <w:instrText xml:space="preserve"> HYPERLINK \l "_Toc33177708" </w:instrText>
      </w:r>
      <w:r>
        <w:fldChar w:fldCharType="separate"/>
      </w:r>
      <w:r>
        <w:rPr>
          <w:rStyle w:val="17"/>
          <w:rFonts w:ascii="Times New Roman" w:hAnsi="Times New Roman" w:eastAsiaTheme="minorEastAsia"/>
        </w:rPr>
        <w:t>10  监测成果编制与提交</w:t>
      </w:r>
      <w:r>
        <w:tab/>
      </w:r>
      <w:r>
        <w:fldChar w:fldCharType="begin"/>
      </w:r>
      <w:r>
        <w:instrText xml:space="preserve"> PAGEREF _Toc33177708 \h </w:instrText>
      </w:r>
      <w:r>
        <w:fldChar w:fldCharType="separate"/>
      </w:r>
      <w:r>
        <w:t>32</w:t>
      </w:r>
      <w:r>
        <w:fldChar w:fldCharType="end"/>
      </w:r>
      <w:r>
        <w:fldChar w:fldCharType="end"/>
      </w:r>
    </w:p>
    <w:p>
      <w:pPr>
        <w:pStyle w:val="13"/>
        <w:rPr>
          <w:rFonts w:ascii="Times New Roman" w:hAnsi="Times New Roman" w:eastAsiaTheme="minorEastAsia"/>
        </w:rPr>
      </w:pPr>
      <w:r>
        <w:fldChar w:fldCharType="begin"/>
      </w:r>
      <w:r>
        <w:instrText xml:space="preserve"> HYPERLINK \l "_Toc33177709" </w:instrText>
      </w:r>
      <w:r>
        <w:fldChar w:fldCharType="separate"/>
      </w:r>
      <w:r>
        <w:rPr>
          <w:rStyle w:val="17"/>
          <w:rFonts w:ascii="Times New Roman" w:hAnsi="Times New Roman" w:eastAsiaTheme="minorEastAsia"/>
        </w:rPr>
        <w:t>10.1  监测成果提交</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_Toc33177709 \h </w:instrText>
      </w:r>
      <w:r>
        <w:rPr>
          <w:rFonts w:ascii="Times New Roman" w:hAnsi="Times New Roman" w:eastAsiaTheme="minorEastAsia"/>
        </w:rPr>
        <w:fldChar w:fldCharType="separate"/>
      </w:r>
      <w:r>
        <w:rPr>
          <w:rFonts w:ascii="Times New Roman" w:hAnsi="Times New Roman" w:eastAsiaTheme="minorEastAsia"/>
        </w:rPr>
        <w:t>32</w:t>
      </w:r>
      <w:r>
        <w:rPr>
          <w:rFonts w:ascii="Times New Roman" w:hAnsi="Times New Roman" w:eastAsiaTheme="minorEastAsia"/>
        </w:rPr>
        <w:fldChar w:fldCharType="end"/>
      </w:r>
      <w:r>
        <w:rPr>
          <w:rFonts w:ascii="Times New Roman" w:hAnsi="Times New Roman" w:eastAsiaTheme="minorEastAsia"/>
        </w:rPr>
        <w:fldChar w:fldCharType="end"/>
      </w:r>
    </w:p>
    <w:p>
      <w:pPr>
        <w:pStyle w:val="13"/>
        <w:rPr>
          <w:rFonts w:ascii="Times New Roman" w:hAnsi="Times New Roman" w:eastAsiaTheme="minorEastAsia"/>
        </w:rPr>
      </w:pPr>
      <w:r>
        <w:fldChar w:fldCharType="begin"/>
      </w:r>
      <w:r>
        <w:instrText xml:space="preserve"> HYPERLINK \l "_Toc33177710" </w:instrText>
      </w:r>
      <w:r>
        <w:fldChar w:fldCharType="separate"/>
      </w:r>
      <w:r>
        <w:rPr>
          <w:rStyle w:val="17"/>
          <w:rFonts w:ascii="Times New Roman" w:hAnsi="Times New Roman" w:eastAsiaTheme="minorEastAsia"/>
        </w:rPr>
        <w:t>10.2  监测成果归档</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_Toc33177710 \h </w:instrText>
      </w:r>
      <w:r>
        <w:rPr>
          <w:rFonts w:ascii="Times New Roman" w:hAnsi="Times New Roman" w:eastAsiaTheme="minorEastAsia"/>
        </w:rPr>
        <w:fldChar w:fldCharType="separate"/>
      </w:r>
      <w:r>
        <w:rPr>
          <w:rFonts w:ascii="Times New Roman" w:hAnsi="Times New Roman" w:eastAsiaTheme="minorEastAsia"/>
        </w:rPr>
        <w:t>32</w:t>
      </w:r>
      <w:r>
        <w:rPr>
          <w:rFonts w:ascii="Times New Roman" w:hAnsi="Times New Roman" w:eastAsiaTheme="minorEastAsia"/>
        </w:rPr>
        <w:fldChar w:fldCharType="end"/>
      </w:r>
      <w:r>
        <w:rPr>
          <w:rFonts w:ascii="Times New Roman" w:hAnsi="Times New Roman" w:eastAsiaTheme="minorEastAsia"/>
        </w:rPr>
        <w:fldChar w:fldCharType="end"/>
      </w:r>
    </w:p>
    <w:p>
      <w:pPr>
        <w:pStyle w:val="12"/>
      </w:pPr>
      <w:r>
        <w:fldChar w:fldCharType="begin"/>
      </w:r>
      <w:r>
        <w:instrText xml:space="preserve"> HYPERLINK \l "_Toc33177711" </w:instrText>
      </w:r>
      <w:r>
        <w:fldChar w:fldCharType="separate"/>
      </w:r>
      <w:r>
        <w:rPr>
          <w:rStyle w:val="17"/>
          <w:rFonts w:ascii="Times New Roman" w:hAnsi="Times New Roman" w:eastAsiaTheme="minorEastAsia"/>
          <w:kern w:val="0"/>
        </w:rPr>
        <w:t>附录A （资料性附录） 监测条件、方法与精度要求</w:t>
      </w:r>
      <w:r>
        <w:tab/>
      </w:r>
      <w:r>
        <w:fldChar w:fldCharType="begin"/>
      </w:r>
      <w:r>
        <w:instrText xml:space="preserve"> PAGEREF _Toc33177711 \h </w:instrText>
      </w:r>
      <w:r>
        <w:fldChar w:fldCharType="separate"/>
      </w:r>
      <w:r>
        <w:t>34</w:t>
      </w:r>
      <w:r>
        <w:fldChar w:fldCharType="end"/>
      </w:r>
      <w:r>
        <w:fldChar w:fldCharType="end"/>
      </w:r>
    </w:p>
    <w:p>
      <w:pPr>
        <w:pStyle w:val="12"/>
      </w:pPr>
      <w:r>
        <w:fldChar w:fldCharType="begin"/>
      </w:r>
      <w:r>
        <w:instrText xml:space="preserve"> HYPERLINK \l "_Toc33177712" </w:instrText>
      </w:r>
      <w:r>
        <w:fldChar w:fldCharType="separate"/>
      </w:r>
      <w:r>
        <w:rPr>
          <w:rStyle w:val="17"/>
          <w:rFonts w:ascii="Times New Roman" w:hAnsi="Times New Roman" w:eastAsiaTheme="minorEastAsia"/>
          <w:kern w:val="0"/>
        </w:rPr>
        <w:t>附录B （资料性附录） 监测工程施工监理验收记录表</w:t>
      </w:r>
      <w:r>
        <w:tab/>
      </w:r>
      <w:r>
        <w:fldChar w:fldCharType="begin"/>
      </w:r>
      <w:r>
        <w:instrText xml:space="preserve"> PAGEREF _Toc33177712 \h </w:instrText>
      </w:r>
      <w:r>
        <w:fldChar w:fldCharType="separate"/>
      </w:r>
      <w:r>
        <w:t>46</w:t>
      </w:r>
      <w:r>
        <w:fldChar w:fldCharType="end"/>
      </w:r>
      <w:r>
        <w:fldChar w:fldCharType="end"/>
      </w:r>
    </w:p>
    <w:p>
      <w:pPr>
        <w:pStyle w:val="12"/>
      </w:pPr>
      <w:r>
        <w:fldChar w:fldCharType="begin"/>
      </w:r>
      <w:r>
        <w:instrText xml:space="preserve"> HYPERLINK \l "_Toc33177713" </w:instrText>
      </w:r>
      <w:r>
        <w:fldChar w:fldCharType="separate"/>
      </w:r>
      <w:r>
        <w:rPr>
          <w:rStyle w:val="17"/>
          <w:rFonts w:ascii="Times New Roman" w:hAnsi="Times New Roman" w:eastAsiaTheme="minorEastAsia"/>
          <w:kern w:val="0"/>
        </w:rPr>
        <w:t>附录C （资料性附录） 专业监测设计提纲</w:t>
      </w:r>
      <w:r>
        <w:tab/>
      </w:r>
      <w:r>
        <w:fldChar w:fldCharType="begin"/>
      </w:r>
      <w:r>
        <w:instrText xml:space="preserve"> PAGEREF _Toc33177713 \h </w:instrText>
      </w:r>
      <w:r>
        <w:fldChar w:fldCharType="separate"/>
      </w:r>
      <w:r>
        <w:t>50</w:t>
      </w:r>
      <w:r>
        <w:fldChar w:fldCharType="end"/>
      </w:r>
      <w:r>
        <w:fldChar w:fldCharType="end"/>
      </w:r>
    </w:p>
    <w:p>
      <w:pPr>
        <w:pStyle w:val="12"/>
      </w:pPr>
      <w:r>
        <w:fldChar w:fldCharType="begin"/>
      </w:r>
      <w:r>
        <w:instrText xml:space="preserve"> HYPERLINK \l "_Toc33177714" </w:instrText>
      </w:r>
      <w:r>
        <w:fldChar w:fldCharType="separate"/>
      </w:r>
      <w:r>
        <w:rPr>
          <w:rStyle w:val="17"/>
          <w:rFonts w:ascii="Times New Roman" w:hAnsi="Times New Roman" w:eastAsiaTheme="minorEastAsia"/>
          <w:kern w:val="0"/>
        </w:rPr>
        <w:t>附录D （资料性附录） 专业监测人工巡视记录表</w:t>
      </w:r>
      <w:r>
        <w:tab/>
      </w:r>
      <w:r>
        <w:fldChar w:fldCharType="begin"/>
      </w:r>
      <w:r>
        <w:instrText xml:space="preserve"> PAGEREF _Toc33177714 \h </w:instrText>
      </w:r>
      <w:r>
        <w:fldChar w:fldCharType="separate"/>
      </w:r>
      <w:r>
        <w:t>52</w:t>
      </w:r>
      <w:r>
        <w:fldChar w:fldCharType="end"/>
      </w:r>
      <w:r>
        <w:fldChar w:fldCharType="end"/>
      </w:r>
    </w:p>
    <w:p>
      <w:pPr>
        <w:pStyle w:val="12"/>
      </w:pPr>
      <w:r>
        <w:fldChar w:fldCharType="begin"/>
      </w:r>
      <w:r>
        <w:instrText xml:space="preserve"> HYPERLINK \l "_Toc33177715" </w:instrText>
      </w:r>
      <w:r>
        <w:fldChar w:fldCharType="separate"/>
      </w:r>
      <w:r>
        <w:rPr>
          <w:rStyle w:val="17"/>
          <w:rFonts w:ascii="Times New Roman" w:hAnsi="Times New Roman" w:eastAsiaTheme="minorEastAsia"/>
          <w:kern w:val="0"/>
        </w:rPr>
        <w:t>附录E （资料性附录） 地质灾害稳定性野外判定表</w:t>
      </w:r>
      <w:r>
        <w:tab/>
      </w:r>
      <w:r>
        <w:fldChar w:fldCharType="begin"/>
      </w:r>
      <w:r>
        <w:instrText xml:space="preserve"> PAGEREF _Toc33177715 \h </w:instrText>
      </w:r>
      <w:r>
        <w:fldChar w:fldCharType="separate"/>
      </w:r>
      <w:r>
        <w:t>53</w:t>
      </w:r>
      <w:r>
        <w:fldChar w:fldCharType="end"/>
      </w:r>
      <w:r>
        <w:fldChar w:fldCharType="end"/>
      </w:r>
    </w:p>
    <w:p>
      <w:pPr>
        <w:pStyle w:val="12"/>
      </w:pPr>
      <w:r>
        <w:fldChar w:fldCharType="begin"/>
      </w:r>
      <w:r>
        <w:instrText xml:space="preserve"> HYPERLINK \l "_Toc33177716" </w:instrText>
      </w:r>
      <w:r>
        <w:fldChar w:fldCharType="separate"/>
      </w:r>
      <w:r>
        <w:rPr>
          <w:rStyle w:val="17"/>
          <w:rFonts w:ascii="Times New Roman" w:hAnsi="Times New Roman" w:eastAsiaTheme="minorEastAsia"/>
          <w:kern w:val="0"/>
        </w:rPr>
        <w:t>附录F （资料性附录） 滑坡、崩塌、泥石流、地面塌陷监测网点布设</w:t>
      </w:r>
      <w:r>
        <w:tab/>
      </w:r>
      <w:r>
        <w:fldChar w:fldCharType="begin"/>
      </w:r>
      <w:r>
        <w:instrText xml:space="preserve"> PAGEREF _Toc33177716 \h </w:instrText>
      </w:r>
      <w:r>
        <w:fldChar w:fldCharType="separate"/>
      </w:r>
      <w:r>
        <w:t>55</w:t>
      </w:r>
      <w:r>
        <w:fldChar w:fldCharType="end"/>
      </w:r>
      <w:r>
        <w:fldChar w:fldCharType="end"/>
      </w:r>
    </w:p>
    <w:p>
      <w:pPr>
        <w:pStyle w:val="12"/>
      </w:pPr>
      <w:r>
        <w:fldChar w:fldCharType="begin"/>
      </w:r>
      <w:r>
        <w:instrText xml:space="preserve"> HYPERLINK \l "_Toc33177717" </w:instrText>
      </w:r>
      <w:r>
        <w:fldChar w:fldCharType="separate"/>
      </w:r>
      <w:r>
        <w:rPr>
          <w:rStyle w:val="17"/>
          <w:rFonts w:ascii="Times New Roman" w:hAnsi="Times New Roman" w:eastAsiaTheme="minorEastAsia"/>
          <w:kern w:val="0"/>
        </w:rPr>
        <w:t>附录G （资料性附录） 基础工程建设要求及结构图示</w:t>
      </w:r>
      <w:r>
        <w:tab/>
      </w:r>
      <w:r>
        <w:fldChar w:fldCharType="begin"/>
      </w:r>
      <w:r>
        <w:instrText xml:space="preserve"> PAGEREF _Toc33177717 \h </w:instrText>
      </w:r>
      <w:r>
        <w:fldChar w:fldCharType="separate"/>
      </w:r>
      <w:r>
        <w:t>57</w:t>
      </w:r>
      <w:r>
        <w:fldChar w:fldCharType="end"/>
      </w:r>
      <w:r>
        <w:fldChar w:fldCharType="end"/>
      </w:r>
    </w:p>
    <w:p>
      <w:pPr>
        <w:pStyle w:val="12"/>
      </w:pPr>
      <w:r>
        <w:fldChar w:fldCharType="begin"/>
      </w:r>
      <w:r>
        <w:instrText xml:space="preserve"> HYPERLINK \l "_Toc33177718" </w:instrText>
      </w:r>
      <w:r>
        <w:fldChar w:fldCharType="separate"/>
      </w:r>
      <w:r>
        <w:rPr>
          <w:rStyle w:val="17"/>
          <w:rFonts w:ascii="Times New Roman" w:hAnsi="Times New Roman" w:eastAsiaTheme="minorEastAsia"/>
          <w:kern w:val="0"/>
        </w:rPr>
        <w:t>附录H （资料性附录） 自动化监测设备安装技术要求</w:t>
      </w:r>
      <w:r>
        <w:tab/>
      </w:r>
      <w:r>
        <w:fldChar w:fldCharType="begin"/>
      </w:r>
      <w:r>
        <w:instrText xml:space="preserve"> PAGEREF _Toc33177718 \h </w:instrText>
      </w:r>
      <w:r>
        <w:fldChar w:fldCharType="separate"/>
      </w:r>
      <w:r>
        <w:t>66</w:t>
      </w:r>
      <w:r>
        <w:fldChar w:fldCharType="end"/>
      </w:r>
      <w:r>
        <w:fldChar w:fldCharType="end"/>
      </w:r>
    </w:p>
    <w:p>
      <w:pPr>
        <w:pStyle w:val="12"/>
      </w:pPr>
      <w:r>
        <w:fldChar w:fldCharType="begin"/>
      </w:r>
      <w:r>
        <w:instrText xml:space="preserve"> HYPERLINK \l "_Toc33177719" </w:instrText>
      </w:r>
      <w:r>
        <w:fldChar w:fldCharType="separate"/>
      </w:r>
      <w:r>
        <w:rPr>
          <w:rStyle w:val="17"/>
          <w:rFonts w:ascii="Times New Roman" w:hAnsi="Times New Roman" w:eastAsiaTheme="minorEastAsia"/>
          <w:kern w:val="0"/>
        </w:rPr>
        <w:t>附录I （规范性附录） 地质灾害预警专题报告提纲</w:t>
      </w:r>
      <w:r>
        <w:tab/>
      </w:r>
      <w:r>
        <w:fldChar w:fldCharType="begin"/>
      </w:r>
      <w:r>
        <w:instrText xml:space="preserve"> PAGEREF _Toc33177719 \h </w:instrText>
      </w:r>
      <w:r>
        <w:fldChar w:fldCharType="separate"/>
      </w:r>
      <w:r>
        <w:t>84</w:t>
      </w:r>
      <w:r>
        <w:fldChar w:fldCharType="end"/>
      </w:r>
      <w:r>
        <w:fldChar w:fldCharType="end"/>
      </w:r>
    </w:p>
    <w:p>
      <w:pPr>
        <w:pStyle w:val="12"/>
      </w:pPr>
      <w:r>
        <w:fldChar w:fldCharType="begin"/>
      </w:r>
      <w:r>
        <w:instrText xml:space="preserve"> HYPERLINK \l "_Toc33177720" </w:instrText>
      </w:r>
      <w:r>
        <w:fldChar w:fldCharType="separate"/>
      </w:r>
      <w:r>
        <w:rPr>
          <w:rStyle w:val="17"/>
          <w:rFonts w:ascii="Times New Roman" w:hAnsi="Times New Roman" w:eastAsiaTheme="minorEastAsia"/>
          <w:kern w:val="0"/>
        </w:rPr>
        <w:t>附录J （资料性附录） 监测资料整编及图表格式集</w:t>
      </w:r>
      <w:r>
        <w:tab/>
      </w:r>
      <w:r>
        <w:fldChar w:fldCharType="begin"/>
      </w:r>
      <w:r>
        <w:instrText xml:space="preserve"> PAGEREF _Toc33177720 \h </w:instrText>
      </w:r>
      <w:r>
        <w:fldChar w:fldCharType="separate"/>
      </w:r>
      <w:r>
        <w:t>86</w:t>
      </w:r>
      <w:r>
        <w:fldChar w:fldCharType="end"/>
      </w:r>
      <w:r>
        <w:fldChar w:fldCharType="end"/>
      </w:r>
    </w:p>
    <w:p>
      <w:pPr>
        <w:pStyle w:val="12"/>
      </w:pPr>
      <w:r>
        <w:fldChar w:fldCharType="begin"/>
      </w:r>
      <w:r>
        <w:instrText xml:space="preserve"> HYPERLINK \l "_Toc33177721" </w:instrText>
      </w:r>
      <w:r>
        <w:fldChar w:fldCharType="separate"/>
      </w:r>
      <w:r>
        <w:rPr>
          <w:rStyle w:val="17"/>
          <w:rFonts w:ascii="Times New Roman" w:hAnsi="Times New Roman" w:eastAsiaTheme="minorEastAsia"/>
          <w:kern w:val="0"/>
        </w:rPr>
        <w:t>附录L （资料性附录） 滑坡预报判据和前兆异常</w:t>
      </w:r>
      <w:r>
        <w:tab/>
      </w:r>
      <w:r>
        <w:fldChar w:fldCharType="begin"/>
      </w:r>
      <w:r>
        <w:instrText xml:space="preserve"> PAGEREF _Toc33177721 \h </w:instrText>
      </w:r>
      <w:r>
        <w:fldChar w:fldCharType="separate"/>
      </w:r>
      <w:r>
        <w:t>103</w:t>
      </w:r>
      <w:r>
        <w:fldChar w:fldCharType="end"/>
      </w:r>
      <w:r>
        <w:fldChar w:fldCharType="end"/>
      </w:r>
    </w:p>
    <w:p>
      <w:pPr>
        <w:pStyle w:val="12"/>
      </w:pPr>
      <w:r>
        <w:fldChar w:fldCharType="begin"/>
      </w:r>
      <w:r>
        <w:instrText xml:space="preserve"> HYPERLINK \l "_Toc33177722" </w:instrText>
      </w:r>
      <w:r>
        <w:fldChar w:fldCharType="separate"/>
      </w:r>
      <w:r>
        <w:rPr>
          <w:rStyle w:val="17"/>
          <w:rFonts w:ascii="Times New Roman" w:hAnsi="Times New Roman" w:eastAsiaTheme="minorEastAsia"/>
          <w:kern w:val="0"/>
        </w:rPr>
        <w:t>附录M （资料性附录） 滑坡综合预测预报应注意的问题</w:t>
      </w:r>
      <w:r>
        <w:tab/>
      </w:r>
      <w:r>
        <w:fldChar w:fldCharType="begin"/>
      </w:r>
      <w:r>
        <w:instrText xml:space="preserve"> PAGEREF _Toc33177722 \h </w:instrText>
      </w:r>
      <w:r>
        <w:fldChar w:fldCharType="separate"/>
      </w:r>
      <w:r>
        <w:t>111</w:t>
      </w:r>
      <w:r>
        <w:fldChar w:fldCharType="end"/>
      </w:r>
      <w:r>
        <w:fldChar w:fldCharType="end"/>
      </w:r>
    </w:p>
    <w:p>
      <w:pPr>
        <w:pStyle w:val="12"/>
      </w:pPr>
      <w:r>
        <w:fldChar w:fldCharType="begin"/>
      </w:r>
      <w:r>
        <w:instrText xml:space="preserve"> HYPERLINK \l "_Toc33177723" </w:instrText>
      </w:r>
      <w:r>
        <w:fldChar w:fldCharType="separate"/>
      </w:r>
      <w:r>
        <w:rPr>
          <w:rStyle w:val="17"/>
          <w:rFonts w:ascii="Times New Roman" w:hAnsi="Times New Roman" w:eastAsiaTheme="minorEastAsia"/>
          <w:kern w:val="0"/>
        </w:rPr>
        <w:t>附录N （资料性附录） 泥石流活动监测预警分析方法</w:t>
      </w:r>
      <w:r>
        <w:tab/>
      </w:r>
      <w:r>
        <w:fldChar w:fldCharType="begin"/>
      </w:r>
      <w:r>
        <w:instrText xml:space="preserve"> PAGEREF _Toc33177723 \h </w:instrText>
      </w:r>
      <w:r>
        <w:fldChar w:fldCharType="separate"/>
      </w:r>
      <w:r>
        <w:t>113</w:t>
      </w:r>
      <w:r>
        <w:fldChar w:fldCharType="end"/>
      </w:r>
      <w:r>
        <w:fldChar w:fldCharType="end"/>
      </w:r>
    </w:p>
    <w:p>
      <w:pPr>
        <w:pStyle w:val="12"/>
      </w:pPr>
      <w:r>
        <w:fldChar w:fldCharType="begin"/>
      </w:r>
      <w:r>
        <w:instrText xml:space="preserve"> HYPERLINK \l "_Toc33177724" </w:instrText>
      </w:r>
      <w:r>
        <w:fldChar w:fldCharType="separate"/>
      </w:r>
      <w:r>
        <w:rPr>
          <w:rStyle w:val="17"/>
          <w:rFonts w:ascii="Times New Roman" w:hAnsi="Times New Roman" w:eastAsiaTheme="minorEastAsia"/>
          <w:kern w:val="0"/>
        </w:rPr>
        <w:t>附录O （资料性附录） 专业监测报表提纲</w:t>
      </w:r>
      <w:r>
        <w:tab/>
      </w:r>
      <w:r>
        <w:fldChar w:fldCharType="begin"/>
      </w:r>
      <w:r>
        <w:instrText xml:space="preserve"> PAGEREF _Toc33177724 \h </w:instrText>
      </w:r>
      <w:r>
        <w:fldChar w:fldCharType="separate"/>
      </w:r>
      <w:r>
        <w:t>116</w:t>
      </w:r>
      <w:r>
        <w:fldChar w:fldCharType="end"/>
      </w:r>
      <w:r>
        <w:fldChar w:fldCharType="end"/>
      </w:r>
    </w:p>
    <w:p>
      <w:pPr>
        <w:pStyle w:val="12"/>
      </w:pPr>
      <w:r>
        <w:fldChar w:fldCharType="begin"/>
      </w:r>
      <w:r>
        <w:instrText xml:space="preserve"> HYPERLINK \l "_Toc33177725" </w:instrText>
      </w:r>
      <w:r>
        <w:fldChar w:fldCharType="separate"/>
      </w:r>
      <w:r>
        <w:rPr>
          <w:rStyle w:val="17"/>
          <w:rFonts w:ascii="Times New Roman" w:hAnsi="Times New Roman" w:eastAsiaTheme="minorEastAsia"/>
          <w:kern w:val="0"/>
        </w:rPr>
        <w:t>附录P （资料性附录） 专业监测总结报告提纲</w:t>
      </w:r>
      <w:r>
        <w:tab/>
      </w:r>
      <w:r>
        <w:fldChar w:fldCharType="begin"/>
      </w:r>
      <w:r>
        <w:instrText xml:space="preserve"> PAGEREF _Toc33177725 \h </w:instrText>
      </w:r>
      <w:r>
        <w:fldChar w:fldCharType="separate"/>
      </w:r>
      <w:r>
        <w:t>119</w:t>
      </w:r>
      <w:r>
        <w:fldChar w:fldCharType="end"/>
      </w:r>
      <w:r>
        <w:fldChar w:fldCharType="end"/>
      </w:r>
    </w:p>
    <w:p>
      <w:pPr>
        <w:pStyle w:val="12"/>
      </w:pPr>
      <w:r>
        <w:fldChar w:fldCharType="begin"/>
      </w:r>
      <w:r>
        <w:instrText xml:space="preserve"> HYPERLINK \l "_Toc33177726" </w:instrText>
      </w:r>
      <w:r>
        <w:fldChar w:fldCharType="separate"/>
      </w:r>
      <w:r>
        <w:rPr>
          <w:rStyle w:val="17"/>
          <w:rFonts w:ascii="Times New Roman" w:hAnsi="Times New Roman" w:eastAsiaTheme="minorEastAsia"/>
          <w:kern w:val="0"/>
        </w:rPr>
        <w:t>附录Q （资料性附录） 专业监测文件归档范围及保管期限</w:t>
      </w:r>
      <w:r>
        <w:tab/>
      </w:r>
      <w:r>
        <w:fldChar w:fldCharType="begin"/>
      </w:r>
      <w:r>
        <w:instrText xml:space="preserve"> PAGEREF _Toc33177726 \h </w:instrText>
      </w:r>
      <w:r>
        <w:fldChar w:fldCharType="separate"/>
      </w:r>
      <w:r>
        <w:t>121</w:t>
      </w:r>
      <w:r>
        <w:fldChar w:fldCharType="end"/>
      </w:r>
      <w:r>
        <w:fldChar w:fldCharType="end"/>
      </w:r>
    </w:p>
    <w:p>
      <w:pPr>
        <w:spacing w:line="360" w:lineRule="auto"/>
        <w:rPr>
          <w:rFonts w:ascii="宋体" w:hAnsi="宋体"/>
        </w:rPr>
      </w:pPr>
      <w:r>
        <w:rPr>
          <w:rFonts w:ascii="Times New Roman" w:hAnsi="Times New Roman"/>
          <w:szCs w:val="21"/>
        </w:rPr>
        <w:fldChar w:fldCharType="end"/>
      </w:r>
    </w:p>
    <w:p>
      <w:pPr>
        <w:spacing w:line="360" w:lineRule="auto"/>
        <w:rPr>
          <w:rFonts w:ascii="宋体" w:hAnsi="宋体"/>
        </w:rPr>
        <w:sectPr>
          <w:footerReference r:id="rId4" w:type="default"/>
          <w:footerReference r:id="rId5" w:type="even"/>
          <w:pgSz w:w="11906" w:h="16838"/>
          <w:pgMar w:top="1418" w:right="1134" w:bottom="1134" w:left="1418" w:header="850" w:footer="992" w:gutter="0"/>
          <w:pgNumType w:fmt="upperRoman" w:start="1"/>
          <w:cols w:space="425" w:num="1"/>
          <w:docGrid w:linePitch="312" w:charSpace="0"/>
        </w:sectPr>
      </w:pPr>
    </w:p>
    <w:p>
      <w:pPr>
        <w:keepNext/>
        <w:pageBreakBefore/>
        <w:shd w:val="clear" w:color="FFFFFF" w:fill="FFFFFF"/>
        <w:spacing w:before="851" w:after="680"/>
        <w:jc w:val="center"/>
        <w:outlineLvl w:val="0"/>
        <w:rPr>
          <w:rFonts w:ascii="Times New Roman" w:hAnsi="Times New Roman" w:eastAsia="黑体"/>
          <w:kern w:val="0"/>
          <w:sz w:val="32"/>
          <w:szCs w:val="20"/>
        </w:rPr>
      </w:pPr>
      <w:bookmarkStart w:id="0" w:name="_Toc534577718"/>
      <w:bookmarkStart w:id="1" w:name="_Toc21966312"/>
      <w:bookmarkStart w:id="2" w:name="_Toc33177667"/>
      <w:r>
        <w:rPr>
          <w:rFonts w:ascii="Times New Roman" w:hAnsi="Times New Roman" w:eastAsia="黑体"/>
          <w:kern w:val="0"/>
          <w:sz w:val="32"/>
          <w:szCs w:val="20"/>
        </w:rPr>
        <w:t>前  言</w:t>
      </w:r>
      <w:bookmarkEnd w:id="0"/>
      <w:bookmarkEnd w:id="1"/>
      <w:bookmarkEnd w:id="2"/>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heme="minorEastAsia"/>
          <w:szCs w:val="21"/>
        </w:rPr>
        <w:t>本技术要求按照</w:t>
      </w:r>
      <w:r>
        <w:rPr>
          <w:rFonts w:ascii="Times New Roman" w:hAnsi="Times New Roman"/>
          <w:szCs w:val="21"/>
        </w:rPr>
        <w:t>GB/T 1.1</w:t>
      </w:r>
      <w:r>
        <w:rPr>
          <w:rFonts w:hint="eastAsia" w:ascii="宋体" w:hAnsi="宋体"/>
          <w:szCs w:val="21"/>
        </w:rPr>
        <w:t>―</w:t>
      </w:r>
      <w:r>
        <w:rPr>
          <w:rFonts w:ascii="Times New Roman" w:hAnsi="Times New Roman"/>
          <w:szCs w:val="21"/>
        </w:rPr>
        <w:t>2009</w:t>
      </w:r>
      <w:r>
        <w:rPr>
          <w:rFonts w:ascii="Times New Roman" w:hAnsiTheme="minorEastAsia"/>
          <w:szCs w:val="21"/>
        </w:rPr>
        <w:t>《标准化工作导则</w:t>
      </w:r>
      <w:r>
        <w:rPr>
          <w:rFonts w:ascii="Times New Roman" w:hAnsi="Times New Roman"/>
          <w:szCs w:val="21"/>
        </w:rPr>
        <w:t xml:space="preserve"> </w:t>
      </w:r>
      <w:r>
        <w:rPr>
          <w:rFonts w:ascii="Times New Roman" w:hAnsiTheme="minorEastAsia"/>
          <w:szCs w:val="21"/>
        </w:rPr>
        <w:t>第</w:t>
      </w:r>
      <w:r>
        <w:rPr>
          <w:rFonts w:ascii="Times New Roman" w:hAnsi="Times New Roman"/>
          <w:szCs w:val="21"/>
        </w:rPr>
        <w:t>1</w:t>
      </w:r>
      <w:r>
        <w:rPr>
          <w:rFonts w:ascii="Times New Roman" w:hAnsiTheme="minorEastAsia"/>
          <w:szCs w:val="21"/>
        </w:rPr>
        <w:t>部分：标准的结构和编写》给出的规则起草。</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宋体"/>
          <w:kern w:val="0"/>
          <w:szCs w:val="21"/>
        </w:rPr>
        <w:t>本技术要求由湖北省自然资源厅提出并归口。</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宋体"/>
          <w:kern w:val="0"/>
          <w:szCs w:val="21"/>
        </w:rPr>
        <w:t>本技术要求起草单位：湖北省地质环境总站</w:t>
      </w:r>
      <w:r>
        <w:rPr>
          <w:rFonts w:hint="eastAsia" w:ascii="Times New Roman" w:hAnsi="宋体"/>
          <w:kern w:val="0"/>
          <w:szCs w:val="21"/>
        </w:rPr>
        <w:t>。</w:t>
      </w:r>
    </w:p>
    <w:p>
      <w:pPr>
        <w:spacing w:line="360" w:lineRule="auto"/>
        <w:ind w:firstLine="420" w:firstLineChars="200"/>
        <w:rPr>
          <w:rFonts w:ascii="Times New Roman" w:hAnsi="Times New Roman"/>
          <w:szCs w:val="21"/>
        </w:rPr>
      </w:pPr>
      <w:r>
        <w:rPr>
          <w:rFonts w:ascii="Times New Roman" w:hAnsi="Times New Roman"/>
          <w:szCs w:val="21"/>
        </w:rPr>
        <w:t>本技术要求由湖北省自然资源厅负责解释。</w:t>
      </w:r>
    </w:p>
    <w:p>
      <w:pPr>
        <w:spacing w:line="360" w:lineRule="auto"/>
        <w:ind w:firstLine="420" w:firstLineChars="200"/>
        <w:rPr>
          <w:rFonts w:ascii="宋体" w:hAnsi="宋体"/>
        </w:rPr>
      </w:pPr>
    </w:p>
    <w:p>
      <w:pPr>
        <w:spacing w:line="360" w:lineRule="auto"/>
        <w:rPr>
          <w:rFonts w:ascii="宋体" w:hAnsi="宋体"/>
        </w:rPr>
        <w:sectPr>
          <w:pgSz w:w="11906" w:h="16838"/>
          <w:pgMar w:top="1418" w:right="1134" w:bottom="1134" w:left="1418" w:header="850" w:footer="992" w:gutter="0"/>
          <w:pgNumType w:fmt="upperRoman"/>
          <w:cols w:space="425" w:num="1"/>
          <w:docGrid w:linePitch="312" w:charSpace="0"/>
        </w:sectPr>
      </w:pPr>
    </w:p>
    <w:p>
      <w:pPr>
        <w:keepNext/>
        <w:pageBreakBefore/>
        <w:shd w:val="clear" w:color="FFFFFF" w:fill="FFFFFF"/>
        <w:spacing w:before="851" w:after="680"/>
        <w:jc w:val="center"/>
        <w:outlineLvl w:val="0"/>
        <w:rPr>
          <w:rFonts w:ascii="Times New Roman" w:hAnsi="Times New Roman" w:eastAsia="黑体"/>
          <w:kern w:val="0"/>
          <w:sz w:val="32"/>
          <w:szCs w:val="20"/>
        </w:rPr>
      </w:pPr>
      <w:bookmarkStart w:id="3" w:name="_Toc33177668"/>
      <w:r>
        <w:rPr>
          <w:rFonts w:hint="eastAsia" w:ascii="Times New Roman" w:hAnsi="Times New Roman" w:eastAsia="黑体"/>
          <w:kern w:val="0"/>
          <w:sz w:val="32"/>
          <w:szCs w:val="20"/>
        </w:rPr>
        <w:t>引</w:t>
      </w:r>
      <w:r>
        <w:rPr>
          <w:rFonts w:ascii="Times New Roman" w:hAnsi="Times New Roman" w:eastAsia="黑体"/>
          <w:kern w:val="0"/>
          <w:sz w:val="32"/>
          <w:szCs w:val="20"/>
        </w:rPr>
        <w:t xml:space="preserve">  言</w:t>
      </w:r>
      <w:bookmarkEnd w:id="3"/>
    </w:p>
    <w:p>
      <w:pPr>
        <w:tabs>
          <w:tab w:val="center" w:pos="4201"/>
          <w:tab w:val="right" w:leader="dot" w:pos="9298"/>
        </w:tabs>
        <w:autoSpaceDE w:val="0"/>
        <w:autoSpaceDN w:val="0"/>
        <w:spacing w:line="360" w:lineRule="auto"/>
        <w:ind w:firstLine="420" w:firstLineChars="200"/>
        <w:rPr>
          <w:rFonts w:asciiTheme="minorEastAsia" w:hAnsiTheme="minorEastAsia" w:eastAsiaTheme="minorEastAsia"/>
          <w:kern w:val="0"/>
          <w:szCs w:val="21"/>
        </w:rPr>
      </w:pPr>
      <w:r>
        <w:rPr>
          <w:rFonts w:hint="eastAsia" w:asciiTheme="minorEastAsia" w:hAnsiTheme="minorEastAsia" w:eastAsiaTheme="minorEastAsia"/>
          <w:kern w:val="0"/>
          <w:szCs w:val="21"/>
        </w:rPr>
        <w:t>为统一湖北省地质灾害专业监测技术标准，规范全省专业监测预警项目实施，提高监测预警水平，特制定本技术要求。</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我省</w:t>
      </w:r>
      <w:r>
        <w:rPr>
          <w:rFonts w:asciiTheme="minorEastAsia" w:hAnsiTheme="minorEastAsia" w:eastAsiaTheme="minorEastAsia"/>
          <w:szCs w:val="21"/>
        </w:rPr>
        <w:t>地质环境条件复杂，地质灾害易发、频发，具有隐蔽性、突发性</w:t>
      </w:r>
      <w:r>
        <w:rPr>
          <w:rFonts w:hint="eastAsia" w:asciiTheme="minorEastAsia" w:hAnsiTheme="minorEastAsia" w:eastAsiaTheme="minorEastAsia"/>
          <w:szCs w:val="21"/>
        </w:rPr>
        <w:t>及</w:t>
      </w:r>
      <w:r>
        <w:rPr>
          <w:rFonts w:asciiTheme="minorEastAsia" w:hAnsiTheme="minorEastAsia" w:eastAsiaTheme="minorEastAsia"/>
          <w:szCs w:val="21"/>
        </w:rPr>
        <w:t>破坏性，</w:t>
      </w:r>
      <w:r>
        <w:rPr>
          <w:rFonts w:hint="eastAsia" w:asciiTheme="minorEastAsia" w:hAnsiTheme="minorEastAsia" w:eastAsiaTheme="minorEastAsia"/>
          <w:szCs w:val="21"/>
        </w:rPr>
        <w:t>专业监测预警工作避免或减少了因灾造成的人员伤亡与财产损失，为我省地质灾害防治发挥了重要作用。但是，当前仍存在地质灾害隐患点的早期识别能力不足、预警预报准确率低、监测工程建设水平参差不齐、</w:t>
      </w:r>
      <w:r>
        <w:rPr>
          <w:rFonts w:asciiTheme="minorEastAsia" w:hAnsiTheme="minorEastAsia" w:eastAsiaTheme="minorEastAsia"/>
          <w:szCs w:val="21"/>
        </w:rPr>
        <w:t>监测预警科技含量</w:t>
      </w:r>
      <w:r>
        <w:rPr>
          <w:rFonts w:hint="eastAsia" w:asciiTheme="minorEastAsia" w:hAnsiTheme="minorEastAsia" w:eastAsiaTheme="minorEastAsia"/>
          <w:szCs w:val="21"/>
        </w:rPr>
        <w:t>不高等问题，专业监测预警工作与我省新形势下防灾减灾工作的新要求有一定差距。</w:t>
      </w:r>
      <w:r>
        <w:rPr>
          <w:rFonts w:asciiTheme="minorEastAsia" w:hAnsiTheme="minorEastAsia" w:eastAsiaTheme="minorEastAsia"/>
          <w:szCs w:val="21"/>
        </w:rPr>
        <w:t>为</w:t>
      </w:r>
      <w:r>
        <w:rPr>
          <w:rFonts w:hint="eastAsia" w:asciiTheme="minorEastAsia" w:hAnsiTheme="minorEastAsia" w:eastAsiaTheme="minorEastAsia"/>
          <w:szCs w:val="21"/>
        </w:rPr>
        <w:t>深入</w:t>
      </w:r>
      <w:r>
        <w:rPr>
          <w:rFonts w:asciiTheme="minorEastAsia" w:hAnsiTheme="minorEastAsia" w:eastAsiaTheme="minorEastAsia"/>
          <w:szCs w:val="21"/>
        </w:rPr>
        <w:t>贯彻落实党的十九大精神</w:t>
      </w:r>
      <w:r>
        <w:rPr>
          <w:rFonts w:hint="eastAsia" w:asciiTheme="minorEastAsia" w:hAnsiTheme="minorEastAsia" w:eastAsiaTheme="minorEastAsia"/>
          <w:szCs w:val="21"/>
        </w:rPr>
        <w:t>和</w:t>
      </w:r>
      <w:r>
        <w:rPr>
          <w:rFonts w:asciiTheme="minorEastAsia" w:hAnsiTheme="minorEastAsia" w:eastAsiaTheme="minorEastAsia"/>
          <w:szCs w:val="21"/>
        </w:rPr>
        <w:t>习近平总书记“两个坚持三个转变”和“加强地质灾害防治”的要求，更加突出“以防为主”，</w:t>
      </w:r>
      <w:r>
        <w:rPr>
          <w:rFonts w:hint="eastAsia" w:asciiTheme="minorEastAsia" w:hAnsiTheme="minorEastAsia" w:eastAsiaTheme="minorEastAsia"/>
          <w:szCs w:val="21"/>
        </w:rPr>
        <w:t>全面加强我省地质灾害综合防治体系监测预警工程建设，规范和指导全省地质灾害专业监测预警工作，提出本技术要求。</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本技术要求编写过程中，在认真</w:t>
      </w:r>
      <w:r>
        <w:rPr>
          <w:rFonts w:asciiTheme="minorEastAsia" w:hAnsiTheme="minorEastAsia" w:eastAsiaTheme="minorEastAsia"/>
          <w:szCs w:val="21"/>
        </w:rPr>
        <w:t>研究国内外有关地质灾害监测技术规范标准</w:t>
      </w:r>
      <w:r>
        <w:rPr>
          <w:rFonts w:hint="eastAsia" w:asciiTheme="minorEastAsia" w:hAnsiTheme="minorEastAsia" w:eastAsiaTheme="minorEastAsia"/>
          <w:szCs w:val="21"/>
        </w:rPr>
        <w:t>和较为成熟的方法技术的基础上，针对我省地质灾害特点，按照专业监测预警工作流程，专业监测分类分级，以及灾种等分别做出规定。</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本</w:t>
      </w:r>
      <w:r>
        <w:rPr>
          <w:rFonts w:hint="eastAsia" w:asciiTheme="minorEastAsia" w:hAnsiTheme="minorEastAsia" w:eastAsiaTheme="minorEastAsia"/>
          <w:szCs w:val="21"/>
        </w:rPr>
        <w:t>技术要求</w:t>
      </w:r>
      <w:r>
        <w:rPr>
          <w:rFonts w:asciiTheme="minorEastAsia" w:hAnsiTheme="minorEastAsia" w:eastAsiaTheme="minorEastAsia"/>
          <w:szCs w:val="21"/>
        </w:rPr>
        <w:t>的某些内容可能涉及专利</w:t>
      </w:r>
      <w:r>
        <w:rPr>
          <w:rFonts w:hint="eastAsia" w:asciiTheme="minorEastAsia" w:hAnsiTheme="minorEastAsia" w:eastAsiaTheme="minorEastAsia"/>
          <w:szCs w:val="21"/>
        </w:rPr>
        <w:t>,</w:t>
      </w:r>
      <w:r>
        <w:rPr>
          <w:rFonts w:asciiTheme="minorEastAsia" w:hAnsiTheme="minorEastAsia" w:eastAsiaTheme="minorEastAsia"/>
          <w:szCs w:val="21"/>
        </w:rPr>
        <w:t>发布机构不承担识别</w:t>
      </w:r>
      <w:r>
        <w:rPr>
          <w:rFonts w:hint="eastAsia" w:asciiTheme="minorEastAsia" w:hAnsiTheme="minorEastAsia" w:eastAsiaTheme="minorEastAsia"/>
          <w:szCs w:val="21"/>
        </w:rPr>
        <w:t>这些</w:t>
      </w:r>
      <w:r>
        <w:rPr>
          <w:rFonts w:asciiTheme="minorEastAsia" w:hAnsiTheme="minorEastAsia" w:eastAsiaTheme="minorEastAsia"/>
          <w:szCs w:val="21"/>
        </w:rPr>
        <w:t>专利的责任。</w:t>
      </w:r>
    </w:p>
    <w:p>
      <w:pPr>
        <w:spacing w:line="360" w:lineRule="auto"/>
        <w:ind w:firstLine="420" w:firstLineChars="200"/>
        <w:rPr>
          <w:rFonts w:asciiTheme="minorEastAsia" w:hAnsiTheme="minorEastAsia" w:eastAsiaTheme="minorEastAsia"/>
        </w:rPr>
      </w:pPr>
    </w:p>
    <w:p>
      <w:pPr>
        <w:spacing w:line="360" w:lineRule="auto"/>
        <w:rPr>
          <w:rFonts w:ascii="宋体" w:hAnsi="宋体"/>
        </w:rPr>
        <w:sectPr>
          <w:pgSz w:w="11906" w:h="16838"/>
          <w:pgMar w:top="1418" w:right="1134" w:bottom="1134" w:left="1418" w:header="850" w:footer="992" w:gutter="0"/>
          <w:pgNumType w:fmt="upperRoman"/>
          <w:cols w:space="425" w:num="1"/>
          <w:docGrid w:linePitch="312" w:charSpace="0"/>
        </w:sectPr>
      </w:pPr>
    </w:p>
    <w:p>
      <w:pPr>
        <w:pStyle w:val="2"/>
        <w:spacing w:before="240" w:after="240"/>
      </w:pPr>
      <w:bookmarkStart w:id="4" w:name="_Toc534577719"/>
      <w:bookmarkStart w:id="5" w:name="_Toc21966313"/>
      <w:bookmarkStart w:id="6" w:name="_Toc33177669"/>
      <w:r>
        <w:rPr>
          <w:rFonts w:hint="eastAsia"/>
        </w:rPr>
        <w:t xml:space="preserve">1  </w:t>
      </w:r>
      <w:r>
        <w:t>范围</w:t>
      </w:r>
      <w:bookmarkEnd w:id="4"/>
      <w:bookmarkEnd w:id="5"/>
      <w:bookmarkEnd w:id="6"/>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本技术要求包括了湖北省地质灾害专业监测预警建设工程的工作程序、内容、技术方法和精度要求，监测网点建设、运行与维护，信息化建设和监测数据分析，预警预报评价指标与预警级别的划分，工程验收、成果提交与归档等内容。</w:t>
      </w:r>
    </w:p>
    <w:p>
      <w:pPr>
        <w:spacing w:line="360" w:lineRule="auto"/>
        <w:ind w:firstLine="420"/>
        <w:rPr>
          <w:rFonts w:asciiTheme="minorEastAsia" w:hAnsiTheme="minorEastAsia"/>
          <w:szCs w:val="21"/>
        </w:rPr>
      </w:pPr>
      <w:r>
        <w:rPr>
          <w:rFonts w:hint="eastAsia" w:asciiTheme="minorEastAsia" w:hAnsiTheme="minorEastAsia"/>
          <w:szCs w:val="21"/>
        </w:rPr>
        <w:t>本技术要求</w:t>
      </w:r>
      <w:bookmarkStart w:id="7" w:name="_Toc456776070"/>
      <w:bookmarkStart w:id="8" w:name="_Toc482203859"/>
      <w:bookmarkStart w:id="9" w:name="_Toc534577720"/>
      <w:bookmarkStart w:id="10" w:name="_Toc21966314"/>
      <w:r>
        <w:rPr>
          <w:rFonts w:hint="eastAsia" w:asciiTheme="minorEastAsia" w:hAnsiTheme="minorEastAsia"/>
          <w:szCs w:val="21"/>
        </w:rPr>
        <w:t>按照国家现行有关标准的规定，针对湖北省地质灾害综合防治体系专业监测预警建设工程提出。主要适用于省内滑坡、崩塌（危岩体）、泥石流、地面塌陷四个灾种的专业监测工作，其它灾种的专业监测预警工程建设可参考。</w:t>
      </w:r>
    </w:p>
    <w:p>
      <w:pPr>
        <w:pStyle w:val="2"/>
        <w:spacing w:before="240" w:after="240"/>
      </w:pPr>
      <w:bookmarkStart w:id="11" w:name="_Toc33177670"/>
      <w:r>
        <w:rPr>
          <w:rFonts w:hint="eastAsia"/>
        </w:rPr>
        <w:t xml:space="preserve">2  </w:t>
      </w:r>
      <w:r>
        <w:t>规范性引用文件</w:t>
      </w:r>
      <w:bookmarkEnd w:id="7"/>
      <w:bookmarkEnd w:id="8"/>
      <w:bookmarkEnd w:id="9"/>
      <w:bookmarkEnd w:id="10"/>
      <w:bookmarkEnd w:id="11"/>
    </w:p>
    <w:p>
      <w:pPr>
        <w:spacing w:line="360" w:lineRule="auto"/>
        <w:ind w:firstLine="420"/>
        <w:rPr>
          <w:rFonts w:ascii="宋体" w:hAnsi="宋体"/>
          <w:kern w:val="0"/>
          <w:szCs w:val="21"/>
        </w:rPr>
      </w:pPr>
      <w:r>
        <w:rPr>
          <w:rFonts w:asciiTheme="minorEastAsia" w:hAnsiTheme="minorEastAsia"/>
          <w:szCs w:val="21"/>
        </w:rPr>
        <w:t>下列文件对于本文件的应用是必不可少的。凡是注日期的引用文件，仅注日期的版本适用于本文件。凡是不注日期的引用文件，其最新版本（包括所有的修改单）适用于本文件。</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GB/T 12897 国家一、二等水准测量规范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GB/T 12898 国家三、四等水准测量规范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GB/T 18314 全球定位系统（GPS）测量规范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GB/T 32864 滑坡防治工程勘查规范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GB/T 50026 工程测量规范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DZ/T 0017 工程地质钻探规程</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DZ/T 0148 水文水井地质钻探规程</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 xml:space="preserve">DZ/T 0219 滑坡防治工程设计与施工技术规范 </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DZ/T 0220 泥石流灾害防治工程勘查规范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DZ/T 0221 崩塌、滑坡、泥石流监测规范</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DZ/T 0227 滑坡、崩塌监测测量规范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DZ/T 0238－2004 地质灾害分类分级标准</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DZ/T 0239 泥石流灾害防治工程设计规范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DZ/T 0270 国家级地下水监测井建设标准</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DZ/T 0283－2015 地面沉降调查与监测规范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JGJ 8－2016 建筑变形测量规范</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T/CAGHP 002－2018 地质灾害防治基本术语</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bookmarkStart w:id="12" w:name="_Toc462025318"/>
      <w:bookmarkStart w:id="13" w:name="_Toc464508108"/>
      <w:r>
        <w:rPr>
          <w:rFonts w:ascii="Times New Roman" w:hAnsi="Times New Roman"/>
          <w:kern w:val="0"/>
          <w:szCs w:val="21"/>
        </w:rPr>
        <w:t>T/CAGHP 013－2018 地质灾害InSAR监测技术</w:t>
      </w:r>
      <w:bookmarkEnd w:id="12"/>
      <w:bookmarkEnd w:id="13"/>
      <w:r>
        <w:rPr>
          <w:rFonts w:ascii="Times New Roman" w:hAnsi="Times New Roman"/>
          <w:kern w:val="0"/>
          <w:szCs w:val="21"/>
        </w:rPr>
        <w:t>指南</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T/CAGHP 005－2018 采空塌陷勘查规范</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T/CAGHP 007－2018 崩塌监测规范</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T/CAGHP 009－2018 地质灾害应力应变监测技术规程</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T/CAGHP 011－2018 崩塌防治工程勘查规范</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T/CAGHP 014－2018 地质灾害地表变形监测技术规程</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T/CAGHP 016－2018 地质灾害监测仪器物理接口规定</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T/CAGHP 023－2018 突发地质灾害应急监测预警技术指南</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T/CAGHP 029－2018 地质灾害地声监测技术指南</w:t>
      </w:r>
    </w:p>
    <w:p>
      <w:pPr>
        <w:pStyle w:val="2"/>
        <w:spacing w:before="240" w:after="240"/>
      </w:pPr>
      <w:bookmarkStart w:id="14" w:name="_Toc21966315"/>
      <w:bookmarkStart w:id="15" w:name="_Toc33177671"/>
      <w:r>
        <w:rPr>
          <w:rFonts w:hAnsi="Times New Roman"/>
        </w:rPr>
        <w:t>3</w:t>
      </w:r>
      <w:r>
        <w:rPr>
          <w:rFonts w:hint="eastAsia" w:hAnsi="Times New Roman"/>
        </w:rPr>
        <w:t xml:space="preserve">  </w:t>
      </w:r>
      <w:r>
        <w:rPr>
          <w:rFonts w:hint="eastAsia"/>
        </w:rPr>
        <w:t>术语与定义</w:t>
      </w:r>
      <w:bookmarkEnd w:id="14"/>
      <w:bookmarkEnd w:id="15"/>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下列术语和定义适用于本文件。</w:t>
      </w:r>
    </w:p>
    <w:p>
      <w:pPr>
        <w:spacing w:line="360" w:lineRule="auto"/>
        <w:rPr>
          <w:rFonts w:ascii="黑体" w:hAnsi="黑体" w:eastAsia="黑体"/>
          <w:szCs w:val="24"/>
        </w:rPr>
      </w:pPr>
      <w:bookmarkStart w:id="16" w:name="_Toc21966316"/>
      <w:r>
        <w:rPr>
          <w:rFonts w:hint="eastAsia" w:ascii="黑体" w:hAnsi="黑体" w:eastAsia="黑体"/>
          <w:szCs w:val="24"/>
        </w:rPr>
        <w:t>3.1</w:t>
      </w:r>
    </w:p>
    <w:bookmarkEnd w:id="16"/>
    <w:p>
      <w:pPr>
        <w:spacing w:line="360" w:lineRule="auto"/>
        <w:ind w:firstLine="420" w:firstLineChars="200"/>
        <w:rPr>
          <w:rFonts w:ascii="黑体" w:hAnsi="黑体" w:eastAsia="黑体"/>
          <w:szCs w:val="24"/>
        </w:rPr>
      </w:pPr>
      <w:bookmarkStart w:id="17" w:name="_Toc482203865"/>
      <w:r>
        <w:rPr>
          <w:rFonts w:ascii="黑体" w:hAnsi="黑体" w:eastAsia="黑体"/>
          <w:szCs w:val="24"/>
        </w:rPr>
        <w:t>专业监测</w:t>
      </w:r>
      <w:r>
        <w:rPr>
          <w:rFonts w:hint="eastAsia" w:ascii="黑体" w:hAnsi="黑体" w:eastAsia="黑体"/>
          <w:szCs w:val="24"/>
        </w:rPr>
        <w:t xml:space="preserve"> </w:t>
      </w:r>
      <w:r>
        <w:rPr>
          <w:rFonts w:ascii="黑体" w:hAnsi="黑体" w:eastAsia="黑体"/>
          <w:szCs w:val="24"/>
        </w:rPr>
        <w:t>professional monitoring</w:t>
      </w:r>
      <w:bookmarkEnd w:id="17"/>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使用专用仪器或设备，获取</w:t>
      </w:r>
      <w:r>
        <w:rPr>
          <w:rFonts w:hint="eastAsia" w:ascii="Times New Roman" w:hAnsi="Times New Roman"/>
          <w:kern w:val="0"/>
          <w:szCs w:val="21"/>
        </w:rPr>
        <w:t>地质</w:t>
      </w:r>
      <w:r>
        <w:rPr>
          <w:rFonts w:ascii="Times New Roman" w:hAnsi="Times New Roman"/>
          <w:kern w:val="0"/>
          <w:szCs w:val="21"/>
        </w:rPr>
        <w:t>灾害体</w:t>
      </w:r>
      <w:r>
        <w:rPr>
          <w:rFonts w:hint="eastAsia" w:ascii="Times New Roman" w:hAnsi="Times New Roman"/>
          <w:kern w:val="0"/>
          <w:szCs w:val="21"/>
        </w:rPr>
        <w:t>的</w:t>
      </w:r>
      <w:r>
        <w:rPr>
          <w:rFonts w:ascii="Times New Roman" w:hAnsi="Times New Roman"/>
          <w:kern w:val="0"/>
          <w:szCs w:val="21"/>
        </w:rPr>
        <w:t>变形信息（数据），分析并判别其</w:t>
      </w:r>
      <w:r>
        <w:rPr>
          <w:rFonts w:hint="eastAsia" w:ascii="Times New Roman" w:hAnsi="Times New Roman"/>
          <w:kern w:val="0"/>
          <w:szCs w:val="21"/>
        </w:rPr>
        <w:t>危害范围、</w:t>
      </w:r>
      <w:r>
        <w:rPr>
          <w:rFonts w:ascii="Times New Roman" w:hAnsi="Times New Roman"/>
          <w:kern w:val="0"/>
          <w:szCs w:val="21"/>
        </w:rPr>
        <w:t>发生机理及发展演化的技术工作。</w:t>
      </w:r>
    </w:p>
    <w:p>
      <w:pPr>
        <w:tabs>
          <w:tab w:val="center" w:pos="4201"/>
          <w:tab w:val="right" w:leader="dot" w:pos="9298"/>
        </w:tabs>
        <w:autoSpaceDE w:val="0"/>
        <w:autoSpaceDN w:val="0"/>
        <w:spacing w:line="360" w:lineRule="auto"/>
        <w:rPr>
          <w:rFonts w:ascii="黑体" w:hAnsi="黑体" w:eastAsia="黑体"/>
          <w:kern w:val="0"/>
          <w:szCs w:val="21"/>
        </w:rPr>
      </w:pPr>
      <w:r>
        <w:rPr>
          <w:rFonts w:hint="eastAsia" w:ascii="黑体" w:hAnsi="黑体" w:eastAsia="黑体"/>
          <w:kern w:val="0"/>
          <w:szCs w:val="21"/>
        </w:rPr>
        <w:t>3.2</w:t>
      </w:r>
    </w:p>
    <w:p>
      <w:pPr>
        <w:spacing w:line="360" w:lineRule="auto"/>
        <w:ind w:firstLine="420" w:firstLineChars="200"/>
        <w:rPr>
          <w:rFonts w:ascii="黑体" w:hAnsi="黑体" w:eastAsia="黑体"/>
          <w:szCs w:val="24"/>
        </w:rPr>
      </w:pPr>
      <w:r>
        <w:rPr>
          <w:rFonts w:hint="eastAsia" w:ascii="黑体" w:hAnsi="黑体" w:eastAsia="黑体"/>
          <w:szCs w:val="24"/>
        </w:rPr>
        <w:t>区域监测</w:t>
      </w:r>
      <w:r>
        <w:rPr>
          <w:rFonts w:ascii="黑体" w:hAnsi="黑体" w:eastAsia="黑体"/>
          <w:szCs w:val="24"/>
        </w:rPr>
        <w:t xml:space="preserve"> regional monitoring</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指借助飞机、卫星等航空航天载具，利用遥感、激光、雷达、影像等，针对预测风险区域、关注区域展开定期持续测量观测，经对比分析和按时间序列所获取特定区域、地质灾害体地表变形发展信息。</w:t>
      </w:r>
    </w:p>
    <w:p>
      <w:pPr>
        <w:tabs>
          <w:tab w:val="center" w:pos="4201"/>
          <w:tab w:val="right" w:leader="dot" w:pos="9298"/>
        </w:tabs>
        <w:autoSpaceDE w:val="0"/>
        <w:autoSpaceDN w:val="0"/>
        <w:spacing w:line="360" w:lineRule="auto"/>
        <w:rPr>
          <w:rFonts w:ascii="黑体" w:hAnsi="黑体" w:eastAsia="黑体"/>
          <w:kern w:val="0"/>
          <w:szCs w:val="21"/>
        </w:rPr>
      </w:pPr>
      <w:r>
        <w:rPr>
          <w:rFonts w:hint="eastAsia" w:ascii="黑体" w:hAnsi="黑体" w:eastAsia="黑体"/>
          <w:kern w:val="0"/>
          <w:szCs w:val="21"/>
        </w:rPr>
        <w:t>3.3</w:t>
      </w:r>
    </w:p>
    <w:p>
      <w:pPr>
        <w:spacing w:line="360" w:lineRule="auto"/>
        <w:ind w:firstLine="420" w:firstLineChars="200"/>
        <w:rPr>
          <w:rFonts w:ascii="黑体" w:hAnsi="黑体" w:eastAsia="黑体"/>
          <w:szCs w:val="24"/>
        </w:rPr>
      </w:pPr>
      <w:r>
        <w:rPr>
          <w:rFonts w:hint="eastAsia" w:ascii="黑体" w:hAnsi="黑体" w:eastAsia="黑体"/>
          <w:szCs w:val="24"/>
        </w:rPr>
        <w:t>隐患点监测</w:t>
      </w:r>
      <w:r>
        <w:rPr>
          <w:rFonts w:ascii="黑体" w:hAnsi="黑体" w:eastAsia="黑体"/>
          <w:szCs w:val="24"/>
        </w:rPr>
        <w:t xml:space="preserve"> monitoring of hidden danger</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针对已发现的地质灾害体及其特定部位，借助航空航天、</w:t>
      </w:r>
      <w:r>
        <w:rPr>
          <w:rFonts w:ascii="Times New Roman" w:hAnsi="Times New Roman"/>
          <w:kern w:val="0"/>
          <w:szCs w:val="21"/>
        </w:rPr>
        <w:t>专用仪器或设备</w:t>
      </w:r>
      <w:r>
        <w:rPr>
          <w:rFonts w:hint="eastAsia" w:ascii="Times New Roman" w:hAnsi="Times New Roman"/>
          <w:kern w:val="0"/>
          <w:szCs w:val="21"/>
        </w:rPr>
        <w:t>等，定期持续监测地质灾害体特定位置、部位的变形位移、应力应变和诱发因素的变化信息。</w:t>
      </w:r>
    </w:p>
    <w:p>
      <w:pPr>
        <w:spacing w:line="360" w:lineRule="auto"/>
        <w:rPr>
          <w:rFonts w:ascii="黑体" w:hAnsi="黑体" w:eastAsia="黑体"/>
          <w:szCs w:val="24"/>
        </w:rPr>
      </w:pPr>
      <w:bookmarkStart w:id="18" w:name="_Toc21966323"/>
      <w:r>
        <w:rPr>
          <w:rFonts w:hint="eastAsia" w:ascii="黑体" w:hAnsi="黑体" w:eastAsia="黑体"/>
          <w:szCs w:val="24"/>
        </w:rPr>
        <w:t>3.4</w:t>
      </w:r>
    </w:p>
    <w:p>
      <w:pPr>
        <w:spacing w:line="360" w:lineRule="auto"/>
        <w:ind w:firstLine="420" w:firstLineChars="200"/>
        <w:rPr>
          <w:rFonts w:ascii="黑体" w:hAnsi="黑体" w:eastAsia="黑体"/>
          <w:szCs w:val="24"/>
        </w:rPr>
      </w:pPr>
      <w:r>
        <w:rPr>
          <w:rFonts w:hint="eastAsia" w:ascii="黑体" w:hAnsi="黑体" w:eastAsia="黑体"/>
          <w:szCs w:val="24"/>
        </w:rPr>
        <w:t>地表绝对位移</w:t>
      </w:r>
      <w:r>
        <w:rPr>
          <w:rFonts w:ascii="黑体" w:hAnsi="黑体" w:eastAsia="黑体"/>
          <w:szCs w:val="24"/>
        </w:rPr>
        <w:t xml:space="preserve"> ground absolute displacement</w:t>
      </w:r>
      <w:bookmarkEnd w:id="18"/>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指地质灾害体上的测点相对与其外部的某一（或多个）固定基准点的三维坐标的变化。地表绝对位移可通过测点三维变形位移量、位移方位、变形速率等反映。</w:t>
      </w:r>
    </w:p>
    <w:p>
      <w:pPr>
        <w:spacing w:line="360" w:lineRule="auto"/>
        <w:rPr>
          <w:rFonts w:ascii="黑体" w:hAnsi="黑体" w:eastAsia="黑体"/>
          <w:szCs w:val="24"/>
        </w:rPr>
      </w:pPr>
      <w:bookmarkStart w:id="19" w:name="_Toc21966324"/>
      <w:r>
        <w:rPr>
          <w:rFonts w:hint="eastAsia" w:ascii="黑体" w:hAnsi="黑体" w:eastAsia="黑体"/>
          <w:szCs w:val="24"/>
        </w:rPr>
        <w:t>3.5</w:t>
      </w:r>
    </w:p>
    <w:p>
      <w:pPr>
        <w:spacing w:line="360" w:lineRule="auto"/>
        <w:ind w:firstLine="420" w:firstLineChars="200"/>
        <w:rPr>
          <w:rFonts w:ascii="黑体" w:hAnsi="黑体" w:eastAsia="黑体"/>
          <w:szCs w:val="24"/>
        </w:rPr>
      </w:pPr>
      <w:r>
        <w:rPr>
          <w:rFonts w:hint="eastAsia" w:ascii="黑体" w:hAnsi="黑体" w:eastAsia="黑体"/>
          <w:szCs w:val="24"/>
        </w:rPr>
        <w:t xml:space="preserve">地表相对位移 </w:t>
      </w:r>
      <w:r>
        <w:rPr>
          <w:rFonts w:ascii="黑体" w:hAnsi="黑体" w:eastAsia="黑体"/>
          <w:szCs w:val="24"/>
        </w:rPr>
        <w:t>ground relative displacement</w:t>
      </w:r>
      <w:bookmarkEnd w:id="19"/>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指地质灾害体上变形部位相对位置变化（张开、闭合、下沉、抬升、错动等）。地表相对位移可通过变形位移量、位移方向、变形速率等反映。</w:t>
      </w:r>
    </w:p>
    <w:p>
      <w:pPr>
        <w:spacing w:line="360" w:lineRule="auto"/>
        <w:rPr>
          <w:rFonts w:ascii="黑体" w:hAnsi="黑体" w:eastAsia="黑体"/>
          <w:szCs w:val="24"/>
        </w:rPr>
      </w:pPr>
      <w:bookmarkStart w:id="20" w:name="_Toc21966325"/>
      <w:r>
        <w:rPr>
          <w:rFonts w:hint="eastAsia" w:ascii="黑体" w:hAnsi="黑体" w:eastAsia="黑体"/>
          <w:szCs w:val="24"/>
        </w:rPr>
        <w:t>3.6</w:t>
      </w:r>
    </w:p>
    <w:p>
      <w:pPr>
        <w:spacing w:line="360" w:lineRule="auto"/>
        <w:ind w:firstLine="420" w:firstLineChars="200"/>
        <w:rPr>
          <w:rFonts w:ascii="黑体" w:hAnsi="黑体" w:eastAsia="黑体"/>
          <w:szCs w:val="24"/>
        </w:rPr>
      </w:pPr>
      <w:r>
        <w:rPr>
          <w:rFonts w:hint="eastAsia" w:ascii="黑体" w:hAnsi="黑体" w:eastAsia="黑体"/>
          <w:szCs w:val="24"/>
        </w:rPr>
        <w:t xml:space="preserve">深部位移 </w:t>
      </w:r>
      <w:r>
        <w:rPr>
          <w:rFonts w:ascii="黑体" w:hAnsi="黑体" w:eastAsia="黑体"/>
          <w:szCs w:val="24"/>
        </w:rPr>
        <w:t>underground displacement</w:t>
      </w:r>
      <w:bookmarkEnd w:id="20"/>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主要指深部岩土体的水平向位移矢量。</w:t>
      </w:r>
    </w:p>
    <w:p>
      <w:pPr>
        <w:tabs>
          <w:tab w:val="center" w:pos="4201"/>
          <w:tab w:val="right" w:leader="dot" w:pos="9298"/>
        </w:tabs>
        <w:autoSpaceDE w:val="0"/>
        <w:autoSpaceDN w:val="0"/>
        <w:spacing w:line="360" w:lineRule="auto"/>
        <w:rPr>
          <w:rFonts w:ascii="Times New Roman" w:hAnsi="Times New Roman"/>
          <w:kern w:val="0"/>
          <w:szCs w:val="21"/>
        </w:rPr>
      </w:pPr>
      <w:bookmarkStart w:id="21" w:name="_Toc421788050"/>
      <w:bookmarkStart w:id="22" w:name="_Toc10849"/>
      <w:bookmarkStart w:id="23" w:name="_Toc407634723"/>
      <w:r>
        <w:rPr>
          <w:rFonts w:hint="eastAsia" w:ascii="黑体" w:hAnsi="黑体" w:eastAsia="黑体"/>
          <w:szCs w:val="24"/>
        </w:rPr>
        <w:t>3.7</w:t>
      </w:r>
    </w:p>
    <w:p>
      <w:pPr>
        <w:spacing w:line="360" w:lineRule="auto"/>
        <w:ind w:firstLine="420" w:firstLineChars="200"/>
        <w:rPr>
          <w:rFonts w:ascii="黑体" w:hAnsi="黑体" w:eastAsia="黑体"/>
          <w:szCs w:val="24"/>
        </w:rPr>
      </w:pPr>
      <w:r>
        <w:rPr>
          <w:rFonts w:ascii="黑体" w:hAnsi="黑体" w:eastAsia="黑体"/>
          <w:szCs w:val="24"/>
        </w:rPr>
        <w:t>应力监测 stress monitoring</w:t>
      </w:r>
      <w:bookmarkEnd w:id="21"/>
      <w:bookmarkEnd w:id="22"/>
      <w:bookmarkEnd w:id="23"/>
    </w:p>
    <w:p>
      <w:pPr>
        <w:tabs>
          <w:tab w:val="center" w:pos="4201"/>
          <w:tab w:val="right" w:leader="dot" w:pos="9298"/>
        </w:tabs>
        <w:autoSpaceDE w:val="0"/>
        <w:autoSpaceDN w:val="0"/>
        <w:spacing w:line="360" w:lineRule="auto"/>
        <w:ind w:firstLine="420" w:firstLineChars="200"/>
        <w:rPr>
          <w:rFonts w:ascii="Times New Roman" w:hAnsi="Times New Roman"/>
          <w:kern w:val="0"/>
          <w:szCs w:val="21"/>
          <w:lang w:bidi="en-US"/>
        </w:rPr>
      </w:pPr>
      <w:r>
        <w:rPr>
          <w:rFonts w:hint="eastAsia" w:ascii="Times New Roman" w:hAnsi="Times New Roman"/>
          <w:kern w:val="0"/>
          <w:szCs w:val="21"/>
          <w:lang w:bidi="en-US"/>
        </w:rPr>
        <w:t>采用监测仪器对岩土体内部的应力变化或岩土体与人工建筑体之间的应力变化进行监测的技术与方法，如压力计、锚杆应力计监测等。</w:t>
      </w:r>
    </w:p>
    <w:p>
      <w:pPr>
        <w:tabs>
          <w:tab w:val="center" w:pos="4201"/>
          <w:tab w:val="right" w:leader="dot" w:pos="9298"/>
        </w:tabs>
        <w:autoSpaceDE w:val="0"/>
        <w:autoSpaceDN w:val="0"/>
        <w:spacing w:line="360" w:lineRule="auto"/>
        <w:rPr>
          <w:rFonts w:ascii="Times New Roman" w:hAnsi="Times New Roman"/>
          <w:kern w:val="0"/>
          <w:szCs w:val="21"/>
        </w:rPr>
      </w:pPr>
      <w:bookmarkStart w:id="24" w:name="_Toc407634724"/>
      <w:bookmarkStart w:id="25" w:name="_Toc27419"/>
      <w:bookmarkStart w:id="26" w:name="_Toc421788051"/>
      <w:r>
        <w:rPr>
          <w:rFonts w:hint="eastAsia" w:ascii="黑体" w:hAnsi="黑体" w:eastAsia="黑体"/>
          <w:szCs w:val="24"/>
        </w:rPr>
        <w:t>3.8</w:t>
      </w:r>
    </w:p>
    <w:p>
      <w:pPr>
        <w:spacing w:line="360" w:lineRule="auto"/>
        <w:ind w:firstLine="420" w:firstLineChars="200"/>
        <w:rPr>
          <w:rFonts w:ascii="黑体" w:hAnsi="黑体" w:eastAsia="黑体"/>
          <w:szCs w:val="24"/>
        </w:rPr>
      </w:pPr>
      <w:r>
        <w:rPr>
          <w:rFonts w:ascii="黑体" w:hAnsi="黑体" w:eastAsia="黑体"/>
          <w:szCs w:val="24"/>
        </w:rPr>
        <w:t>应变监测 strain monitoring</w:t>
      </w:r>
      <w:bookmarkEnd w:id="24"/>
      <w:bookmarkEnd w:id="25"/>
      <w:bookmarkEnd w:id="26"/>
    </w:p>
    <w:p>
      <w:pPr>
        <w:tabs>
          <w:tab w:val="center" w:pos="4201"/>
          <w:tab w:val="right" w:leader="dot" w:pos="9298"/>
        </w:tabs>
        <w:autoSpaceDE w:val="0"/>
        <w:autoSpaceDN w:val="0"/>
        <w:spacing w:line="360" w:lineRule="auto"/>
        <w:ind w:firstLine="420" w:firstLineChars="200"/>
        <w:rPr>
          <w:rFonts w:ascii="Times New Roman" w:hAnsi="Times New Roman"/>
          <w:kern w:val="0"/>
          <w:szCs w:val="21"/>
          <w:lang w:bidi="en-US"/>
        </w:rPr>
      </w:pPr>
      <w:r>
        <w:rPr>
          <w:rFonts w:hint="eastAsia" w:ascii="Times New Roman" w:hAnsi="Times New Roman"/>
          <w:kern w:val="0"/>
          <w:szCs w:val="21"/>
          <w:lang w:bidi="en-US"/>
        </w:rPr>
        <w:t>采用监测仪器对地质灾害体或治理工程结构中应变情况进行监测的技术与方法，如应变片、钢筋应变计监测等。</w:t>
      </w:r>
    </w:p>
    <w:p>
      <w:pPr>
        <w:tabs>
          <w:tab w:val="center" w:pos="4201"/>
          <w:tab w:val="right" w:leader="dot" w:pos="9298"/>
        </w:tabs>
        <w:autoSpaceDE w:val="0"/>
        <w:autoSpaceDN w:val="0"/>
        <w:spacing w:line="360" w:lineRule="auto"/>
        <w:rPr>
          <w:rFonts w:ascii="Times New Roman" w:hAnsi="Times New Roman"/>
          <w:kern w:val="0"/>
          <w:szCs w:val="21"/>
        </w:rPr>
      </w:pPr>
      <w:r>
        <w:rPr>
          <w:rFonts w:hint="eastAsia" w:ascii="黑体" w:hAnsi="黑体" w:eastAsia="黑体"/>
          <w:szCs w:val="24"/>
        </w:rPr>
        <w:t>3.9</w:t>
      </w:r>
    </w:p>
    <w:p>
      <w:pPr>
        <w:spacing w:line="360" w:lineRule="auto"/>
        <w:ind w:firstLine="420" w:firstLineChars="200"/>
        <w:rPr>
          <w:rFonts w:ascii="黑体" w:hAnsi="黑体" w:eastAsia="黑体"/>
          <w:szCs w:val="24"/>
        </w:rPr>
      </w:pPr>
      <w:r>
        <w:rPr>
          <w:rFonts w:ascii="黑体" w:hAnsi="黑体" w:eastAsia="黑体"/>
          <w:szCs w:val="24"/>
        </w:rPr>
        <w:t>诱发因素监测 induced factor monitoring</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lang w:bidi="en-US"/>
        </w:rPr>
      </w:pPr>
      <w:r>
        <w:rPr>
          <w:rFonts w:hint="eastAsia" w:ascii="Times New Roman" w:hAnsi="Times New Roman"/>
          <w:kern w:val="0"/>
          <w:szCs w:val="21"/>
          <w:lang w:bidi="en-US"/>
        </w:rPr>
        <w:t>指以监测地质灾害诱发因素为主的监测技术方法，包括气象监测、地下水动态监测、地震监测、人类工程活动监测等。地质灾害诱发因素监测是地质灾害监测技术的重要组成部分。</w:t>
      </w:r>
    </w:p>
    <w:p>
      <w:pPr>
        <w:tabs>
          <w:tab w:val="center" w:pos="4201"/>
          <w:tab w:val="right" w:leader="dot" w:pos="9298"/>
        </w:tabs>
        <w:autoSpaceDE w:val="0"/>
        <w:autoSpaceDN w:val="0"/>
        <w:spacing w:line="360" w:lineRule="auto"/>
        <w:rPr>
          <w:rFonts w:ascii="Times New Roman" w:hAnsi="Times New Roman"/>
          <w:kern w:val="0"/>
          <w:szCs w:val="21"/>
        </w:rPr>
      </w:pPr>
      <w:r>
        <w:rPr>
          <w:rFonts w:hint="eastAsia" w:ascii="黑体" w:hAnsi="黑体" w:eastAsia="黑体"/>
          <w:szCs w:val="24"/>
        </w:rPr>
        <w:t>3.10</w:t>
      </w:r>
    </w:p>
    <w:p>
      <w:pPr>
        <w:spacing w:line="360" w:lineRule="auto"/>
        <w:ind w:firstLine="420" w:firstLineChars="200"/>
        <w:rPr>
          <w:rFonts w:ascii="黑体" w:hAnsi="黑体" w:eastAsia="黑体"/>
          <w:szCs w:val="24"/>
        </w:rPr>
      </w:pPr>
      <w:r>
        <w:rPr>
          <w:rFonts w:ascii="黑体" w:hAnsi="黑体" w:eastAsia="黑体"/>
          <w:szCs w:val="24"/>
        </w:rPr>
        <w:t>人类工程活动监测 human engineering activity monitoring</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lang w:bidi="en-US"/>
        </w:rPr>
      </w:pPr>
      <w:r>
        <w:rPr>
          <w:rFonts w:hint="eastAsia" w:ascii="Times New Roman" w:hAnsi="Times New Roman"/>
          <w:kern w:val="0"/>
          <w:szCs w:val="21"/>
          <w:lang w:bidi="en-US"/>
        </w:rPr>
        <w:t>对人工开挖、爆破及诱发地震等因素进行观察，分析并监控其诱发地质灾害的可能性。</w:t>
      </w:r>
    </w:p>
    <w:p>
      <w:pPr>
        <w:tabs>
          <w:tab w:val="center" w:pos="4201"/>
          <w:tab w:val="right" w:leader="dot" w:pos="9298"/>
        </w:tabs>
        <w:autoSpaceDE w:val="0"/>
        <w:autoSpaceDN w:val="0"/>
        <w:spacing w:line="360" w:lineRule="auto"/>
        <w:rPr>
          <w:rFonts w:ascii="黑体" w:hAnsi="黑体" w:eastAsia="黑体"/>
          <w:kern w:val="0"/>
          <w:szCs w:val="21"/>
        </w:rPr>
      </w:pPr>
      <w:r>
        <w:rPr>
          <w:rFonts w:hint="eastAsia" w:ascii="黑体" w:hAnsi="黑体" w:eastAsia="黑体"/>
          <w:szCs w:val="24"/>
        </w:rPr>
        <w:t>3.11</w:t>
      </w:r>
    </w:p>
    <w:p>
      <w:pPr>
        <w:spacing w:line="360" w:lineRule="auto"/>
        <w:ind w:firstLine="420" w:firstLineChars="200"/>
        <w:rPr>
          <w:rFonts w:ascii="黑体" w:hAnsi="黑体" w:eastAsia="黑体"/>
          <w:szCs w:val="24"/>
        </w:rPr>
      </w:pPr>
      <w:r>
        <w:rPr>
          <w:rFonts w:ascii="黑体" w:hAnsi="黑体" w:eastAsia="黑体"/>
          <w:szCs w:val="24"/>
        </w:rPr>
        <w:t>合成孔径雷达干涉测量法（InSAR） interferometric synthetic aperture radar,InSAR</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lang w:bidi="en-US"/>
        </w:rPr>
      </w:pPr>
      <w:r>
        <w:rPr>
          <w:rFonts w:hint="eastAsia" w:ascii="Times New Roman" w:hAnsi="Times New Roman"/>
          <w:kern w:val="0"/>
          <w:szCs w:val="21"/>
          <w:lang w:bidi="en-US"/>
        </w:rPr>
        <w:t>根据复雷达图像的相位数据来提取地面目标三维空间信息的技术。利用两副天线同时成像或一副天线相隔一定时间重复成像，获取同一区域的复雷达图像对，通过求取两幅SAR图像的相位差，得到干涉图像，然后经相位解缠，从干涉条纹中获取地面目标的三维坐标。</w:t>
      </w:r>
    </w:p>
    <w:p>
      <w:pPr>
        <w:tabs>
          <w:tab w:val="center" w:pos="4201"/>
          <w:tab w:val="right" w:leader="dot" w:pos="9298"/>
        </w:tabs>
        <w:autoSpaceDE w:val="0"/>
        <w:autoSpaceDN w:val="0"/>
        <w:spacing w:line="360" w:lineRule="auto"/>
        <w:rPr>
          <w:rFonts w:ascii="黑体" w:hAnsi="黑体" w:eastAsia="黑体"/>
          <w:szCs w:val="24"/>
        </w:rPr>
      </w:pPr>
      <w:r>
        <w:rPr>
          <w:rFonts w:hint="eastAsia" w:ascii="黑体" w:hAnsi="黑体" w:eastAsia="黑体"/>
          <w:szCs w:val="24"/>
        </w:rPr>
        <w:t>3.12</w:t>
      </w:r>
    </w:p>
    <w:p>
      <w:pPr>
        <w:spacing w:line="360" w:lineRule="auto"/>
        <w:ind w:firstLine="420" w:firstLineChars="200"/>
        <w:rPr>
          <w:rFonts w:ascii="黑体" w:hAnsi="黑体" w:eastAsia="黑体"/>
          <w:szCs w:val="24"/>
        </w:rPr>
      </w:pPr>
      <w:r>
        <w:rPr>
          <w:rFonts w:hint="eastAsia" w:ascii="黑体" w:hAnsi="黑体" w:eastAsia="黑体"/>
          <w:szCs w:val="24"/>
        </w:rPr>
        <w:t>宏观巡查法 m</w:t>
      </w:r>
      <w:r>
        <w:rPr>
          <w:rFonts w:ascii="黑体" w:hAnsi="黑体" w:eastAsia="黑体"/>
          <w:szCs w:val="24"/>
        </w:rPr>
        <w:t>acro patrol</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lang w:bidi="en-US"/>
        </w:rPr>
      </w:pPr>
      <w:r>
        <w:rPr>
          <w:rFonts w:hint="eastAsia" w:ascii="Times New Roman" w:hAnsi="Times New Roman"/>
          <w:kern w:val="0"/>
          <w:szCs w:val="21"/>
          <w:lang w:bidi="en-US"/>
        </w:rPr>
        <w:t>用常规地质调查方法对地质灾害的宏观变形迹象和与其有关的各种异常现象进行定期的观测、记录，以便随时掌握地质体的变形动态及发展趋势，达到科学预报地质灾害的目的。</w:t>
      </w:r>
    </w:p>
    <w:p>
      <w:pPr>
        <w:tabs>
          <w:tab w:val="center" w:pos="4201"/>
          <w:tab w:val="right" w:leader="dot" w:pos="9298"/>
        </w:tabs>
        <w:autoSpaceDE w:val="0"/>
        <w:autoSpaceDN w:val="0"/>
        <w:spacing w:line="360" w:lineRule="auto"/>
        <w:rPr>
          <w:rFonts w:ascii="黑体" w:hAnsi="黑体" w:eastAsia="黑体"/>
          <w:szCs w:val="24"/>
        </w:rPr>
      </w:pPr>
      <w:r>
        <w:rPr>
          <w:rFonts w:hint="eastAsia" w:ascii="黑体" w:hAnsi="黑体" w:eastAsia="黑体"/>
          <w:szCs w:val="24"/>
        </w:rPr>
        <w:t>3.13</w:t>
      </w:r>
    </w:p>
    <w:p>
      <w:pPr>
        <w:spacing w:line="360" w:lineRule="auto"/>
        <w:ind w:firstLine="420" w:firstLineChars="200"/>
        <w:rPr>
          <w:rFonts w:ascii="黑体" w:hAnsi="黑体" w:eastAsia="黑体"/>
          <w:szCs w:val="24"/>
        </w:rPr>
      </w:pPr>
      <w:r>
        <w:rPr>
          <w:rFonts w:ascii="黑体" w:hAnsi="黑体" w:eastAsia="黑体"/>
          <w:szCs w:val="24"/>
        </w:rPr>
        <w:t xml:space="preserve">监测预警 monitoring </w:t>
      </w:r>
      <w:r>
        <w:rPr>
          <w:rFonts w:hint="eastAsia" w:ascii="黑体" w:hAnsi="黑体" w:eastAsia="黑体"/>
          <w:szCs w:val="24"/>
        </w:rPr>
        <w:t xml:space="preserve">and </w:t>
      </w:r>
      <w:r>
        <w:rPr>
          <w:rFonts w:ascii="黑体" w:hAnsi="黑体" w:eastAsia="黑体"/>
          <w:szCs w:val="24"/>
        </w:rPr>
        <w:t>warning</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lang w:bidi="en-US"/>
        </w:rPr>
      </w:pPr>
      <w:r>
        <w:rPr>
          <w:rFonts w:hint="eastAsia" w:ascii="Times New Roman" w:hAnsi="Times New Roman"/>
          <w:kern w:val="0"/>
          <w:szCs w:val="21"/>
          <w:lang w:bidi="en-US"/>
        </w:rPr>
        <w:t>基于遥感技术、地理信息系统和全球定位系统及地质灾害监测技术，以一定范围的地质灾害体为监测对象，对其在时空域的变形破坏信息和灾变诱发因素信息实施动态监测，通过对变形因素、诱发因素及相关因素信息的分析处理，判断其稳定状态和变化趋势，分析灾害可能出现的时间、规模、危害范围，发布灾害信息并制订临灾紧急避让行动方案等的相关工作。</w:t>
      </w:r>
    </w:p>
    <w:p>
      <w:pPr>
        <w:tabs>
          <w:tab w:val="center" w:pos="4201"/>
          <w:tab w:val="right" w:leader="dot" w:pos="9298"/>
        </w:tabs>
        <w:autoSpaceDE w:val="0"/>
        <w:autoSpaceDN w:val="0"/>
        <w:spacing w:line="360" w:lineRule="auto"/>
        <w:rPr>
          <w:rFonts w:ascii="黑体" w:hAnsi="黑体" w:eastAsia="黑体"/>
          <w:kern w:val="0"/>
          <w:szCs w:val="21"/>
        </w:rPr>
      </w:pPr>
      <w:r>
        <w:rPr>
          <w:rFonts w:hint="eastAsia" w:ascii="黑体" w:hAnsi="黑体" w:eastAsia="黑体"/>
          <w:kern w:val="0"/>
          <w:szCs w:val="21"/>
        </w:rPr>
        <w:t>3.14</w:t>
      </w:r>
    </w:p>
    <w:p>
      <w:pPr>
        <w:spacing w:line="360" w:lineRule="auto"/>
        <w:ind w:firstLine="420" w:firstLineChars="200"/>
        <w:rPr>
          <w:rFonts w:ascii="黑体" w:hAnsi="黑体" w:eastAsia="黑体"/>
          <w:szCs w:val="24"/>
        </w:rPr>
      </w:pPr>
      <w:r>
        <w:rPr>
          <w:rFonts w:hint="eastAsia" w:ascii="黑体" w:hAnsi="黑体" w:eastAsia="黑体"/>
          <w:szCs w:val="24"/>
        </w:rPr>
        <w:t>地质灾害预测 geohazard prediction</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lang w:bidi="en-US"/>
        </w:rPr>
      </w:pPr>
      <w:r>
        <w:rPr>
          <w:rFonts w:hint="eastAsia" w:ascii="Times New Roman" w:hAnsi="Times New Roman"/>
          <w:kern w:val="0"/>
          <w:szCs w:val="21"/>
          <w:lang w:bidi="en-US"/>
        </w:rPr>
        <w:t>根据地质灾害发生规律，结合地质条件、气象变化因素及监测资料，对未来地质灾害发生的时间、地点、成灾范围和影响程度等进行估计和推断的工作。</w:t>
      </w:r>
    </w:p>
    <w:p>
      <w:pPr>
        <w:spacing w:line="360" w:lineRule="auto"/>
        <w:rPr>
          <w:rFonts w:ascii="黑体" w:hAnsi="黑体" w:eastAsia="黑体"/>
          <w:szCs w:val="24"/>
        </w:rPr>
      </w:pPr>
      <w:bookmarkStart w:id="27" w:name="_Toc21966337"/>
      <w:r>
        <w:rPr>
          <w:rFonts w:hint="eastAsia" w:ascii="黑体" w:hAnsi="黑体" w:eastAsia="黑体"/>
          <w:szCs w:val="24"/>
        </w:rPr>
        <w:t>3.15</w:t>
      </w:r>
    </w:p>
    <w:p>
      <w:pPr>
        <w:spacing w:line="360" w:lineRule="auto"/>
        <w:ind w:firstLine="420" w:firstLineChars="200"/>
        <w:rPr>
          <w:rFonts w:ascii="黑体" w:hAnsi="黑体" w:eastAsia="黑体"/>
          <w:szCs w:val="24"/>
        </w:rPr>
      </w:pPr>
      <w:r>
        <w:rPr>
          <w:rFonts w:hint="eastAsia" w:ascii="黑体" w:hAnsi="黑体" w:eastAsia="黑体"/>
          <w:szCs w:val="24"/>
        </w:rPr>
        <w:t>地质灾害预警 geohazard early-warning</w:t>
      </w:r>
      <w:bookmarkEnd w:id="27"/>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地质灾害发生前，根据其发展演化规律或观察、监测得到的前兆信息，当地人民政府向公众发出预警信号，报告危险情况，以便及时采取有效应对措施，从而最大程度减少地质灾害所造成损失的行为。</w:t>
      </w:r>
    </w:p>
    <w:p>
      <w:pPr>
        <w:tabs>
          <w:tab w:val="center" w:pos="4201"/>
          <w:tab w:val="right" w:leader="dot" w:pos="9298"/>
        </w:tabs>
        <w:autoSpaceDE w:val="0"/>
        <w:autoSpaceDN w:val="0"/>
        <w:spacing w:line="360" w:lineRule="auto"/>
        <w:rPr>
          <w:rFonts w:ascii="黑体" w:hAnsi="黑体" w:eastAsia="黑体"/>
          <w:kern w:val="0"/>
          <w:szCs w:val="21"/>
        </w:rPr>
      </w:pPr>
      <w:r>
        <w:rPr>
          <w:rFonts w:hint="eastAsia" w:ascii="黑体" w:hAnsi="黑体" w:eastAsia="黑体"/>
          <w:kern w:val="0"/>
          <w:szCs w:val="21"/>
        </w:rPr>
        <w:t>3.16</w:t>
      </w:r>
    </w:p>
    <w:p>
      <w:pPr>
        <w:spacing w:line="360" w:lineRule="auto"/>
        <w:ind w:firstLine="420" w:firstLineChars="200"/>
        <w:rPr>
          <w:rFonts w:ascii="黑体" w:hAnsi="黑体" w:eastAsia="黑体"/>
          <w:szCs w:val="24"/>
        </w:rPr>
      </w:pPr>
      <w:r>
        <w:rPr>
          <w:rFonts w:hint="eastAsia" w:ascii="黑体" w:hAnsi="黑体" w:eastAsia="黑体"/>
          <w:szCs w:val="24"/>
        </w:rPr>
        <w:t>地质灾害预报 geohazard forecast</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lang w:bidi="en-US"/>
        </w:rPr>
      </w:pPr>
      <w:r>
        <w:rPr>
          <w:rFonts w:hint="eastAsia" w:ascii="Times New Roman" w:hAnsi="Times New Roman"/>
          <w:kern w:val="0"/>
          <w:szCs w:val="21"/>
          <w:lang w:bidi="en-US"/>
        </w:rPr>
        <w:t>根据地质灾害成生条件，结合地质、气象、水文、监测等信息，对可能发生地质灾害的类型、时间、地点、规模、危害范围及损失程度等信息进行发布的行为。分为长期、中期、短期、临灾预报，一般由县级以上人民政府组织发布。</w:t>
      </w:r>
    </w:p>
    <w:p>
      <w:pPr>
        <w:spacing w:line="360" w:lineRule="auto"/>
        <w:rPr>
          <w:rFonts w:ascii="黑体" w:hAnsi="黑体" w:eastAsia="黑体"/>
          <w:szCs w:val="24"/>
        </w:rPr>
      </w:pPr>
      <w:bookmarkStart w:id="28" w:name="_Toc21966339"/>
      <w:r>
        <w:rPr>
          <w:rFonts w:hint="eastAsia" w:ascii="黑体" w:hAnsi="黑体" w:eastAsia="黑体"/>
          <w:szCs w:val="24"/>
        </w:rPr>
        <w:t>3.17</w:t>
      </w:r>
    </w:p>
    <w:p>
      <w:pPr>
        <w:spacing w:line="360" w:lineRule="auto"/>
        <w:ind w:firstLine="420" w:firstLineChars="200"/>
        <w:rPr>
          <w:rFonts w:ascii="黑体" w:hAnsi="黑体" w:eastAsia="黑体"/>
          <w:szCs w:val="24"/>
        </w:rPr>
      </w:pPr>
      <w:r>
        <w:rPr>
          <w:rFonts w:hint="eastAsia" w:ascii="黑体" w:hAnsi="黑体" w:eastAsia="黑体"/>
          <w:szCs w:val="24"/>
        </w:rPr>
        <w:t>预警判据 early warning criterion</w:t>
      </w:r>
      <w:bookmarkEnd w:id="28"/>
    </w:p>
    <w:p>
      <w:pPr>
        <w:spacing w:line="360" w:lineRule="auto"/>
        <w:ind w:firstLine="420" w:firstLineChars="200"/>
        <w:rPr>
          <w:rFonts w:ascii="Times New Roman" w:hAnsi="Times New Roman"/>
          <w:szCs w:val="21"/>
        </w:rPr>
      </w:pPr>
      <w:r>
        <w:rPr>
          <w:rFonts w:hint="eastAsia" w:ascii="Times New Roman" w:hAnsi="Times New Roman"/>
          <w:szCs w:val="21"/>
        </w:rPr>
        <w:t>通过预测预警模型，对地质灾害发生的时间和空间范围内的相关因素临界阈值或临界标志做出的判断依据。</w:t>
      </w:r>
      <w:bookmarkStart w:id="29" w:name="_Toc21966340"/>
      <w:bookmarkStart w:id="30" w:name="_Toc534577721"/>
    </w:p>
    <w:p>
      <w:pPr>
        <w:pStyle w:val="2"/>
        <w:spacing w:before="240" w:after="240"/>
      </w:pPr>
      <w:bookmarkStart w:id="31" w:name="_Toc33177672"/>
      <w:r>
        <w:rPr>
          <w:rFonts w:hint="eastAsia"/>
        </w:rPr>
        <w:t xml:space="preserve">4  </w:t>
      </w:r>
      <w:r>
        <w:t>总则</w:t>
      </w:r>
      <w:bookmarkEnd w:id="29"/>
      <w:bookmarkEnd w:id="30"/>
      <w:bookmarkEnd w:id="31"/>
    </w:p>
    <w:p>
      <w:pPr>
        <w:pStyle w:val="3"/>
        <w:spacing w:before="120" w:after="120"/>
      </w:pPr>
      <w:bookmarkStart w:id="32" w:name="_Toc33177673"/>
      <w:bookmarkStart w:id="33" w:name="_Toc21966342"/>
      <w:r>
        <w:rPr>
          <w:rFonts w:hint="eastAsia"/>
        </w:rPr>
        <w:t>4</w:t>
      </w:r>
      <w:r>
        <w:t>.</w:t>
      </w:r>
      <w:r>
        <w:rPr>
          <w:rFonts w:hint="eastAsia"/>
        </w:rPr>
        <w:t xml:space="preserve">1  </w:t>
      </w:r>
      <w:r>
        <w:t>专业监测目的</w:t>
      </w:r>
      <w:bookmarkEnd w:id="32"/>
      <w:bookmarkEnd w:id="33"/>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ascii="宋体" w:hAnsi="宋体"/>
          <w:kern w:val="0"/>
          <w:szCs w:val="21"/>
        </w:rPr>
        <w:t>掌握地质灾害体变形的时空动态，为预警预报</w:t>
      </w:r>
      <w:r>
        <w:rPr>
          <w:rFonts w:hint="eastAsia" w:ascii="宋体" w:hAnsi="宋体"/>
          <w:kern w:val="0"/>
          <w:szCs w:val="21"/>
        </w:rPr>
        <w:t>、工程治理设计、施工安全</w:t>
      </w:r>
      <w:r>
        <w:rPr>
          <w:rFonts w:ascii="宋体" w:hAnsi="宋体"/>
          <w:kern w:val="0"/>
          <w:szCs w:val="21"/>
        </w:rPr>
        <w:t>及治理工程效果评价等提供依据</w:t>
      </w:r>
      <w:r>
        <w:rPr>
          <w:rFonts w:hint="eastAsia" w:ascii="宋体" w:hAnsi="宋体"/>
          <w:kern w:val="0"/>
          <w:szCs w:val="21"/>
        </w:rPr>
        <w:t>，</w:t>
      </w:r>
      <w:r>
        <w:rPr>
          <w:rFonts w:ascii="宋体" w:hAnsi="宋体"/>
          <w:kern w:val="0"/>
          <w:szCs w:val="21"/>
        </w:rPr>
        <w:t>为应急处置决策和最大限度地保护</w:t>
      </w:r>
      <w:r>
        <w:rPr>
          <w:rFonts w:hint="eastAsia" w:ascii="宋体" w:hAnsi="宋体"/>
          <w:kern w:val="0"/>
          <w:szCs w:val="21"/>
        </w:rPr>
        <w:t>群众</w:t>
      </w:r>
      <w:r>
        <w:rPr>
          <w:rFonts w:ascii="宋体" w:hAnsi="宋体"/>
          <w:kern w:val="0"/>
          <w:szCs w:val="21"/>
        </w:rPr>
        <w:t>生命财产安全提供技术支撑。</w:t>
      </w:r>
    </w:p>
    <w:p>
      <w:pPr>
        <w:pStyle w:val="3"/>
        <w:spacing w:before="120" w:after="120"/>
      </w:pPr>
      <w:bookmarkStart w:id="34" w:name="_Toc21966343"/>
      <w:bookmarkStart w:id="35" w:name="_Toc33177674"/>
      <w:r>
        <w:rPr>
          <w:rFonts w:hint="eastAsia"/>
        </w:rPr>
        <w:t>4</w:t>
      </w:r>
      <w:r>
        <w:t>.</w:t>
      </w:r>
      <w:r>
        <w:rPr>
          <w:rFonts w:hint="eastAsia"/>
        </w:rPr>
        <w:t xml:space="preserve">2  </w:t>
      </w:r>
      <w:r>
        <w:t>专业监测任务</w:t>
      </w:r>
      <w:bookmarkEnd w:id="34"/>
      <w:bookmarkEnd w:id="35"/>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.1</w:t>
      </w:r>
      <w:r>
        <w:rPr>
          <w:rFonts w:hint="eastAsia" w:ascii="宋体" w:hAnsi="宋体"/>
          <w:kern w:val="0"/>
          <w:szCs w:val="21"/>
        </w:rPr>
        <w:t xml:space="preserve">  </w:t>
      </w:r>
      <w:r>
        <w:rPr>
          <w:rFonts w:ascii="宋体" w:hAnsi="宋体"/>
          <w:kern w:val="0"/>
          <w:szCs w:val="21"/>
        </w:rPr>
        <w:t>根据地质灾害特征与危害范围，确定监测内容、监测手段与仪器设备等</w:t>
      </w:r>
      <w:r>
        <w:rPr>
          <w:rFonts w:hint="eastAsia" w:ascii="宋体" w:hAnsi="宋体"/>
          <w:kern w:val="0"/>
          <w:szCs w:val="21"/>
        </w:rPr>
        <w:t>，建设监测系统</w:t>
      </w:r>
      <w:r>
        <w:rPr>
          <w:rFonts w:ascii="宋体" w:hAnsi="宋体"/>
          <w:kern w:val="0"/>
          <w:szCs w:val="21"/>
        </w:rPr>
        <w:t>，及时开展专业监测。</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.2</w:t>
      </w:r>
      <w:r>
        <w:rPr>
          <w:rFonts w:hint="eastAsia" w:ascii="宋体" w:hAnsi="宋体"/>
          <w:kern w:val="0"/>
          <w:szCs w:val="21"/>
        </w:rPr>
        <w:t xml:space="preserve">  </w:t>
      </w:r>
      <w:r>
        <w:rPr>
          <w:rFonts w:ascii="宋体" w:hAnsi="宋体"/>
          <w:kern w:val="0"/>
          <w:szCs w:val="21"/>
        </w:rPr>
        <w:t>对监测信息进行</w:t>
      </w:r>
      <w:r>
        <w:rPr>
          <w:rFonts w:hint="eastAsia" w:ascii="宋体" w:hAnsi="宋体"/>
          <w:kern w:val="0"/>
          <w:szCs w:val="21"/>
        </w:rPr>
        <w:t>采</w:t>
      </w:r>
      <w:r>
        <w:rPr>
          <w:rFonts w:ascii="宋体" w:hAnsi="宋体"/>
          <w:kern w:val="0"/>
          <w:szCs w:val="21"/>
        </w:rPr>
        <w:t>集、整理与分析，并根据地质灾害发展变化情况及时调整监测方案，按需求获取地质灾害体动态变化等必要且可靠的相关信息。</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.3</w:t>
      </w:r>
      <w:r>
        <w:rPr>
          <w:rFonts w:hint="eastAsia" w:ascii="宋体" w:hAnsi="宋体"/>
          <w:kern w:val="0"/>
          <w:szCs w:val="21"/>
        </w:rPr>
        <w:t xml:space="preserve">  综合</w:t>
      </w:r>
      <w:r>
        <w:rPr>
          <w:rFonts w:ascii="宋体" w:hAnsi="宋体"/>
          <w:kern w:val="0"/>
          <w:szCs w:val="21"/>
        </w:rPr>
        <w:t>判定</w:t>
      </w:r>
      <w:r>
        <w:rPr>
          <w:rFonts w:hint="eastAsia" w:ascii="宋体" w:hAnsi="宋体"/>
          <w:kern w:val="0"/>
          <w:szCs w:val="21"/>
        </w:rPr>
        <w:t>地质灾害体</w:t>
      </w:r>
      <w:r>
        <w:rPr>
          <w:rFonts w:ascii="宋体" w:hAnsi="宋体"/>
          <w:kern w:val="0"/>
          <w:szCs w:val="21"/>
        </w:rPr>
        <w:t>变形发展趋势，确定预警</w:t>
      </w:r>
      <w:r>
        <w:rPr>
          <w:rFonts w:hint="eastAsia" w:ascii="宋体" w:hAnsi="宋体"/>
          <w:kern w:val="0"/>
          <w:szCs w:val="21"/>
        </w:rPr>
        <w:t>判据</w:t>
      </w:r>
      <w:r>
        <w:rPr>
          <w:rFonts w:ascii="宋体" w:hAnsi="宋体"/>
          <w:kern w:val="0"/>
          <w:szCs w:val="21"/>
        </w:rPr>
        <w:t>，</w:t>
      </w:r>
      <w:r>
        <w:rPr>
          <w:rFonts w:hint="eastAsia" w:ascii="宋体" w:hAnsi="宋体"/>
          <w:kern w:val="0"/>
          <w:szCs w:val="21"/>
        </w:rPr>
        <w:t>及时发布</w:t>
      </w:r>
      <w:r>
        <w:rPr>
          <w:rFonts w:ascii="宋体" w:hAnsi="宋体"/>
          <w:kern w:val="0"/>
          <w:szCs w:val="21"/>
        </w:rPr>
        <w:t>预警</w:t>
      </w:r>
      <w:r>
        <w:rPr>
          <w:rFonts w:hint="eastAsia" w:ascii="宋体" w:hAnsi="宋体"/>
          <w:kern w:val="0"/>
          <w:szCs w:val="21"/>
        </w:rPr>
        <w:t>和预报</w:t>
      </w:r>
      <w:r>
        <w:rPr>
          <w:rFonts w:ascii="宋体" w:hAnsi="宋体"/>
          <w:kern w:val="0"/>
          <w:szCs w:val="21"/>
        </w:rPr>
        <w:t>。</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.4</w:t>
      </w:r>
      <w:r>
        <w:rPr>
          <w:rFonts w:hint="eastAsia" w:ascii="宋体" w:hAnsi="宋体"/>
          <w:kern w:val="0"/>
          <w:szCs w:val="21"/>
        </w:rPr>
        <w:t xml:space="preserve">  </w:t>
      </w:r>
      <w:r>
        <w:rPr>
          <w:rFonts w:ascii="宋体" w:hAnsi="宋体"/>
          <w:kern w:val="0"/>
          <w:szCs w:val="21"/>
        </w:rPr>
        <w:t>及时提交专业监测成果，完成资料归档。</w:t>
      </w:r>
    </w:p>
    <w:p>
      <w:pPr>
        <w:pStyle w:val="3"/>
        <w:spacing w:before="120" w:after="120"/>
      </w:pPr>
      <w:bookmarkStart w:id="36" w:name="_Toc21966344"/>
      <w:bookmarkStart w:id="37" w:name="_Toc33177675"/>
      <w:r>
        <w:rPr>
          <w:rFonts w:hint="eastAsia"/>
        </w:rPr>
        <w:t>4</w:t>
      </w:r>
      <w:r>
        <w:t>.</w:t>
      </w:r>
      <w:r>
        <w:rPr>
          <w:rFonts w:hint="eastAsia"/>
        </w:rPr>
        <w:t xml:space="preserve">3  </w:t>
      </w:r>
      <w:r>
        <w:t>专业监测分类</w:t>
      </w:r>
      <w:bookmarkEnd w:id="36"/>
      <w:bookmarkEnd w:id="37"/>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w:t>
      </w:r>
      <w:r>
        <w:rPr>
          <w:rFonts w:ascii="黑体" w:hAnsi="黑体" w:eastAsia="黑体"/>
          <w:kern w:val="0"/>
          <w:szCs w:val="21"/>
        </w:rPr>
        <w:t>.</w:t>
      </w:r>
      <w:r>
        <w:rPr>
          <w:rFonts w:hint="eastAsia" w:ascii="黑体" w:hAnsi="黑体" w:eastAsia="黑体"/>
          <w:kern w:val="0"/>
          <w:szCs w:val="21"/>
        </w:rPr>
        <w:t>3</w:t>
      </w:r>
      <w:r>
        <w:rPr>
          <w:rFonts w:ascii="黑体" w:hAnsi="黑体" w:eastAsia="黑体"/>
          <w:kern w:val="0"/>
          <w:szCs w:val="21"/>
        </w:rPr>
        <w:t>.1</w:t>
      </w:r>
      <w:r>
        <w:rPr>
          <w:rFonts w:hint="eastAsia" w:ascii="宋体" w:hAnsi="宋体"/>
          <w:kern w:val="0"/>
          <w:szCs w:val="21"/>
        </w:rPr>
        <w:t xml:space="preserve">  </w:t>
      </w:r>
      <w:r>
        <w:rPr>
          <w:rFonts w:ascii="宋体" w:hAnsi="宋体"/>
          <w:kern w:val="0"/>
          <w:szCs w:val="21"/>
        </w:rPr>
        <w:t>根据监测预警对象、范围、时空的不同</w:t>
      </w:r>
      <w:r>
        <w:rPr>
          <w:rFonts w:hint="eastAsia" w:ascii="宋体" w:hAnsi="宋体"/>
          <w:kern w:val="0"/>
          <w:szCs w:val="21"/>
        </w:rPr>
        <w:t>，可</w:t>
      </w:r>
      <w:r>
        <w:rPr>
          <w:rFonts w:ascii="宋体" w:hAnsi="宋体"/>
          <w:kern w:val="0"/>
          <w:szCs w:val="21"/>
        </w:rPr>
        <w:t>分为</w:t>
      </w:r>
      <w:r>
        <w:rPr>
          <w:rFonts w:hint="eastAsia" w:ascii="宋体" w:hAnsi="宋体"/>
          <w:kern w:val="0"/>
          <w:szCs w:val="21"/>
        </w:rPr>
        <w:t>地质灾害</w:t>
      </w:r>
      <w:r>
        <w:rPr>
          <w:rFonts w:ascii="宋体" w:hAnsi="宋体"/>
          <w:kern w:val="0"/>
          <w:szCs w:val="21"/>
        </w:rPr>
        <w:t>区域监测和</w:t>
      </w:r>
      <w:r>
        <w:rPr>
          <w:rFonts w:hint="eastAsia" w:ascii="宋体" w:hAnsi="宋体"/>
          <w:kern w:val="0"/>
          <w:szCs w:val="21"/>
        </w:rPr>
        <w:t>地质灾害</w:t>
      </w:r>
      <w:r>
        <w:rPr>
          <w:rFonts w:ascii="宋体" w:hAnsi="宋体"/>
          <w:kern w:val="0"/>
          <w:szCs w:val="21"/>
        </w:rPr>
        <w:t>隐患点监测</w:t>
      </w:r>
      <w:r>
        <w:rPr>
          <w:rFonts w:hint="eastAsia" w:ascii="宋体" w:hAnsi="宋体"/>
          <w:kern w:val="0"/>
          <w:szCs w:val="21"/>
        </w:rPr>
        <w:t>（以下简称区域监测和隐患点监测）</w:t>
      </w:r>
      <w:r>
        <w:rPr>
          <w:rFonts w:ascii="宋体" w:hAnsi="宋体"/>
          <w:kern w:val="0"/>
          <w:szCs w:val="21"/>
        </w:rPr>
        <w:t>。</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w:t>
      </w:r>
      <w:r>
        <w:rPr>
          <w:rFonts w:ascii="黑体" w:hAnsi="黑体" w:eastAsia="黑体"/>
          <w:kern w:val="0"/>
          <w:szCs w:val="21"/>
        </w:rPr>
        <w:t>.</w:t>
      </w:r>
      <w:r>
        <w:rPr>
          <w:rFonts w:hint="eastAsia" w:ascii="黑体" w:hAnsi="黑体" w:eastAsia="黑体"/>
          <w:kern w:val="0"/>
          <w:szCs w:val="21"/>
        </w:rPr>
        <w:t>3</w:t>
      </w:r>
      <w:r>
        <w:rPr>
          <w:rFonts w:ascii="黑体" w:hAnsi="黑体" w:eastAsia="黑体"/>
          <w:kern w:val="0"/>
          <w:szCs w:val="21"/>
        </w:rPr>
        <w:t>.2</w:t>
      </w:r>
      <w:r>
        <w:rPr>
          <w:rFonts w:hint="eastAsia" w:ascii="宋体" w:hAnsi="宋体"/>
          <w:kern w:val="0"/>
          <w:szCs w:val="21"/>
        </w:rPr>
        <w:t xml:space="preserve">  按监测状态可分为应急监测、常规监测。</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4.3.3</w:t>
      </w:r>
      <w:r>
        <w:rPr>
          <w:rFonts w:hint="eastAsia" w:ascii="宋体" w:hAnsi="宋体"/>
          <w:kern w:val="0"/>
          <w:szCs w:val="21"/>
        </w:rPr>
        <w:t xml:space="preserve">  按监测时间长短可分为临灾监测、短期监测、中长期监测。</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4.3.4</w:t>
      </w:r>
      <w:r>
        <w:rPr>
          <w:rFonts w:hint="eastAsia" w:ascii="宋体" w:hAnsi="宋体"/>
          <w:kern w:val="0"/>
          <w:szCs w:val="21"/>
        </w:rPr>
        <w:t xml:space="preserve">  按治理工程阶段及其监测目的的不同，还可分为勘（调）查期间监测、治理工程施工期安全监测和治理工程效果监测等。</w:t>
      </w:r>
    </w:p>
    <w:p>
      <w:pPr>
        <w:tabs>
          <w:tab w:val="center" w:pos="4201"/>
          <w:tab w:val="right" w:leader="dot" w:pos="9298"/>
        </w:tabs>
        <w:autoSpaceDE w:val="0"/>
        <w:autoSpaceDN w:val="0"/>
        <w:spacing w:line="360" w:lineRule="auto"/>
        <w:rPr>
          <w:rFonts w:ascii="Times New Roman" w:hAnsi="宋体"/>
          <w:szCs w:val="21"/>
        </w:rPr>
      </w:pPr>
      <w:r>
        <w:rPr>
          <w:rFonts w:hint="eastAsia" w:ascii="黑体" w:hAnsi="黑体" w:eastAsia="黑体"/>
          <w:kern w:val="0"/>
          <w:szCs w:val="21"/>
        </w:rPr>
        <w:t>4.3.5</w:t>
      </w:r>
      <w:r>
        <w:rPr>
          <w:rFonts w:hint="eastAsia" w:ascii="宋体" w:hAnsi="宋体"/>
          <w:kern w:val="0"/>
          <w:szCs w:val="21"/>
        </w:rPr>
        <w:t xml:space="preserve">  湖北省地质灾害综合防治体系的专业监测预警工程主要分为区域监测和隐患点监测。</w:t>
      </w:r>
    </w:p>
    <w:p>
      <w:pPr>
        <w:pStyle w:val="3"/>
        <w:spacing w:before="120" w:after="120"/>
      </w:pPr>
      <w:bookmarkStart w:id="38" w:name="_Toc33177676"/>
      <w:r>
        <w:t>4.</w:t>
      </w:r>
      <w:r>
        <w:rPr>
          <w:rFonts w:hint="eastAsia"/>
        </w:rPr>
        <w:t>4  工作流程</w:t>
      </w:r>
      <w:bookmarkEnd w:id="38"/>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w:t>
      </w:r>
      <w:r>
        <w:rPr>
          <w:rFonts w:ascii="黑体" w:hAnsi="黑体" w:eastAsia="黑体"/>
          <w:kern w:val="0"/>
          <w:szCs w:val="21"/>
        </w:rPr>
        <w:t>.</w:t>
      </w:r>
      <w:r>
        <w:rPr>
          <w:rFonts w:hint="eastAsia" w:ascii="黑体" w:hAnsi="黑体" w:eastAsia="黑体"/>
          <w:kern w:val="0"/>
          <w:szCs w:val="21"/>
        </w:rPr>
        <w:t>4</w:t>
      </w:r>
      <w:r>
        <w:rPr>
          <w:rFonts w:ascii="黑体" w:hAnsi="黑体" w:eastAsia="黑体"/>
          <w:kern w:val="0"/>
          <w:szCs w:val="21"/>
        </w:rPr>
        <w:t>.1</w:t>
      </w:r>
      <w:r>
        <w:rPr>
          <w:rFonts w:hint="eastAsia" w:ascii="宋体" w:hAnsi="宋体"/>
          <w:kern w:val="0"/>
          <w:szCs w:val="21"/>
        </w:rPr>
        <w:t xml:space="preserve">  区域监测的工作流程按“需求分析―资料收集―区域性的地质背景与地质灾害调（勘）查―监测预警设计或方案―工程部署建设―监测数据获取―信息分析处理―风险评估预测―预警预报”进行。</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4</w:t>
      </w:r>
      <w:r>
        <w:rPr>
          <w:rFonts w:ascii="黑体" w:hAnsi="黑体" w:eastAsia="黑体"/>
          <w:kern w:val="0"/>
          <w:szCs w:val="21"/>
        </w:rPr>
        <w:t>.</w:t>
      </w:r>
      <w:r>
        <w:rPr>
          <w:rFonts w:hint="eastAsia" w:ascii="黑体" w:hAnsi="黑体" w:eastAsia="黑体"/>
          <w:kern w:val="0"/>
          <w:szCs w:val="21"/>
        </w:rPr>
        <w:t>4</w:t>
      </w:r>
      <w:r>
        <w:rPr>
          <w:rFonts w:ascii="黑体" w:hAnsi="黑体" w:eastAsia="黑体"/>
          <w:kern w:val="0"/>
          <w:szCs w:val="21"/>
        </w:rPr>
        <w:t>.</w:t>
      </w:r>
      <w:r>
        <w:rPr>
          <w:rFonts w:hint="eastAsia" w:ascii="黑体" w:hAnsi="黑体" w:eastAsia="黑体"/>
          <w:kern w:val="0"/>
          <w:szCs w:val="21"/>
        </w:rPr>
        <w:t>2</w:t>
      </w:r>
      <w:r>
        <w:rPr>
          <w:rFonts w:hint="eastAsia" w:ascii="宋体" w:hAnsi="宋体"/>
          <w:kern w:val="0"/>
          <w:szCs w:val="21"/>
        </w:rPr>
        <w:t xml:space="preserve">  隐患点</w:t>
      </w:r>
      <w:r>
        <w:rPr>
          <w:rFonts w:ascii="宋体" w:hAnsi="宋体"/>
          <w:kern w:val="0"/>
          <w:szCs w:val="21"/>
        </w:rPr>
        <w:t>监测</w:t>
      </w:r>
      <w:r>
        <w:rPr>
          <w:rFonts w:hint="eastAsia" w:ascii="宋体" w:hAnsi="宋体"/>
          <w:kern w:val="0"/>
          <w:szCs w:val="21"/>
        </w:rPr>
        <w:t>的</w:t>
      </w:r>
      <w:r>
        <w:rPr>
          <w:rFonts w:ascii="宋体" w:hAnsi="宋体"/>
          <w:kern w:val="0"/>
          <w:szCs w:val="21"/>
        </w:rPr>
        <w:t>工作流程按图</w:t>
      </w:r>
      <w:r>
        <w:rPr>
          <w:rFonts w:ascii="Times New Roman" w:hAnsi="Times New Roman"/>
          <w:kern w:val="0"/>
          <w:szCs w:val="21"/>
        </w:rPr>
        <w:t>1所</w:t>
      </w:r>
      <w:r>
        <w:rPr>
          <w:rFonts w:ascii="宋体" w:hAnsi="宋体"/>
          <w:kern w:val="0"/>
          <w:szCs w:val="21"/>
        </w:rPr>
        <w:t>示</w:t>
      </w:r>
      <w:r>
        <w:rPr>
          <w:rFonts w:hint="eastAsia" w:ascii="宋体" w:hAnsi="宋体"/>
          <w:kern w:val="0"/>
          <w:szCs w:val="21"/>
        </w:rPr>
        <w:t>进行</w:t>
      </w:r>
      <w:r>
        <w:rPr>
          <w:rFonts w:ascii="宋体" w:hAnsi="宋体"/>
          <w:kern w:val="0"/>
          <w:szCs w:val="21"/>
        </w:rPr>
        <w:t>。</w:t>
      </w:r>
    </w:p>
    <w:p>
      <w:pPr>
        <w:tabs>
          <w:tab w:val="center" w:pos="4201"/>
          <w:tab w:val="right" w:leader="dot" w:pos="9298"/>
        </w:tabs>
        <w:autoSpaceDE w:val="0"/>
        <w:autoSpaceDN w:val="0"/>
        <w:spacing w:line="360" w:lineRule="auto"/>
        <w:ind w:firstLine="420" w:firstLineChars="200"/>
        <w:rPr>
          <w:rFonts w:ascii="宋体" w:hAnsi="宋体"/>
          <w:kern w:val="0"/>
          <w:szCs w:val="21"/>
        </w:rPr>
      </w:pPr>
    </w:p>
    <w:p>
      <w:pPr>
        <w:keepNext/>
        <w:keepLines/>
        <w:spacing w:before="120" w:beforeLines="50" w:after="120" w:afterLines="50"/>
        <w:jc w:val="left"/>
        <w:outlineLvl w:val="1"/>
        <w:rPr>
          <w:rFonts w:ascii="黑体" w:hAnsi="黑体" w:eastAsia="黑体"/>
          <w:bCs/>
          <w:szCs w:val="21"/>
        </w:rPr>
        <w:sectPr>
          <w:footerReference r:id="rId6" w:type="default"/>
          <w:pgSz w:w="11906" w:h="16838"/>
          <w:pgMar w:top="1418" w:right="1134" w:bottom="1134" w:left="1418" w:header="851" w:footer="992" w:gutter="0"/>
          <w:pgNumType w:start="1"/>
          <w:cols w:space="425" w:num="1"/>
          <w:docGrid w:linePitch="312" w:charSpace="0"/>
        </w:sectPr>
      </w:pPr>
      <w:bookmarkStart w:id="39" w:name="_Toc21966345"/>
    </w:p>
    <w:bookmarkEnd w:id="39"/>
    <w:p>
      <w:pPr>
        <w:spacing w:line="400" w:lineRule="exact"/>
        <w:rPr>
          <w:rFonts w:ascii="Times New Roman" w:hAnsi="Times New Roman"/>
        </w:rPr>
      </w:pPr>
      <w:r>
        <w:pict>
          <v:group id="Group 379" o:spid="_x0000_s1026" o:spt="203" style="position:absolute;left:0pt;margin-left:92.6pt;margin-top:13.05pt;height:174.35pt;width:256.5pt;z-index:251687936;mso-width-relative:page;mso-height-relative:page;" coordorigin="3270,2480" coordsize="5130,3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Ca6kQQAAJAUAAAOAAAAZHJzL2Uyb0RvYy54bWzsWN2O4zQUvkfiHazcd9r8NWk0mdXQnxHS&#10;Aivt8gBu4vyIxA62Z9oBcQt3e7k3IBAIkJAWrvYW8TQ7y2NwbCdpO8wso66oFjS9SO3Ycc75zufv&#10;HOf4wbqu0AXhomQ0tuyjkYUITVha0jy2Pn6yGIQWEhLTFFeMkti6JMJ6cPLuO8erJiIOK1iVEo5g&#10;ESqiVRNbhZRNNByKpCA1FkesIRQGM8ZrLKHL82HK8QpWr6uhMxqNhyvG04azhAgBd2dm0DrR62cZ&#10;SeRHWSaIRFVsgW1SX7m+LtV1eHKMo5zjpiiT1gy8hxU1Lim8tF9qhiVG57z821J1mXAmWCaPElYP&#10;WZaVCdE+gDf26Jo3Z5ydN9qXPFrlTQ8TQHsNp72XTT68eMRRmcbWeOJaiOIagqTfi9xgouBZNXkE&#10;s85487h5xI2P0HzIkk8EDA+vj6t+biaj5eoDlsKC+FwyDc8647VaAhxHax2Fyz4KZC1RAjddxw98&#10;H4KVwJjj2J7j+SZOSQHBVM+5TgDjatgL2xgmxbx93rfd9mHXCwP15BBH5sXa2NY45RlwTmxgFW8G&#10;6+MCN0RHSyjAeli9DtarZ19dffP86vsvkWOA1fMUqkiu32Pgl61BEgZcRNm0wDQnp5yzVUFwCgba&#10;2h9lObzCBER1hFrkn9B2A4XqDmod5p5tBwZwd6KN6yHDUcOFPCOsRqoRWxz2lDYTXzwU0qDbTVGh&#10;Fawq00VZVbrD8+W04ugCw/5b6F8bkJ1pFUUrYKAL9r1+iZH+3bREXUoQkqqsYyvsJ+FIwTanKZiJ&#10;I4nLyrTBu4pq7hroDBfkermGiQrPJUsvAVHOjGCAwEGjYPwzC61ALGJLfHqOObFQ9T6FqACsUjc8&#10;P3Cgw7u7y+27mCawRGwlklvIdKbSaNF5w8u8gHcYBlB2CjsmKzW8G3tai4GzByOv35H31dcvrp7+&#10;9Oq3X1/++OLPP75V7ec/I3eLyFNq5CFZ01YeegbrrfHksgEp2CGweeTOBPYnPtijCBwGmqU46gjc&#10;7XhHa9bt7BWSY4X0lFEKRGbcAH4LlylTRNbkMRSd+I6/N0VBzVsm3sBKJDU8WO11IFls1SQFehHI&#10;qqpl9pkirfYZdl7bMlnm88loMg/noTfwnPF84I1ms8HpYuoNxgs78GfubDqd2V8oy20vKso0JVR5&#10;1mU827ub9LW51+SqPuf1KA13V9fCCwHq/rXRIMHbe85sNOWdun9IZo97Zn/3y8vff0DeFpWNsIKW&#10;/VtK3OUvF7K+eu+GyJvsZY/DN5TiPjBK7hSnXCDD3vRVIj/DojBinkLLWL6P8r59JN7JR+IuaWtv&#10;tt85rUxsz7s5tbQj//n0AkWHKTlvTi/2dqF0wPzihaHObJtt2eUXe9xKcVfJdqVPWx3d55f7/GJO&#10;U3DwNdTelP32drl0uLrfH7lwtIOyyYcT8262sYPAbut+qL1NkXELs//fdb8+AutUvCm373W6P8NO&#10;OjLfotPbxdMBddpX3wl2yqdWpz04zr6Wzfc6/dbrtP5YA5+99PGh/USnvqtt9/W5YfMh8eQvAAAA&#10;//8DAFBLAwQUAAYACAAAACEAt9A6e+EAAAAKAQAADwAAAGRycy9kb3ducmV2LnhtbEyPwU6DQBCG&#10;7ya+w2ZMvNkFahGRpWka9dQ0sTVpepvCFEjZXcJugb6940mP/8yXf77JlpNuxUC9a6xREM4CEGQK&#10;WzamUvC9/3hKQDiPpsTWGlJwIwfL/P4uw7S0o/miYecrwSXGpaig9r5LpXRFTRrdzHZkeHe2vUbP&#10;sa9k2ePI5bqVURDEUmNj+EKNHa1rKi67q1bwOeK4mofvw+ZyXt+O+8X2sAlJqceHafUGwtPk/2D4&#10;1Wd1yNnpZK+mdKLlnCwiRhVEcQiCgfg14cFJwfzlOQGZZ/L/C/kPAAAA//8DAFBLAQItABQABgAI&#10;AAAAIQC2gziS/gAAAOEBAAATAAAAAAAAAAAAAAAAAAAAAABbQ29udGVudF9UeXBlc10ueG1sUEsB&#10;Ai0AFAAGAAgAAAAhADj9If/WAAAAlAEAAAsAAAAAAAAAAAAAAAAALwEAAF9yZWxzLy5yZWxzUEsB&#10;Ai0AFAAGAAgAAAAhAN28JrqRBAAAkBQAAA4AAAAAAAAAAAAAAAAALgIAAGRycy9lMm9Eb2MueG1s&#10;UEsBAi0AFAAGAAgAAAAhALfQOnvhAAAACgEAAA8AAAAAAAAAAAAAAAAA6wYAAGRycy9kb3ducmV2&#10;LnhtbFBLBQYAAAAABAAEAPMAAAD5BwAAAAA=&#10;">
            <o:lock v:ext="edit"/>
            <v:shape id="文本框 2" o:spid="_x0000_s1027" o:spt="202" type="#_x0000_t202" style="position:absolute;left:3750;top:2480;height:392;width:4117;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hRbsIA&#10;AADcAAAADwAAAGRycy9kb3ducmV2LnhtbESPQYvCMBSE78L+h/AW9qapsohWo6igeBFcu3t/Ns+2&#10;mryUJmr990ZY8DjMzDfMdN5aI27U+Mqxgn4vAUGcO11xoeA3W3dHIHxA1mgck4IHeZjPPjpTTLW7&#10;8w/dDqEQEcI+RQVlCHUqpc9Lsuh7riaO3sk1FkOUTSF1g/cIt0YOkmQoLVYcF0qsaVVSfjlcrYK9&#10;XmRnPlZ771cj+ltuzG63MUp9fbaLCYhAbXiH/9tbrWA4/obXmXgE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CFFuwgAAANwAAAAPAAAAAAAAAAAAAAAAAJgCAABkcnMvZG93&#10;bnJldi54bWxQSwUGAAAAAAQABAD1AAAAhwMAAAAA&#10;">
              <v:path/>
              <v:fill focussize="0,0"/>
              <v:stroke weight="0.5pt" joinstyle="miter"/>
              <v:imagedata o:title=""/>
              <o:lock v:ext="edit"/>
              <v:textbox inset="0mm,1.27mm,0mm,1.27mm">
                <w:txbxContent>
                  <w:p>
                    <w:pPr>
                      <w:jc w:val="center"/>
                      <w:rPr>
                        <w:rFonts w:ascii="宋体" w:hAnsi="宋体"/>
                        <w:sz w:val="15"/>
                        <w:szCs w:val="15"/>
                      </w:rPr>
                    </w:pPr>
                    <w:r>
                      <w:rPr>
                        <w:rFonts w:hint="eastAsia" w:ascii="宋体" w:hAnsi="宋体"/>
                        <w:sz w:val="15"/>
                        <w:szCs w:val="15"/>
                      </w:rPr>
                      <w:t>资料收集、现场踏勘、隐患点勘（调）查</w:t>
                    </w:r>
                  </w:p>
                </w:txbxContent>
              </v:textbox>
            </v:shape>
            <v:shape id="直接箭头连接符 3" o:spid="_x0000_s1028" o:spt="32" type="#_x0000_t32" style="position:absolute;left:5955;top:2872;height:329;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oOcUAAADcAAAADwAAAGRycy9kb3ducmV2LnhtbESPT2vCQBTE74LfYXlCL6VuTNG20VVE&#10;sBY8+Qe8PrIv2WD2bchuY/z2bqHgcZiZ3zCLVW9r0VHrK8cKJuMEBHHudMWlgvNp+/YJwgdkjbVj&#10;UnAnD6vlcLDATLsbH6g7hlJECPsMFZgQmkxKnxuy6MeuIY5e4VqLIcq2lLrFW4TbWqZJMpMWK44L&#10;BhvaGMqvx1+roEg1TV6vF7P7mGKx2b+nXVd/K/Uy6tdzEIH68Az/t3+0gtnXFP7OxCMgl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7+oOcUAAADcAAAADwAAAAAAAAAA&#10;AAAAAAChAgAAZHJzL2Rvd25yZXYueG1sUEsFBgAAAAAEAAQA+QAAAJMDAAAAAA==&#10;">
              <v:path arrowok="t"/>
              <v:fill on="f" focussize="0,0"/>
              <v:stroke weight="0.5pt" endarrow="open"/>
              <v:imagedata o:title=""/>
              <o:lock v:ext="edit"/>
            </v:shape>
            <v:rect id="矩形 4" o:spid="_x0000_s1029" o:spt="1" style="position:absolute;left:3270;top:3201;height:1682;width:5130;v-text-anchor:middle;" fill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tqE8EA&#10;AADcAAAADwAAAGRycy9kb3ducmV2LnhtbESP0YrCMBRE3wX/IVzBN01XMGg1yiJY3Ufd/YBLc7cp&#10;29yUJtX690ZY8HGYmTPMdj+4RtyoC7VnDR/zDARx6U3NlYaf7+NsBSJEZIONZ9LwoAD73Xi0xdz4&#10;O1/odo2VSBAOOWqwMba5lKG05DDMfUucvF/fOYxJdpU0Hd4T3DVykWVKOqw5LVhs6WCp/Lv2TsNQ&#10;HC/9qY++WDbKfRXeqkdttZ5Ohs8NiEhDfIf/22ejQa0VvM6kIyB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rahPBAAAA3AAAAA8AAAAAAAAAAAAAAAAAmAIAAGRycy9kb3du&#10;cmV2LnhtbFBLBQYAAAAABAAEAPUAAACGAwAAAAA=&#10;">
              <v:path/>
              <v:fill on="f" focussize="0,0"/>
              <v:stroke weight="0.5pt" dashstyle="dash"/>
              <v:imagedata o:title=""/>
              <o:lock v:ext="edit"/>
            </v:rect>
            <v:shape id="直接箭头连接符 12" o:spid="_x0000_s1030" o:spt="32" type="#_x0000_t32" style="position:absolute;left:5955;top:4883;height:316;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GT1cQAAADcAAAADwAAAGRycy9kb3ducmV2LnhtbESPT2vCQBTE70K/w/IKvUjdmOK/6Coi&#10;tAqeagteH9mXbDD7NmTXmH77riB4HGbmN8xq09tadNT6yrGC8SgBQZw7XXGp4Pfn830OwgdkjbVj&#10;UvBHHjbrl8EKM+1u/E3dKZQiQthnqMCE0GRS+tyQRT9yDXH0CtdaDFG2pdQt3iLc1jJNkqm0WHFc&#10;MNjQzlB+OV2tgiLVNB5ezmY/m2CxO36kXVd/KfX22m+XIAL14Rl+tA9awXQxg/uZeAT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IZPVxAAAANwAAAAPAAAAAAAAAAAA&#10;AAAAAKECAABkcnMvZG93bnJldi54bWxQSwUGAAAAAAQABAD5AAAAkgMAAAAA&#10;">
              <v:path arrowok="t"/>
              <v:fill on="f" focussize="0,0"/>
              <v:stroke weight="0.5pt" endarrow="open"/>
              <v:imagedata o:title=""/>
              <o:lock v:ext="edit"/>
            </v:shape>
            <v:shape id="文本框 13" o:spid="_x0000_s1031" o:spt="202" type="#_x0000_t202" style="position:absolute;left:5033;top:5200;height:350;width:1771;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Io9MEA&#10;AADcAAAADwAAAGRycy9kb3ducmV2LnhtbERPzYrCMBC+C75DGGFvmroLotUosiDsHhZq9AHGZmyK&#10;zaQ0Ues+vTkIHj++/9Wmd424URdqzwqmkwwEcelNzZWC42E3noMIEdlg45kUPCjAZj0crDA3/s57&#10;uulYiRTCIUcFNsY2lzKUlhyGiW+JE3f2ncOYYFdJ0+E9hbtGfmbZTDqsOTVYbOnbUnnRV6fg2haH&#10;7dffr7bF4/gf5yddFzut1Meo3y5BROrjW/xy/xgFs0Vam86kIy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yKPTBAAAA3AAAAA8AAAAAAAAAAAAAAAAAmAIAAGRycy9kb3du&#10;cmV2LnhtbFBLBQYAAAAABAAEAPUAAACGAw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编制监测设计或方案</w:t>
                    </w:r>
                  </w:p>
                </w:txbxContent>
              </v:textbox>
            </v:shape>
            <v:shape id="直接箭头连接符 14" o:spid="_x0000_s1032" o:spt="32" type="#_x0000_t32" style="position:absolute;left:5955;top:5550;height:417;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KiPMQAAADcAAAADwAAAGRycy9kb3ducmV2LnhtbESPQWvCQBSE74L/YXlCL1I3pmhr6ioi&#10;tAqeagWvj+xLNph9G7JrTP99VxA8DjPzDbNc97YWHbW+cqxgOklAEOdOV1wqOP1+vX6A8AFZY+2Y&#10;FPyRh/VqOFhipt2Nf6g7hlJECPsMFZgQmkxKnxuy6CeuIY5e4VqLIcq2lLrFW4TbWqZJMpcWK44L&#10;BhvaGsovx6tVUKSapuPL2ezeZ1hsD29p19XfSr2M+s0niEB9eIYf7b1WMF8s4H4mHgG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8qI8xAAAANwAAAAPAAAAAAAAAAAA&#10;AAAAAKECAABkcnMvZG93bnJldi54bWxQSwUGAAAAAAQABAD5AAAAkgMAAAAA&#10;">
              <v:path arrowok="t"/>
              <v:fill on="f" focussize="0,0"/>
              <v:stroke weight="0.5pt" endarrow="open"/>
              <v:imagedata o:title=""/>
              <o:lock v:ext="edit"/>
            </v:shape>
          </v:group>
        </w:pict>
      </w:r>
    </w:p>
    <w:p>
      <w:pPr>
        <w:spacing w:line="400" w:lineRule="exact"/>
        <w:jc w:val="center"/>
        <w:rPr>
          <w:rFonts w:ascii="Times New Roman" w:hAnsi="Times New Roman"/>
        </w:rPr>
      </w:pPr>
    </w:p>
    <w:p>
      <w:pPr>
        <w:spacing w:line="400" w:lineRule="exact"/>
        <w:rPr>
          <w:rFonts w:ascii="Times New Roman" w:hAnsi="Times New Roman"/>
        </w:rPr>
      </w:pPr>
      <w:r>
        <w:rPr>
          <w:rFonts w:ascii="Times New Roman" w:hAnsi="Times New Roman"/>
        </w:rPr>
        <w:pict>
          <v:shape id="Text Box 238" o:spid="_x0000_s1033" o:spt="202" type="#_x0000_t202" style="position:absolute;left:0pt;margin-left:112.5pt;margin-top:19.45pt;height:61.5pt;width:24.75pt;z-index:251681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m2vLwIAAFwEAAAOAAAAZHJzL2Uyb0RvYy54bWysVE1v2zAMvQ/YfxB0X5w4SZsacYouXYYB&#10;3QfQbndGlmNhsqhJSuz8+1FymgXdsMMwH2TRpJ7I90gvb/tWs4N0XqEp+WQ05kwagZUyu5J/fdq8&#10;WXDmA5gKNBpZ8qP0/Hb1+tWys4XMsUFdSccIxPiisyVvQrBFlnnRyBb8CK005KzRtRDIdLusctAR&#10;equzfDy+yjp0lXUopPf09X5w8lXCr2spwue69jIwXXLKLaTVpXUb12y1hGLnwDZKnNKAf8iiBWXo&#10;0jPUPQRge6d+g2qVcOixDiOBbYZ1rYRMNVA1k/GLah4bsDLVQuR4e6bJ/z9Y8enwxTFVlfzqJufM&#10;QEsiPck+sLfYs3y6iAx11hcU+GgpNPTkIKVTtd4+oPjumcF1A2Yn75zDrpFQUYaTeDK7ODrg+Aiy&#10;7T5iRRfBPmAC6mvXRvqIEEbopNTxrE5MRtDH6WQ2zeecCXJdLybjeVIvg+L5sHU+vJfYsrgpuSPx&#10;EzgcHnyIyUDxHBLv8qhVtVFaJ8Pttmvt2AGoUTbpSfm/CNOGdSW/mVMef4cYp+dPEK0K1PFatSVf&#10;nIOgiKy9M1XqxwBKD3tKWZsTjZG5gcPQb/ukWf6szharI/HqcGhwGkjaSPhGb846au+S+x97cJIz&#10;/cGQOjeT2SzOQzJm8+ucDHfp2V56wIgGaWoIbNiuwzBDe+vUrqG7hn4weEeK1iqxHaUf8joVQC2c&#10;RDiNW5yRSztF/foprH4CAAD//wMAUEsDBBQABgAIAAAAIQB+tEst4AAAAAoBAAAPAAAAZHJzL2Rv&#10;d25yZXYueG1sTI/BTsMwEETvSPyDtUhcEHUaaJKmcSqE2iMVbeG+jbdJRGxHtpuav8ec4Ljap5k3&#10;1TqogU1kXW+0gPksAUa6MbLXrYCP4/axAOY8aomD0STgmxys69ubCktprnpP08G3LIZoV6KAzvux&#10;5Nw1HSl0MzOSjr+zsQp9PG3LpcVrDFcDT5Mk4wp7HRs6HOm1o+brcFECQnZ8eMv3Pt8UuynsOG43&#10;7/ZTiPu78LIC5in4Pxh+9aM61NHpZC5aOjYISNNF3OIFPBVLYBFI8+cFsFMks/kSeF3x/xPqHwAA&#10;AP//AwBQSwECLQAUAAYACAAAACEAtoM4kv4AAADhAQAAEwAAAAAAAAAAAAAAAAAAAAAAW0NvbnRl&#10;bnRfVHlwZXNdLnhtbFBLAQItABQABgAIAAAAIQA4/SH/1gAAAJQBAAALAAAAAAAAAAAAAAAAAC8B&#10;AABfcmVscy8ucmVsc1BLAQItABQABgAIAAAAIQA9Fm2vLwIAAFwEAAAOAAAAAAAAAAAAAAAAAC4C&#10;AABkcnMvZTJvRG9jLnhtbFBLAQItABQABgAIAAAAIQB+tEst4AAAAAoBAAAPAAAAAAAAAAAAAAAA&#10;AIkEAABkcnMvZG93bnJldi54bWxQSwUGAAAAAAQABADzAAAAlgUAAAAA&#10;">
            <v:path/>
            <v:fill focussize="0,0"/>
            <v:stroke joinstyle="miter"/>
            <v:imagedata o:title=""/>
            <o:lock v:ext="edit"/>
            <v:textbox style="layout-flow:vertical-ideographic;">
              <w:txbxContent>
                <w:p>
                  <w:pPr>
                    <w:jc w:val="center"/>
                    <w:rPr>
                      <w:sz w:val="15"/>
                      <w:szCs w:val="15"/>
                    </w:rPr>
                  </w:pPr>
                  <w:r>
                    <w:rPr>
                      <w:rFonts w:hint="eastAsia"/>
                      <w:sz w:val="15"/>
                      <w:szCs w:val="15"/>
                    </w:rPr>
                    <w:t>灾情险情</w:t>
                  </w:r>
                </w:p>
              </w:txbxContent>
            </v:textbox>
          </v:shape>
        </w:pict>
      </w:r>
      <w:r>
        <w:rPr>
          <w:rFonts w:ascii="Times New Roman" w:hAnsi="Times New Roman"/>
        </w:rPr>
        <w:pict>
          <v:shape id="Text Box 239" o:spid="_x0000_s1034" o:spt="202" type="#_x0000_t202" style="position:absolute;left:0pt;margin-left:155.1pt;margin-top:19.45pt;height:61.5pt;width:24.75pt;z-index:251682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uapLwIAAFwEAAAOAAAAZHJzL2Uyb0RvYy54bWysVE1v2zAMvQ/YfxB0Xx3no02MOkXXLsOA&#10;7gNotzsty7EwWdQkJXb+/Sg5zYJu2GGYD7JoUk/ke6Svb4ZOs710XqEpeX4x4UwagbUy25J/fdq8&#10;WXLmA5gaNBpZ8oP0/Gb9+tV1bws5xRZ1LR0jEOOL3pa8DcEWWeZFKzvwF2ilIWeDroNApttmtYOe&#10;0DudTSeTy6xHV1uHQnpPX+9HJ18n/KaRInxuGi8D0yWn3EJaXVqruGbrayi2DmyrxDEN+IcsOlCG&#10;Lj1B3UMAtnPqN6hOCYcem3AhsMuwaZSQqQaqJp+8qOaxBStTLUSOtyea/P+DFZ/2XxxTdckvVzln&#10;BjoS6UkOgb3FgU1nq8hQb31BgY+WQsNADlI6VevtA4rvnhm8a8Fs5a1z2LcSasowjyezs6Mjjo8g&#10;Vf8Ra7oIdgET0NC4LtJHhDBCJ6UOJ3ViMoI+zvL5bLrgTJDraplPFkm9DIrnw9b58F5ix+Km5I7E&#10;T+Cwf/AhJgPFc0i8y6NW9UZpnQy3re60Y3ugRtmkJ+X/Ikwb1pd8taA8/g4xSc+fIDoVqOO16kq+&#10;PAVBEVl7Z+rUjwGUHveUsjZHGiNzI4dhqIak2exZnQrrA/HqcGxwGkjaSPhGb856au+S+x87cJIz&#10;/cGQOqt8Po/zkIz54mpKhjv3VOceMKJFmhoCG7d3YZyhnXVq29JdYz8YvCVFG5XYjtKPeR0LoBZO&#10;IhzHLc7IuZ2ifv0U1j8BAAD//wMAUEsDBBQABgAIAAAAIQDmSkqD3wAAAAoBAAAPAAAAZHJzL2Rv&#10;d25yZXYueG1sTI/LTsMwEEX3SPyDNUhsEHXSiryIUyHULqloC3s3NklEPI5sNzV/z7CiuxnN0Z1z&#10;63U0I5u184NFAekiAaaxtWrATsDHcftYAPNBopKjRS3gR3tYN7c3tayUveBez4fQMQpBX0kBfQhT&#10;xblve22kX9hJI92+rDMy0Oo6rpy8ULgZ+TJJMm7kgPShl5N+7XX7fTgbATE7Przl+5Bvit0cd1xu&#10;N+/uU4j7u/jyDCzoGP5h+NMndWjI6WTPqDwbBazSZEkoDUUJjIDVU5kDOxGZpSXwpubXFZpfAAAA&#10;//8DAFBLAQItABQABgAIAAAAIQC2gziS/gAAAOEBAAATAAAAAAAAAAAAAAAAAAAAAABbQ29udGVu&#10;dF9UeXBlc10ueG1sUEsBAi0AFAAGAAgAAAAhADj9If/WAAAAlAEAAAsAAAAAAAAAAAAAAAAALwEA&#10;AF9yZWxzLy5yZWxzUEsBAi0AFAAGAAgAAAAhAIPS5qkvAgAAXAQAAA4AAAAAAAAAAAAAAAAALgIA&#10;AGRycy9lMm9Eb2MueG1sUEsBAi0AFAAGAAgAAAAhAOZKSoPfAAAACgEAAA8AAAAAAAAAAAAAAAAA&#10;iQQAAGRycy9kb3ducmV2LnhtbFBLBQYAAAAABAAEAPMAAACVBQAAAAA=&#10;">
            <v:path/>
            <v:fill focussize="0,0"/>
            <v:stroke joinstyle="miter"/>
            <v:imagedata o:title=""/>
            <o:lock v:ext="edit"/>
            <v:textbox style="layout-flow:vertical-ideographic;">
              <w:txbxContent>
                <w:p>
                  <w:pPr>
                    <w:jc w:val="center"/>
                    <w:rPr>
                      <w:sz w:val="15"/>
                      <w:szCs w:val="15"/>
                    </w:rPr>
                  </w:pPr>
                  <w:r>
                    <w:rPr>
                      <w:rFonts w:hint="eastAsia"/>
                      <w:sz w:val="15"/>
                      <w:szCs w:val="15"/>
                    </w:rPr>
                    <w:t>地质环境条件</w:t>
                  </w:r>
                </w:p>
              </w:txbxContent>
            </v:textbox>
          </v:shape>
        </w:pict>
      </w:r>
      <w:r>
        <w:rPr>
          <w:rFonts w:ascii="Times New Roman" w:hAnsi="Times New Roman"/>
        </w:rPr>
        <w:pict>
          <v:shape id="Text Box 243" o:spid="_x0000_s1035" o:spt="202" type="#_x0000_t202" style="position:absolute;left:0pt;margin-left:311.95pt;margin-top:19.45pt;height:61.5pt;width:24.75pt;z-index:2516869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a/9LgIAAFwEAAAOAAAAZHJzL2Uyb0RvYy54bWysVE2P0zAQvSPxHyzfafq520ZNV0uXIqTl&#10;Q9qF+9RxGgvHY2y3Sf89Y6ct1YI4IHJI7cz4+c17M13edY1mB+m8QlPw0WDImTQCS2V2Bf/6vHkz&#10;58wHMCVoNLLgR+n53er1q2VrcznGGnUpHSMQ4/PWFrwOweZZ5kUtG/ADtNJQsELXQKCt22Wlg5bQ&#10;G52Nh8ObrEVXWodCek9fH/ogXyX8qpIifK4qLwPTBSduIb1dem/jO1stId85sLUSJxrwDywaUIYu&#10;vUA9QAC2d+o3qEYJhx6rMBDYZFhVSshUA1UzGr6o5qkGK1MtJI63F5n8/4MVnw5fHFNlwW8WpI+B&#10;hkx6ll1gb7Fj4+kkKtRan1Pik6XU0FGAnE7VevuI4rtnBtc1mJ28dw7bWkJJDEfxZHZ1tMfxEWTb&#10;fsSSLoJ9wATUVa6J8pEgjNCJyfHiTiQj6ONkNJ2MZ5wJCt3OR8NZci+D/HzYOh/eS2xYXBTckfkJ&#10;HA6PPkQykJ9T4l0etSo3Suu0cbvtWjt2AGqUTXoS/xdp2rC24IsZ8fg7xDA9f4JoVKCO16op+PyS&#10;BHlU7Z0pUz8GULpfE2VtTjJG5XoNQ7ftkmfTsztbLI+kq8O+wWkgaSHhG/1y1lJ7F9z/2IOTnOkP&#10;htxZjKbTOA9pM53djmnjriPb6wgYUSNNDYH1y3XoZ2hvndrVdFffDwbvydFKJbWj9T2vUwHUwsmE&#10;07jFGbnep6xffwqrnwAAAP//AwBQSwMEFAAGAAgAAAAhACp2dHffAAAACgEAAA8AAABkcnMvZG93&#10;bnJldi54bWxMj8FOwzAMhu9IvENkJC6IpVtR2nVNJ4S2IxPb4J41WVvROFWTdeHtMSd2six/+v39&#10;5Trank1m9J1DCfNZAsxg7XSHjYTP4/Y5B+aDQq16h0bCj/Gwru7vSlVod8W9mQ6hYRSCvlAS2hCG&#10;gnNft8YqP3ODQbqd3WhVoHVsuB7VlcJtzxdJIrhVHdKHVg3mrTX19+FiJURxfHrP9iHb5Lsp7rja&#10;bj7GLykfH+LrClgwMfzD8KdP6lCR08ldUHvWSxCLdEmohDSnSYDI0hdgJyLFfAm8KvltheoXAAD/&#10;/wMAUEsBAi0AFAAGAAgAAAAhALaDOJL+AAAA4QEAABMAAAAAAAAAAAAAAAAAAAAAAFtDb250ZW50&#10;X1R5cGVzXS54bWxQSwECLQAUAAYACAAAACEAOP0h/9YAAACUAQAACwAAAAAAAAAAAAAAAAAvAQAA&#10;X3JlbHMvLnJlbHNQSwECLQAUAAYACAAAACEAYEWv/S4CAABcBAAADgAAAAAAAAAAAAAAAAAuAgAA&#10;ZHJzL2Uyb0RvYy54bWxQSwECLQAUAAYACAAAACEAKnZ0d98AAAAKAQAADwAAAAAAAAAAAAAAAACI&#10;BAAAZHJzL2Rvd25yZXYueG1sUEsFBgAAAAAEAAQA8wAAAJQFAAAAAA==&#10;">
            <v:path/>
            <v:fill focussize="0,0"/>
            <v:stroke joinstyle="miter"/>
            <v:imagedata o:title=""/>
            <o:lock v:ext="edit"/>
            <v:textbox style="layout-flow:vertical-ideographic;">
              <w:txbxContent>
                <w:p>
                  <w:pPr>
                    <w:jc w:val="center"/>
                    <w:rPr>
                      <w:sz w:val="15"/>
                      <w:szCs w:val="15"/>
                    </w:rPr>
                  </w:pPr>
                  <w:r>
                    <w:rPr>
                      <w:rFonts w:hint="eastAsia"/>
                      <w:sz w:val="15"/>
                      <w:szCs w:val="15"/>
                    </w:rPr>
                    <w:t>稳定性评价</w:t>
                  </w:r>
                </w:p>
              </w:txbxContent>
            </v:textbox>
          </v:shape>
        </w:pict>
      </w:r>
      <w:r>
        <w:rPr>
          <w:rFonts w:ascii="Times New Roman" w:hAnsi="Times New Roman"/>
        </w:rPr>
        <w:pict>
          <v:shape id="Text Box 242" o:spid="_x0000_s1036" o:spt="202" type="#_x0000_t202" style="position:absolute;left:0pt;margin-left:273.75pt;margin-top:19.45pt;height:61.5pt;width:24.75pt;z-index:2516858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MZRLwIAAFwEAAAOAAAAZHJzL2Uyb0RvYy54bWysVE1v2zAMvQ/YfxB0X5ykSZsYcYouXYYB&#10;3QfQbndalmNhsqhJSuz++1FykgXdsMMwH2TRpJ7I90ivbvtWs4N0XqEp+GQ05kwagZUyu4J/fdq+&#10;WXDmA5gKNBpZ8Gfp+e369atVZ3M5xQZ1JR0jEOPzzha8CcHmWeZFI1vwI7TSkLNG10Ig0+2yykFH&#10;6K3OpuPxddahq6xDIb2nr/eDk68Tfl1LET7XtZeB6YJTbiGtLq1lXLP1CvKdA9socUwD/iGLFpSh&#10;S89Q9xCA7Z36DapVwqHHOowEthnWtRIy1UDVTMYvqnlswMpUC5Hj7Zkm//9gxafDF8dUVfDrxZIz&#10;Ay2J9CT7wN5iz6azaWSosz6nwEdLoaEnBymdqvX2AcV3zwxuGjA7eeccdo2EijKcxJPZxdEBx0eQ&#10;svuIFV0E+4AJqK9dG+kjQhihk1LPZ3ViMoI+Xk1mV9M5Z4JcN4vJeJ7UyyA/HbbOh/cSWxY3BXck&#10;fgKHw4MPMRnITyHxLo9aVVuldTLcrtxoxw5AjbJNT8r/RZg2rCv4ck55/B1inJ4/QbQqUMdr1RZ8&#10;cQ6CPLL2zlSpHwMoPewpZW2ONEbmBg5DX/ZJs/lJnRKrZ+LV4dDgNJC0kfCN3px11N4F9z/24CRn&#10;+oMhdZaT2SzOQzJm85spGe7SU156wIgGaWoIbNhuwjBDe+vUrqG7hn4weEeK1iqxHaUf8joWQC2c&#10;RDiOW5yRSztF/foprH8CAAD//wMAUEsDBBQABgAIAAAAIQDvFx613gAAAAoBAAAPAAAAZHJzL2Rv&#10;d25yZXYueG1sTI/LTsMwEEX3SPyDNUhsEHUK5EmcCqF2SUVb2LvxkETEdmS7qfl7hlVZjubo3nPr&#10;VdQjm9H5wRoBy0UCDE1r1WA6AR+HzX0BzAdplBytQQE/6GHVXF/VslL2bHY470PHKMT4SgroQ5gq&#10;zn3bo5Z+YSc09PuyTstAp+u4cvJM4XrkD0mScS0HQw29nPC1x/Z7f9ICYna4e8t3IV8X2zluudys&#10;392nELc38eUZWMAYLjD86ZM6NOR0tCejPBsFpE95SqiAx6IERkBa5jTuSGS2LIE3Nf8/ofkFAAD/&#10;/wMAUEsBAi0AFAAGAAgAAAAhALaDOJL+AAAA4QEAABMAAAAAAAAAAAAAAAAAAAAAAFtDb250ZW50&#10;X1R5cGVzXS54bWxQSwECLQAUAAYACAAAACEAOP0h/9YAAACUAQAACwAAAAAAAAAAAAAAAAAvAQAA&#10;X3JlbHMvLnJlbHNQSwECLQAUAAYACAAAACEAOMzGUS8CAABcBAAADgAAAAAAAAAAAAAAAAAuAgAA&#10;ZHJzL2Uyb0RvYy54bWxQSwECLQAUAAYACAAAACEA7xcetd4AAAAKAQAADwAAAAAAAAAAAAAAAACJ&#10;BAAAZHJzL2Rvd25yZXYueG1sUEsFBgAAAAAEAAQA8wAAAJQFAAAAAA==&#10;">
            <v:path/>
            <v:fill focussize="0,0"/>
            <v:stroke joinstyle="miter"/>
            <v:imagedata o:title=""/>
            <o:lock v:ext="edit"/>
            <v:textbox style="layout-flow:vertical-ideographic;">
              <w:txbxContent>
                <w:p>
                  <w:pPr>
                    <w:jc w:val="center"/>
                    <w:rPr>
                      <w:sz w:val="15"/>
                      <w:szCs w:val="15"/>
                    </w:rPr>
                  </w:pPr>
                  <w:r>
                    <w:rPr>
                      <w:rFonts w:hint="eastAsia"/>
                      <w:sz w:val="15"/>
                      <w:szCs w:val="15"/>
                    </w:rPr>
                    <w:t>可能发展趋势</w:t>
                  </w:r>
                </w:p>
              </w:txbxContent>
            </v:textbox>
          </v:shape>
        </w:pict>
      </w:r>
      <w:r>
        <w:rPr>
          <w:rFonts w:ascii="Times New Roman" w:hAnsi="Times New Roman"/>
        </w:rPr>
        <w:pict>
          <v:shape id="Text Box 241" o:spid="_x0000_s1037" o:spt="202" type="#_x0000_t202" style="position:absolute;left:0pt;margin-left:235.4pt;margin-top:19.45pt;height:61.5pt;width:24.75pt;z-index:251684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tPMAIAAFwEAAAOAAAAZHJzL2Uyb0RvYy54bWysVE1v2zAMvQ/YfxB0X+ykSZsacYouXYYB&#10;3QfQbndZlm1hkqhJSuz8+1FykmUf2GGYD7JkUo/ke6RXd4NWZC+cl2BKOp3klAjDoZamLenn5+2r&#10;JSU+MFMzBUaU9CA8vVu/fLHqbSFm0IGqhSMIYnzR25J2IdgiyzzvhGZ+AlYYNDbgNAt4dG1WO9Yj&#10;ulbZLM+vsx5cbR1w4T1+fRiNdJ3wm0bw8LFpvAhElRRzC2l1aa3imq1XrGgds53kxzTYP2ShmTQY&#10;9Az1wAIjOyd/g9KSO/DQhAkHnUHTSC5SDVjNNP+lmqeOWZFqQXK8PdPk/x8s/7D/5IisS3q9RKkM&#10;0yjSsxgCeQ0Dmc2nkaHe+gIdnyy6hgENqHSq1ttH4F89MbDpmGnFvXPQd4LVmGG6mV1cHXF8BKn6&#10;91BjILYLkICGxulIHxJCEB2VOpzViclw/Hg1nV/NFpRwNN0sp/kiqZex4nTZOh/eCtAkbkrqUPwE&#10;zvaPPmAZ6HpyibE8KFlvpVLp4NpqoxzZM2yUbXpi5XjlJzdlSF/S2wXm8XeIPD1/gtAyYMcrqUu6&#10;PDuxIrL2xtSpHwOTatxjfGUwjUhjZG7kMAzVMGp2UqeC+oC8OhgbHAcSN4J9wTclPbZ3Sf23HXOC&#10;EvXOoDq30/k8zkM6zBc3Mzy4S0t1aWGGd4BTg2DjdhPGGdpZJ9sOY439YOAeFW1kYjvmPOZ1LABb&#10;ODF6HLc4I5fn5PXjp7D+DgAA//8DAFBLAwQUAAYACAAAACEAv8X9R98AAAAKAQAADwAAAGRycy9k&#10;b3ducmV2LnhtbEyPwU7DMBBE70j8g7VIXBC120KShjgVQu2RirZwd+MliYjXke2m5u8xJziu5mnm&#10;bbWOZmATOt9bkjCfCWBIjdU9tRLej9v7ApgPirQaLKGEb/Swrq+vKlVqe6E9TofQslRCvlQSuhDG&#10;knPfdGiUn9kRKWWf1hkV0ularp26pHIz8IUQGTeqp7TQqRFfOmy+DmcjIWbHu9d8H/JNsZvijqvt&#10;5s19SHl7E5+fgAWM4Q+GX/2kDnVyOtkzac8GCQ+5SOpBwrJYAUvA40IsgZ0Smc1XwOuK/3+h/gEA&#10;AP//AwBQSwECLQAUAAYACAAAACEAtoM4kv4AAADhAQAAEwAAAAAAAAAAAAAAAAAAAAAAW0NvbnRl&#10;bnRfVHlwZXNdLnhtbFBLAQItABQABgAIAAAAIQA4/SH/1gAAAJQBAAALAAAAAAAAAAAAAAAAAC8B&#10;AABfcmVscy8ucmVsc1BLAQItABQABgAIAAAAIQBRtNtPMAIAAFwEAAAOAAAAAAAAAAAAAAAAAC4C&#10;AABkcnMvZTJvRG9jLnhtbFBLAQItABQABgAIAAAAIQC/xf1H3wAAAAoBAAAPAAAAAAAAAAAAAAAA&#10;AIoEAABkcnMvZG93bnJldi54bWxQSwUGAAAAAAQABADzAAAAlgUAAAAA&#10;">
            <v:path/>
            <v:fill focussize="0,0"/>
            <v:stroke joinstyle="miter"/>
            <v:imagedata o:title=""/>
            <o:lock v:ext="edit"/>
            <v:textbox style="layout-flow:vertical-ideographic;">
              <w:txbxContent>
                <w:p>
                  <w:pPr>
                    <w:jc w:val="center"/>
                    <w:rPr>
                      <w:sz w:val="15"/>
                      <w:szCs w:val="15"/>
                    </w:rPr>
                  </w:pPr>
                  <w:r>
                    <w:rPr>
                      <w:rFonts w:hint="eastAsia"/>
                      <w:sz w:val="15"/>
                      <w:szCs w:val="15"/>
                    </w:rPr>
                    <w:t>成因机制</w:t>
                  </w:r>
                </w:p>
              </w:txbxContent>
            </v:textbox>
          </v:shape>
        </w:pict>
      </w:r>
      <w:r>
        <w:rPr>
          <w:rFonts w:ascii="Times New Roman" w:hAnsi="Times New Roman"/>
        </w:rPr>
        <w:pict>
          <v:shape id="Text Box 240" o:spid="_x0000_s1038" o:spt="202" type="#_x0000_t202" style="position:absolute;left:0pt;margin-left:194.3pt;margin-top:19.45pt;height:61.5pt;width:24.75pt;z-index:251683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N3MAIAAFwEAAAOAAAAZHJzL2Uyb0RvYy54bWysVE1v2zAMvQ/YfxB0X5ykSZMacYouXYYB&#10;3QfQbndalmNhsqhJSuz++1JymgbdsMMwHxTJpJ8e3yOzuu5bzQ7SeYWm4JPRmDNpBFbK7Ar+/WH7&#10;bsmZD2Aq0GhkwR+l59frt29Wnc3lFBvUlXSMQIzPO1vwJgSbZ5kXjWzBj9BKQ8EaXQuBjm6XVQ46&#10;Qm91Nh2PL7MOXWUdCuk9vb0dgnyd8OtaivC1rr0MTBecuIW0urSWcc3WK8h3DmyjxJEG/AOLFpSh&#10;S09QtxCA7Z36DapVwqHHOowEthnWtRIy1UDVTMavqrlvwMpUC4nj7Ukm//9gxZfDN8dUVfDL5YIz&#10;Ay2Z9CD7wN5jz6azpFBnfU6J95ZSQ08BcjpV6+0dip+eGdw0YHbyxjnsGgkVMZxEbbOzT6MnPvcR&#10;pOw+Y0UXwT5gAupr10b5SBBG6OTU48mdSEbQy4vJ7GI650xQaLGcjOeJWwb588fW+fBRYsvipuCO&#10;zE/gcLjzIZKB/Dkl3uVRq2qrtE4Htys32rEDUKNs05P4v0rThnUFv5oTj79DjNPzJ4hWBep4rdqC&#10;L09JkEfVPpgq9WMApYc9UdbmKGNUbtAw9GWfPFvEC6KqJVaPpKvDocFpIGkj4Qf9ctZRexfc/9qD&#10;k5zpT4bcuZrMyFsW0mE2X0zp4M4j5XkEjGiQpobAhu0mDDO0t07tGrpr6AeDN+RorZLaL7yOBVAL&#10;JxOO4xZn5Pycsl7+FNZPAAAA//8DAFBLAwQUAAYACAAAACEArWoye94AAAAKAQAADwAAAGRycy9k&#10;b3ducmV2LnhtbEyPwU7DMAyG70i8Q2QkLoilZajLStMJoe3IxDa4Z01oKxqnSrIuvD3eid1s+dPv&#10;769WyQ5sMj70DiXkswyYwcbpHlsJn4fNowAWokKtBodGwq8JsKpvbypVanfGnZn2sWUUgqFUEroY&#10;x5Lz0HTGqjBzo0G6fTtvVaTVt1x7daZwO/CnLCu4VT3Sh06N5q0zzc/+ZCWk4vDwvtjFxVpsp7Tl&#10;arP+8F9S3t+l1xdg0aT4D8NFn9ShJqejO6EObJAwF6Ig9DIsgRHwPBc5sCORRb4EXlf8ukL9BwAA&#10;//8DAFBLAQItABQABgAIAAAAIQC2gziS/gAAAOEBAAATAAAAAAAAAAAAAAAAAAAAAABbQ29udGVu&#10;dF9UeXBlc10ueG1sUEsBAi0AFAAGAAgAAAAhADj9If/WAAAAlAEAAAsAAAAAAAAAAAAAAAAALwEA&#10;AF9yZWxzLy5yZWxzUEsBAi0AFAAGAAgAAAAhABIu03cwAgAAXAQAAA4AAAAAAAAAAAAAAAAALgIA&#10;AGRycy9lMm9Eb2MueG1sUEsBAi0AFAAGAAgAAAAhAK1qMnveAAAACgEAAA8AAAAAAAAAAAAAAAAA&#10;igQAAGRycy9kb3ducmV2LnhtbFBLBQYAAAAABAAEAPMAAACVBQAAAAA=&#10;">
            <v:path/>
            <v:fill focussize="0,0"/>
            <v:stroke joinstyle="miter"/>
            <v:imagedata o:title=""/>
            <o:lock v:ext="edit"/>
            <v:textbox style="layout-flow:vertical-ideographic;">
              <w:txbxContent>
                <w:p>
                  <w:pPr>
                    <w:jc w:val="center"/>
                    <w:rPr>
                      <w:sz w:val="15"/>
                      <w:szCs w:val="15"/>
                    </w:rPr>
                  </w:pPr>
                  <w:r>
                    <w:rPr>
                      <w:rFonts w:hint="eastAsia"/>
                      <w:sz w:val="15"/>
                      <w:szCs w:val="15"/>
                    </w:rPr>
                    <w:t>灾害体基本特征</w:t>
                  </w:r>
                </w:p>
              </w:txbxContent>
            </v:textbox>
          </v:shape>
        </w:pict>
      </w:r>
    </w:p>
    <w:p>
      <w:pPr>
        <w:spacing w:line="400" w:lineRule="exact"/>
        <w:rPr>
          <w:rFonts w:ascii="Times New Roman" w:hAnsi="Times New Roman"/>
        </w:rPr>
      </w:pPr>
    </w:p>
    <w:p>
      <w:pPr>
        <w:spacing w:line="400" w:lineRule="exact"/>
        <w:rPr>
          <w:rFonts w:ascii="Times New Roman" w:hAnsi="Times New Roman"/>
        </w:rPr>
      </w:pPr>
    </w:p>
    <w:p>
      <w:pPr>
        <w:spacing w:line="400" w:lineRule="exact"/>
        <w:rPr>
          <w:rFonts w:ascii="Times New Roman" w:hAnsi="Times New Roman"/>
        </w:rPr>
      </w:pPr>
    </w:p>
    <w:p>
      <w:pPr>
        <w:spacing w:line="400" w:lineRule="exact"/>
        <w:rPr>
          <w:rFonts w:ascii="Times New Roman" w:hAnsi="Times New Roman"/>
        </w:rPr>
      </w:pPr>
    </w:p>
    <w:p>
      <w:pPr>
        <w:spacing w:line="400" w:lineRule="exact"/>
        <w:rPr>
          <w:rFonts w:ascii="Times New Roman" w:hAnsi="Times New Roman"/>
        </w:rPr>
      </w:pPr>
    </w:p>
    <w:p>
      <w:pPr>
        <w:spacing w:line="400" w:lineRule="exact"/>
        <w:rPr>
          <w:rFonts w:ascii="Times New Roman" w:hAnsi="Times New Roman"/>
        </w:rPr>
      </w:pPr>
    </w:p>
    <w:p>
      <w:pPr>
        <w:spacing w:line="400" w:lineRule="exact"/>
        <w:rPr>
          <w:rFonts w:ascii="Times New Roman" w:hAnsi="Times New Roman"/>
        </w:rPr>
      </w:pPr>
      <w:r>
        <w:pict>
          <v:line id="直接连接符 22" o:spid="_x0000_s1164" o:spt="20" style="position:absolute;left:0pt;flip:y;margin-left:311.95pt;margin-top:15.9pt;height:79.4pt;width:0pt;z-index:251679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8FwNwIAAEAEAAAOAAAAZHJzL2Uyb0RvYy54bWysU82O0zAQviPxDpbvbX62LWnUdIWSlssC&#10;lXbh7tpOY+HYlu02rRCvwAsgcYMTR+68DctjYDtt6cIFIXJwxvbM529mvpld71sOdlQbJkUBk2EM&#10;ARVYEiY2BXx1txxkEBiLBEFcClrAAzXwev740axTOU1lIzmhGjgQYfJOFbCxVuVRZHBDW2SGUlHh&#10;LmupW2TdVm8iolHn0FsepXE8iTqpidISU2PcadVfwnnAr2uK7cu6NtQCXkDHzYZVh3Xt12g+Q/lG&#10;I9UwfKSB/oFFi5hwj56hKmQR2Gr2B1TLsJZG1naIZRvJumaYhhxcNkn8Wza3DVI05OKKY9S5TOb/&#10;weIXu5UGjBRwkk0gEKh1Tbr/8PX7+08/vn106/2XzyBNfZ06ZXLnXoqV9pnivbhVNxK/MUDIskFi&#10;QwPfu4NyEImPiB6E+I1R7rV191wS54O2Voai7Wvdgpoz9doHenBXGLAPXTqcu0T3FuD+ELvTJI6z&#10;qyx0MEK5h/CBShv7jMoWeKOAnAlfQJSj3Y2xntIvF38s5JJxHkTABegKOB2n4xBgJGfEX3o3ozfr&#10;kmuwQ15G4Qv5uZtLNy23ggSwhiKyONoWMd7b7nEuPJ5LxdE5Wr1O3k7j6SJbZKPBKJ0sBqO4qgZP&#10;l+VoMFkmT8bVVVWWVfLOU0tGecMIocKzO2k2Gf2dJo7T06vtrNpzGaKH6KFejuzpH0iHrvpG9pJY&#10;S3JY6VO3nUyD83Gk/Bxc7p19OfjznwAAAP//AwBQSwMEFAAGAAgAAAAhACoV5pPcAAAACgEAAA8A&#10;AABkcnMvZG93bnJldi54bWxMj8FKxDAQhu+C7xBG8OYm20KxtemyiHoRBNfqOW3GtthMSpPt1rd3&#10;xIN7nJmPf76/3K1uFAvOYfCkYbtRIJBabwfqNNRvjze3IEI0ZM3oCTV8Y4BddXlRmsL6E73icoid&#10;4BAKhdHQxzgVUoa2R2fCxk9IfPv0szORx7mTdjYnDnejTJTKpDMD8YfeTHjfY/t1ODoN+4/nh/Rl&#10;aZwfbd7V79bV6inR+vpq3d+BiLjGfxh+9VkdKnZq/JFsEKOGLElzRjWkW67AwN+iYTJXGciqlOcV&#10;qh8AAAD//wMAUEsBAi0AFAAGAAgAAAAhALaDOJL+AAAA4QEAABMAAAAAAAAAAAAAAAAAAAAAAFtD&#10;b250ZW50X1R5cGVzXS54bWxQSwECLQAUAAYACAAAACEAOP0h/9YAAACUAQAACwAAAAAAAAAAAAAA&#10;AAAvAQAAX3JlbHMvLnJlbHNQSwECLQAUAAYACAAAACEA2evBcDcCAABABAAADgAAAAAAAAAAAAAA&#10;AAAuAgAAZHJzL2Uyb0RvYy54bWxQSwECLQAUAAYACAAAACEAKhXmk9wAAAAKAQAADwAAAAAAAAAA&#10;AAAAAACRBAAAZHJzL2Rvd25yZXYueG1sUEsFBgAAAAAEAAQA8wAAAJoFAAAAAA==&#10;">
            <v:path arrowok="t"/>
            <v:fill focussize="0,0"/>
            <v:stroke/>
            <v:imagedata o:title=""/>
            <o:lock v:ext="edit"/>
          </v:line>
        </w:pict>
      </w:r>
      <w:r>
        <w:pict>
          <v:shape id="直接箭头连接符 23" o:spid="_x0000_s1163" o:spt="32" type="#_x0000_t32" style="position:absolute;left:0pt;flip:x;margin-left:273.75pt;margin-top:15.9pt;height:0pt;width:38.2pt;z-index:25167667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lPWwIAAHIEAAAOAAAAZHJzL2Uyb0RvYy54bWysVMGO0zAQvSPxD5bvbZpuWrrRpiuUtHBY&#10;YKVdPsC1ncbC8Vi227RC/AI/gMQJOAGnvfM1sHwGttvt7sIFIXJwxpmZ5zczzzk53bQSrbmxAlSB&#10;0/4AI64oMKGWBX55Oe9NMLKOKEYkKF7gLbf4dPrwwUmncz6EBiTjBnkQZfNOF7hxTudJYmnDW2L7&#10;oLnyzhpMS5zfmmXCDOk8eiuT4WAwTjowTBug3Fr/tdo58TTi1zWn7kVdW+6QLLDn5uJq4roIazI9&#10;IfnSEN0IuqdB/oFFS4Tyhx6gKuIIWhnxB1QrqAELtetTaBOoa0F5rMFXkw5+q+aiIZrHWnxzrD60&#10;yf4/WPp8fW6QYAUeT0YYKdL6IV2/u/rx9uP11y/fP1z9/PY+2J8/oeFR6Fanbe6TSnVuQr10oy70&#10;GdBXFikoG6KWPLK+3GoPlIaM5F5K2Fjtz1x0z4D5GLJyEFu3qU2Lain005AYwH170CbOanuYFd84&#10;RP3HbDJKMz9ReuNKSB4QQp421j3h0KJgFNg6Q8SycSUo5QUBZodO1mfWBX63CSFZwVxIGXUhFeoK&#10;fDwajiIdC1Kw4Axh1iwXpTRoTYKy4hOL9Z67YQZWikWwhhM229uOCOlt5GKXiDHQ4XBUyxlGkvub&#10;FKwdN6nCcb5sz3Zv7ZT1+nhwPJvMJlkvG45nvWxQVb3H8zLrjefpo1F1VJVllb4JzNMsbwRjXAXy&#10;NypPs79T0f6+7fR50PmhS8l99NhOT/bmHUlHBYSh7+SzALY9N6G6IAYv7Bi8v4Th5tzdx6jbX8X0&#10;FwAAAP//AwBQSwMEFAAGAAgAAAAhAKddYTbeAAAACQEAAA8AAABkcnMvZG93bnJldi54bWxMj01P&#10;wzAMhu9I/IfISNxYuo8OKE0nBOIElw2kabesMU1H45QkW8u/x4gDHG0/ev285Wp0nThhiK0nBdNJ&#10;BgKp9qalRsHb69PVDYiYNBndeUIFXxhhVZ2flbowfqA1njapERxCsdAKbEp9IWWsLTodJ75H4tu7&#10;D04nHkMjTdADh7tOzrJsKZ1uiT9Y3eODxfpjc3QKti/ZLh99sIfd58I+t4/N9uAGpS4vxvs7EAnH&#10;9AfDjz6rQ8VOe38kE0WnIF9c54wqmE+5AgPL2fwWxP53IatS/m9QfQMAAP//AwBQSwECLQAUAAYA&#10;CAAAACEAtoM4kv4AAADhAQAAEwAAAAAAAAAAAAAAAAAAAAAAW0NvbnRlbnRfVHlwZXNdLnhtbFBL&#10;AQItABQABgAIAAAAIQA4/SH/1gAAAJQBAAALAAAAAAAAAAAAAAAAAC8BAABfcmVscy8ucmVsc1BL&#10;AQItABQABgAIAAAAIQDRVolPWwIAAHIEAAAOAAAAAAAAAAAAAAAAAC4CAABkcnMvZTJvRG9jLnht&#10;bFBLAQItABQABgAIAAAAIQCnXWE23gAAAAkBAAAPAAAAAAAAAAAAAAAAALUEAABkcnMvZG93bnJl&#10;di54bWxQSwUGAAAAAAQABADzAAAAwAUAAAAA&#10;">
            <v:path arrowok="t"/>
            <v:fill on="f" focussize="0,0"/>
            <v:stroke weight="0.5pt" endarrow="open"/>
            <v:imagedata o:title=""/>
            <o:lock v:ext="edit"/>
          </v:shape>
        </w:pict>
      </w:r>
      <w:r>
        <w:pict>
          <v:shape id="直接箭头连接符 26" o:spid="_x0000_s1162" o:spt="32" type="#_x0000_t32" style="position:absolute;left:0pt;margin-left:132pt;margin-top:15.9pt;height:0pt;width:47.25pt;z-index:25168076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3MBVQIAAGgEAAAOAAAAZHJzL2Uyb0RvYy54bWysVM2O0zAQviPxDpbv3SQl7XajTVcoabks&#10;sNIuD+DaTmPheCzb27RCvAIvgMQJOAGnvfM0sDwGtvvDLlwQIgdnnPF8883M55yerTuJVtxYAarE&#10;2VGKEVcUmFDLEr+4mg8mGFlHFCMSFC/xhlt8Nn344LTXBR9CC5JxgzyIskWvS9w6p4sksbTlHbFH&#10;oLnyzgZMR5zfmmXCDOk9eieTYZqOkx4M0wYot9Z/rbdOPI34TcOpe940ljskS+y5ubiauC7CmkxP&#10;SbE0RLeC7miQf2DREaF80gNUTRxB10b8AdUJasBC444odAk0jaA81uCrydLfqrlsieaxFt8cqw9t&#10;sv8Plj5bXRgkWInHkxwjRTo/pNu3N9/ffLj98vnb+5sfX98F+9NHNByHbvXaFj6oUhcm1EvX6lKf&#10;A31pkYKqJWrJI+urjfZAWYhI7oWEjdU+56J/CsyfIdcOYuvWjekCpG8KWscJbQ4T4muHqP84TtP0&#10;eIQR3bsSUuzjtLHuCYcOBaPE1hkilq2rQCkvAzBZzEJW59YFVqTYB4SkCuZCyqgGqVBf4pPRcBQD&#10;LEjBgjMcs2a5qKRBKxL0FJ9YovfcPWbgWrEI1nLCZjvbESG9jVzsDTEGehxSdZxhJLm/P8HacpMq&#10;pPNle7Y7a6unVyfpyWwym+SDfDieDfK0rgeP51U+GM+z41H9qK6qOnsdmGd50QrGuArk99rO8r/T&#10;zu6WbVV5UPehS8l99NhOT3b/jqTj3MOot6JZANtcmFBdkICXczy8u3rhvtzdx1O/fhDTnwAAAP//&#10;AwBQSwMEFAAGAAgAAAAhAPFnqB3dAAAACQEAAA8AAABkcnMvZG93bnJldi54bWxMj8FKw0AQhu+C&#10;77CM4M1umjalxGyKCD0EKmL1AbbJNAnNzqbZaZq+vSMe9DgzP998f7aZXKdGHELrycB8FoFCKn3V&#10;Um3g63P7tAYV2FJlO09o4IYBNvn9XWbTyl/pA8c910ogFFJroGHuU61D2aCzYeZ7JLkd/eAsyzjU&#10;uhrsVeCu03EUrbSzLcmHxvb42mB52l+cgbg48227K3h85+Tt7OLdsuhLYx4fppdnUIwT/4XhR1/U&#10;IReng79QFVQnjNVSurCBxVwqSGCRrBNQh9+FzjP9v0H+DQAA//8DAFBLAQItABQABgAIAAAAIQC2&#10;gziS/gAAAOEBAAATAAAAAAAAAAAAAAAAAAAAAABbQ29udGVudF9UeXBlc10ueG1sUEsBAi0AFAAG&#10;AAgAAAAhADj9If/WAAAAlAEAAAsAAAAAAAAAAAAAAAAALwEAAF9yZWxzLy5yZWxzUEsBAi0AFAAG&#10;AAgAAAAhAJh3cwFVAgAAaAQAAA4AAAAAAAAAAAAAAAAALgIAAGRycy9lMm9Eb2MueG1sUEsBAi0A&#10;FAAGAAgAAAAhAPFnqB3dAAAACQEAAA8AAAAAAAAAAAAAAAAArwQAAGRycy9kb3ducmV2LnhtbFBL&#10;BQYAAAAABAAEAPMAAAC5BQAAAAA=&#10;">
            <v:path arrowok="t"/>
            <v:fill on="f" focussize="0,0"/>
            <v:stroke weight="0.5pt" endarrow="open"/>
            <v:imagedata o:title=""/>
            <o:lock v:ext="edit"/>
          </v:shape>
        </w:pict>
      </w:r>
      <w:r>
        <w:rPr>
          <w:rFonts w:ascii="Times New Roman" w:hAnsi="Times New Roman"/>
        </w:rPr>
        <w:pict>
          <v:shape id="文本框 25" o:spid="_x0000_s1039" o:spt="202" type="#_x0000_t202" style="position:absolute;left:0pt;margin-left:69pt;margin-top:7.4pt;height:17.8pt;width:63pt;z-index:251677696;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8nlPgIAAFwEAAAOAAAAZHJzL2Uyb0RvYy54bWysVM2O0zAQviPxDpbvbNJut5So6Wrpsghp&#10;+ZEWHsB1nMbC8Zix22R5AHgDTly481x9DsZOt1stcEHkYHk8488z3zeT+XnfGrZV6DXYko9Ocs6U&#10;lVBpuy75h/dXT2ac+SBsJQxYVfJb5fn54vGjeecKNYYGTKWQEYj1RedK3oTgiizzslGt8CfglCVn&#10;DdiKQCauswpFR+itycZ5Ps06wMohSOU9nV4OTr5I+HWtZHhb114FZkpOuYW0YlpXcc0Wc1GsUbhG&#10;y30a4h+yaIW29OgB6lIEwTaof4NqtUTwUIcTCW0Gda2lSjVQNaP8QTU3jXAq1ULkeHegyf8/WPlm&#10;+w6Zrko+nZ1yZkVLIu2+fd19/7n78YWNzyJDnfMFBd44Cg39c+hJ6VStd9cgP3pmYdkIu1YXiNA1&#10;SlSU4SjezI6uDjg+gqy611DRQ2ITIAH1NbaRPiKEETopdXtQR/WBSTqc5cQQeSS5xuNpPk3qZaK4&#10;u+zQh5cKWhY3JUcSP4GL7bUPMRlR3IXEtzwYXV1pY5KB69XSINsKapSr9KX8H4QZyzqi6vQsH+r/&#10;K0Sevj9BtDpQxxvdpoooLAaJIrL2wlZpH4Q2w55SNnZPY2Ru4DD0qz5pNot3I8UrqG6JV4ShwWkg&#10;adMAfuaso+Yuuf+0Eag4M68safNsNJnEaUjG5OzpmAw89qyOPcJKgiq5DMjZYCzDMEMbh3rd0FtD&#10;P1i4IEVrndi+z2tfALVwEmE/bnFGju0Udf9TWPwCAAD//wMAUEsDBBQABgAIAAAAIQDswDTI3gAA&#10;AAkBAAAPAAAAZHJzL2Rvd25yZXYueG1sTI/BTsMwEETvSPyDtUjcqEMbqijEqSqkHjgghbQf4MTb&#10;OCJeR7HTpnw9ywluO7uj2XnFbnGDuOAUek8KnlcJCKTWm546Bafj4SkDEaImowdPqOCGAXbl/V2h&#10;c+Ov9ImXOnaCQyjkWoGNccylDK1Fp8PKj0h8O/vJ6chy6qSZ9JXD3SDXSbKVTvfEH6we8c1i+1XP&#10;TsE8Vsf95uO9ttXt9B2zpu6rQ63U48OyfwURcYl/Zvitz9Wh5E6Nn8kEMbDeZMwSeUgZgQ3rbcqL&#10;RsFLkoIsC/mfoPwBAAD//wMAUEsBAi0AFAAGAAgAAAAhALaDOJL+AAAA4QEAABMAAAAAAAAAAAAA&#10;AAAAAAAAAFtDb250ZW50X1R5cGVzXS54bWxQSwECLQAUAAYACAAAACEAOP0h/9YAAACUAQAACwAA&#10;AAAAAAAAAAAAAAAvAQAAX3JlbHMvLnJlbHNQSwECLQAUAAYACAAAACEAdJvJ5T4CAABcBAAADgAA&#10;AAAAAAAAAAAAAAAuAgAAZHJzL2Uyb0RvYy54bWxQSwECLQAUAAYACAAAACEA7MA0yN4AAAAJAQAA&#10;DwAAAAAAAAAAAAAAAACYBAAAZHJzL2Rvd25yZXYueG1sUEsFBgAAAAAEAAQA8wAAAKMFA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施工监理</w:t>
                  </w:r>
                </w:p>
              </w:txbxContent>
            </v:textbox>
          </v:shape>
        </w:pict>
      </w:r>
      <w:r>
        <w:rPr>
          <w:rFonts w:ascii="Times New Roman" w:hAnsi="Times New Roman"/>
        </w:rPr>
        <w:pict>
          <v:shape id="文本框 15" o:spid="_x0000_s1040" o:spt="202" type="#_x0000_t202" style="position:absolute;left:0pt;margin-left:179.25pt;margin-top:7.4pt;height:18.05pt;width:94.5pt;z-index:251674624;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4I0PQIAAF0EAAAOAAAAZHJzL2Uyb0RvYy54bWysVM1uEzEQviPxDpbvdJNtWtpVNlVJCUIq&#10;P1LhARyvN2vh9Zixk93wAPAGnLhw57nyHIy9aYgK4oDYg+XJjL+Z+b6ZTK/61rCNQq/Blnx8MuJM&#10;WQmVtquSv3+3eHLBmQ/CVsKAVSXfKs+vZo8fTTtXqBwaMJVCRiDWF50reROCK7LMy0a1wp+AU5ac&#10;NWArApm4yioUHaG3JstHo/OsA6wcglTe0683g5PPEn5dKxne1LVXgZmSU20hnZjOZTyz2VQUKxSu&#10;0XJfhviHKlqhLSU9QN2IINga9W9QrZYIHupwIqHNoK61VKkH6mY8etDNXSOcSr0QOd4daPL/D1a+&#10;3rxFpquSn1/knFnRkki7r192337svn9m47PIUOd8QYF3jkJD/wx6Ujp1690tyA+eWZg3wq7UNSJ0&#10;jRIVVTiOL7OjpwOOjyDL7hVUlEisAySgvsY20keEMEInpbYHdVQfmIwpSe/xGbkk+fL8Mj9NxWWi&#10;uH/t0IcXCloWLyVHUj+hi82tD7EaUdyHxGQejK4W2phk4Go5N8g2giZlkb7UwIMwY1lHXJ1SHX+H&#10;GKXvTxCtDjTyRrclvzgEiSLS9txWaSCD0Ga4U8nG7nmM1A0khn7ZJ9Eu7+VZQrUlYhGGCaeNpEsD&#10;+Imzjqa75P7jWqDizLy0JM7leDKJ65CMydnTnAw89iyPPcJKgiq5DMjZYMzDsERrh3rVUK5hICxc&#10;k6S1TmxH7Ye69g3QDCcR9vsWl+TYTlG//hVmPwEAAP//AwBQSwMEFAAGAAgAAAAhAIusnwreAAAA&#10;CQEAAA8AAABkcnMvZG93bnJldi54bWxMj8FOwzAQRO9I/IO1SNyoA20ghDhVhdQDB6Tg9gOceEki&#10;4nUUO23K17Oc4La7M5p9U2wXN4gTTqH3pOB+lYBAarztqVVwPOzvMhAhGrJm8IQKLhhgW15fFSa3&#10;/kwfeNKxFRxCITcKuhjHXMrQdOhMWPkRibVPPzkTeZ1aaSdz5nA3yIckeZTO9MQfOjPia4fNl56d&#10;gnmsDrv1+5vuqsvxO2a17qu9Vur2Ztm9gIi4xD8z/OIzOpTMVPuZbBCDgnWapWxlYcMV2JBunvhQ&#10;85A8gywL+b9B+QMAAP//AwBQSwECLQAUAAYACAAAACEAtoM4kv4AAADhAQAAEwAAAAAAAAAAAAAA&#10;AAAAAAAAW0NvbnRlbnRfVHlwZXNdLnhtbFBLAQItABQABgAIAAAAIQA4/SH/1gAAAJQBAAALAAAA&#10;AAAAAAAAAAAAAC8BAABfcmVscy8ucmVsc1BLAQItABQABgAIAAAAIQCQI4I0PQIAAF0EAAAOAAAA&#10;AAAAAAAAAAAAAC4CAABkcnMvZTJvRG9jLnhtbFBLAQItABQABgAIAAAAIQCLrJ8K3gAAAAkBAAAP&#10;AAAAAAAAAAAAAAAAAJcEAABkcnMvZG93bnJldi54bWxQSwUGAAAAAAQABADzAAAAogU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监测网点建设</w:t>
                  </w:r>
                </w:p>
              </w:txbxContent>
            </v:textbox>
          </v:shape>
        </w:pict>
      </w:r>
    </w:p>
    <w:p>
      <w:pPr>
        <w:spacing w:line="400" w:lineRule="exact"/>
        <w:rPr>
          <w:rFonts w:ascii="Times New Roman" w:hAnsi="Times New Roman"/>
          <w:szCs w:val="24"/>
        </w:rPr>
      </w:pPr>
      <w:r>
        <w:pict>
          <v:shape id="直接箭头连接符 16" o:spid="_x0000_s1161" o:spt="32" type="#_x0000_t32" style="position:absolute;left:0pt;margin-left:218.3pt;margin-top:13.95pt;height:0pt;width:17pt;rotation:5898240f;z-index:251661312;mso-width-relative:page;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DgvTQIAAGAEAAAOAAAAZHJzL2Uyb0RvYy54bWysVMGO0zAQvSPxD5bv3SQlLW206Qo1LZcF&#10;Ki18gGs7jYVjW7a3aYX4BX4AiRNwAk5752tg+QzGTrfLwgUhenDHnvHzm5k3OT3btRJtuXVCqxJn&#10;JylGXFHNhNqU+MXz5WCCkfNEMSK14iXec4fPZvfvnXam4EPdaMm4RQCiXNGZEjfemyJJHG14S9yJ&#10;NlyBs9a2JR62dpMwSzpAb2UyTNNx0mnLjNWUOwenVe/Es4hf15z6Z3XtuEeyxMDNx9XGdR3WZHZK&#10;io0lphH0QIP8A4uWCAWPHqEq4gm6tOIPqFZQq52u/QnVbaLrWlAec4BssvS3bC4aYnjMBYrjzLFM&#10;7v/B0qfblUWClXg8yTBSpIUmXb+9+v7mw/WXz9/eX/34+i7Ynz6ibByq1RlXwKW5WtmQL92pC3Ou&#10;6UsHvuSOM2ycAfR190QzgCWXXsci7WrbIquhGaM8Db94CsVAu9iZ/bEzfOcRhcNhNppCGKI3roQU&#10;ASVQMNb5x1y3KBgldt4SsWn8XCsF7dc2i+hke+584Hh7IVxWeimkjCqQCnUlno6Go3jBaSlYcIYw&#10;ZzfrubRoS4KOes492J0wqy8Vi2ANJ2xxsD0REmzk9yZUwVrd4fBUyxlGksPcBKuHkyo8B2kD24PV&#10;6+jVNJ0uJotJPsiH48UgT6tq8Gg5zwfjZfZwVD2o5vMqex2YZ3nRCMa4CuRvNJ3lf6eZw3T1ajyq&#10;+lil5C56LCeQvfmPpKMKQuN7saw1269syC4IAmQcgw8jF+bk132Muv0wzH4CAAD//wMAUEsDBBQA&#10;BgAIAAAAIQBShBU42wAAAAkBAAAPAAAAZHJzL2Rvd25yZXYueG1sTI9PT8JAEMXvJn6HzZh4k60K&#10;BGq3pBr0LijnoR3ayv4pnQXqt3cMB73NzHt583vZYnBWnajnNngD96MEFPkyVK2vDXysX+9moDii&#10;r9AGTwa+iWGRX19lmFbh7N/ptIq1khDPKRpoYuxSrblsyCGPQkdetF3oHUZZ+1pXPZ4l3Fn9kCRT&#10;7bD18qHBjl4aKverozOg8ZnfNsW+WB4ONS8nn2u2uy9jbm+G4glUpCH+meEXX9AhF6ZtOPqKlTUw&#10;njxOxSpCMgclhsthK8N4DjrP9P8G+Q8AAAD//wMAUEsBAi0AFAAGAAgAAAAhALaDOJL+AAAA4QEA&#10;ABMAAAAAAAAAAAAAAAAAAAAAAFtDb250ZW50X1R5cGVzXS54bWxQSwECLQAUAAYACAAAACEAOP0h&#10;/9YAAACUAQAACwAAAAAAAAAAAAAAAAAvAQAAX3JlbHMvLnJlbHNQSwECLQAUAAYACAAAACEAr6g4&#10;L00CAABgBAAADgAAAAAAAAAAAAAAAAAuAgAAZHJzL2Uyb0RvYy54bWxQSwECLQAUAAYACAAAACEA&#10;UoQVONsAAAAJAQAADwAAAAAAAAAAAAAAAACnBAAAZHJzL2Rvd25yZXYueG1sUEsFBgAAAAAEAAQA&#10;8wAAAK8FAAAAAA==&#10;">
            <v:path arrowok="t"/>
            <v:fill on="f" focussize="0,0"/>
            <v:stroke weight="0.5pt" endarrow="open"/>
            <v:imagedata o:title=""/>
            <o:lock v:ext="edit"/>
          </v:shape>
        </w:pict>
      </w:r>
    </w:p>
    <w:p>
      <w:pPr>
        <w:spacing w:line="500" w:lineRule="exact"/>
        <w:rPr>
          <w:rFonts w:ascii="宋体" w:hAnsi="宋体"/>
          <w:szCs w:val="21"/>
        </w:rPr>
      </w:pPr>
      <w:r>
        <w:rPr>
          <w:rFonts w:ascii="Times New Roman" w:hAnsi="Times New Roman"/>
          <w:szCs w:val="21"/>
        </w:rPr>
        <w:pict>
          <v:shape id="AutoShape 646" o:spid="_x0000_s1160" o:spt="32" type="#_x0000_t32" style="position:absolute;left:0pt;margin-left:218.4pt;margin-top:29.35pt;height:0pt;width:17pt;rotation:5898240f;z-index:251744256;mso-width-relative:page;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5PLgIAAFUEAAAOAAAAZHJzL2Uyb0RvYy54bWysVMGO0zAQvSPxD5bv3SQlLW206WrVtFwW&#10;qLTwAa7tNBaOx7K9TSvEvzN2ul0WLgjRgzv2jJ/fzLzJ7d2p1+QonVdgalrc5JRIw0Eoc6jp1y/b&#10;yYISH5gRTIORNT1LT+9Wb9/cDraSU+hAC+kIghhfDbamXQi2yjLPO9kzfwNWGnS24HoWcOsOmXBs&#10;QPReZ9M8n2cDOGEdcOk9njajk64SfttKHj63rZeB6Joit5BWl9Z9XLPVLasOjtlO8QsN9g8seqYM&#10;PnqFalhg5MmpP6B6xR14aMMNhz6DtlVcphwwmyL/LZvHjlmZcsHieHstk/9/sPzTceeIEjWdL7A+&#10;hvXYpPunAOltMi/nsUSD9RVGrs3OxST5yTzaB+DfPPqyV8648RYh98NHEIjFECtV5tS6njjADszK&#10;PP7SKVaAnFI7ztd2yFMgHA+nxWyJYYQ/uzJWRZRIwTofPkjoSTRq6oNj6tCFNRiDPQdXJHR2fPAh&#10;cny5EC8b2CqtU+u1IUNNl7PpLF3woJWIzhjm3WG/1o4cWRTPyHkEexXm4MmIBNZJJjYXOzCl0Sbh&#10;bGMVnIOBxqd6KSjREoclWiOcNvE5TBvZXqxRPN+X+XKz2CzKSTmdbyZl3jST++26nMy3xftZ865Z&#10;r5viR2RelFWnhJAmkn8WclH+nVAuIzVK8Crla5Wy1+ipnEj2+T+RTiqIjR/Fsgdx3rmYXRQEajcF&#10;X+YsDsev+xT18jVY/QQAAP//AwBQSwMEFAAGAAgAAAAhAFWlolXbAAAACQEAAA8AAABkcnMvZG93&#10;bnJldi54bWxMj0FPwzAMhe9I/IfISNxYOqAUlaZTQYM7G3D2Gq8ta5yuzrby7wniADf7+em9z8Vi&#10;cr060iidZwPzWQKKuPa248bA2/r56h6UBGSLvWcy8EUCi/L8rMDc+hO/0nEVGhVDWHI00IYw5FpL&#10;3ZJDmfmBON62fnQY4jo22o54iuGu19dJcqcddhwbWhzoqaV6tzo4Axof5eWj2lXL/b6RZfq+ln77&#10;aczlxVQ9gAo0hT8z/OBHdCgj08Yf2IrqDdymNxE9xGGegYqGX2FjIEsz0GWh/39QfgMAAP//AwBQ&#10;SwECLQAUAAYACAAAACEAtoM4kv4AAADhAQAAEwAAAAAAAAAAAAAAAAAAAAAAW0NvbnRlbnRfVHlw&#10;ZXNdLnhtbFBLAQItABQABgAIAAAAIQA4/SH/1gAAAJQBAAALAAAAAAAAAAAAAAAAAC8BAABfcmVs&#10;cy8ucmVsc1BLAQItABQABgAIAAAAIQD/MG5PLgIAAFUEAAAOAAAAAAAAAAAAAAAAAC4CAABkcnMv&#10;ZTJvRG9jLnhtbFBLAQItABQABgAIAAAAIQBVpaJV2wAAAAkBAAAPAAAAAAAAAAAAAAAAAIgEAABk&#10;cnMvZG93bnJldi54bWxQSwUGAAAAAAQABADzAAAAkAUAAAAA&#10;">
            <v:path arrowok="t"/>
            <v:fill on="f" focussize="0,0"/>
            <v:stroke weight="0.5pt" endarrow="open"/>
            <v:imagedata o:title=""/>
            <o:lock v:ext="edit"/>
          </v:shape>
        </w:pict>
      </w:r>
      <w:r>
        <w:rPr>
          <w:rFonts w:ascii="Times New Roman" w:hAnsi="Times New Roman"/>
          <w:szCs w:val="21"/>
        </w:rPr>
        <w:pict>
          <v:shape id="Text Box 644" o:spid="_x0000_s1041" o:spt="202" type="#_x0000_t202" style="position:absolute;left:0pt;margin-left:179.85pt;margin-top:2.8pt;height:18.05pt;width:94.5pt;z-index:251742208;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LgIAAF4EAAAOAAAAZHJzL2Uyb0RvYy54bWysVNtu2zAMfR+wfxD0vjhJk7Qx4hRdugwD&#10;ugvQ7gNkWY6FyaJGKbG7ry8lp2l2wR6G+UEQQ+qQPIfM6rpvDTso9BpswSejMWfKSqi03RX868P2&#10;zRVnPghbCQNWFfxReX69fv1q1blcTaEBUylkBGJ93rmCNyG4PMu8bFQr/AicsuSsAVsRyMRdVqHo&#10;CL012XQ8XmQdYOUQpPKefr0dnHyd8OtayfC5rr0KzBScagvpxHSW8czWK5HvULhGy2MZ4h+qaIW2&#10;lPQEdSuCYHvUv0G1WiJ4qMNIQptBXWupUg/UzWT8Szf3jXAq9ULkeHeiyf8/WPnp8AWZrgq+uFxy&#10;ZkVLIj2oPrC30LPFbBYZ6pzPKfDeUWjoyUFKp269uwP5zTMLm0bYnbpBhK5RoqIKJ/FldvZ0wPER&#10;pOw+QkWJxD5AAuprbCN9RAgjdFLq8aROLEbGlKT3ZE4uSb7pdDm9mKcUIn9+7dCH9wpaFi8FR1I/&#10;oYvDnQ+xGpE/h8RkHoyuttqYZOCu3BhkB0GTsk3fEf2nMGNZR1xdUB1/hxin708QrQ408ka3Bb86&#10;BYk80vbOVmkgg9BmuFPJxh55jNQNJIa+7JNokzTBkeQSqkdiFmEYcVpJujSAPzjraLwL7r/vBSrO&#10;zAdL6iwns1nch2TM5pdTMvDcU557hJUEVXAZkLPB2IRhi/YO9a6hXMNEWLghTWud6H6p69gBDXFS&#10;4bhwcUvO7RT18rewfgIAAP//AwBQSwMEFAAGAAgAAAAhACXuAsjfAAAACAEAAA8AAABkcnMvZG93&#10;bnJldi54bWxMj8FOwzAQRO9I/IO1SNyoU9q0IWRTVUg9cEAKbj/AiZc4Iraj2GlTvh5zosfRjGbe&#10;FLvZ9OxMo++cRVguEmBkG6c62yKcjoenDJgP0irZO0sIV/KwK+/vCpkrd7GfdBahZbHE+lwi6BCG&#10;nHPfaDLSL9xANnpfbjQyRDm2XI3yEstNz5+TZMON7Gxc0HKgN03Nt5gMwjRUx/3q413o6nr6CVkt&#10;uuogEB8f5v0rsEBz+A/DH35EhzIy1W6yyrMeYZW+bGMUId0Ai366zqKuEdbLLfCy4LcHyl8AAAD/&#10;/wMAUEsBAi0AFAAGAAgAAAAhALaDOJL+AAAA4QEAABMAAAAAAAAAAAAAAAAAAAAAAFtDb250ZW50&#10;X1R5cGVzXS54bWxQSwECLQAUAAYACAAAACEAOP0h/9YAAACUAQAACwAAAAAAAAAAAAAAAAAvAQAA&#10;X3JlbHMvLnJlbHNQSwECLQAUAAYACAAAACEA/hPz8i4CAABeBAAADgAAAAAAAAAAAAAAAAAuAgAA&#10;ZHJzL2Uyb0RvYy54bWxQSwECLQAUAAYACAAAACEAJe4CyN8AAAAIAQAADwAAAAAAAAAAAAAAAACI&#10;BAAAZHJzL2Rvd25yZXYueG1sUEsFBgAAAAAEAAQA8wAAAJQFA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调试与试运行</w:t>
                  </w:r>
                </w:p>
              </w:txbxContent>
            </v:textbox>
          </v:shape>
        </w:pict>
      </w:r>
    </w:p>
    <w:p>
      <w:pPr>
        <w:spacing w:line="500" w:lineRule="exact"/>
        <w:rPr>
          <w:rFonts w:ascii="Times New Roman" w:hAnsi="Times New Roman"/>
        </w:rPr>
      </w:pPr>
      <w:r>
        <w:rPr>
          <w:rFonts w:ascii="Times New Roman" w:hAnsi="Times New Roman"/>
        </w:rPr>
        <w:pict>
          <v:shape id="流程图: 决策 17" o:spid="_x0000_s1042" o:spt="110" type="#_x0000_t110" style="position:absolute;left:0pt;margin-left:173.25pt;margin-top:12.85pt;height:34pt;width:108pt;z-index:251678720;v-text-anchor:middle;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VgqQIAACgFAAAOAAAAZHJzL2Uyb0RvYy54bWysVM2O0zAQviPxDpbv3dTd9C/adLVqWoS0&#10;wEoLD+A6TmPh2MF2my6IAxcu3LnwAlw4Ia68zbKvwdhpuy17QYgcnBmP5+fzfOOz800l0ZobK7RK&#10;MTnpYsQV07lQyxS/ejnvjDCyjqqcSq14im+4xeeTx4/OmjrhPV1qmXODIIiySVOnuHSuTqLIspJX&#10;1J7omiswFtpU1IFqllFuaAPRKxn1ut1B1GiT10Yzbi3sZq0RT0L8ouDMvSgKyx2SKYbaXFhNWBd+&#10;jSZnNFkaWpeCbcug/1BFRYWCpPtQGXUUrYx4EKoSzGirC3fCdBXpohCMBwyAhnT/QHNd0poHLHA5&#10;tt5fk/1/Ydnz9ZVBIk/xYAitUrSCJv368eHu66fbLz8TdPvx+923z4gM/U01tU3A4bq+Mh6rrS81&#10;e22R0tOSqiW/MEY3Jac51Ef8+ejIwSsWXNGieaZzSENXTodL2xSm8gHhOtAm9OZm3xu+cYjBJjkd&#10;kkEXWsjAFp+SEcg+BU123rWx7gnXFfJCigupG6jLuIwz4ekZUtH1pXWt3+68z6z0XEgJ+zSRCjUp&#10;Hvd7/eBgtRS5NwbEZrmYSoPW1NMpfNsijo5VwgGppahSDGXC5w/RxF/NTOVBdlTIVgYEUnkzIIXa&#10;tlJLnnfj7ng2mo3iTtwbzDpxN8s6F/Np3BnMybCfnWbTaUbe+zpJnJQiz7nype6ITOK/I8p2pFoK&#10;7ql8BMkeIp+H7yHy6LiM0B1AtfsHdIETngYtndxmsQn0I4ExniMLnd8AS4xuhxUeFxBKbd5i1MCg&#10;pti+WVHDMZJPFTBtTOLYT3ZQ4v6wB4o5tCwOLVQxCJVi5gxGrTJ17Xuwqo1YlpCLhMYrfQH8LERg&#10;y31dW1bDOAZY26fDz/uhHk7dP3CT3wAAAP//AwBQSwMEFAAGAAgAAAAhAN1sUAriAAAACQEAAA8A&#10;AABkcnMvZG93bnJldi54bWxMj01Lw0AQhu+C/2EZwYvYjalJNWZTiiBiQSXVg8ft7pgN7kfIbtvU&#10;X+940uPMPLzzvPVycpbtcYx98AKuZhkw9Cro3ncC3t8eLm+AxSS9ljZ4FHDECMvm9KSWlQ4H3+J+&#10;kzpGIT5WUoBJaag4j8qgk3EWBvR0+wyjk4nGseN6lAcKd5bnWVZyJ3tPH4wc8N6g+trsnICPY6se&#10;Xw1ffa9fbBvH56cLlQ9CnJ9NqztgCaf0B8OvPqlDQ07bsPM6Mitgfl0WhArIiwUwAooyp8VWwO18&#10;Abyp+f8GzQ8AAAD//wMAUEsBAi0AFAAGAAgAAAAhALaDOJL+AAAA4QEAABMAAAAAAAAAAAAAAAAA&#10;AAAAAFtDb250ZW50X1R5cGVzXS54bWxQSwECLQAUAAYACAAAACEAOP0h/9YAAACUAQAACwAAAAAA&#10;AAAAAAAAAAAvAQAAX3JlbHMvLnJlbHNQSwECLQAUAAYACAAAACEAWZP1YKkCAAAoBQAADgAAAAAA&#10;AAAAAAAAAAAuAgAAZHJzL2Uyb0RvYy54bWxQSwECLQAUAAYACAAAACEA3WxQCuIAAAAJAQAADwAA&#10;AAAAAAAAAAAAAAADBQAAZHJzL2Rvd25yZXYueG1sUEsFBgAAAAAEAAQA8wAAABIGAAAAAA==&#10;">
            <v:path/>
            <v:fill on="f"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工程建设初验</w:t>
                  </w:r>
                </w:p>
              </w:txbxContent>
            </v:textbox>
          </v:shape>
        </w:pict>
      </w:r>
    </w:p>
    <w:p>
      <w:pPr>
        <w:spacing w:before="120" w:beforeLines="50" w:line="360" w:lineRule="auto"/>
        <w:rPr>
          <w:rFonts w:ascii="Times New Roman" w:hAnsi="Times New Roman"/>
          <w:sz w:val="15"/>
          <w:szCs w:val="15"/>
        </w:rPr>
      </w:pPr>
      <w:r>
        <w:rPr>
          <w:rFonts w:ascii="Times New Roman" w:hAnsi="Times New Roman"/>
          <w:szCs w:val="24"/>
        </w:rPr>
        <w:pict>
          <v:line id="直接连接符 21" o:spid="_x0000_s1159" o:spt="20" style="position:absolute;left:0pt;margin-left:282.25pt;margin-top:5.3pt;height:0pt;width:29.7pt;z-index:251675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VMAIAADUEAAAOAAAAZHJzL2Uyb0RvYy54bWysU0uOEzEU3CNxB8v7THdn8m2lM0LphM0A&#10;kWY4gGO70xZu27KddCLEFbgA0uxgxZI9t2E4Bs/OBwIbhMjC8adcXa9eeXKzayTacuuEVgXOrlKM&#10;uKKaCbUu8Ov7RWeEkfNEMSK14gXec4dvpk+fTFqT866utWTcIiBRLm9NgWvvTZ4kjta8Ie5KG67g&#10;sNK2IR6Wdp0wS1pgb2TSTdNB0mrLjNWUOwe75eEQTyN/VXHqX1WV4x7JAoM2H0cbx1UYk+mE5GtL&#10;TC3oUQb5BxUNEQo+eqYqiSdoY8UfVI2gVjtd+Suqm0RXlaA81gDVZOlv1dzVxPBYC5jjzNkm9/9o&#10;6cvt0iLBCjwYDjFSpIEmPX748u39x+9fH2B8/PwJdbPgU2tcDvCZWtpQKd2pO3Or6RuHlJ7VRK15&#10;1Hu/N0ARbyQXV8LCGfjaqn2hGWDIxuto2q6yTaAEO9Au9mZ/7g3feURh83o4zMbQQXo6Skh+umes&#10;88+5blCYFFgKFVwjOdneOg/KAXqChG2lF0LK2HmpUFvgcb/bjxecloKFwwBzdr2aSYu2JGQn/oIN&#10;QHYBs3qjWCSrOWHz49wTIQ9zwEsV+KASkHOcHcLxdpyO56P5qNfpdQfzTi8ty86zxazXGSyyYb+8&#10;LmezMnsXpGW9vBaMcRXUnYKa9f4uCMcnc4jYOapnG5JL9lgiiD39R9GxlaF7hxysNNsvbXAjdBWy&#10;GcHHdxTC/+s6on6+9ukPAAAA//8DAFBLAwQUAAYACAAAACEA14Q5KN0AAAAJAQAADwAAAGRycy9k&#10;b3ducmV2LnhtbEyPwU7DMAyG70i8Q2QkLhNL6FgFpemEgN64bIC4eq1pKxqna7Kt8PQYcYCj/X/6&#10;/TlfTa5XBxpD59nC5dyAIq583XFj4eW5vLgGFSJyjb1nsvBJAVbF6UmOWe2PvKbDJjZKSjhkaKGN&#10;cci0DlVLDsPcD8SSvfvRYZRxbHQ94lHKXa8TY1LtsGO50OJA9y1VH5u9sxDKV9qVX7NqZt4Wjadk&#10;9/D0iNaen013t6AiTfEPhh99UYdCnLZ+z3VQvYVlerUUVAKTghIgTRY3oLa/C13k+v8HxTcAAAD/&#10;/wMAUEsBAi0AFAAGAAgAAAAhALaDOJL+AAAA4QEAABMAAAAAAAAAAAAAAAAAAAAAAFtDb250ZW50&#10;X1R5cGVzXS54bWxQSwECLQAUAAYACAAAACEAOP0h/9YAAACUAQAACwAAAAAAAAAAAAAAAAAvAQAA&#10;X3JlbHMvLnJlbHNQSwECLQAUAAYACAAAACEA0fkmlTACAAA1BAAADgAAAAAAAAAAAAAAAAAuAgAA&#10;ZHJzL2Uyb0RvYy54bWxQSwECLQAUAAYACAAAACEA14Q5KN0AAAAJAQAADwAAAAAAAAAAAAAAAACK&#10;BAAAZHJzL2Rvd25yZXYueG1sUEsFBgAAAAAEAAQA8wAAAJQFAAAAAA==&#10;">
            <v:path arrowok="t"/>
            <v:fill focussize="0,0"/>
            <v:stroke/>
            <v:imagedata o:title=""/>
            <o:lock v:ext="edit"/>
          </v:line>
        </w:pict>
      </w:r>
      <w:r>
        <w:rPr>
          <w:rFonts w:ascii="Times New Roman" w:hAnsi="Times New Roman"/>
        </w:rPr>
        <w:t xml:space="preserve">                          </w:t>
      </w:r>
      <w:r>
        <w:rPr>
          <w:rFonts w:hint="eastAsia" w:ascii="Times New Roman" w:hAnsi="Times New Roman"/>
        </w:rPr>
        <w:t xml:space="preserve">      </w:t>
      </w:r>
      <w:r>
        <w:rPr>
          <w:rFonts w:ascii="Times New Roman" w:hAnsi="Times New Roman"/>
        </w:rPr>
        <w:t xml:space="preserve">  </w:t>
      </w:r>
      <w:r>
        <w:rPr>
          <w:rFonts w:hint="eastAsia" w:ascii="Times New Roman" w:hAnsi="Times New Roman"/>
        </w:rPr>
        <w:t xml:space="preserve">                     </w:t>
      </w:r>
      <w:r>
        <w:rPr>
          <w:rFonts w:ascii="Times New Roman" w:hAnsi="Times New Roman"/>
          <w:sz w:val="15"/>
          <w:szCs w:val="15"/>
        </w:rPr>
        <w:t>NO</w:t>
      </w:r>
    </w:p>
    <w:p>
      <w:pPr>
        <w:spacing w:before="120" w:beforeLines="50"/>
        <w:rPr>
          <w:rFonts w:ascii="Times New Roman" w:hAnsi="Times New Roman"/>
          <w:sz w:val="15"/>
          <w:szCs w:val="15"/>
        </w:rPr>
      </w:pPr>
      <w:r>
        <w:rPr>
          <w:rFonts w:ascii="Times New Roman" w:hAnsi="Times New Roman"/>
        </w:rPr>
        <w:pict>
          <v:shape id="直接箭头连接符 27" o:spid="_x0000_s1158" o:spt="32" type="#_x0000_t32" style="position:absolute;left:0pt;margin-left:214.3pt;margin-top:15.55pt;height:0pt;width:25.25pt;rotation:5898240f;z-index:25167360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NWFWQIAAGoEAAAOAAAAZHJzL2Uyb0RvYy54bWysVM1uEzEQviPxDpbv6WaTzbZddYPQbsKl&#10;QKWWB3Bsb9bCa1u2m02EeAVeAIkTcAJOvfM0UB6DsfNDCxeEyMEZ2zPffDPzec8erTuJVtw6oVWJ&#10;06MhRlxRzYRalvjF1XxwgpHzRDEiteIl3nCHH00fPjjrTcFHutWScYsARLmiNyVuvTdFkjja8o64&#10;I224gstG24542NplwizpAb2TyWg4zJNeW2asptw5OK23l3ga8ZuGU/+8aRz3SJYYuPm42rguwppM&#10;z0ixtMS0gu5okH9g0RGhIOkBqiaeoGsr/oDqBLXa6cYfUd0lumkE5bEGqCYd/lbNZUsMj7VAc5w5&#10;tMn9P1j6bHVhkWAlzo9zjBTpYEi3b2++v/lw++Xzt/c3P76+C/anj2h0HLrVG1dAUKUubKiXrtWl&#10;Odf0pUNKVy1RSx5ZX20MAKUhIrkXEjbOQM5F/1Qz8CHXXsfWrRvbBUhoClrHCW0OE+Jrjygc5uMJ&#10;RhTOx1maj+P4ElLsI411/gnXHQpGiZ23RCxbX2mlQAjapjEPWZ07H3iRYh8Q0io9F1JGPUiF+hKf&#10;TkaTGOC0FCxcBjdnl4tKWrQiQVHxF4uEm7tuVl8rFsFaTthsZ3siJNjIx+4Qa3WPQ6qOM4wkhxcU&#10;rC03qUI6KBzY7qytol6dDk9nJ7OTbJCN8tkgG9b14PG8ygb5PD2e1OO6qur0dWCeZkUrGOMqkN+r&#10;O83+Tj27d7bV5UHfhy4l99FjO4Hs/j+SjpMPw97KZqHZ5sKG6oIIQNDReff4wou5u49evz4R058A&#10;AAD//wMAUEsDBBQABgAIAAAAIQBd4esp3AAAAAgBAAAPAAAAZHJzL2Rvd25yZXYueG1sTI/RSsNA&#10;EEXfBf9hGcE3uzFtisZsigh9CFTE6gdss2MSzM6m2Wma/r3jkz5e7nDumWIz+15NOMYukIH7RQIK&#10;qQ6uo8bA58f27gFUZEvO9oHQwAUjbMrrq8LmLpzpHac9N0ogFHNroGUecq1j3aK3cREGJOm+wugt&#10;Sxwb7UZ7FrjvdZoka+1tR7LQ2gFfWqy/9ydvIK2OfNnuKp7eOHs9+nS3qobamNub+fkJFOPMf8fw&#10;qy/qUIrTIZzIRdUbWGVLUWeBZaCkl/wI6mAgWy9Bl4X+/0D5AwAA//8DAFBLAQItABQABgAIAAAA&#10;IQC2gziS/gAAAOEBAAATAAAAAAAAAAAAAAAAAAAAAABbQ29udGVudF9UeXBlc10ueG1sUEsBAi0A&#10;FAAGAAgAAAAhADj9If/WAAAAlAEAAAsAAAAAAAAAAAAAAAAALwEAAF9yZWxzLy5yZWxzUEsBAi0A&#10;FAAGAAgAAAAhADe81YVZAgAAagQAAA4AAAAAAAAAAAAAAAAALgIAAGRycy9lMm9Eb2MueG1sUEsB&#10;Ai0AFAAGAAgAAAAhAF3h6yncAAAACAEAAA8AAAAAAAAAAAAAAAAAswQAAGRycy9kb3ducmV2Lnht&#10;bFBLBQYAAAAABAAEAPMAAAC8BQAAAAA=&#10;" adj="-254794,-1,-254794">
            <v:path arrowok="t"/>
            <v:fill on="f" focussize="0,0"/>
            <v:stroke weight="0.5pt" endarrow="open"/>
            <v:imagedata o:title=""/>
            <o:lock v:ext="edit"/>
          </v:shape>
        </w:pict>
      </w:r>
      <w:r>
        <w:rPr>
          <w:rFonts w:ascii="Times New Roman" w:hAnsi="Times New Roman"/>
        </w:rPr>
        <w:t xml:space="preserve">                               </w:t>
      </w:r>
      <w:r>
        <w:rPr>
          <w:rFonts w:hint="eastAsia" w:ascii="Times New Roman" w:hAnsi="Times New Roman"/>
        </w:rPr>
        <w:t xml:space="preserve">     </w:t>
      </w:r>
      <w:r>
        <w:rPr>
          <w:rFonts w:ascii="Times New Roman" w:hAnsi="Times New Roman"/>
        </w:rPr>
        <w:t xml:space="preserve">   </w:t>
      </w:r>
      <w:r>
        <w:rPr>
          <w:rFonts w:ascii="仿宋" w:hAnsi="仿宋" w:eastAsia="仿宋"/>
          <w:sz w:val="24"/>
          <w:szCs w:val="24"/>
        </w:rPr>
        <w:t xml:space="preserve"> </w:t>
      </w:r>
      <w:r>
        <w:rPr>
          <w:rFonts w:ascii="Times New Roman" w:hAnsi="Times New Roman"/>
          <w:sz w:val="15"/>
          <w:szCs w:val="15"/>
        </w:rPr>
        <w:t>YES</w:t>
      </w:r>
    </w:p>
    <w:p>
      <w:pPr>
        <w:tabs>
          <w:tab w:val="left" w:pos="2355"/>
        </w:tabs>
        <w:spacing w:line="400" w:lineRule="exact"/>
        <w:rPr>
          <w:rFonts w:ascii="Times New Roman" w:hAnsi="Times New Roman"/>
        </w:rPr>
      </w:pPr>
      <w:r>
        <w:rPr>
          <w:rFonts w:ascii="Times New Roman" w:hAnsi="Times New Roman"/>
        </w:rPr>
        <w:pict>
          <v:shape id="Text Box 645" o:spid="_x0000_s1043" o:spt="202" type="#_x0000_t202" style="position:absolute;left:0pt;margin-left:52.65pt;margin-top:12.45pt;height:19.85pt;width:79.35pt;z-index:251743232;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i9bMQIAAF4EAAAOAAAAZHJzL2Uyb0RvYy54bWysVNtu2zAMfR+wfxD0vtjJcmmNOEWXLsOA&#10;7gK0+wBFlmNhsqhRSuzu60vJSRZ028swPwhiSB2S55BZ3vStYQeFXoMt+XiUc6ashErbXcm/PW7e&#10;XHHmg7CVMGBVyZ+U5zer16+WnSvUBBowlUJGINYXnSt5E4IrsszLRrXCj8ApS84asBWBTNxlFYqO&#10;0FuTTfJ8nnWAlUOQynv69W5w8lXCr2slw5e69iowU3KqLaQT07mNZ7ZaimKHwjVaHssQ/1BFK7Sl&#10;pGeoOxEE26P+DarVEsFDHUYS2gzqWkuVeqBuxvmLbh4a4VTqhcjx7kyT/3+w8vPhKzJdlXy+mHFm&#10;RUsiPao+sHfQs/l0FhnqnC8o8MFRaOjJQUqnbr27B/ndMwvrRtidukWErlGiogrH8WV28XTA8RFk&#10;232CihKJfYAE1NfYRvqIEEbopNTTWZ1YjIwp83yxoIKYJN9kNsmvU3GZKE6vHfrwQUHL4qXkSOon&#10;dHG49yFWI4pTSEzmwehqo41JBu62a4PsIGhSNulLDbwIM5Z1xNXbWT4Q8FeIPH1/gmh1oJE3ui35&#10;1TlIFJG297ZKAxmENsOdSjb2yGOkbiAx9Ns+iTaenPTZQvVEzCIMI04rSZcG8CdnHY13yf2PvUDF&#10;mfloSZ3r8XQa9yEZ09liQgZeeraXHmElQZVcBuRsMNZh2KK9Q71rKNcwERZuSdNaJ7qj+ENdxw5o&#10;iJMKx4WLW3Jpp6hffwurZwAAAP//AwBQSwMEFAAGAAgAAAAhAF5NcvPfAAAACQEAAA8AAABkcnMv&#10;ZG93bnJldi54bWxMj0FOwzAQRfdI3MEaJHbUIQ1RSeNUFVIXLJCC2wM4sYmjxuModtqU0zOsYPk1&#10;T3/eL3eLG9jFTKH3KOB5lQAz2HrdYyfgdDw8bYCFqFCrwaMRcDMBdtX9XakK7a/4aS4ydoxKMBRK&#10;gI1xLDgPrTVOhZUfDdLty09ORYpTx/WkrlTuBp4mSc6d6pE+WDWaN2vas5ydgHmsj/v1x7u09e30&#10;HTeN7OuDFOLxYdlvgUWzxD8YfvVJHSpyavyMOrCBcvKyJlRAmr0CIyDNMxrXCMizHHhV8v8Lqh8A&#10;AAD//wMAUEsBAi0AFAAGAAgAAAAhALaDOJL+AAAA4QEAABMAAAAAAAAAAAAAAAAAAAAAAFtDb250&#10;ZW50X1R5cGVzXS54bWxQSwECLQAUAAYACAAAACEAOP0h/9YAAACUAQAACwAAAAAAAAAAAAAAAAAv&#10;AQAAX3JlbHMvLnJlbHNQSwECLQAUAAYACAAAACEA+OovWzECAABeBAAADgAAAAAAAAAAAAAAAAAu&#10;AgAAZHJzL2Uyb0RvYy54bWxQSwECLQAUAAYACAAAACEAXk1y898AAAAJAQAADwAAAAAAAAAAAAAA&#10;AACLBAAAZHJzL2Rvd25yZXYueG1sUEsFBgAAAAAEAAQA8wAAAJcFA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给定初始预警阈值</w:t>
                  </w:r>
                </w:p>
              </w:txbxContent>
            </v:textbox>
          </v:shape>
        </w:pict>
      </w:r>
      <w:r>
        <w:pict>
          <v:shape id="文本框 28" o:spid="_x0000_s1044" o:spt="202" type="#_x0000_t202" style="position:absolute;left:0pt;margin-left:173.25pt;margin-top:12.45pt;height:19.85pt;width:104.25pt;z-index:251670528;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gY0QQIAAF4EAAAOAAAAZHJzL2Uyb0RvYy54bWysVEtu2zAQ3RfoHQjuG8mynY8QOUiTpiiQ&#10;foC0B6ApyiJKcdghbSk9QHuDrrrpvufKOTqkHMf9bYpqQXA8wzcz78349GzoDNso9BpsxScHOWfK&#10;Sqi1XVX83durJ8ec+SBsLQxYVfFb5fnZ4vGj096VqoAWTK2QEYj1Ze8q3obgyizzslWd8AfglCVn&#10;A9iJQCaushpFT+idyYo8P8x6wNohSOU9/Xo5Ovki4TeNkuF103gVmKk41RbSielcxjNbnIpyhcK1&#10;Wm7LEP9QRSe0paQ7qEsRBFuj/g2q0xLBQxMOJHQZNI2WKvVA3UzyX7q5aYVTqRcix7sdTf7/wcpX&#10;mzfIdF3xw6MZZ1Z0JNLdl893X7/fffvEiuPIUO98SYE3jkLD8BQGUjp16901yPeeWbhohV2pc0To&#10;WyVqqnASX2Z7T0ccH0GW/UuoKZFYB0hAQ4NdpI8IYYROSt3u1FFDYDKmnBbTk6M5Z5J8xbzIT+Yp&#10;hSjvXzv04bmCjsVLxZHUT+hic+1DrEaU9yExmQej6yttTDJwtbwwyDaCJuUqfVv0n8KMZT1xNZ3n&#10;IwF/hcjT9yeITgcaeaO7ih/vgkQZaXtm6zSQQWgz3qlkY7c8RupGEsOwHJJok2nMEEleQn1LzCKM&#10;I04rSZcW8CNnPY13xf2HtUDFmXlhSZ2TyWwW9yEZs/lRQQbue5b7HmElQVVcBuRsNC7CuEVrh3rV&#10;Uq5xIiyck6aNTnQ/1LXtgIY4qbBduLgl+3aKevhbWPwAAAD//wMAUEsDBBQABgAIAAAAIQAJ43PX&#10;4AAAAAkBAAAPAAAAZHJzL2Rvd25yZXYueG1sTI9BTsMwEEX3SNzBGiR21KFNojZkUlVIXbBACm4P&#10;4MQmjojHUey0KafHrGA5mqf/3y/3ix3YRU++d4TwvEqAaWqd6qlDOJ+OT1tgPkhScnCkEW7aw766&#10;vytlodyVPvRFhI7FEPKFRDAhjAXnvjXaSr9yo6b4+3STlSGeU8fVJK8x3A58nSQ5t7Kn2GDkqF+N&#10;br/EbBHmsT4dNu9vwtS383fYNqKvjwLx8WE5vAALegl/MPzqR3WoolPjZlKeDQibNM8iirBOd8Ai&#10;kGVZHNcg5GkOvCr5/wXVDwAAAP//AwBQSwECLQAUAAYACAAAACEAtoM4kv4AAADhAQAAEwAAAAAA&#10;AAAAAAAAAAAAAAAAW0NvbnRlbnRfVHlwZXNdLnhtbFBLAQItABQABgAIAAAAIQA4/SH/1gAAAJQB&#10;AAALAAAAAAAAAAAAAAAAAC8BAABfcmVscy8ucmVsc1BLAQItABQABgAIAAAAIQBShgY0QQIAAF4E&#10;AAAOAAAAAAAAAAAAAAAAAC4CAABkcnMvZTJvRG9jLnhtbFBLAQItABQABgAIAAAAIQAJ43PX4AAA&#10;AAkBAAAPAAAAAAAAAAAAAAAAAJsEAABkcnMvZG93bnJldi54bWxQSwUGAAAAAAQABADzAAAAqAUA&#10;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监测运行与维护</w:t>
                  </w:r>
                </w:p>
              </w:txbxContent>
            </v:textbox>
          </v:shape>
        </w:pict>
      </w:r>
      <w:r>
        <w:rPr>
          <w:rFonts w:ascii="Times New Roman" w:hAnsi="Times New Roman"/>
        </w:rPr>
        <w:tab/>
      </w:r>
    </w:p>
    <w:p>
      <w:pPr>
        <w:spacing w:line="400" w:lineRule="exact"/>
        <w:rPr>
          <w:rFonts w:ascii="Times New Roman" w:hAnsi="Times New Roman"/>
        </w:rPr>
      </w:pPr>
      <w:r>
        <w:pict>
          <v:shape id="AutoShape 652" o:spid="_x0000_s1157" o:spt="32" type="#_x0000_t32" style="position:absolute;left:0pt;margin-left:-8.2pt;margin-top:105.7pt;height:0pt;width:186.8pt;rotation:17694720f;z-index:25174732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Q2PAIAAGgEAAAOAAAAZHJzL2Uyb0RvYy54bWysVE1v2zAMvQ/YfxB0Tx27SZoadYrCTnbZ&#10;R4F2uyuSHAuTRUFS4wTD/vsoOU3b7TIMy0GhJPLxkXzyze2h12QvnVdgKppfTCmRhoNQZlfRr4+b&#10;yZISH5gRTIORFT1KT29X79/dDLaUBXSghXQEQYwvB1vRLgRbZpnnneyZvwArDV624HoWcOt2mXBs&#10;QPReZ8V0usgGcMI64NJ7PG3GS7pK+G0refjStl4GoiuK3EJaXVq3cc1WN6zcOWY7xU802D+w6Jky&#10;mPQM1bDAyJNTf0D1ijvw0IYLDn0Gbau4TDVgNfn0t2oeOmZlqgWb4+25Tf7/wfLP+3tHlKjo4uqS&#10;EsN6HNLdU4CUmyzmRWzRYH2JnrW5d7FIfjAP9iPw754YqDtmdjK5Px4tRucxInsTEjfeYqLt8AkE&#10;+jDMkPp1aF1PWq3stxgYwbEn5JAGdDwPSB4C4eMhx9PicnFVLNPwMlZGiBhonQ8fJPQkGhX1wTG1&#10;60INxqAMwI3wbP/Rh0jwJSAGG9gorZMatCFDRa/nxTzx8aCViJfRzbvdttaO7FnUU/qlavHmtZuD&#10;JyMSWCeZWJ/swJRGm4TUJuYcDDSm6qWgREt8P9EauWkT02HdyPZkjXr6cT29Xi/Xy9lkVizWk9m0&#10;aSZ3m3o2WWzyq3lz2dR1k/+MzPNZ2SkhpInkn7Wdz/5OO6dXNqryrO5zl7K36KmdSPb5P5FOEohT&#10;H/WzBXG8d7G6qAaUc3I+Pb34Xl7vk9fLB2L1CwAA//8DAFBLAwQUAAYACAAAACEAPxAo4d4AAAAK&#10;AQAADwAAAGRycy9kb3ducmV2LnhtbEyPwU4CMRCG7ya8QzMk3qRlBcR1u8RoPOkFNCHcynbcLm6n&#10;a1vY9e0tXvD4z3z555tiNdiWndCHxpGE6UQAQ6qcbqiW8PH+crMEFqIirVpHKOEHA6zK0VWhcu16&#10;WuNpE2uWSijkSoKJscs5D5VBq8LEdUhp9+m8VTFFX3PtVZ/KbcszIRbcqobSBaM6fDJYfW2OVsL2&#10;Tezmg/PmsPuemdfmud4ebC/l9Xh4fAAWcYgXGM76SR3K5LR3R9KBtSnfiWlCJWTzGbAz8DfYS7i9&#10;X2bAy4L/f6H8BQAA//8DAFBLAQItABQABgAIAAAAIQC2gziS/gAAAOEBAAATAAAAAAAAAAAAAAAA&#10;AAAAAABbQ29udGVudF9UeXBlc10ueG1sUEsBAi0AFAAGAAgAAAAhADj9If/WAAAAlAEAAAsAAAAA&#10;AAAAAAAAAAAALwEAAF9yZWxzLy5yZWxzUEsBAi0AFAAGAAgAAAAhAKRhlDY8AgAAaAQAAA4AAAAA&#10;AAAAAAAAAAAALgIAAGRycy9lMm9Eb2MueG1sUEsBAi0AFAAGAAgAAAAhAD8QKOHeAAAACgEAAA8A&#10;AAAAAAAAAAAAAAAAlgQAAGRycy9kb3ducmV2LnhtbFBLBQYAAAAABAAEAPMAAAChBQAAAAA=&#10;" adj="-18033,-1,-18033">
            <v:path arrowok="t"/>
            <v:fill on="f" focussize="0,0"/>
            <v:stroke weight="0.25pt" endarrow="open"/>
            <v:imagedata o:title=""/>
            <o:lock v:ext="edit"/>
          </v:shape>
        </w:pict>
      </w:r>
      <w:r>
        <w:rPr>
          <w:rFonts w:ascii="Times New Roman" w:hAnsi="Times New Roman"/>
          <w:szCs w:val="21"/>
        </w:rPr>
        <w:pict>
          <v:shape id="AutoShape 648" o:spid="_x0000_s1156" o:spt="32" type="#_x0000_t32" style="position:absolute;left:0pt;margin-left:132.6pt;margin-top:2.7pt;height:0pt;width:40.65pt;z-index:25174528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0VkNQIAAF0EAAAOAAAAZHJzL2Uyb0RvYy54bWysVM1u2zAMvg/YOwi6p44zJ02NOkVhJ7t0&#10;W4B2D6BIcixMFgVJiRMMe/dRys/a7TIM80GmzL+P5EffPxx6TfbSeQWmovnNmBJpOAhlthX9+rIa&#10;zSnxgRnBNBhZ0aP09GHx/t39YEs5gQ60kI5gEOPLwVa0C8GWWeZ5J3vmb8BKg8oWXM8CXt02E44N&#10;GL3X2WQ8nmUDOGEdcOk9fm1OSrpI8dtW8vClbb0MRFcUsYV0unRu4pkt7lm5dcx2ip9hsH9A0TNl&#10;MOk1VMMCIzun/gjVK+7AQxtuOPQZtK3iMtWA1eTj36p57piVqRZsjrfXNvn/F5Z/3q8dUaKis9sJ&#10;JYb1OKTHXYCUm8yKeWzRYH2JlrVZu1gkP5hn+wT8mycG6o6ZrUzmL0eL3nn0yN64xIu3mGgzfAKB&#10;NgwzpH4dWtfHkNgJckhjOV7HIg+BcPxYzG9ncxwev6gyVl78rPPho4SeRKGiPjimtl2owRicPbg8&#10;ZWH7Jx8iKlZeHGJSAyuldaKANmSo6N10Mk0OHrQSURnNvNtuau3InkUSpSeViJrXZg52RqRgnWRi&#10;eZYDUxplElJvmHMw0Jiql4ISLXFponTCpk1Mh2Uj2rN0ItH3u/Hdcr6cF6NiMluOinHTjB5XdTGa&#10;rfLbafOhqesm/xGR50XZKSGkieAvhM6LvyPMebVOVLxS+tql7G301E4Ee3kn0GnucdQn0mxAHNcu&#10;VhcpgBxOxud9i0vy+p6sfv0VFj8BAAD//wMAUEsDBBQABgAIAAAAIQCrBYQg2wAAAAcBAAAPAAAA&#10;ZHJzL2Rvd25yZXYueG1sTI9BTsMwEEX3SNzBGiR21MEkFQpxKoTURaQiROEAbjxNosbjNHbT9PYM&#10;bOjy63+9eVOsZteLCcfQedLwuEhAINXedtRo+P5aPzyDCNGQNb0n1HDBAKvy9qYwufVn+sRpGxvB&#10;EAq50dDGOORShrpFZ8LCD0jc7f3oTOQ4NtKO5sxw10uVJEvpTEd8oTUDvrVYH7Ynp0FVx3hZb6o4&#10;fcTs/ejUJq2GWuv7u/n1BUTEOf6P4Vef1aFkp50/kQ2iZ8YyUzzVkKUguH9KFf+2+8uyLOS1f/kD&#10;AAD//wMAUEsBAi0AFAAGAAgAAAAhALaDOJL+AAAA4QEAABMAAAAAAAAAAAAAAAAAAAAAAFtDb250&#10;ZW50X1R5cGVzXS54bWxQSwECLQAUAAYACAAAACEAOP0h/9YAAACUAQAACwAAAAAAAAAAAAAAAAAv&#10;AQAAX3JlbHMvLnJlbHNQSwECLQAUAAYACAAAACEA0ydFZDUCAABdBAAADgAAAAAAAAAAAAAAAAAu&#10;AgAAZHJzL2Uyb0RvYy54bWxQSwECLQAUAAYACAAAACEAqwWEINsAAAAHAQAADwAAAAAAAAAAAAAA&#10;AACPBAAAZHJzL2Rvd25yZXYueG1sUEsFBgAAAAAEAAQA8wAAAJcFAAAAAA==&#10;" adj="-108133,-1,-108133">
            <v:path arrowok="t"/>
            <v:fill on="f" focussize="0,0"/>
            <v:stroke weight="0.5pt" endarrow="open"/>
            <v:imagedata o:title=""/>
            <o:lock v:ext="edit"/>
          </v:shape>
        </w:pict>
      </w:r>
      <w:r>
        <w:pict>
          <v:shape id="AutoShape 244" o:spid="_x0000_s1155" o:spt="32" type="#_x0000_t32" style="position:absolute;left:0pt;margin-left:218.2pt;margin-top:21.35pt;height:0pt;width:17.25pt;rotation:5898240f;z-index:25168896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euOwIAAGsEAAAOAAAAZHJzL2Uyb0RvYy54bWysVMGO2jAQvVfqP1i+QxIaWIgIq1UCvWxb&#10;pN1+gLEdYtXxWLYhoKr/XtsBtrSXqioHM7Zn3ryZec7y8dRJdOTGClAlzsYpRlxRYELtS/z1dTOa&#10;Y2QdUYxIULzEZ27x4+r9u2WvCz6BFiTjBnkQZYtel7h1ThdJYmnLO2LHoLnylw2Yjji/NfuEGdJ7&#10;9E4mkzSdJT0Ypg1Qbq0/rYdLvIr4TcOp+9I0ljskS+y5ubiauO7CmqyWpNgboltBLzTIP7DoiFA+&#10;6Q2qJo6ggxF/QHWCGrDQuDGFLoGmEZTHGnw1WfpbNS8t0TzW4ptj9a1N9v/B0s/HrUGClXj2kGGk&#10;SOeH9HRwEHOjSZ6HFvXaFt6zUlsTiqQn9aKfgX6zSEHVErXn0f31rH10FiKSu5Cwsdon2vWfgHkf&#10;4jPEfp0a0yEDfi7TPA2/eOr7gk5xSOfbkPjJIeoPJ9kifZhiRK9XCSkCSiCmjXUfOXQoGCW2zhCx&#10;b10FSnklgMkiOjk+Wxc4vgWEYAUbIWUUhFSoL/FiOpnGAAtSsHAZ3KzZ7ypp0JEESQ2cB7A7NwMH&#10;xSJYywlbX2xHhPQ2crFTxBjocUjVcYaR5P4JBWuAkyqk82V7thdrkNT3RbpYz9fzfJRPZutRntb1&#10;6GlT5aPZJnuY1h/qqqqzH4F5lhetYIyrQP4q7yz/O/lcHtogzJvAb11K7tFjOz3Z638kHVUQBj9I&#10;aAfsvDWhuiAIr+jofHl94cn8uo9eb9+I1U8AAAD//wMAUEsDBBQABgAIAAAAIQCpXvEr2wAAAAkB&#10;AAAPAAAAZHJzL2Rvd25yZXYueG1sTI/BTsMwDIbvSLxDZCRuLGWswErdqaDBnQ04e23WliVOV2db&#10;eXuCOMDR9qff358vRmfV0QzSeUa4niSgDFe+7rhBeFs/X92DkkBck/VsEL6MwKI4P8spq/2JX81x&#10;FRoVQ1gyQmhD6DOtpWqNI5n43nC8bf3gKMRxaHQ90CmGO6unSXKrHXUcP7TUm6fWVLvVwSFoepSX&#10;j3JXLvf7Rpbp+1rs9hPx8mIsH0AFM4Y/GH70ozoU0WnjD1yLsgiz9OYuogjTdAYqAr+LDUI6n4Mu&#10;cv2/QfENAAD//wMAUEsBAi0AFAAGAAgAAAAhALaDOJL+AAAA4QEAABMAAAAAAAAAAAAAAAAAAAAA&#10;AFtDb250ZW50X1R5cGVzXS54bWxQSwECLQAUAAYACAAAACEAOP0h/9YAAACUAQAACwAAAAAAAAAA&#10;AAAAAAAvAQAAX3JlbHMvLnJlbHNQSwECLQAUAAYACAAAACEAv9VXrjsCAABrBAAADgAAAAAAAAAA&#10;AAAAAAAuAgAAZHJzL2Uyb0RvYy54bWxQSwECLQAUAAYACAAAACEAqV7xK9sAAAAJAQAADwAAAAAA&#10;AAAAAAAAAACVBAAAZHJzL2Rvd25yZXYueG1sUEsFBgAAAAAEAAQA8wAAAJ0FAAAAAA==&#10;">
            <v:path arrowok="t"/>
            <v:fill on="f" focussize="0,0"/>
            <v:stroke weight="0.5pt" endarrow="open"/>
            <v:imagedata o:title=""/>
            <o:lock v:ext="edit"/>
          </v:shape>
        </w:pict>
      </w:r>
      <w:r>
        <w:pict>
          <v:line id="直接连接符 41" o:spid="_x0000_s1154" o:spt="20" style="position:absolute;left:0pt;flip:y;margin-left:369.05pt;margin-top:2.85pt;height:169.8pt;width:0.05pt;z-index:251668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KcLPAIAAEIEAAAOAAAAZHJzL2Uyb0RvYy54bWysU8uO0zAU3SPxD5b3nTSdNNNGk45Q0rIZ&#10;YKQZ2Lu201g4tmV7mlaIX+AHkNjBiiV7/obhM7h2H1DYIEQWjh/nHp977vXl1aaTaM2tE1qVOD0b&#10;YsQV1UyoVYlf3i0GE4ycJ4oRqRUv8ZY7fDV7/OiyNwUf6VZLxi0CEuWK3pS49d4USeJoyzvizrTh&#10;Cg4bbTviYWlXCbOkB/ZOJqPhME96bZmxmnLnYLfeHeJZ5G8aTv2LpnHcI1li0ObjaOO4DGMyuyTF&#10;yhLTCrqXQf5BRUeEgkuPVDXxBN1b8QdVJ6jVTjf+jOou0U0jKI85QDbp8LdsbltieMwFzHHmaJP7&#10;f7T0+frGIsFKnF+AP4p0UKSH91++vfv4/esHGB8+f0JZGnzqjSsAXqkbGzKlG3VrrjV97ZDSVUvU&#10;ike9d1sDFDEiOQkJC2fgtmX/TDPAkHuvo2mbxnaokcK8CoGBHIxBm1il7bFKfOMRhc38fIwRhf1R&#10;Os6zPNYwIUUgCaHGOv+U6w6FSYmlUMFCUpD1tfOQBkAPkLCt9EJIGdtAKtSXeDoejWOA01KwcBhg&#10;zq6WlbRoTUIjxS94AmQnMKvvFYtkLSdsvp97IuRuDnipAh8kA3L2s12nvJkOp/PJfJINslE+H2TD&#10;uh48WVTZIF+kF+P6vK6qOn0bpKVZ0QrGuArqDl2bZn/XFfv3s+u3Y98ebUhO2WOKIPbwj6JjXUMp&#10;d02x1Gx7Y4MbocTQqBG8f1ThJfy6jqifT3/2AwAA//8DAFBLAwQUAAYACAAAACEAirZ/Jd4AAAAJ&#10;AQAADwAAAGRycy9kb3ducmV2LnhtbEyPwU7DMBBE70j8g7VI3KjdpIU2ZFNVCLggIVFCz05skoh4&#10;HcVuGv6e5QTH0Yxm3uS72fVismPoPCEsFwqEpdqbjhqE8v3pZgMiRE1G954swrcNsCsuL3KdGX+m&#10;NzsdYiO4hEKmEdoYh0zKULfW6bDwgyX2Pv3odGQ5NtKM+szlrpeJUrfS6Y54odWDfWht/XU4OYT9&#10;8eUxfZ0q53uzbcoP40r1nCBeX837exDRzvEvDL/4jA4FM1X+RCaIHuEu3Sw5irBegWCfdQKiQkhX&#10;awWyyOX/B8UPAAAA//8DAFBLAQItABQABgAIAAAAIQC2gziS/gAAAOEBAAATAAAAAAAAAAAAAAAA&#10;AAAAAABbQ29udGVudF9UeXBlc10ueG1sUEsBAi0AFAAGAAgAAAAhADj9If/WAAAAlAEAAAsAAAAA&#10;AAAAAAAAAAAALwEAAF9yZWxzLy5yZWxzUEsBAi0AFAAGAAgAAAAhAM98pws8AgAAQgQAAA4AAAAA&#10;AAAAAAAAAAAALgIAAGRycy9lMm9Eb2MueG1sUEsBAi0AFAAGAAgAAAAhAIq2fyXeAAAACQEAAA8A&#10;AAAAAAAAAAAAAAAAlgQAAGRycy9kb3ducmV2LnhtbFBLBQYAAAAABAAEAPMAAAChBQAAAAA=&#10;">
            <v:path arrowok="t"/>
            <v:fill focussize="0,0"/>
            <v:stroke weight="0.25pt"/>
            <v:imagedata o:title=""/>
            <o:lock v:ext="edit"/>
          </v:line>
        </w:pict>
      </w:r>
      <w:r>
        <w:pict>
          <v:shape id="直接箭头连接符 42" o:spid="_x0000_s1153" o:spt="32" type="#_x0000_t32" style="position:absolute;left:0pt;flip:x;margin-left:276.7pt;margin-top:2.85pt;height:0pt;width:92.25pt;z-index:25166950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cxoXAIAAHMEAAAOAAAAZHJzL2Uyb0RvYy54bWysVMGO0zAQvSPxD5bvbZqSdrfRpiuUtHBY&#10;YKVdPsC1ncbCsS3bbVohfoEfQOIEnIDT3vkaWD4Dj9vt7sIFIXJwxpmZ5zfjNzk53bQSrbl1QqsC&#10;p/0BRlxRzYRaFvjl5bx3jJHzRDEiteIF3nKHT6cPH5x0JudD3WjJuEUBRLm8MwVuvDd5kjja8Ja4&#10;vjZcBWetbUt82NplwizpAnork+FgME46bZmxmnLnwtdq58TTiF/XnPoXde24R7LAgZuPq43rAtZk&#10;ekLypSWmEXRPg/wDi5YIFQ49QFXEE7Sy4g+oVlCrna59n+o20XUtKI81hGrSwW/VXDTE8FhLaI4z&#10;hza5/wdLn6/PLRKswOPxBCNF2nBJ1++ufrz9eP31y/cPVz+/vQf78yeUDaFbnXF5SCrVuYV66UZd&#10;mDNNXzmkdNkQteSR9eXWBKAUMpJ7KbBxJpy56J5pFmLIyuvYuk1tW1RLYZ5CIoCH9qBNvKvt4a74&#10;xiMaPqbpUTo6GmFEb3wJyQECEo11/gnXLQKjwM5bIpaNL7VSQRHa7uDJ+sx5IHibAMlKz4WUURhS&#10;oa7Ak9FwFPk4LQUDJ4Q5u1yU0qI1AWnFJ1YbPHfDrF4pFsEaTthsb3siZLCRj20i1uoOw1EtZxhJ&#10;HkYJrB03qeC4UHdgu7d20no9GUxmx7PjrJcNx7NeNqiq3uN5mfXG8/RoVD2qyrJK3wDzNMsbwRhX&#10;QP5G5mn2dzLaD9xOoAehH7qU3EeP7Qxkb96RdJQA3PpOPwvNtucWqgM1BGXH4P0Uwujc3ceo23/F&#10;9BcAAAD//wMAUEsDBBQABgAIAAAAIQApqgGe2wAAAAcBAAAPAAAAZHJzL2Rvd25yZXYueG1sTI7B&#10;TsMwEETvSPyDtUjcqANtaAlxKgTiBJeWSlVvbrzEKfE62G4T/p6FC5x2RjOafeVydJ04YYitJwXX&#10;kwwEUu1NS42Czdvz1QJETJqM7jyhgi+MsKzOz0pdGD/QCk/r1AgeoVhoBTalvpAy1hadjhPfI3H2&#10;7oPTiW1opAl64HHXyZssu5VOt8QfrO7x0WL9sT46BdvXbJePPtjD7nNmX9qnZntwg1KXF+PDPYiE&#10;Y/orww8+o0PFTHt/JBNFpyDPpzOusuDD+Xw6vwOx//WyKuV//uobAAD//wMAUEsBAi0AFAAGAAgA&#10;AAAhALaDOJL+AAAA4QEAABMAAAAAAAAAAAAAAAAAAAAAAFtDb250ZW50X1R5cGVzXS54bWxQSwEC&#10;LQAUAAYACAAAACEAOP0h/9YAAACUAQAACwAAAAAAAAAAAAAAAAAvAQAAX3JlbHMvLnJlbHNQSwEC&#10;LQAUAAYACAAAACEA2kHMaFwCAABzBAAADgAAAAAAAAAAAAAAAAAuAgAAZHJzL2Uyb0RvYy54bWxQ&#10;SwECLQAUAAYACAAAACEAKaoBntsAAAAHAQAADwAAAAAAAAAAAAAAAAC2BAAAZHJzL2Rvd25yZXYu&#10;eG1sUEsFBgAAAAAEAAQA8wAAAL4FAAAAAA==&#10;">
            <v:path arrowok="t"/>
            <v:fill on="f" focussize="0,0"/>
            <v:stroke weight="0.25pt" endarrow="open"/>
            <v:imagedata o:title=""/>
            <o:lock v:ext="edit"/>
          </v:shape>
        </w:pict>
      </w:r>
    </w:p>
    <w:p>
      <w:pPr>
        <w:spacing w:line="400" w:lineRule="exact"/>
        <w:rPr>
          <w:rFonts w:ascii="Times New Roman" w:hAnsi="Times New Roman"/>
        </w:rPr>
      </w:pPr>
      <w:r>
        <w:rPr>
          <w:rFonts w:ascii="Times New Roman" w:hAnsi="Times New Roman"/>
        </w:rPr>
        <w:pict>
          <v:shape id="文本框 30" o:spid="_x0000_s1045" o:spt="202" type="#_x0000_t202" style="position:absolute;left:0pt;margin-left:166.9pt;margin-top:9.3pt;height:18.5pt;width:121.85pt;z-index:251671552;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BBgPwIAAF4EAAAOAAAAZHJzL2Uyb0RvYy54bWysVM1u2zAMvg/YOwi6L07SJG2NOEWXLsOA&#10;7gfo9gCKLMfCZFGjlNjdA2xvsNMuu++5+hyj5DQNumGHYT4Iokl/JL+P9PyiawzbKfQabMFHgyFn&#10;ykootd0U/MP71bMzznwQthQGrCr4rfL8YvH0ybx1uRpDDaZUyAjE+rx1Ba9DcHmWeVmrRvgBOGXJ&#10;WQE2IpCJm6xE0RJ6Y7LxcDjLWsDSIUjlPb296p18kfCrSsnwtqq8CswUnGoL6cR0ruOZLeYi36Bw&#10;tZb7MsQ/VNEIbSnpAepKBMG2qH+DarRE8FCFgYQmg6rSUqUeqJvR8FE3N7VwKvVC5Hh3oMn/P1j5&#10;ZvcOmS4LPpuRVFY0JNLdt69333/e/fjCThJDrfM5Bd44Cg3dc+hI6dStd9cgP3pmYVkLu1GXiNDW&#10;SpRU4Shymx19GjXxuY8g6/Y1lJRIbAMkoK7CJtJHhDBCJ6VuD+qoLjAZU04np5PzKWeSfOMTuqbi&#10;MpHff+3Qh5cKGhYvBUdSP6GL3bUPsRqR34fEZB6MLlfamGTgZr00yHaCJmWVntTAozBjWUtcnVDu&#10;v0MM0/MniEYHGnmjm4KfHYJEHml7Ycs0kEFo09+pZGP3PEbqehJDt+6SaKNJzBB5XUN5S8wi9CNO&#10;K0mXGvAzZy2Nd8H9p61AxZl5ZUmd89FkEvchGZPp6ZgMPPasjz3CSoIquAzIWW8sQ79FW4d6U1Ou&#10;fiIsXJKmlU50P9S174CGOKmwX7i4Jcd2inr4LSx+AQAA//8DAFBLAwQUAAYACAAAACEAh1BGPN8A&#10;AAAJAQAADwAAAGRycy9kb3ducmV2LnhtbEyPwU7DMBBE70j8g7VI3KgDUdIoxKkqpB44IAW3H+DE&#10;bhwRr6PYaVO+nuUEt1nNaOZttVvdyC5mDoNHAc+bBJjBzusBewGn4+GpABaiQq1Gj0bAzQTY1fd3&#10;lSq1v+KnucjYMyrBUCoBNsap5Dx01jgVNn4ySN7Zz05FOuee61ldqdyN/CVJcu7UgLRg1WTerOm+&#10;5OIELFNz3Kcf79I2t9N3LFo5NAcpxOPDun8FFs0a/8Lwi0/oUBNT6xfUgY0C0jQl9EhGkQOjQLbd&#10;ZsBaElkOvK74/w/qHwAAAP//AwBQSwECLQAUAAYACAAAACEAtoM4kv4AAADhAQAAEwAAAAAAAAAA&#10;AAAAAAAAAAAAW0NvbnRlbnRfVHlwZXNdLnhtbFBLAQItABQABgAIAAAAIQA4/SH/1gAAAJQBAAAL&#10;AAAAAAAAAAAAAAAAAC8BAABfcmVscy8ucmVsc1BLAQItABQABgAIAAAAIQAMbBBgPwIAAF4EAAAO&#10;AAAAAAAAAAAAAAAAAC4CAABkcnMvZTJvRG9jLnhtbFBLAQItABQABgAIAAAAIQCHUEY83wAAAAkB&#10;AAAPAAAAAAAAAAAAAAAAAJkEAABkcnMvZG93bnJldi54bWxQSwUGAAAAAAQABADzAAAApQU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湖北省</w:t>
                  </w:r>
                  <w:r>
                    <w:rPr>
                      <w:rFonts w:ascii="宋体" w:hAnsi="宋体"/>
                      <w:sz w:val="15"/>
                      <w:szCs w:val="15"/>
                    </w:rPr>
                    <w:t>地质环境综合信息平台</w:t>
                  </w:r>
                </w:p>
              </w:txbxContent>
            </v:textbox>
          </v:shape>
        </w:pict>
      </w:r>
    </w:p>
    <w:p>
      <w:pPr>
        <w:spacing w:line="400" w:lineRule="exact"/>
        <w:rPr>
          <w:rFonts w:ascii="Times New Roman" w:hAnsi="Times New Roman"/>
        </w:rPr>
      </w:pPr>
      <w:r>
        <w:pict>
          <v:shape id="直接箭头连接符 32" o:spid="_x0000_s1152" o:spt="32" type="#_x0000_t32" style="position:absolute;left:0pt;margin-left:218.2pt;margin-top:16.45pt;height:0pt;width:17.25pt;rotation:5898240f;z-index:25166233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wiYXAIAAHYEAAAOAAAAZHJzL2Uyb0RvYy54bWysVMGO0zAQvSPxD5bv3STdtLuNNl2hpOWy&#10;wEq7fIBrO02E47Fst2mF+AV+AGlPwAk47Z2vgeUzsJ1ul8IFIXpwx/bM85uZNzk737QCrbk2Dcgc&#10;J0cxRlxSYI1c5vjl9XxwipGxRDIiQPIcb7nB59PHj846lfEh1CAY18iBSJN1Kse1tSqLIkNr3hJz&#10;BIpLd1mBbol1W72MmCadQ29FNIzjcdSBZkoD5ca407K/xNOAX1Wc2hdVZbhFIseOmw2rDuvCr9H0&#10;jGRLTVTd0B0N8g8sWtJI9+geqiSWoJVu/oBqG6rBQGWPKLQRVFVDecjBZZPEv2VzVRPFQy6uOEbt&#10;y2T+Hyx9vr7UqGE5Ho9PMJKkdU26e3f7/e2Huy+fv72//fH1xtufPqLjoa9Wp0zmggp5qX2+dCOv&#10;1AXQVwZJKGoilzywvt4qB5T4iOggxG+Mcm8uumfAnA9ZWQil21S6RRpci0Zp7H/h1JUIbUK/tvt+&#10;8Y1F1B0Ok0l8MsKI3l9FJPMonpjSxj7l0CJv5NhYTZplbQuQ0okCdBLQyfrCWM/xIcAHS5g3QgRt&#10;CIm6HE9Gw1EIMCAa5i+9m9HLRSE0WhOvrp5zD3bgpmElWQCrOWGznW1JI5yNbKgU0Ro67J9qOcNI&#10;cDdN3urhhPTPubQd253Vq+v1JJ7MTmen6SAdjmeDNC7LwZN5kQ7G8+RkVB6XRVEmbzzzJM3qhjEu&#10;Pfl7pSfp3ylpN3O9Rvda31cpOkQP5XRk7/8D6aAC3/heQgtg20vts/OCcOIOzrtB9NPz6z54PXwu&#10;pj8BAAD//wMAUEsDBBQABgAIAAAAIQDUAZRm2wAAAAkBAAAPAAAAZHJzL2Rvd25yZXYueG1sTI/B&#10;TsMwDIbvSLxDZCRuLB3QDZWmU0GDOxvjnDVeW9Y4XZ1t5e0x4gBH+//0+3O+GH2nTjhwG8jAdJKA&#10;QqqCa6k28L5+uXkAxdGSs10gNPCFDIvi8iK3mQtnesPTKtZKSogza6CJsc+05qpBb3kSeiTJdmHw&#10;Nso41NoN9izlvtO3STLT3rYkFxrb43OD1X519Aa0feLXj3JfLg+HmpfpZs3d7tOY66uxfAQVcYx/&#10;MPzoizoU4rQNR3KsOgP36d1cUAnSGSgBfhdbA2kyBV3k+v8HxTcAAAD//wMAUEsBAi0AFAAGAAgA&#10;AAAhALaDOJL+AAAA4QEAABMAAAAAAAAAAAAAAAAAAAAAAFtDb250ZW50X1R5cGVzXS54bWxQSwEC&#10;LQAUAAYACAAAACEAOP0h/9YAAACUAQAACwAAAAAAAAAAAAAAAAAvAQAAX3JlbHMvLnJlbHNQSwEC&#10;LQAUAAYACAAAACEANwMImFwCAAB2BAAADgAAAAAAAAAAAAAAAAAuAgAAZHJzL2Uyb0RvYy54bWxQ&#10;SwECLQAUAAYACAAAACEA1AGUZtsAAAAJAQAADwAAAAAAAAAAAAAAAAC2BAAAZHJzL2Rvd25yZXYu&#10;eG1sUEsFBgAAAAAEAAQA8wAAAL4FAAAAAA==&#10;">
            <v:path arrowok="t"/>
            <v:fill on="f" focussize="0,0"/>
            <v:stroke weight="0.5pt" endarrow="open"/>
            <v:imagedata o:title=""/>
            <o:lock v:ext="edit"/>
          </v:shape>
        </w:pict>
      </w:r>
    </w:p>
    <w:p>
      <w:pPr>
        <w:spacing w:line="400" w:lineRule="exact"/>
        <w:jc w:val="center"/>
        <w:rPr>
          <w:rFonts w:ascii="宋体" w:hAnsi="宋体"/>
          <w:sz w:val="15"/>
          <w:szCs w:val="15"/>
        </w:rPr>
      </w:pPr>
      <w:r>
        <w:rPr>
          <w:rFonts w:ascii="宋体" w:hAnsi="宋体"/>
          <w:sz w:val="15"/>
          <w:szCs w:val="15"/>
        </w:rPr>
        <w:pict>
          <v:rect id="矩形 31" o:spid="_x0000_s1151" o:spt="1" style="position:absolute;left:0pt;margin-left:137.25pt;margin-top:5.05pt;height:99.65pt;width:179.25pt;z-index:251672576;v-text-anchor:middle;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hoQjgIAABYFAAAOAAAAZHJzL2Uyb0RvYy54bWysVFGO0zAQ/UfiDpb/u2my2WwbbbpaNS1C&#10;WmClhQO4ttNYOLax3aYL4ixI/HEIjoO4BmOnLV32ByH84Xgy45l5M298db3rJNpy64RWFU7Pxhhx&#10;RTUTal3hd2+XowlGzhPFiNSKV/iBO3w9e/7sqjclz3SrJeMWgRPlyt5UuPXelEniaMs74s604QqU&#10;jbYd8SDadcIs6cF7J5NsPC6SXltmrKbcOfhbD0o8i/6bhlP/pmkc90hWGHLzcbdxX4U9mV2Rcm2J&#10;aQXdp0H+IYuOCAVBj65q4gnaWPHEVSeo1U43/ozqLtFNIyiPGABNOv4DzX1LDI9YoDjOHMvk/p9b&#10;+np7Z5FgFS6KAiNFOmjSzy/ffnz/is7TUJ7euBKs7s2dDQCdudX0vUNKz1ui1vzGWt23nDBIKton&#10;jy4EwcFVtOpfaQa+ycbrWKldY7vgEGqAdrEhD8eG8J1HFH5m2WWRX15gREGXZsUFrJBTQsrDdWOd&#10;f8F1h8KhwhY6Ht2T7a3zg+nBJERTeimkjF2XCvUVPk/BfwSmpWBBGQW7Xs2lRVsSeBPXPq47NQue&#10;a+LawY7BaSBUJzywWoquwpPjZVKGMi0Ui9E9EXI4AxipQlBADTnvTwN7Pk3H08VkMclHeVYsRvm4&#10;rkc3y3k+KpaQd31ez+d1+jnkn+ZlKxjjKkA4MDnN/44p+5kaOHjk8iOo7rQiy7ieViR5nEZsFKA6&#10;fCO6yI9AiYFaK80egB5WD6MJTwkcWm0/YtTDWFbYfdgQyzGSLxVQbJrmeZjjKOQXlxkI9lSzOtUQ&#10;RcFVham3GA3C3A/TvzFWrFuIlcbuK30DxGxEpEwg7ZAXZB4EGL6IYf9QhOk+laPV7+ds9gsAAP//&#10;AwBQSwMEFAAGAAgAAAAhAIycwAvcAAAACgEAAA8AAABkcnMvZG93bnJldi54bWxMj8tOwzAQRfdI&#10;/IM1SOyo3VeANE6FkBrEsi0f4MbTOCIeR7HTpn/PsILl6B7dObfYTr4TFxxiG0jDfKZAINXBttRo&#10;+Drunl5AxGTImi4QarhhhG15f1eY3IYr7fFySI3gEoq50eBS6nMpY+3QmzgLPRJn5zB4k/gcGmkH&#10;c+Vy38mFUpn0piX+4EyP7w7r78PoNUzVbj9+jClU6y7zn1Vw2a11Wj8+TG8bEAmn9AfDrz6rQ8lO&#10;pzCSjaLTsHherRnlQM1BMJAtlzzuxIl6XYEsC/l/QvkDAAD//wMAUEsBAi0AFAAGAAgAAAAhALaD&#10;OJL+AAAA4QEAABMAAAAAAAAAAAAAAAAAAAAAAFtDb250ZW50X1R5cGVzXS54bWxQSwECLQAUAAYA&#10;CAAAACEAOP0h/9YAAACUAQAACwAAAAAAAAAAAAAAAAAvAQAAX3JlbHMvLnJlbHNQSwECLQAUAAYA&#10;CAAAACEAGcoaEI4CAAAWBQAADgAAAAAAAAAAAAAAAAAuAgAAZHJzL2Uyb0RvYy54bWxQSwECLQAU&#10;AAYACAAAACEAjJzAC9wAAAAKAQAADwAAAAAAAAAAAAAAAADoBAAAZHJzL2Rvd25yZXYueG1sUEsF&#10;BgAAAAAEAAQA8wAAAPEFAAAAAA==&#10;">
            <v:path/>
            <v:fill on="f" focussize="0,0"/>
            <v:stroke weight="0.25pt" dashstyle="dash"/>
            <v:imagedata o:title=""/>
            <o:lock v:ext="edit"/>
          </v:rect>
        </w:pict>
      </w:r>
      <w:r>
        <w:rPr>
          <w:rFonts w:ascii="宋体" w:hAnsi="宋体"/>
          <w:sz w:val="15"/>
          <w:szCs w:val="15"/>
        </w:rPr>
        <w:t>监测资料整理、分析与预测</w:t>
      </w:r>
    </w:p>
    <w:p>
      <w:pPr>
        <w:spacing w:line="400" w:lineRule="exact"/>
        <w:rPr>
          <w:rFonts w:ascii="Times New Roman" w:hAnsi="Times New Roman"/>
        </w:rPr>
      </w:pPr>
      <w:r>
        <w:rPr>
          <w:rFonts w:ascii="Times New Roman" w:hAnsi="Times New Roman"/>
        </w:rPr>
        <w:pict>
          <v:shape id="Text Box 248" o:spid="_x0000_s1046" o:spt="202" type="#_x0000_t202" style="position:absolute;left:0pt;margin-left:277.5pt;margin-top:5.95pt;height:70.7pt;width:24.75pt;z-index:2516930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OGvLgIAAF0EAAAOAAAAZHJzL2Uyb0RvYy54bWysVE2P2jAQvVfqf7B8LwEWWIgIqy1bqkrb&#10;D2m3vQ+OQ6w6Htc2JPz7jh2gaFv1UDWHYGfGz2/em2F51zWaHaTzCk3BR4MhZ9IILJXZFfzr8+bN&#10;nDMfwJSg0ciCH6Xnd6vXr5atzeUYa9SldIxAjM9bW/A6BJtnmRe1bMAP0EpDwQpdA4G2bpeVDlpC&#10;b3Q2Hg5nWYuutA6F9J6+PvRBvkr4VSVF+FxVXgamC07cQnq79N7Gd7ZaQr5zYGslTjTgH1g0oAxd&#10;eoF6gABs79RvUI0SDj1WYSCwybCqlJCpBqpmNHxRzVMNVqZaSBxvLzL5/wcrPh2+OKbKgs9mU84M&#10;NGTSs+wCe4sdG0/mUaHW+pwSnyylho4C5HSq1ttHFN89M7iuwezkvXPY1hJKYjiKJ7Oroz2OjyDb&#10;9iOWdBHsAyagrnJNlI8EYYROTh0v7kQygj7ejCY3Y+IoKDRf3M4Xyb0M8vNh63x4L7FhcVFwR+Yn&#10;cDg8+hDJQH5OiXd51KrcKK3Txu22a+3YAahRNulJ/F+kacPagi+mxOPvEMP0/AmiUYE6XquGqrgk&#10;QR5Ve2fK1I8BlO7XRFmbk4xRuV7D0G275NloerZni+WRhHXYdzhNJC0kfKNfzlrq74L7H3twkjP9&#10;wZA9i9FkEgcibSbT2zFt3HVkex0BI2qksSGwfrkO/RDtrVO7mu7qG8LgPVlaqSR39L7ndaqAeji5&#10;cJq3OCTX+5T1619h9RMAAP//AwBQSwMEFAAGAAgAAAAhAFHxw73fAAAACgEAAA8AAABkcnMvZG93&#10;bnJldi54bWxMj8FOwzAQRO9I/IO1SFwQdUpx2oY4FULtkYq29O7GSxIR25HtpubvWU7luDOj2Tfl&#10;KpmejehD56yE6SQDhrZ2urONhM/D5nEBLERlteqdRQk/GGBV3d6UqtDuYnc47mPDqMSGQkloYxwK&#10;zkPdolFh4ga05H05b1Sk0zdce3WhctPzpyzLuVGdpQ+tGvCtxfp7fzYSUn54eJ/v4ny92I5py9Vm&#10;/eGPUt7fpdcXYBFTvIbhD5/QoSKmkztbHVgvQQhBWyIZ0yUwCuTZswB2IkHMZsCrkv+fUP0CAAD/&#10;/wMAUEsBAi0AFAAGAAgAAAAhALaDOJL+AAAA4QEAABMAAAAAAAAAAAAAAAAAAAAAAFtDb250ZW50&#10;X1R5cGVzXS54bWxQSwECLQAUAAYACAAAACEAOP0h/9YAAACUAQAACwAAAAAAAAAAAAAAAAAvAQAA&#10;X3JlbHMvLnJlbHNQSwECLQAUAAYACAAAACEAmTjhry4CAABdBAAADgAAAAAAAAAAAAAAAAAuAgAA&#10;ZHJzL2Uyb0RvYy54bWxQSwECLQAUAAYACAAAACEAUfHDvd8AAAAKAQAADwAAAAAAAAAAAAAAAACI&#10;BAAAZHJzL2Rvd25yZXYueG1sUEsFBgAAAAAEAAQA8wAAAJQFAAAAAA==&#10;">
            <v:path/>
            <v:fill focussize="0,0"/>
            <v:stroke joinstyle="miter"/>
            <v:imagedata o:title=""/>
            <o:lock v:ext="edit"/>
            <v:textbox style="layout-flow:vertical-ideographic;">
              <w:txbxContent>
                <w:p>
                  <w:pPr>
                    <w:jc w:val="center"/>
                    <w:rPr>
                      <w:sz w:val="15"/>
                      <w:szCs w:val="15"/>
                    </w:rPr>
                  </w:pPr>
                  <w:r>
                    <w:rPr>
                      <w:rFonts w:hint="eastAsia"/>
                      <w:sz w:val="15"/>
                      <w:szCs w:val="15"/>
                    </w:rPr>
                    <w:t>趋势预测分析</w:t>
                  </w:r>
                </w:p>
              </w:txbxContent>
            </v:textbox>
          </v:shape>
        </w:pict>
      </w:r>
      <w:r>
        <w:rPr>
          <w:rFonts w:ascii="Times New Roman" w:hAnsi="Times New Roman"/>
        </w:rPr>
        <w:pict>
          <v:shape id="Text Box 247" o:spid="_x0000_s1047" o:spt="202" type="#_x0000_t202" style="position:absolute;left:0pt;margin-left:235.4pt;margin-top:5.95pt;height:70.7pt;width:24.75pt;z-index:2516920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neSLwIAAF0EAAAOAAAAZHJzL2Uyb0RvYy54bWysVE1v2zAMvQ/YfxB0X5yk+TTiFF26DAO6&#10;D6Dd7owsx8JkUZOU2P33o+QkC7phh2E+yKJJPZHvkV7ddo1mR+m8QlPw0WDImTQCS2X2Bf/6tH2z&#10;4MwHMCVoNLLgz9Lz2/XrV6vW5nKMNepSOkYgxuetLXgdgs2zzItaNuAHaKUhZ4WugUCm22elg5bQ&#10;G52Nh8NZ1qIrrUMhvaev972TrxN+VUkRPleVl4HpglNuIa0urbu4ZusV5HsHtlbilAb8QxYNKEOX&#10;XqDuIQA7OPUbVKOEQ49VGAhsMqwqJWSqgaoZDV9U81iDlakWIsfbC03+/8GKT8cvjqmy4LPZhDMD&#10;DYn0JLvA3mLHxpN5ZKi1PqfAR0uhoSMHKZ2q9fYBxXfPDG5qMHt55xy2tYSSMhzFk9nV0R7HR5Bd&#10;+xFLuggOARNQV7km0keEMEInpZ4v6sRkBH28GU1uxlPOBLkWy/limdTLID8fts6H9xIbFjcFdyR+&#10;Aofjgw8xGcjPIfEuj1qVW6V1Mtx+t9GOHYEaZZuelP+LMG1YW/DllPL4O8QwPX+CaFSgjteqoSou&#10;QZBH1t6ZMvVjAKX7PaWszYnGyFzPYeh2XdJsNDvLs8PymYh12Hc4TSRtJHyjN2ct9XfB/Y8DOMmZ&#10;/mBInuVoMokDkYzJdD4mw117dtceMKJGGhsC67eb0A/RwTq1r+muviEM3pGklUp0R+37vE4VUA8n&#10;FU7zFofk2k5Rv/4K658AAAD//wMAUEsDBBQABgAIAAAAIQCCOsMs3wAAAAoBAAAPAAAAZHJzL2Rv&#10;d25yZXYueG1sTI/BTsMwEETvSPyDtUhcELXb0KYNcSqE2iMVbeHuxtskIrYj203N37Oc4Dg7o5m3&#10;5TqZno3oQ+eshOlEAENbO93ZRsLHcfu4BBaislr1zqKEbwywrm5vSlVod7V7HA+xYVRiQ6EktDEO&#10;BeehbtGoMHEDWvLOzhsVSfqGa6+uVG56PhNiwY3qLC20asDXFuuvw8VISIvjw1u+j/lmuRvTjqvt&#10;5t1/Snl/l16egUVM8S8Mv/iEDhUxndzF6sB6CU+5IPRIxnQFjALzmciAnegwzzLgVcn/v1D9AAAA&#10;//8DAFBLAQItABQABgAIAAAAIQC2gziS/gAAAOEBAAATAAAAAAAAAAAAAAAAAAAAAABbQ29udGVu&#10;dF9UeXBlc10ueG1sUEsBAi0AFAAGAAgAAAAhADj9If/WAAAAlAEAAAsAAAAAAAAAAAAAAAAALwEA&#10;AF9yZWxzLy5yZWxzUEsBAi0AFAAGAAgAAAAhAEo6d5IvAgAAXQQAAA4AAAAAAAAAAAAAAAAALgIA&#10;AGRycy9lMm9Eb2MueG1sUEsBAi0AFAAGAAgAAAAhAII6wyzfAAAACgEAAA8AAAAAAAAAAAAAAAAA&#10;iQQAAGRycy9kb3ducmV2LnhtbFBLBQYAAAAABAAEAPMAAACVBQAAAAA=&#10;">
            <v:path/>
            <v:fill focussize="0,0"/>
            <v:stroke joinstyle="miter"/>
            <v:imagedata o:title=""/>
            <o:lock v:ext="edit"/>
            <v:textbox style="layout-flow:vertical-ideographic;">
              <w:txbxContent>
                <w:p>
                  <w:pPr>
                    <w:jc w:val="center"/>
                    <w:rPr>
                      <w:sz w:val="15"/>
                      <w:szCs w:val="15"/>
                    </w:rPr>
                  </w:pPr>
                  <w:r>
                    <w:rPr>
                      <w:rFonts w:hint="eastAsia"/>
                      <w:sz w:val="15"/>
                      <w:szCs w:val="15"/>
                    </w:rPr>
                    <w:t>稳定性判定</w:t>
                  </w:r>
                </w:p>
              </w:txbxContent>
            </v:textbox>
          </v:shape>
        </w:pict>
      </w:r>
      <w:r>
        <w:rPr>
          <w:rFonts w:ascii="Times New Roman" w:hAnsi="Times New Roman"/>
        </w:rPr>
        <w:pict>
          <v:shape id="Text Box 246" o:spid="_x0000_s1048" o:spt="202" type="#_x0000_t202" style="position:absolute;left:0pt;margin-left:190.05pt;margin-top:5.95pt;height:70.7pt;width:24.75pt;z-index:2516910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Y+6LwIAAF0EAAAOAAAAZHJzL2Uyb0RvYy54bWysVE1v2zAMvQ/YfxB0X5zvNEacokuXYUD3&#10;AbTbnZHlWJgsapISO/9+lJxmQTfsMMwHWTSpJ/I90qvbrtHsKJ1XaAo+Ggw5k0Zgqcy+4F+ftm9u&#10;OPMBTAkajSz4SXp+u379atXaXI6xRl1KxwjE+Ly1Ba9DsHmWeVHLBvwArTTkrNA1EMh0+6x00BJ6&#10;o7PxcDjPWnSldSik9/T1vnfydcKvKinC56ryMjBdcMotpNWldRfXbL2CfO/A1kqc04B/yKIBZejS&#10;C9Q9BGAHp36DapRw6LEKA4FNhlWlhEw1UDWj4YtqHmuwMtVC5Hh7ocn/P1jx6fjFMVUWfD6fcGag&#10;IZGeZBfYW+zYeDqPDLXW5xT4aCk0dOQgpVO13j6g+O6ZwU0NZi/vnMO2llBShqN4Mrs62uP4CLJr&#10;P2JJF8EhYALqKtdE+ogQRuik1OmiTkxG0MfJaDoZzzgT5LpZLm6WSb0M8ufD1vnwXmLD4qbgjsRP&#10;4HB88CEmA/lzSLzLo1blVmmdDLffbbRjR6BG2aYn5f8iTBvWFnw5ozz+DjFMz58gGhWo47VqqIpL&#10;EOSRtXemTP0YQOl+Tylrc6YxMtdzGLpdlzQbLZ7l2WF5ImId9h1OE0kbCd/ozVlL/V1w/+MATnKm&#10;PxiSZzmaTuNAJGM6W4zJcNee3bUHjKiRxobA+u0m9EN0sE7ta7qrbwiDdyRppRLdUfs+r3MF1MNJ&#10;hfO8xSG5tlPUr7/C+icAAAD//wMAUEsDBBQABgAIAAAAIQCTWczf3wAAAAoBAAAPAAAAZHJzL2Rv&#10;d25yZXYueG1sTI/BTsMwDIbvSLxDZCQuiKVdoeu6phNC25GJbXDPmqytaJwqybrw9pgTHO3/0+/P&#10;1TqagU3a+d6igHSWANPYWNVjK+DjuH0sgPkgUcnBohbwrT2s69ubSpbKXnGvp0NoGZWgL6WALoSx&#10;5Nw3nTbSz+yokbKzdUYGGl3LlZNXKjcDnydJzo3skS50ctSvnW6+DhcjIObHh7fFPiw2xW6KOy63&#10;m3f3KcT9XXxZAQs6hj8YfvVJHWpyOtkLKs8GAVmRpIRSkC6BEfA0X+bATrR4zjLgdcX/v1D/AAAA&#10;//8DAFBLAQItABQABgAIAAAAIQC2gziS/gAAAOEBAAATAAAAAAAAAAAAAAAAAAAAAABbQ29udGVu&#10;dF9UeXBlc10ueG1sUEsBAi0AFAAGAAgAAAAhADj9If/WAAAAlAEAAAsAAAAAAAAAAAAAAAAALwEA&#10;AF9yZWxzLy5yZWxzUEsBAi0AFAAGAAgAAAAhAE/Rj7ovAgAAXQQAAA4AAAAAAAAAAAAAAAAALgIA&#10;AGRycy9lMm9Eb2MueG1sUEsBAi0AFAAGAAgAAAAhAJNZzN/fAAAACgEAAA8AAAAAAAAAAAAAAAAA&#10;iQQAAGRycy9kb3ducmV2LnhtbFBLBQYAAAAABAAEAPMAAACVBQAAAAA=&#10;">
            <v:path/>
            <v:fill focussize="0,0"/>
            <v:stroke joinstyle="miter"/>
            <v:imagedata o:title=""/>
            <o:lock v:ext="edit"/>
            <v:textbox style="layout-flow:vertical-ideographic;">
              <w:txbxContent>
                <w:p>
                  <w:pPr>
                    <w:jc w:val="center"/>
                    <w:rPr>
                      <w:sz w:val="15"/>
                      <w:szCs w:val="15"/>
                    </w:rPr>
                  </w:pPr>
                  <w:r>
                    <w:rPr>
                      <w:rFonts w:hint="eastAsia"/>
                      <w:sz w:val="15"/>
                      <w:szCs w:val="15"/>
                    </w:rPr>
                    <w:t>变形诱因分析</w:t>
                  </w:r>
                </w:p>
              </w:txbxContent>
            </v:textbox>
          </v:shape>
        </w:pict>
      </w:r>
      <w:r>
        <w:rPr>
          <w:rFonts w:ascii="Times New Roman" w:hAnsi="Times New Roman"/>
        </w:rPr>
        <w:pict>
          <v:shape id="Text Box 245" o:spid="_x0000_s1049" o:spt="202" type="#_x0000_t202" style="position:absolute;left:0pt;margin-left:146.25pt;margin-top:5.95pt;height:70.7pt;width:24.75pt;z-index:2516899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kGcLwIAAF0EAAAOAAAAZHJzL2Uyb0RvYy54bWysVE2P2jAQvVfqf7B8LwEWWIgIqy1bqkrb&#10;D2m3vQ+OQ6w6Htc2JPz7jh2gaFv1UDUHx5MZP8+8N5PlXddodpDOKzQFHw2GnEkjsFRmV/Cvz5s3&#10;c858AFOCRiMLfpSe361ev1q2NpdjrFGX0jECMT5vbcHrEGyeZV7UsgE/QCsNOSt0DQQy3S4rHbSE&#10;3uhsPBzOshZdaR0K6T19feidfJXwq0qK8LmqvAxMF5xyC2l1ad3GNVstId85sLUSpzTgH7JoQBm6&#10;9AL1AAHY3qnfoBolHHqswkBgk2FVKSFTDVTNaPiimqcarEy1EDneXmjy/w9WfDp8cUyVBZ/NxpwZ&#10;aEikZ9kF9hY7Np5MI0Ot9TkFPlkKDR05SOlUrbePKL57ZnBdg9nJe+ewrSWUlOEonsyujvY4PoJs&#10;249Y0kWwD5iAuso1kT4ihBE6KXW8qBOTEfTxZjS5GU85E+SaL27ni6ReBvn5sHU+vJfYsLgpuCPx&#10;EzgcHn2IyUB+Dol3edSq3Citk+F227V27ADUKJv0pPxfhGnD2oIvppTH3yGG6fkTRKMCdbxWDVVx&#10;CYI8svbOlKkfAyjd7yllbU40RuZ6DkO37ZJmo/lZni2WRyLWYd/hNJG0kfCN3py11N8F9z/24CRn&#10;+oMheRajySQORDIm09sxGe7as732gBE10tgQWL9dh36I9tapXU139Q1h8J4krVSiO2rf53WqgHo4&#10;qXCatzgk13aK+vVXWP0EAAD//wMAUEsDBBQABgAIAAAAIQB4UsE43wAAAAoBAAAPAAAAZHJzL2Rv&#10;d25yZXYueG1sTI/NTsMwEITvSLyDtUhcEHWa0L8Qp0KoPVLRFu5uvCQR8TqK3dS8PcupHHfm0+xM&#10;sY62EyMOvnWkYDpJQCBVzrRUK/g4bh+XIHzQZHTnCBX8oId1eXtT6Ny4C+1xPIRacAj5XCtoQuhz&#10;KX3VoNV+4nok9r7cYHXgc6ilGfSFw20n0ySZS6tb4g+N7vG1wer7cLYK4vz48LbYh8VmuRvjTurt&#10;5n34VOr+Lr48gwgYwxWGv/pcHUrudHJnMl50CtJVOmOUjekKBAPZU8rjTizMsgxkWcj/E8pfAAAA&#10;//8DAFBLAQItABQABgAIAAAAIQC2gziS/gAAAOEBAAATAAAAAAAAAAAAAAAAAAAAAABbQ29udGVu&#10;dF9UeXBlc10ueG1sUEsBAi0AFAAGAAgAAAAhADj9If/WAAAAlAEAAAsAAAAAAAAAAAAAAAAALwEA&#10;AF9yZWxzLy5yZWxzUEsBAi0AFAAGAAgAAAAhAN8KQZwvAgAAXQQAAA4AAAAAAAAAAAAAAAAALgIA&#10;AGRycy9lMm9Eb2MueG1sUEsBAi0AFAAGAAgAAAAhAHhSwTjfAAAACgEAAA8AAAAAAAAAAAAAAAAA&#10;iQQAAGRycy9kb3ducmV2LnhtbFBLBQYAAAAABAAEAPMAAACVBQAAAAA=&#10;">
            <v:path/>
            <v:fill focussize="0,0"/>
            <v:stroke joinstyle="miter"/>
            <v:imagedata o:title=""/>
            <o:lock v:ext="edit"/>
            <v:textbox style="layout-flow:vertical-ideographic;">
              <w:txbxContent>
                <w:p>
                  <w:pPr>
                    <w:jc w:val="center"/>
                    <w:rPr>
                      <w:sz w:val="15"/>
                      <w:szCs w:val="15"/>
                    </w:rPr>
                  </w:pPr>
                  <w:r>
                    <w:rPr>
                      <w:rFonts w:hint="eastAsia"/>
                      <w:sz w:val="15"/>
                      <w:szCs w:val="15"/>
                    </w:rPr>
                    <w:t>监测数据分析</w:t>
                  </w:r>
                </w:p>
              </w:txbxContent>
            </v:textbox>
          </v:shape>
        </w:pict>
      </w:r>
    </w:p>
    <w:p>
      <w:pPr>
        <w:spacing w:line="400" w:lineRule="exact"/>
        <w:rPr>
          <w:rFonts w:ascii="宋体" w:hAnsi="宋体"/>
          <w:sz w:val="15"/>
          <w:szCs w:val="15"/>
        </w:rPr>
      </w:pPr>
      <w:r>
        <w:rPr>
          <w:rFonts w:ascii="宋体" w:hAnsi="宋体"/>
          <w:sz w:val="15"/>
          <w:szCs w:val="15"/>
        </w:rPr>
        <w:t xml:space="preserve">                 </w:t>
      </w:r>
      <w:r>
        <w:rPr>
          <w:rFonts w:hint="eastAsia" w:ascii="宋体" w:hAnsi="宋体"/>
          <w:sz w:val="15"/>
          <w:szCs w:val="15"/>
        </w:rPr>
        <w:t xml:space="preserve">                         </w:t>
      </w:r>
      <w:r>
        <w:rPr>
          <w:rFonts w:ascii="宋体" w:hAnsi="宋体"/>
          <w:sz w:val="15"/>
          <w:szCs w:val="15"/>
        </w:rPr>
        <w:t xml:space="preserve">     </w:t>
      </w:r>
      <w:r>
        <w:rPr>
          <w:rFonts w:hint="eastAsia" w:ascii="宋体" w:hAnsi="宋体"/>
          <w:sz w:val="15"/>
          <w:szCs w:val="15"/>
        </w:rPr>
        <w:t xml:space="preserve">  </w:t>
      </w:r>
      <w:r>
        <w:rPr>
          <w:rFonts w:ascii="宋体" w:hAnsi="宋体"/>
          <w:sz w:val="15"/>
          <w:szCs w:val="15"/>
        </w:rPr>
        <w:t xml:space="preserve"> </w:t>
      </w:r>
      <w:r>
        <w:rPr>
          <w:rFonts w:hint="eastAsia" w:ascii="宋体" w:hAnsi="宋体"/>
          <w:sz w:val="15"/>
          <w:szCs w:val="15"/>
        </w:rPr>
        <w:t xml:space="preserve">   </w:t>
      </w:r>
      <w:r>
        <w:rPr>
          <w:rFonts w:ascii="宋体" w:hAnsi="宋体"/>
          <w:sz w:val="15"/>
          <w:szCs w:val="15"/>
        </w:rPr>
        <w:t xml:space="preserve">                                   </w:t>
      </w:r>
      <w:r>
        <w:rPr>
          <w:rFonts w:hint="eastAsia" w:ascii="宋体" w:hAnsi="宋体"/>
          <w:sz w:val="15"/>
          <w:szCs w:val="15"/>
        </w:rPr>
        <w:t xml:space="preserve">  </w:t>
      </w:r>
      <w:r>
        <w:rPr>
          <w:rFonts w:ascii="宋体" w:hAnsi="宋体"/>
          <w:sz w:val="15"/>
          <w:szCs w:val="15"/>
        </w:rPr>
        <w:t>反馈</w:t>
      </w:r>
    </w:p>
    <w:p>
      <w:pPr>
        <w:rPr>
          <w:rFonts w:ascii="宋体" w:hAnsi="宋体"/>
          <w:sz w:val="15"/>
          <w:szCs w:val="15"/>
        </w:rPr>
      </w:pPr>
      <w:r>
        <w:rPr>
          <w:rFonts w:ascii="宋体" w:hAnsi="宋体"/>
          <w:sz w:val="15"/>
          <w:szCs w:val="15"/>
        </w:rPr>
        <w:t xml:space="preserve">              </w:t>
      </w:r>
      <w:r>
        <w:rPr>
          <w:rFonts w:hint="eastAsia" w:ascii="宋体" w:hAnsi="宋体"/>
          <w:sz w:val="15"/>
          <w:szCs w:val="15"/>
        </w:rPr>
        <w:t xml:space="preserve">                                </w:t>
      </w:r>
      <w:r>
        <w:rPr>
          <w:rFonts w:ascii="宋体" w:hAnsi="宋体"/>
          <w:sz w:val="15"/>
          <w:szCs w:val="15"/>
        </w:rPr>
        <w:t xml:space="preserve">     </w:t>
      </w:r>
      <w:r>
        <w:rPr>
          <w:rFonts w:hint="eastAsia" w:ascii="宋体" w:hAnsi="宋体"/>
          <w:sz w:val="15"/>
          <w:szCs w:val="15"/>
        </w:rPr>
        <w:t xml:space="preserve">   </w:t>
      </w:r>
      <w:r>
        <w:rPr>
          <w:rFonts w:ascii="宋体" w:hAnsi="宋体"/>
          <w:sz w:val="15"/>
          <w:szCs w:val="15"/>
        </w:rPr>
        <w:t xml:space="preserve">                                </w:t>
      </w:r>
      <w:r>
        <w:rPr>
          <w:rFonts w:hint="eastAsia" w:ascii="宋体" w:hAnsi="宋体"/>
          <w:sz w:val="15"/>
          <w:szCs w:val="15"/>
        </w:rPr>
        <w:t xml:space="preserve">    </w:t>
      </w:r>
      <w:r>
        <w:rPr>
          <w:rFonts w:ascii="宋体" w:hAnsi="宋体"/>
          <w:sz w:val="15"/>
          <w:szCs w:val="15"/>
        </w:rPr>
        <w:t>指导</w:t>
      </w:r>
    </w:p>
    <w:p>
      <w:pPr>
        <w:rPr>
          <w:rFonts w:ascii="Times New Roman" w:hAnsi="Times New Roman"/>
        </w:rPr>
      </w:pPr>
    </w:p>
    <w:p>
      <w:pPr>
        <w:spacing w:line="400" w:lineRule="exact"/>
        <w:rPr>
          <w:rFonts w:ascii="Times New Roman" w:hAnsi="Times New Roman"/>
        </w:rPr>
      </w:pPr>
    </w:p>
    <w:p>
      <w:pPr>
        <w:spacing w:line="400" w:lineRule="exact"/>
        <w:rPr>
          <w:rFonts w:ascii="Times New Roman" w:hAnsi="Times New Roman"/>
        </w:rPr>
      </w:pPr>
      <w:r>
        <w:rPr>
          <w:rFonts w:ascii="Times New Roman" w:hAnsi="Times New Roman"/>
        </w:rPr>
        <w:pict>
          <v:line id="直接连接符 40" o:spid="_x0000_s1150" o:spt="20" style="position:absolute;left:0pt;margin-left:226.9pt;margin-top:10.7pt;height:0pt;width:142.2pt;z-index:251667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dr1MAIAADYEAAAOAAAAZHJzL2Uyb0RvYy54bWysU82O0zAQviPxDpbv3SQlLW3UdIWalssC&#10;lXZ5ANd2GgvHtmy3aYV4BV4AaW9w4sidt2F5DMbuj7pwQYgcnLFn/Pmbb2Ym17tWoi23TmhV4uwq&#10;xYgrqplQ6xK/vVv0Rhg5TxQjUite4j13+Hr69MmkMwXv60ZLxi0CEOWKzpS48d4USeJow1virrTh&#10;Cpy1ti3xsLXrhFnSAXork36aDpNOW2asptw5OK0OTjyN+HXNqX9T1457JEsM3HxcbVxXYU2mE1Ks&#10;LTGNoEca5B9YtEQoePQMVRFP0MaKP6BaQa12uvZXVLeJrmtBecwBssnS37K5bYjhMRcQx5mzTO7/&#10;wdLX26VFgpV4OMwwUqSFIj18+vbj4+ef3+9hffj6BeVRp864AsJnamlDpnSnbs2Npu8cUnrWELXm&#10;ke/d3gBEFpRNHl0JG2fgtVX3SjOIIRuvo2i72rYBEuRAu1ib/bk2fOcRhcNslA7GQATRky8hxemi&#10;sc6/5LpFwSixFCrIRgqyvXE+ECHFKSQcK70QUsbSS4W6Eo8H/UG84LQULDhDmLPr1UxatCWheeIX&#10;swLPZZjVG8UiWMMJmx9tT4Q82PC4VAEPUgE6R+vQHe/H6Xg+mo/yXt4fznt5WlW9F4tZ3hsusueD&#10;6lk1m1XZh0Aty4tGMMZVYHfq1Cz/u044zsyhx869epYheYwe9QKyp38kHWsZyhdGyxUrzfZLe6ox&#10;NGcMPg5S6P7LPdiX4z79BQAA//8DAFBLAwQUAAYACAAAACEAN8PnYt4AAAAJAQAADwAAAGRycy9k&#10;b3ducmV2LnhtbEyPwU7DMBBE70j8g7VIXCrqNClQhTgVAnLjQgFx3cZLEhGv09htA1/PIg5w3NnR&#10;zJtiPbleHWgMnWcDi3kCirj2tuPGwMtzdbECFSKyxd4zGfikAOvy9KTA3PojP9FhExslIRxyNNDG&#10;OORah7olh2HuB2L5vfvRYZRzbLQd8Sjhrtdpklxphx1LQ4sD3bVUf2z2zkCoXmlXfc3qWfKWNZ7S&#10;3f3jAxpzfjbd3oCKNMU/M/zgCzqUwrT1e7ZB9QaWl5mgRwPpYglKDNfZKgW1/RV0Wej/C8pvAAAA&#10;//8DAFBLAQItABQABgAIAAAAIQC2gziS/gAAAOEBAAATAAAAAAAAAAAAAAAAAAAAAABbQ29udGVu&#10;dF9UeXBlc10ueG1sUEsBAi0AFAAGAAgAAAAhADj9If/WAAAAlAEAAAsAAAAAAAAAAAAAAAAALwEA&#10;AF9yZWxzLy5yZWxzUEsBAi0AFAAGAAgAAAAhAMiB2vUwAgAANgQAAA4AAAAAAAAAAAAAAAAALgIA&#10;AGRycy9lMm9Eb2MueG1sUEsBAi0AFAAGAAgAAAAhADfD52LeAAAACQEAAA8AAAAAAAAAAAAAAAAA&#10;igQAAGRycy9kb3ducmV2LnhtbFBLBQYAAAAABAAEAPMAAACVBQAAAAA=&#10;">
            <v:path arrowok="t"/>
            <v:fill focussize="0,0"/>
            <v:stroke/>
            <v:imagedata o:title=""/>
            <o:lock v:ext="edit"/>
          </v:line>
        </w:pict>
      </w:r>
      <w:r>
        <w:rPr>
          <w:rFonts w:ascii="Times New Roman" w:hAnsi="Times New Roman"/>
        </w:rPr>
        <w:pict>
          <v:shape id="直接箭头连接符 36" o:spid="_x0000_s1149" o:spt="34" type="#_x0000_t34" style="position:absolute;left:0pt;flip:x;margin-left:218.15pt;margin-top:11.6pt;height:0.05pt;width:17.5pt;rotation:5898240f;z-index:25166540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04gAIAALkEAAAOAAAAZHJzL2Uyb0RvYy54bWysVM2O0zAQviPxDpbv3TT9Cd1o0xVKWjjw&#10;s9IuD+DGTmPwn2xv0wrxCrwAEifgBJz2ztPA8hiM3Wxh4YIQPrh2PPPNfN/M9OR0KwXaMOu4VgVO&#10;j4YYMVVrytW6wM8uloMZRs4TRYnQihV4xxw+nd+9c9KZnI10qwVlFgGIcnlnCtx6b/IkcXXLJHFH&#10;2jAFj422kni42nVCLekAXYpkNBxmSactNVbXzDn4Wu0f8TziNw2r/dOmccwjUWDIzcfdxn0V9mR+&#10;QvK1JabldZ8G+YcsJOEKgh6gKuIJurT8DyjJa6udbvxRrWWim4bXLHIANunwNzbnLTEscgFxnDnI&#10;5P4fbP1kc2YRpwXOMtBHEQlFun5z9e31++vPn76+u/r+5W04f/yAxllQqzMuB6dSndnAt96qc/NI&#10;1y8cUrpsiVqzmPXFzgBQGjySWy7h4gzEXHWPNQUbcul1lG7bWImshhKlGZQWFkaN4OZhwAmxQC20&#10;jaXbHUrHth7V8HEEawoONTxl42mMS/IAGTyNdf4B0xKFQ4FXTPlSKwXdoe04YpPNI+djAWkvAqHP&#10;U0hACuiHDRFoGjMKfEjeW8PpBjm4Kr3kQsSOEgp1BT6ejqYR3WnBaXgMZs6uV6WwCECBRlx9urfM&#10;JPcwGYLLAs8ORiRvGaELRWMUT7iAM/JRbGKt7nCIKxnFSDAYyHDapyxUiA1y9TyDcLFBXx4Pjxez&#10;xWwymIyyxWAyrKrB/WU5GWTL9N60GldlWaWvAo10krecUqYCk5thSSd/14z92O7b/DAuB8mS2+hR&#10;ZUjx5jcmHRsp9M6+C1ea7s5sYBd6CuYjGvezHAbw13u0+vmPM/8BAAD//wMAUEsDBBQABgAIAAAA&#10;IQCSGxwP2AAAAAgBAAAPAAAAZHJzL2Rvd25yZXYueG1sTE/LTsMwELwj8Q/WInGjNo9CG+JUgMSx&#10;BwKo1228dQLxOordNv17lhPcZjSjeZSrKfTqQGPqIlu4nhlQxE10HXsLH++vVwtQKSM77COThRMl&#10;WFXnZyUWLh75jQ519kpCOBVooc15KLROTUsB0ywOxKLt4hgwCx29diMeJTz0+saYex2wY2locaCX&#10;lprveh8smPjc+C7XvPZodrn9XH5tTmtrLy+mp0dQmab8Z4bf+TIdKtm0jXt2SfUW7ua3D2K1MJcH&#10;ogsXsBVgFqCrUv8/UP0AAAD//wMAUEsBAi0AFAAGAAgAAAAhALaDOJL+AAAA4QEAABMAAAAAAAAA&#10;AAAAAAAAAAAAAFtDb250ZW50X1R5cGVzXS54bWxQSwECLQAUAAYACAAAACEAOP0h/9YAAACUAQAA&#10;CwAAAAAAAAAAAAAAAAAvAQAAX3JlbHMvLnJlbHNQSwECLQAUAAYACAAAACEApQO9OIACAAC5BAAA&#10;DgAAAAAAAAAAAAAAAAAuAgAAZHJzL2Uyb0RvYy54bWxQSwECLQAUAAYACAAAACEAkhscD9gAAAAI&#10;AQAADwAAAAAAAAAAAAAAAADaBAAAZHJzL2Rvd25yZXYueG1sUEsFBgAAAAAEAAQA8wAAAN8FAAAA&#10;AA==&#10;">
            <v:path arrowok="t"/>
            <v:fill on="f" focussize="0,0"/>
            <v:stroke weight="0.5pt" endarrow="open"/>
            <v:imagedata o:title=""/>
            <o:lock v:ext="edit"/>
          </v:shape>
        </w:pict>
      </w:r>
    </w:p>
    <w:p>
      <w:pPr>
        <w:spacing w:line="400" w:lineRule="exact"/>
        <w:rPr>
          <w:rFonts w:ascii="Times New Roman" w:hAnsi="Times New Roman"/>
        </w:rPr>
      </w:pPr>
      <w:r>
        <w:rPr>
          <w:rFonts w:ascii="Times New Roman" w:hAnsi="Times New Roman"/>
          <w:szCs w:val="21"/>
        </w:rPr>
        <w:pict>
          <v:line id="Line 650" o:spid="_x0000_s1148" o:spt="20" style="position:absolute;left:0pt;margin-left:85.05pt;margin-top:17.3pt;height:0pt;width:85.95pt;z-index:2517463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KcUFgIAACwEAAAOAAAAZHJzL2Uyb0RvYy54bWysU82O2jAQvlfqO1i+QxKapBARVhWBXmgX&#10;abcPYGyHWHVsyzYEVPXdOzY/YttLVTUHZ+yZ+eabv/nTqZfoyK0TWtU4G6cYcUU1E2pf42+v69EU&#10;I+eJYkRqxWt85g4/Ld6/mw+m4hPdacm4RQCiXDWYGnfemypJHO14T9xYG65A2WrbEw9Xu0+YJQOg&#10;9zKZpGmZDNoyYzXlzsFrc1HiRcRvW079c9s67pGsMXDz8bTx3IUzWcxJtbfEdIJeaZB/YNEToSDo&#10;HaohnqCDFX9A9YJa7XTrx1T3iW5bQXnMAbLJ0t+yeemI4TEXKI4z9zK5/wdLvx63FglW47KYYaRI&#10;D03aCMVRWcTqDMZVYLRUWxvyoyf1YjaafndI6WVH1J5Hlq9nA45ZqGfyxiVcnIEYu+GLZmBDDl7H&#10;Up1a2wdIKAI6xY6c7x3hJ48oPGbpLCvKAiN60yWkujka6/xnrnsUhBpLYB2ByXHjfCBCqptJiKP0&#10;WkgZGy4VGmo8KyZFdHBaChaUwczZ/W4pLTqSMDLxi1mB5tHM6oNiEazjhK2usidCXmQILlXAg1SA&#10;zlW6zMSPWTpbTVfTfJRPytUoT5tm9Gm9zEflOvtYNB+a5bLJfgZqWV51gjGuArvbfGb53/X/uimX&#10;ybpP6L0MyVv0WC8ge/tH0rGXoX1hoVy10+y8tbcew0hG4+v6hJl/vIP8uOSLXwAAAP//AwBQSwME&#10;FAAGAAgAAAAhAJOwLZfdAAAACQEAAA8AAABkcnMvZG93bnJldi54bWxMj8FOwzAQRO9I/IO1SFwq&#10;6jSpCgpxKgTkxoUC4rqNlyQiXqex2wa+nkU9wHFmn2ZnivXkenWgMXSeDSzmCSji2tuOGwOvL9XV&#10;DagQkS32nsnAFwVYl+dnBebWH/mZDpvYKAnhkKOBNsYh1zrULTkMcz8Qy+3Djw6jyLHRdsSjhLte&#10;p0my0g47lg8tDnTfUv252TsDoXqjXfU9q2fJe9Z4SncPT49ozOXFdHcLKtIU/2D4rS/VoZROW79n&#10;G1Qv+jpZCGogW65ACZAtUxm3PRm6LPT/BeUPAAAA//8DAFBLAQItABQABgAIAAAAIQC2gziS/gAA&#10;AOEBAAATAAAAAAAAAAAAAAAAAAAAAABbQ29udGVudF9UeXBlc10ueG1sUEsBAi0AFAAGAAgAAAAh&#10;ADj9If/WAAAAlAEAAAsAAAAAAAAAAAAAAAAALwEAAF9yZWxzLy5yZWxzUEsBAi0AFAAGAAgAAAAh&#10;AIfgpxQWAgAALAQAAA4AAAAAAAAAAAAAAAAALgIAAGRycy9lMm9Eb2MueG1sUEsBAi0AFAAGAAgA&#10;AAAhAJOwLZfdAAAACQEAAA8AAAAAAAAAAAAAAAAAcAQAAGRycy9kb3ducmV2LnhtbFBLBQYAAAAA&#10;BAAEAPMAAAB6BQAAAAA=&#10;">
            <v:path arrowok="t"/>
            <v:fill focussize="0,0"/>
            <v:stroke/>
            <v:imagedata o:title=""/>
            <o:lock v:ext="edit"/>
          </v:line>
        </w:pict>
      </w:r>
      <w:r>
        <w:rPr>
          <w:rFonts w:ascii="Times New Roman" w:hAnsi="Times New Roman"/>
        </w:rPr>
        <w:pict>
          <v:shape id="流程图: 决策 37" o:spid="_x0000_s1050" o:spt="110" type="#_x0000_t110" style="position:absolute;left:0pt;margin-left:168.75pt;margin-top:0.4pt;height:32.75pt;width:115.5pt;z-index:251666432;v-text-anchor:middle;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SiQqQIAACgFAAAOAAAAZHJzL2Uyb0RvYy54bWysVMGO0zAQvSPxD5bv3TTdpNtGm65WTYuQ&#10;Flhp4QNc22ksHDvYbtMFceDChTsXfoALJ8SVv1n2Nxg7bbfLXhAih8STsWfem3nj07NNLdGaGyu0&#10;ynF81MeIK6qZUMscv3o5740wso4oRqRWPMfX3OKzyeNHp22T8YGutGTcIAiibNY2Oa6ca7IosrTi&#10;NbFHuuEKnKU2NXFgmmXEDGkhei2jQb8/jFptWGM05dbC36Jz4kmIX5acuhdlablDMseAzYW3Ce+F&#10;f0eTU5ItDWkqQbcwyD+gqIlQkHQfqiCOoJURD0LVghptdemOqK4jXZaC8sAB2MT9P9hcVaThgQsU&#10;xzb7Mtn/F5Y+X18aJFiOhym0SpEamvTrx4fbr59uvvzM0M3H77ffPqPjE1+ptrEZHLhqLo3napsL&#10;TV9bpPS0ImrJz43RbcUJA3yx3x/dO+ANC0fRon2mGaQhK6dD0TalqX1AKAfahN5c73vDNw5R+Bkn&#10;w+EohRZS8CVxOh6kIQXJdqcbY90TrmvkFzkupW4Bl3EFp8LLM6Qi6wvrPDSS7fb7zErPhZRBDFKh&#10;NsfjFOIHkloK5p3BMMvFVBq0Jl5O4dmCsIfbauFA1FLUOR7tN5HMl2amWMjiiJDdGpBI5YMDU8C2&#10;XXXieTfuj2ej2SjpJYPhrJf0i6J3Pp8mveE8PkmL42I6LeL3HmecZJVgjCsPdSfkOPk7oWxHqpPg&#10;Xsr3KNlD5vPwPGQe3YcRqgysdt/ALmjCy6CTk9ssNkF+8djH8xpZaHYNKjG6G1a4XGBRafMWoxYG&#10;Ncf2zYoYjpF8qkBp4zhJ/GQHI0lPBmCYQ8/i0EMUhVA5ps5g1BlT190Hq8aIZQW54tB4pc9Bn6UI&#10;arnDtVU1jGOgtb06/Lwf2mHX3QU3+Q0AAP//AwBQSwMEFAAGAAgAAAAhACkpWv7eAAAABwEAAA8A&#10;AABkcnMvZG93bnJldi54bWxMj09LAzEUxO+C3yE8wYvYrF26lnXfliKIKFjZ6sFjmsTNYv4sSdpu&#10;/fQ+T3ocZpj5TbOanGUHHdMQPMLNrACmvQxq8D3C+9vD9RJYysIrYYPXCCedYNWenzWiVuHoO33Y&#10;5p5RiU+1QDA5jzXnSRrtRJqFUXvyPkN0IpOMPVdRHKncWT4vioo7MXhaMGLU90bLr+3eIXycOvn4&#10;avj6+3ljuxRfnq7kfES8vJjWd8CynvJfGH7xCR1aYtqFvVeJWYSyvF1QFIEOkL2oliR3CFVVAm8b&#10;/p+//QEAAP//AwBQSwECLQAUAAYACAAAACEAtoM4kv4AAADhAQAAEwAAAAAAAAAAAAAAAAAAAAAA&#10;W0NvbnRlbnRfVHlwZXNdLnhtbFBLAQItABQABgAIAAAAIQA4/SH/1gAAAJQBAAALAAAAAAAAAAAA&#10;AAAAAC8BAABfcmVscy8ucmVsc1BLAQItABQABgAIAAAAIQAw6SiQqQIAACgFAAAOAAAAAAAAAAAA&#10;AAAAAC4CAABkcnMvZTJvRG9jLnhtbFBLAQItABQABgAIAAAAIQApKVr+3gAAAAcBAAAPAAAAAAAA&#10;AAAAAAAAAAMFAABkcnMvZG93bnJldi54bWxQSwUGAAAAAAQABADzAAAADgYAAAAA&#10;">
            <v:path/>
            <v:fill on="f" focussize="0,0"/>
            <v:stroke weight="0.5pt" joinstyle="miter"/>
            <v:imagedata o:title=""/>
            <o:lock v:ext="edit"/>
            <v:textbox>
              <w:txbxContent>
                <w:p>
                  <w:pPr>
                    <w:jc w:val="center"/>
                    <w:rPr>
                      <w:rFonts w:ascii="宋体" w:hAnsi="宋体"/>
                      <w:color w:val="000000"/>
                      <w:sz w:val="15"/>
                      <w:szCs w:val="15"/>
                    </w:rPr>
                  </w:pPr>
                  <w:r>
                    <w:rPr>
                      <w:rFonts w:hint="eastAsia" w:ascii="宋体" w:hAnsi="宋体"/>
                      <w:color w:val="000000"/>
                      <w:sz w:val="15"/>
                      <w:szCs w:val="15"/>
                    </w:rPr>
                    <w:t>优化预警阈值</w:t>
                  </w:r>
                </w:p>
              </w:txbxContent>
            </v:textbox>
          </v:shape>
        </w:pict>
      </w:r>
    </w:p>
    <w:p>
      <w:pPr>
        <w:spacing w:before="120" w:beforeLines="50" w:line="400" w:lineRule="exact"/>
        <w:rPr>
          <w:rFonts w:ascii="Times New Roman" w:hAnsi="Times New Roman"/>
          <w:sz w:val="15"/>
          <w:szCs w:val="15"/>
        </w:rPr>
      </w:pPr>
      <w:r>
        <w:rPr>
          <w:rFonts w:ascii="Times New Roman" w:hAnsi="Times New Roman"/>
        </w:rPr>
        <w:pict>
          <v:shape id="直接箭头连接符 38" o:spid="_x0000_s1147" o:spt="32" type="#_x0000_t32" style="position:absolute;left:0pt;margin-left:226.85pt;margin-top:13.15pt;height:21pt;width:0pt;z-index:25166336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o2rVQIAAGgEAAAOAAAAZHJzL2Uyb0RvYy54bWysVM1uEzEQviPxDpbv6e6mSZquuqnQbsKl&#10;QKSWB3Bsb9bC67FsN5sI8Qq8AFJPwAk49c7TQHkMbOeHFi4IkYMztme++Wbm856dr1uJVtxYAarA&#10;2VGKEVcUmFDLAr+8mvXGGFlHFCMSFC/whlt8Pnn86KzTOe9DA5JxgzyIsnmnC9w4p/MksbThLbFH&#10;oLnylzWYlji/NcuEGdJ59FYm/TQdJR0Ypg1Qbq0/rbaXeBLx65pT96KuLXdIFthzc3E1cV2ENZmc&#10;kXxpiG4E3dEg/8CiJUL5pAeoijiCro34A6oV1ICF2h1RaBOoa0F5rMFXk6W/VXPZEM1jLb45Vh/a&#10;ZP8fLH2+mhskWIFHwxOMFGn9kO7e3X5/++Huy+dv729/fL0J9qeP6HgcutVpm/ugUs1NqJeu1aW+&#10;APrKIgVlQ9SSR9ZXG+2BshCRPAgJG6t9zkX3DJj3IdcOYuvWtWkDpG8KWscJbQ4T4muH6PaQ+tP+&#10;aHSSxuElJN/HaWPdUw4tCkaBrTNELBtXglJeBmCymIWsLqwLrEi+DwhJFcyElFENUqGuwKfD/jAG&#10;WJCChcvgZs1yUUqDViToKf5iif7mvpuBa8UiWMMJm+5sR4T0NnKxN8QY6HBI1XKGkeT+/QRry02q&#10;kM6X7dnurK2eXp+mp9PxdDzoDfqjaW+QVlXvyawc9Eaz7GRYHVdlWWVvAvNskDeCMa4C+b22s8Hf&#10;aWf3yraqPKj70KXkIXpspye7/4+k49zDqLeiWQDbzE2oLkjAyzk6755eeC/399Hr1wdi8hMAAP//&#10;AwBQSwMEFAAGAAgAAAAhAHZVlC7dAAAACQEAAA8AAABkcnMvZG93bnJldi54bWxMj8FOg0AQhu8m&#10;vsNmTLzZRWixQZbGmPRAUmOsPsAWRiCys5SdUvr2jvGgx5n5883355vZ9WrCMXSeDNwvIlBIla87&#10;agx8vG/v1qACW6pt7wkNXDDApri+ym1W+zO94bTnRgmEQmYNtMxDpnWoWnQ2LPyAJLdPPzrLMo6N&#10;rkd7FrjrdRxFqXa2I/nQ2gGfW6y+9idnIC6PfNnuSp5eefVydPFuWQ6VMbc389MjKMaZ/8Lwoy/q&#10;UIjTwZ+oDqo3sFwlDxIVWJqAksDv4mAgXSegi1z/b1B8AwAA//8DAFBLAQItABQABgAIAAAAIQC2&#10;gziS/gAAAOEBAAATAAAAAAAAAAAAAAAAAAAAAABbQ29udGVudF9UeXBlc10ueG1sUEsBAi0AFAAG&#10;AAgAAAAhADj9If/WAAAAlAEAAAsAAAAAAAAAAAAAAAAALwEAAF9yZWxzLy5yZWxzUEsBAi0AFAAG&#10;AAgAAAAhAA5ejatVAgAAaAQAAA4AAAAAAAAAAAAAAAAALgIAAGRycy9lMm9Eb2MueG1sUEsBAi0A&#10;FAAGAAgAAAAhAHZVlC7dAAAACQEAAA8AAAAAAAAAAAAAAAAArwQAAGRycy9kb3ducmV2LnhtbFBL&#10;BQYAAAAABAAEAPMAAAC5BQAAAAA=&#10;">
            <v:path arrowok="t"/>
            <v:fill on="f" focussize="0,0"/>
            <v:stroke weight="0.5pt" endarrow="open"/>
            <v:imagedata o:title=""/>
            <o:lock v:ext="edit"/>
          </v:shape>
        </w:pict>
      </w:r>
      <w:r>
        <w:rPr>
          <w:rFonts w:ascii="Times New Roman" w:hAnsi="Times New Roman"/>
        </w:rPr>
        <w:t xml:space="preserve">                              </w:t>
      </w:r>
      <w:r>
        <w:rPr>
          <w:rFonts w:hint="eastAsia" w:ascii="Times New Roman" w:hAnsi="Times New Roman"/>
        </w:rPr>
        <w:t xml:space="preserve">      </w:t>
      </w:r>
      <w:r>
        <w:rPr>
          <w:rFonts w:ascii="Times New Roman" w:hAnsi="Times New Roman"/>
        </w:rPr>
        <w:t xml:space="preserve">   </w:t>
      </w:r>
      <w:r>
        <w:rPr>
          <w:rFonts w:ascii="仿宋" w:hAnsi="仿宋" w:eastAsia="仿宋"/>
          <w:sz w:val="24"/>
          <w:szCs w:val="24"/>
        </w:rPr>
        <w:t xml:space="preserve"> </w:t>
      </w:r>
      <w:r>
        <w:rPr>
          <w:rFonts w:ascii="Times New Roman" w:hAnsi="Times New Roman"/>
          <w:sz w:val="15"/>
          <w:szCs w:val="15"/>
        </w:rPr>
        <w:t>YES</w:t>
      </w:r>
    </w:p>
    <w:p>
      <w:pPr>
        <w:spacing w:line="360" w:lineRule="auto"/>
        <w:rPr>
          <w:rFonts w:ascii="Times New Roman" w:hAnsi="Times New Roman"/>
        </w:rPr>
      </w:pPr>
      <w:r>
        <w:rPr>
          <w:rFonts w:ascii="Times New Roman" w:hAnsi="Times New Roman"/>
        </w:rPr>
        <w:pict>
          <v:shape id="文本框 39" o:spid="_x0000_s1051" o:spt="202" type="#_x0000_t202" style="position:absolute;left:0pt;margin-left:179.85pt;margin-top:8.15pt;height:18pt;width:102.4pt;z-index:251664384;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dXQAIAAF4EAAAOAAAAZHJzL2Uyb0RvYy54bWysVM1uEzEQviPxDpbvZDdpEtJVN1VpKUIq&#10;P1LhARyvN2vh9Zixk93yAOUNOHHhznP1ORh70zQqcEHswfJkxt/MfN9MTk771rCtQq/Blnw8yjlT&#10;VkKl7brkHz9cPltw5oOwlTBgVclvlOeny6dPTjpXqAk0YCqFjECsLzpX8iYEV2SZl41qhR+BU5ac&#10;NWArApm4zioUHaG3Jpvk+TzrACuHIJX39OvF4OTLhF/XSoZ3de1VYKbkVFtIJ6ZzFc9seSKKNQrX&#10;aLkrQ/xDFa3QlpLuoS5EEGyD+jeoVksED3UYSWgzqGstVeqBuhnnj7q5boRTqRcix7s9Tf7/wcq3&#10;2/fIdFXy+WzOmRUtiXT37evd9593P27Z0XFkqHO+oMBrR6GhfwE9KZ269e4K5CfPLJw3wq7VGSJ0&#10;jRIVVTiOL7ODpwOOjyCr7g1UlEhsAiSgvsY20keEMEInpW726qg+MBlTHuX5dEEuSb7JZDHPk3yZ&#10;KO5fO/ThlYKWxUvJkdRP6GJ75UOsRhT3ITGZB6OrS21MMnC9OjfItoIm5TJ9qYFHYcayjrg6muUD&#10;AX+FyNP3J4hWBxp5o9uSL/ZBooi0vbRVGsggtBnuVLKxOx4jdQOJoV/1SbRJoiCSvILqhphFGEac&#10;VpIuDeAXzjoa75L7zxuBijPz2pI6x+PpNO5DMqaz5wTE8NCzOvQIKwmq5DIgZ4NxHoYt2jjU64Zy&#10;DRNh4Yw0rXWi+6GuXQc0xEmF3cLFLTm0U9TD38LyFwAAAP//AwBQSwMEFAAGAAgAAAAhADvOgkDf&#10;AAAACQEAAA8AAABkcnMvZG93bnJldi54bWxMj0FOwzAQRfdI3MEaJHbUoSGhhDhVhdQFC6Tg9gBO&#10;bOKIeBzFTptyeoYV3c3oP/15U24XN7CTmULvUcDjKgFmsPW6x07A8bB/2AALUaFWg0cj4GICbKvb&#10;m1IV2p/x05xk7BiVYCiUABvjWHAeWmucCis/GqTsy09ORVqnjutJnancDXydJDl3qke6YNVo3qxp&#10;v+XsBMxjfdilH+/S1pfjT9w0sq/3Uoj7u2X3CiyaJf7D8KdP6lCRU+Nn1IENAtLs5ZlQCvIUGAFZ&#10;/pQBa2hYp8Crkl9/UP0CAAD//wMAUEsBAi0AFAAGAAgAAAAhALaDOJL+AAAA4QEAABMAAAAAAAAA&#10;AAAAAAAAAAAAAFtDb250ZW50X1R5cGVzXS54bWxQSwECLQAUAAYACAAAACEAOP0h/9YAAACUAQAA&#10;CwAAAAAAAAAAAAAAAAAvAQAAX3JlbHMvLnJlbHNQSwECLQAUAAYACAAAACEAsPwHV0ACAABeBAAA&#10;DgAAAAAAAAAAAAAAAAAuAgAAZHJzL2Uyb0RvYy54bWxQSwECLQAUAAYACAAAACEAO86CQN8AAAAJ&#10;AQAADwAAAAAAAAAAAAAAAACaBAAAZHJzL2Rvd25yZXYueG1sUEsFBgAAAAAEAAQA8wAAAKYFAAAA&#10;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预警预报信息上报</w:t>
                  </w:r>
                </w:p>
              </w:txbxContent>
            </v:textbox>
          </v:shape>
        </w:pict>
      </w:r>
    </w:p>
    <w:p>
      <w:pPr>
        <w:spacing w:line="360" w:lineRule="auto"/>
        <w:rPr>
          <w:rFonts w:ascii="Times New Roman" w:hAnsi="Times New Roman"/>
        </w:rPr>
      </w:pPr>
    </w:p>
    <w:p>
      <w:pPr>
        <w:tabs>
          <w:tab w:val="left" w:pos="2880"/>
          <w:tab w:val="center" w:pos="4677"/>
        </w:tabs>
        <w:spacing w:before="120" w:beforeLines="50" w:after="120" w:afterLines="50"/>
        <w:contextualSpacing/>
        <w:jc w:val="left"/>
        <w:rPr>
          <w:rFonts w:ascii="黑体" w:hAnsi="黑体" w:eastAsia="黑体"/>
          <w:szCs w:val="21"/>
        </w:rPr>
      </w:pPr>
      <w:r>
        <w:rPr>
          <w:rFonts w:ascii="黑体" w:hAnsi="黑体" w:eastAsia="黑体"/>
          <w:szCs w:val="21"/>
        </w:rPr>
        <w:tab/>
      </w:r>
      <w:r>
        <w:rPr>
          <w:rFonts w:ascii="黑体" w:hAnsi="黑体" w:eastAsia="黑体"/>
          <w:szCs w:val="21"/>
        </w:rPr>
        <w:tab/>
      </w:r>
      <w:r>
        <w:rPr>
          <w:rFonts w:ascii="黑体" w:hAnsi="黑体" w:eastAsia="黑体"/>
          <w:szCs w:val="21"/>
        </w:rPr>
        <w:t>图1</w:t>
      </w:r>
      <w:r>
        <w:rPr>
          <w:rFonts w:hint="eastAsia" w:ascii="黑体" w:hAnsi="黑体" w:eastAsia="黑体"/>
          <w:szCs w:val="21"/>
        </w:rPr>
        <w:t xml:space="preserve">  隐患点</w:t>
      </w:r>
      <w:r>
        <w:rPr>
          <w:rFonts w:ascii="黑体" w:hAnsi="黑体" w:eastAsia="黑体"/>
          <w:szCs w:val="21"/>
        </w:rPr>
        <w:t>专业监测工作流程图</w:t>
      </w:r>
    </w:p>
    <w:p>
      <w:pPr>
        <w:spacing w:line="360" w:lineRule="auto"/>
        <w:rPr>
          <w:rFonts w:ascii="宋体" w:hAnsi="宋体"/>
        </w:rPr>
        <w:sectPr>
          <w:pgSz w:w="11906" w:h="16838"/>
          <w:pgMar w:top="1418" w:right="1134" w:bottom="1134" w:left="1418" w:header="851" w:footer="992" w:gutter="0"/>
          <w:cols w:space="425" w:num="1"/>
          <w:docGrid w:linePitch="312" w:charSpace="0"/>
        </w:sectPr>
      </w:pPr>
    </w:p>
    <w:p>
      <w:pPr>
        <w:pStyle w:val="2"/>
        <w:spacing w:before="240" w:after="240"/>
      </w:pPr>
      <w:bookmarkStart w:id="40" w:name="_Toc33177677"/>
      <w:bookmarkStart w:id="41" w:name="_Toc21966346"/>
      <w:r>
        <w:rPr>
          <w:rFonts w:hint="eastAsia"/>
        </w:rPr>
        <w:t>5  专业</w:t>
      </w:r>
      <w:r>
        <w:t>监测</w:t>
      </w:r>
      <w:r>
        <w:rPr>
          <w:rFonts w:hint="eastAsia"/>
        </w:rPr>
        <w:t>预警</w:t>
      </w:r>
      <w:r>
        <w:t>分级</w:t>
      </w:r>
      <w:bookmarkEnd w:id="40"/>
      <w:bookmarkEnd w:id="41"/>
    </w:p>
    <w:p>
      <w:pPr>
        <w:pStyle w:val="3"/>
        <w:spacing w:before="120" w:after="120"/>
      </w:pPr>
      <w:bookmarkStart w:id="42" w:name="_Toc21966347"/>
      <w:bookmarkStart w:id="43" w:name="_Toc33177678"/>
      <w:r>
        <w:rPr>
          <w:rFonts w:hint="eastAsia"/>
        </w:rPr>
        <w:t>5.1  规模分级</w:t>
      </w:r>
      <w:bookmarkEnd w:id="42"/>
      <w:bookmarkEnd w:id="43"/>
    </w:p>
    <w:p>
      <w:pPr>
        <w:spacing w:line="360" w:lineRule="auto"/>
        <w:ind w:firstLine="420" w:firstLineChars="200"/>
        <w:rPr>
          <w:rFonts w:ascii="Times New Roman" w:hAnsi="Times New Roman"/>
          <w:szCs w:val="21"/>
        </w:rPr>
      </w:pPr>
      <w:r>
        <w:rPr>
          <w:rFonts w:ascii="宋体" w:hAnsi="宋体"/>
          <w:szCs w:val="21"/>
        </w:rPr>
        <w:t>地质灾害规模等级</w:t>
      </w:r>
      <w:r>
        <w:rPr>
          <w:rFonts w:hint="eastAsia" w:ascii="宋体" w:hAnsi="宋体"/>
          <w:szCs w:val="21"/>
        </w:rPr>
        <w:t>按《地质灾害分类分级（试行）》</w:t>
      </w:r>
      <w:r>
        <w:rPr>
          <w:rFonts w:ascii="Times New Roman" w:hAnsi="Times New Roman"/>
          <w:szCs w:val="21"/>
        </w:rPr>
        <w:t>（DZ 0238</w:t>
      </w:r>
      <w:r>
        <w:rPr>
          <w:rFonts w:hint="eastAsia" w:ascii="宋体" w:hAnsi="宋体"/>
          <w:szCs w:val="21"/>
        </w:rPr>
        <w:t>―</w:t>
      </w:r>
      <w:r>
        <w:rPr>
          <w:rFonts w:ascii="Times New Roman" w:hAnsi="Times New Roman"/>
          <w:szCs w:val="21"/>
        </w:rPr>
        <w:t>2004）划分，见表1。</w:t>
      </w:r>
    </w:p>
    <w:p>
      <w:pPr>
        <w:widowControl/>
        <w:tabs>
          <w:tab w:val="left" w:pos="360"/>
        </w:tabs>
        <w:spacing w:before="120" w:beforeLines="50" w:after="120" w:afterLines="50"/>
        <w:jc w:val="center"/>
        <w:rPr>
          <w:rFonts w:ascii="黑体" w:hAnsi="黑体" w:eastAsia="黑体"/>
          <w:kern w:val="0"/>
          <w:szCs w:val="21"/>
        </w:rPr>
      </w:pPr>
      <w:r>
        <w:rPr>
          <w:rFonts w:ascii="宋体" w:hAnsi="宋体"/>
          <w:sz w:val="18"/>
          <w:szCs w:val="18"/>
        </w:rPr>
        <w:pict>
          <v:group id="Group 657" o:spid="_x0000_s1144" o:spt="203" style="position:absolute;left:0pt;margin-left:-4.8pt;margin-top:24.95pt;height:47.25pt;width:151.45pt;z-index:251748352;mso-width-relative:page;mso-height-relative:page;" coordorigin="1035,3480" coordsize="2835,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1F2gIAAH8IAAAOAAAAZHJzL2Uyb0RvYy54bWzsVktv2zAMvg/YfxB8T20ntpsYdYrCTrrD&#10;HgXa7a7I8gOzJUFS4wTD/vso+ZG066HogJ6Wg0OZIkV+/Ej56vrQNmhPpao5Sxz/wnMQZYTnNSsT&#10;5/vDdrZ0kNKY5bjhjCbOkSrnev3xw1UnYjrnFW9yKhE4YSruROJUWovYdRWpaIvVBReUgbLgssUa&#10;lrJ0c4k78N427tzzIrfjMheSE6oUvM16pbO2/ouCEv2tKBTVqEkciE3bp7TPnXm66ysclxKLqiZD&#10;GPgNUbS4ZnDo5CrDGqNHWf/lqq2J5IoX+oLw1uVFURNqc4BsfO9ZNreSPwqbSxl3pZhgAmif4fRm&#10;t+Tr/k6iOk+cKFw4iOEWimTPRVF4aeDpRBnDrlsp7sWd7HME8TMnPxWo3ed6sy77zWjXfeE5OMSP&#10;mlt4DoVsjQtIHB1sFY5TFehBIwIv/VUUhavQQQR0ked5l2FfJlJBLY2Z7y1ADdpFsBxKSKrNYD5f&#10;GqWxXQXW0MVxf6wNdQjN5AWMUydQ1b+Bel9hQW2tlIFrAjUYQb0BDOwmANbGZQKAnSnrUSUHNqCK&#10;GE8rzEpqtz8cBSDoGwgggTMTs1BQkpdRRkVTi0/G0Eo/jHSG/DwMoR2eQDjhv5iD6iUAcSyk0reU&#10;t8gIiaO0xHVZ6ZQzBq3GZX8G3n9W2sR7MjBHM76tmwbe47hhqIMChfPQBqV4U+dGaXRKlru0kWiP&#10;Tc/an00eNOfboDdYbp1VFOebQda4bnoZDm+Y8Qd5QTiD1Dflr5W32iw3y2AWzKPNLPCybHazTYNZ&#10;tPUvw2yRpWnm/zah+UFc1XlOmYluHBB+8DquDKOqb+1pREwwuE+9W7wg2PHfBm1LbqrcE3bH8+Od&#10;HKkA9H03HkNP9cPhnMeRKcwTUuL4fXl8GgWrcUyMPD4NggC4bjAbB8GJlv95/JqL5F14bKcz3HK2&#10;TsONbK7R8zXI598N6z8AAAD//wMAUEsDBBQABgAIAAAAIQBRHLNy3wAAAAgBAAAPAAAAZHJzL2Rv&#10;d25yZXYueG1sTI/NasMwEITvhb6D2EJviWz3h8q1HEJoewqFJoXSm2JtbBNrZSzFdt6+21N7WoYZ&#10;Zr8pVrPrxIhDaD1pSJcJCKTK25ZqDZ/718UTiBANWdN5Qg0XDLAqr68Kk1s/0QeOu1gLLqGQGw1N&#10;jH0uZagadCYsfY/E3tEPzkSWQy3tYCYud53MkuRROtMSf2hMj5sGq9Pu7DS8TWZa36Uv4/Z03Fy+&#10;9w/vX9sUtb69mdfPICLO8S8Mv/iMDiUzHfyZbBCdhoVSnOSb3YNgP1OKpxw0qCwFWRby/4DyBwAA&#10;//8DAFBLAQItABQABgAIAAAAIQC2gziS/gAAAOEBAAATAAAAAAAAAAAAAAAAAAAAAABbQ29udGVu&#10;dF9UeXBlc10ueG1sUEsBAi0AFAAGAAgAAAAhADj9If/WAAAAlAEAAAsAAAAAAAAAAAAAAAAALwEA&#10;AF9yZWxzLy5yZWxzUEsBAi0AFAAGAAgAAAAhAIlZHUXaAgAAfwgAAA4AAAAAAAAAAAAAAAAALgIA&#10;AGRycy9lMm9Eb2MueG1sUEsBAi0AFAAGAAgAAAAhAFEcs3LfAAAACAEAAA8AAAAAAAAAAAAAAAAA&#10;NAUAAGRycy9kb3ducmV2LnhtbFBLBQYAAAAABAAEAPMAAABABgAAAAA=&#10;">
            <o:lock v:ext="edit"/>
            <v:shape id="AutoShape 655" o:spid="_x0000_s1146" o:spt="32" type="#_x0000_t32" style="position:absolute;left:2550;top:3480;flip:x y;height:945;width:132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qrLMYAAADcAAAADwAAAGRycy9kb3ducmV2LnhtbESPQWvCQBSE7wX/w/KEXopuLFUkdZXF&#10;UiiC2EQh10f2NYlm34bsVtN/7xYKPQ4z8w2z2gy2FVfqfeNYwWyagCAunWm4UnA6vk+WIHxANtg6&#10;JgU/5GGzHj2sMDXuxhld81CJCGGfooI6hC6V0pc1WfRT1xFH78v1FkOUfSVNj7cIt618TpKFtNhw&#10;XKixo21N5SX/tgrC/mk3P2eHg86Z3/TnrrjobaHU43jQryACDeE//Nf+MAoW8xf4PROPgF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qyzGAAAA3AAAAA8AAAAAAAAA&#10;AAAAAAAAoQIAAGRycy9kb3ducmV2LnhtbFBLBQYAAAAABAAEAPkAAACUAwAAAAA=&#10;">
              <v:path arrowok="t"/>
              <v:fill on="f" focussize="0,0"/>
              <v:stroke weight="0.5pt"/>
              <v:imagedata o:title=""/>
              <o:lock v:ext="edit"/>
            </v:shape>
            <v:shape id="AutoShape 656" o:spid="_x0000_s1145" o:spt="32" type="#_x0000_t32" style="position:absolute;left:1035;top:3975;flip:x y;height:450;width:2835;"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YOt8QAAADcAAAADwAAAGRycy9kb3ducmV2LnhtbESPQYvCMBSE78L+h/AEL7KmCpWlGqW4&#10;CIsganfB66N5ttXmpTRZrf/eCILHYWa+YebLztTiSq2rLCsYjyIQxLnVFRcK/n7Xn18gnEfWWFsm&#10;BXdysFx89OaYaHvjA10zX4gAYZeggtL7JpHS5SUZdCPbEAfvZFuDPsi2kLrFW4CbWk6iaCoNVhwW&#10;SmxoVVJ+yf6NAr8dbuLzYbdLM+bvdL85XtLVUalBv0tnIDx1/h1+tX+0gmkcw/NMOAJy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1g63xAAAANwAAAAPAAAAAAAAAAAA&#10;AAAAAKECAABkcnMvZG93bnJldi54bWxQSwUGAAAAAAQABAD5AAAAkgMAAAAA&#10;">
              <v:path arrowok="t"/>
              <v:fill on="f" focussize="0,0"/>
              <v:stroke weight="0.5pt"/>
              <v:imagedata o:title=""/>
              <o:lock v:ext="edit"/>
            </v:shape>
          </v:group>
        </w:pict>
      </w:r>
      <w:r>
        <w:rPr>
          <w:rFonts w:ascii="黑体" w:hAnsi="黑体" w:eastAsia="黑体"/>
          <w:kern w:val="0"/>
          <w:szCs w:val="21"/>
        </w:rPr>
        <w:t>表</w:t>
      </w:r>
      <w:r>
        <w:rPr>
          <w:rFonts w:hint="eastAsia" w:ascii="黑体" w:hAnsi="黑体" w:eastAsia="黑体"/>
          <w:kern w:val="0"/>
          <w:szCs w:val="21"/>
        </w:rPr>
        <w:t xml:space="preserve">1  </w:t>
      </w:r>
      <w:r>
        <w:rPr>
          <w:rFonts w:ascii="黑体" w:hAnsi="黑体" w:eastAsia="黑体"/>
          <w:kern w:val="0"/>
          <w:szCs w:val="21"/>
        </w:rPr>
        <w:t>地质灾害规模等级划分表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1"/>
        <w:gridCol w:w="1824"/>
        <w:gridCol w:w="1323"/>
        <w:gridCol w:w="1573"/>
        <w:gridCol w:w="1571"/>
        <w:gridCol w:w="2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12" w:type="pct"/>
            <w:gridSpan w:val="2"/>
            <w:shd w:val="clear" w:color="auto" w:fill="auto"/>
          </w:tcPr>
          <w:p>
            <w:pPr>
              <w:spacing w:line="309" w:lineRule="exact"/>
              <w:ind w:firstLine="2070" w:firstLineChars="1150"/>
              <w:jc w:val="left"/>
              <w:rPr>
                <w:rFonts w:ascii="宋体" w:hAnsi="宋体"/>
                <w:sz w:val="18"/>
                <w:szCs w:val="18"/>
              </w:rPr>
            </w:pPr>
            <w:r>
              <w:rPr>
                <w:rFonts w:hint="eastAsia" w:ascii="宋体" w:hAnsi="宋体"/>
                <w:sz w:val="18"/>
                <w:szCs w:val="18"/>
              </w:rPr>
              <w:t>灾变等级</w:t>
            </w:r>
          </w:p>
          <w:p>
            <w:pPr>
              <w:spacing w:line="309" w:lineRule="exact"/>
              <w:ind w:firstLine="1080" w:firstLineChars="600"/>
              <w:rPr>
                <w:rFonts w:ascii="宋体" w:hAnsi="宋体"/>
                <w:sz w:val="18"/>
                <w:szCs w:val="18"/>
              </w:rPr>
            </w:pPr>
            <w:r>
              <w:rPr>
                <w:rFonts w:hint="eastAsia" w:ascii="宋体" w:hAnsi="宋体"/>
                <w:sz w:val="18"/>
                <w:szCs w:val="18"/>
              </w:rPr>
              <w:t>指标</w:t>
            </w:r>
          </w:p>
          <w:p>
            <w:pPr>
              <w:spacing w:line="309" w:lineRule="exact"/>
              <w:rPr>
                <w:rFonts w:ascii="宋体" w:hAnsi="宋体"/>
                <w:sz w:val="18"/>
                <w:szCs w:val="18"/>
              </w:rPr>
            </w:pPr>
            <w:r>
              <w:rPr>
                <w:rFonts w:hint="eastAsia" w:ascii="宋体" w:hAnsi="宋体"/>
                <w:sz w:val="18"/>
                <w:szCs w:val="18"/>
              </w:rPr>
              <w:t>灾种</w:t>
            </w:r>
          </w:p>
        </w:tc>
        <w:tc>
          <w:tcPr>
            <w:tcW w:w="691" w:type="pct"/>
            <w:shd w:val="clear" w:color="auto" w:fill="auto"/>
            <w:vAlign w:val="center"/>
          </w:tcPr>
          <w:p>
            <w:pPr>
              <w:spacing w:line="309" w:lineRule="exact"/>
              <w:jc w:val="center"/>
              <w:rPr>
                <w:rFonts w:ascii="宋体" w:hAnsi="宋体"/>
                <w:sz w:val="18"/>
                <w:szCs w:val="18"/>
              </w:rPr>
            </w:pPr>
            <w:r>
              <w:rPr>
                <w:rFonts w:hint="eastAsia" w:ascii="宋体" w:hAnsi="宋体"/>
                <w:sz w:val="18"/>
                <w:szCs w:val="18"/>
              </w:rPr>
              <w:t>特大型</w:t>
            </w:r>
          </w:p>
        </w:tc>
        <w:tc>
          <w:tcPr>
            <w:tcW w:w="822" w:type="pct"/>
            <w:shd w:val="clear" w:color="auto" w:fill="auto"/>
            <w:vAlign w:val="center"/>
          </w:tcPr>
          <w:p>
            <w:pPr>
              <w:spacing w:line="309" w:lineRule="exact"/>
              <w:jc w:val="center"/>
              <w:rPr>
                <w:rFonts w:ascii="宋体" w:hAnsi="宋体"/>
                <w:sz w:val="18"/>
                <w:szCs w:val="18"/>
              </w:rPr>
            </w:pPr>
            <w:r>
              <w:rPr>
                <w:rFonts w:hint="eastAsia" w:ascii="宋体" w:hAnsi="宋体"/>
                <w:sz w:val="18"/>
                <w:szCs w:val="18"/>
              </w:rPr>
              <w:t>大型</w:t>
            </w:r>
          </w:p>
        </w:tc>
        <w:tc>
          <w:tcPr>
            <w:tcW w:w="821" w:type="pct"/>
            <w:shd w:val="clear" w:color="auto" w:fill="auto"/>
            <w:vAlign w:val="center"/>
          </w:tcPr>
          <w:p>
            <w:pPr>
              <w:spacing w:line="309" w:lineRule="exact"/>
              <w:jc w:val="center"/>
              <w:rPr>
                <w:rFonts w:ascii="宋体" w:hAnsi="宋体"/>
                <w:sz w:val="18"/>
                <w:szCs w:val="18"/>
              </w:rPr>
            </w:pPr>
            <w:r>
              <w:rPr>
                <w:rFonts w:hint="eastAsia" w:ascii="宋体" w:hAnsi="宋体"/>
                <w:sz w:val="18"/>
                <w:szCs w:val="18"/>
              </w:rPr>
              <w:t>中型</w:t>
            </w:r>
          </w:p>
        </w:tc>
        <w:tc>
          <w:tcPr>
            <w:tcW w:w="1054" w:type="pct"/>
            <w:vAlign w:val="center"/>
          </w:tcPr>
          <w:p>
            <w:pPr>
              <w:spacing w:line="309" w:lineRule="exact"/>
              <w:jc w:val="center"/>
              <w:rPr>
                <w:rFonts w:ascii="宋体" w:hAnsi="宋体"/>
                <w:sz w:val="18"/>
                <w:szCs w:val="18"/>
              </w:rPr>
            </w:pPr>
            <w:r>
              <w:rPr>
                <w:rFonts w:hint="eastAsia" w:ascii="宋体" w:hAnsi="宋体"/>
                <w:sz w:val="18"/>
                <w:szCs w:val="18"/>
              </w:rPr>
              <w:t>小型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9" w:type="pct"/>
            <w:shd w:val="clear" w:color="auto" w:fill="auto"/>
            <w:vAlign w:val="center"/>
          </w:tcPr>
          <w:p>
            <w:pPr>
              <w:jc w:val="center"/>
              <w:rPr>
                <w:rFonts w:ascii="宋体" w:hAnsi="宋体"/>
                <w:sz w:val="18"/>
                <w:szCs w:val="18"/>
              </w:rPr>
            </w:pPr>
            <w:r>
              <w:rPr>
                <w:rFonts w:hint="eastAsia" w:ascii="宋体" w:hAnsi="宋体"/>
                <w:sz w:val="18"/>
                <w:szCs w:val="18"/>
              </w:rPr>
              <w:t>崩塌（危岩）</w:t>
            </w:r>
          </w:p>
        </w:tc>
        <w:tc>
          <w:tcPr>
            <w:tcW w:w="953" w:type="pct"/>
            <w:vAlign w:val="center"/>
          </w:tcPr>
          <w:p>
            <w:pPr>
              <w:jc w:val="center"/>
              <w:rPr>
                <w:rFonts w:ascii="Times New Roman" w:hAnsi="Times New Roman"/>
                <w:sz w:val="18"/>
                <w:szCs w:val="18"/>
              </w:rPr>
            </w:pPr>
            <w:r>
              <w:rPr>
                <w:rFonts w:ascii="Times New Roman" w:hAnsi="Times New Roman"/>
                <w:sz w:val="18"/>
                <w:szCs w:val="18"/>
              </w:rPr>
              <w:t>体积（10</w:t>
            </w:r>
            <w:r>
              <w:rPr>
                <w:rFonts w:ascii="Times New Roman" w:hAnsi="Times New Roman"/>
                <w:sz w:val="18"/>
                <w:szCs w:val="18"/>
                <w:vertAlign w:val="superscript"/>
              </w:rPr>
              <w:t xml:space="preserve">4 </w:t>
            </w:r>
            <w:r>
              <w:rPr>
                <w:rFonts w:ascii="Times New Roman" w:hAnsi="Times New Roman"/>
                <w:sz w:val="18"/>
                <w:szCs w:val="18"/>
              </w:rPr>
              <w:t>m</w:t>
            </w:r>
            <w:r>
              <w:rPr>
                <w:rFonts w:ascii="Times New Roman" w:hAnsi="Times New Roman"/>
                <w:sz w:val="18"/>
                <w:szCs w:val="18"/>
                <w:vertAlign w:val="superscript"/>
              </w:rPr>
              <w:t>3</w:t>
            </w:r>
            <w:r>
              <w:rPr>
                <w:rFonts w:ascii="Times New Roman" w:hAnsi="Times New Roman"/>
                <w:sz w:val="18"/>
                <w:szCs w:val="18"/>
              </w:rPr>
              <w:t>）</w:t>
            </w:r>
          </w:p>
        </w:tc>
        <w:tc>
          <w:tcPr>
            <w:tcW w:w="691" w:type="pct"/>
            <w:shd w:val="clear" w:color="auto" w:fill="auto"/>
            <w:vAlign w:val="center"/>
          </w:tcPr>
          <w:p>
            <w:pPr>
              <w:jc w:val="center"/>
              <w:rPr>
                <w:rFonts w:ascii="Times New Roman" w:hAnsi="Times New Roman"/>
                <w:sz w:val="18"/>
                <w:szCs w:val="18"/>
              </w:rPr>
            </w:pPr>
            <w:r>
              <w:rPr>
                <w:rFonts w:ascii="Times New Roman" w:hAnsi="Times New Roman"/>
                <w:sz w:val="18"/>
                <w:szCs w:val="18"/>
              </w:rPr>
              <w:t>＞100</w:t>
            </w:r>
          </w:p>
        </w:tc>
        <w:tc>
          <w:tcPr>
            <w:tcW w:w="822" w:type="pct"/>
            <w:shd w:val="clear" w:color="auto" w:fill="auto"/>
            <w:vAlign w:val="center"/>
          </w:tcPr>
          <w:p>
            <w:pPr>
              <w:jc w:val="center"/>
              <w:rPr>
                <w:rFonts w:ascii="Times New Roman" w:hAnsi="Times New Roman"/>
                <w:sz w:val="18"/>
                <w:szCs w:val="18"/>
              </w:rPr>
            </w:pPr>
            <w:r>
              <w:rPr>
                <w:rFonts w:ascii="Times New Roman" w:hAnsi="Times New Roman"/>
                <w:sz w:val="18"/>
                <w:szCs w:val="18"/>
              </w:rPr>
              <w:t>100-10</w:t>
            </w: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10</w:t>
            </w:r>
            <w:r>
              <w:rPr>
                <w:rFonts w:hint="eastAsia" w:ascii="Times New Roman" w:hAnsi="Times New Roman"/>
                <w:sz w:val="18"/>
                <w:szCs w:val="18"/>
              </w:rPr>
              <w:t>-</w:t>
            </w:r>
            <w:r>
              <w:rPr>
                <w:rFonts w:ascii="Times New Roman" w:hAnsi="Times New Roman"/>
                <w:sz w:val="18"/>
                <w:szCs w:val="18"/>
              </w:rPr>
              <w:t>1</w:t>
            </w:r>
          </w:p>
        </w:tc>
        <w:tc>
          <w:tcPr>
            <w:tcW w:w="1054" w:type="pct"/>
            <w:vAlign w:val="center"/>
          </w:tcPr>
          <w:p>
            <w:pPr>
              <w:jc w:val="center"/>
              <w:rPr>
                <w:rFonts w:ascii="Times New Roman" w:hAnsi="Times New Roman"/>
                <w:sz w:val="18"/>
                <w:szCs w:val="18"/>
              </w:rPr>
            </w:pPr>
            <w:r>
              <w:rPr>
                <w:rFonts w:ascii="Times New Roman" w:hAnsi="Times New Roman"/>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9" w:type="pct"/>
            <w:shd w:val="clear" w:color="auto" w:fill="auto"/>
            <w:vAlign w:val="center"/>
          </w:tcPr>
          <w:p>
            <w:pPr>
              <w:jc w:val="center"/>
              <w:rPr>
                <w:rFonts w:ascii="宋体" w:hAnsi="宋体"/>
                <w:sz w:val="18"/>
                <w:szCs w:val="18"/>
              </w:rPr>
            </w:pPr>
            <w:r>
              <w:rPr>
                <w:rFonts w:hint="eastAsia" w:ascii="宋体" w:hAnsi="宋体"/>
                <w:sz w:val="18"/>
                <w:szCs w:val="18"/>
              </w:rPr>
              <w:t>滑坡</w:t>
            </w:r>
          </w:p>
        </w:tc>
        <w:tc>
          <w:tcPr>
            <w:tcW w:w="953" w:type="pct"/>
            <w:vAlign w:val="center"/>
          </w:tcPr>
          <w:p>
            <w:pPr>
              <w:jc w:val="center"/>
              <w:rPr>
                <w:rFonts w:ascii="Times New Roman" w:hAnsi="Times New Roman"/>
                <w:sz w:val="18"/>
                <w:szCs w:val="18"/>
              </w:rPr>
            </w:pPr>
            <w:r>
              <w:rPr>
                <w:rFonts w:ascii="Times New Roman" w:hAnsi="Times New Roman"/>
                <w:sz w:val="18"/>
                <w:szCs w:val="18"/>
              </w:rPr>
              <w:t>体积（10</w:t>
            </w:r>
            <w:r>
              <w:rPr>
                <w:rFonts w:ascii="Times New Roman" w:hAnsi="Times New Roman"/>
                <w:sz w:val="18"/>
                <w:szCs w:val="18"/>
                <w:vertAlign w:val="superscript"/>
              </w:rPr>
              <w:t xml:space="preserve">4 </w:t>
            </w:r>
            <w:r>
              <w:rPr>
                <w:rFonts w:ascii="Times New Roman" w:hAnsi="Times New Roman"/>
                <w:sz w:val="18"/>
                <w:szCs w:val="18"/>
              </w:rPr>
              <w:t>m</w:t>
            </w:r>
            <w:r>
              <w:rPr>
                <w:rFonts w:ascii="Times New Roman" w:hAnsi="Times New Roman"/>
                <w:sz w:val="18"/>
                <w:szCs w:val="18"/>
                <w:vertAlign w:val="superscript"/>
              </w:rPr>
              <w:t>3</w:t>
            </w:r>
            <w:r>
              <w:rPr>
                <w:rFonts w:ascii="Times New Roman" w:hAnsi="Times New Roman"/>
                <w:sz w:val="18"/>
                <w:szCs w:val="18"/>
              </w:rPr>
              <w:t>）</w:t>
            </w:r>
          </w:p>
        </w:tc>
        <w:tc>
          <w:tcPr>
            <w:tcW w:w="691" w:type="pct"/>
            <w:shd w:val="clear" w:color="auto" w:fill="auto"/>
            <w:vAlign w:val="center"/>
          </w:tcPr>
          <w:p>
            <w:pPr>
              <w:jc w:val="center"/>
              <w:rPr>
                <w:rFonts w:ascii="Times New Roman" w:hAnsi="Times New Roman"/>
                <w:sz w:val="18"/>
                <w:szCs w:val="18"/>
              </w:rPr>
            </w:pPr>
            <w:r>
              <w:rPr>
                <w:rFonts w:ascii="Times New Roman" w:hAnsi="Times New Roman"/>
                <w:sz w:val="18"/>
                <w:szCs w:val="18"/>
              </w:rPr>
              <w:t>＞1 000</w:t>
            </w:r>
          </w:p>
        </w:tc>
        <w:tc>
          <w:tcPr>
            <w:tcW w:w="822" w:type="pct"/>
            <w:shd w:val="clear" w:color="auto" w:fill="auto"/>
            <w:vAlign w:val="center"/>
          </w:tcPr>
          <w:p>
            <w:pPr>
              <w:jc w:val="center"/>
              <w:rPr>
                <w:rFonts w:ascii="Times New Roman" w:hAnsi="Times New Roman"/>
                <w:sz w:val="18"/>
                <w:szCs w:val="18"/>
              </w:rPr>
            </w:pPr>
            <w:r>
              <w:rPr>
                <w:rFonts w:ascii="Times New Roman" w:hAnsi="Times New Roman"/>
                <w:sz w:val="18"/>
                <w:szCs w:val="18"/>
              </w:rPr>
              <w:t>1 000-100</w:t>
            </w: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100-10</w:t>
            </w:r>
          </w:p>
        </w:tc>
        <w:tc>
          <w:tcPr>
            <w:tcW w:w="1054" w:type="pct"/>
            <w:vAlign w:val="center"/>
          </w:tcPr>
          <w:p>
            <w:pPr>
              <w:jc w:val="center"/>
              <w:rPr>
                <w:rFonts w:ascii="Times New Roman" w:hAnsi="Times New Roman"/>
                <w:sz w:val="18"/>
                <w:szCs w:val="18"/>
              </w:rPr>
            </w:pPr>
            <w:r>
              <w:rPr>
                <w:rFonts w:ascii="Times New Roman" w:hAnsi="Times New Roman"/>
                <w:sz w:val="18"/>
                <w:szCs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9" w:type="pct"/>
            <w:shd w:val="clear" w:color="auto" w:fill="auto"/>
            <w:vAlign w:val="center"/>
          </w:tcPr>
          <w:p>
            <w:pPr>
              <w:jc w:val="center"/>
              <w:rPr>
                <w:rFonts w:ascii="宋体" w:hAnsi="宋体"/>
                <w:sz w:val="18"/>
                <w:szCs w:val="18"/>
              </w:rPr>
            </w:pPr>
            <w:r>
              <w:rPr>
                <w:rFonts w:hint="eastAsia" w:ascii="宋体" w:hAnsi="宋体"/>
                <w:sz w:val="18"/>
                <w:szCs w:val="18"/>
              </w:rPr>
              <w:t>泥石流</w:t>
            </w:r>
          </w:p>
        </w:tc>
        <w:tc>
          <w:tcPr>
            <w:tcW w:w="953" w:type="pct"/>
            <w:vAlign w:val="center"/>
          </w:tcPr>
          <w:p>
            <w:pPr>
              <w:jc w:val="center"/>
              <w:rPr>
                <w:rFonts w:ascii="Times New Roman" w:hAnsi="Times New Roman"/>
                <w:sz w:val="18"/>
                <w:szCs w:val="18"/>
              </w:rPr>
            </w:pPr>
            <w:r>
              <w:rPr>
                <w:rFonts w:ascii="Times New Roman" w:hAnsi="Times New Roman"/>
                <w:sz w:val="18"/>
                <w:szCs w:val="18"/>
              </w:rPr>
              <w:t>堆积物体积（10</w:t>
            </w:r>
            <w:r>
              <w:rPr>
                <w:rFonts w:ascii="Times New Roman" w:hAnsi="Times New Roman"/>
                <w:sz w:val="18"/>
                <w:szCs w:val="18"/>
                <w:vertAlign w:val="superscript"/>
              </w:rPr>
              <w:t xml:space="preserve">4 </w:t>
            </w:r>
            <w:r>
              <w:rPr>
                <w:rFonts w:ascii="Times New Roman" w:hAnsi="Times New Roman"/>
                <w:sz w:val="18"/>
                <w:szCs w:val="18"/>
              </w:rPr>
              <w:t>m</w:t>
            </w:r>
            <w:r>
              <w:rPr>
                <w:rFonts w:ascii="Times New Roman" w:hAnsi="Times New Roman"/>
                <w:sz w:val="18"/>
                <w:szCs w:val="18"/>
                <w:vertAlign w:val="superscript"/>
              </w:rPr>
              <w:t>3</w:t>
            </w:r>
            <w:r>
              <w:rPr>
                <w:rFonts w:ascii="Times New Roman" w:hAnsi="Times New Roman"/>
                <w:sz w:val="18"/>
                <w:szCs w:val="18"/>
              </w:rPr>
              <w:t>）</w:t>
            </w:r>
          </w:p>
        </w:tc>
        <w:tc>
          <w:tcPr>
            <w:tcW w:w="691" w:type="pct"/>
            <w:shd w:val="clear" w:color="auto" w:fill="auto"/>
            <w:vAlign w:val="center"/>
          </w:tcPr>
          <w:p>
            <w:pPr>
              <w:jc w:val="center"/>
              <w:rPr>
                <w:rFonts w:ascii="Times New Roman" w:hAnsi="Times New Roman"/>
                <w:sz w:val="18"/>
                <w:szCs w:val="18"/>
              </w:rPr>
            </w:pPr>
            <w:r>
              <w:rPr>
                <w:rFonts w:ascii="Times New Roman" w:hAnsi="Times New Roman"/>
                <w:sz w:val="18"/>
                <w:szCs w:val="18"/>
              </w:rPr>
              <w:t>＞100</w:t>
            </w:r>
          </w:p>
        </w:tc>
        <w:tc>
          <w:tcPr>
            <w:tcW w:w="822" w:type="pct"/>
            <w:shd w:val="clear" w:color="auto" w:fill="auto"/>
            <w:vAlign w:val="center"/>
          </w:tcPr>
          <w:p>
            <w:pPr>
              <w:jc w:val="center"/>
              <w:rPr>
                <w:rFonts w:ascii="Times New Roman" w:hAnsi="Times New Roman"/>
                <w:sz w:val="18"/>
                <w:szCs w:val="18"/>
              </w:rPr>
            </w:pPr>
            <w:r>
              <w:rPr>
                <w:rFonts w:ascii="Times New Roman" w:hAnsi="Times New Roman"/>
                <w:sz w:val="18"/>
                <w:szCs w:val="18"/>
              </w:rPr>
              <w:t>100-10</w:t>
            </w: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10-1</w:t>
            </w:r>
          </w:p>
        </w:tc>
        <w:tc>
          <w:tcPr>
            <w:tcW w:w="1054" w:type="pct"/>
            <w:vAlign w:val="center"/>
          </w:tcPr>
          <w:p>
            <w:pPr>
              <w:jc w:val="center"/>
              <w:rPr>
                <w:rFonts w:ascii="Times New Roman" w:hAnsi="Times New Roman"/>
                <w:sz w:val="18"/>
                <w:szCs w:val="18"/>
              </w:rPr>
            </w:pPr>
            <w:r>
              <w:rPr>
                <w:rFonts w:ascii="Times New Roman" w:hAnsi="Times New Roman"/>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9" w:type="pct"/>
            <w:shd w:val="clear" w:color="auto" w:fill="auto"/>
            <w:vAlign w:val="center"/>
          </w:tcPr>
          <w:p>
            <w:pPr>
              <w:jc w:val="center"/>
              <w:rPr>
                <w:rFonts w:ascii="宋体" w:hAnsi="宋体"/>
                <w:sz w:val="18"/>
                <w:szCs w:val="18"/>
              </w:rPr>
            </w:pPr>
            <w:r>
              <w:rPr>
                <w:rFonts w:hint="eastAsia" w:ascii="宋体" w:hAnsi="宋体"/>
                <w:sz w:val="18"/>
                <w:szCs w:val="18"/>
              </w:rPr>
              <w:t>地面塌陷</w:t>
            </w:r>
          </w:p>
        </w:tc>
        <w:tc>
          <w:tcPr>
            <w:tcW w:w="953" w:type="pct"/>
            <w:vAlign w:val="center"/>
          </w:tcPr>
          <w:p>
            <w:pPr>
              <w:jc w:val="center"/>
              <w:rPr>
                <w:rFonts w:ascii="Times New Roman" w:hAnsi="Times New Roman"/>
                <w:sz w:val="18"/>
                <w:szCs w:val="18"/>
              </w:rPr>
            </w:pPr>
            <w:r>
              <w:rPr>
                <w:rFonts w:ascii="Times New Roman" w:hAnsi="Times New Roman"/>
                <w:sz w:val="18"/>
                <w:szCs w:val="18"/>
              </w:rPr>
              <w:t>影响范围（km</w:t>
            </w:r>
            <w:r>
              <w:rPr>
                <w:rFonts w:ascii="Times New Roman" w:hAnsi="Times New Roman"/>
                <w:sz w:val="18"/>
                <w:szCs w:val="18"/>
                <w:vertAlign w:val="superscript"/>
              </w:rPr>
              <w:t>2</w:t>
            </w:r>
            <w:r>
              <w:rPr>
                <w:rFonts w:ascii="Times New Roman" w:hAnsi="Times New Roman"/>
                <w:sz w:val="18"/>
                <w:szCs w:val="18"/>
              </w:rPr>
              <w:t>）</w:t>
            </w:r>
          </w:p>
        </w:tc>
        <w:tc>
          <w:tcPr>
            <w:tcW w:w="691" w:type="pct"/>
            <w:shd w:val="clear" w:color="auto" w:fill="auto"/>
            <w:vAlign w:val="center"/>
          </w:tcPr>
          <w:p>
            <w:pPr>
              <w:jc w:val="center"/>
              <w:rPr>
                <w:rFonts w:ascii="Times New Roman" w:hAnsi="Times New Roman"/>
                <w:sz w:val="18"/>
                <w:szCs w:val="18"/>
              </w:rPr>
            </w:pPr>
            <w:r>
              <w:rPr>
                <w:rFonts w:ascii="Times New Roman" w:hAnsi="Times New Roman"/>
                <w:sz w:val="18"/>
                <w:szCs w:val="18"/>
              </w:rPr>
              <w:t>＞20</w:t>
            </w:r>
          </w:p>
        </w:tc>
        <w:tc>
          <w:tcPr>
            <w:tcW w:w="822" w:type="pct"/>
            <w:shd w:val="clear" w:color="auto" w:fill="auto"/>
            <w:vAlign w:val="center"/>
          </w:tcPr>
          <w:p>
            <w:pPr>
              <w:jc w:val="center"/>
              <w:rPr>
                <w:rFonts w:ascii="Times New Roman" w:hAnsi="Times New Roman"/>
                <w:sz w:val="18"/>
                <w:szCs w:val="18"/>
              </w:rPr>
            </w:pPr>
            <w:r>
              <w:rPr>
                <w:rFonts w:ascii="Times New Roman" w:hAnsi="Times New Roman"/>
                <w:sz w:val="18"/>
                <w:szCs w:val="18"/>
              </w:rPr>
              <w:t>20-10</w:t>
            </w: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10-1</w:t>
            </w:r>
          </w:p>
        </w:tc>
        <w:tc>
          <w:tcPr>
            <w:tcW w:w="1054" w:type="pct"/>
            <w:vAlign w:val="center"/>
          </w:tcPr>
          <w:p>
            <w:pPr>
              <w:jc w:val="center"/>
              <w:rPr>
                <w:rFonts w:ascii="Times New Roman" w:hAnsi="Times New Roman"/>
                <w:sz w:val="18"/>
                <w:szCs w:val="18"/>
              </w:rPr>
            </w:pPr>
            <w:r>
              <w:rPr>
                <w:rFonts w:ascii="Times New Roman" w:hAnsi="Times New Roman"/>
                <w:sz w:val="18"/>
                <w:szCs w:val="18"/>
              </w:rPr>
              <w:t>＜1</w:t>
            </w:r>
          </w:p>
        </w:tc>
      </w:tr>
    </w:tbl>
    <w:p>
      <w:pPr>
        <w:tabs>
          <w:tab w:val="center" w:pos="4201"/>
          <w:tab w:val="right" w:leader="dot" w:pos="9298"/>
        </w:tabs>
        <w:autoSpaceDE w:val="0"/>
        <w:autoSpaceDN w:val="0"/>
        <w:spacing w:line="360" w:lineRule="auto"/>
        <w:ind w:firstLine="420" w:firstLineChars="200"/>
      </w:pPr>
    </w:p>
    <w:p>
      <w:pPr>
        <w:pStyle w:val="3"/>
        <w:spacing w:before="120" w:after="120"/>
      </w:pPr>
      <w:bookmarkStart w:id="44" w:name="_Toc33177679"/>
      <w:r>
        <w:rPr>
          <w:rFonts w:hint="eastAsia"/>
        </w:rPr>
        <w:t>5.2  事件（灾情险情）分级</w:t>
      </w:r>
      <w:bookmarkEnd w:id="44"/>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ascii="宋体" w:hAnsi="宋体"/>
          <w:kern w:val="0"/>
          <w:szCs w:val="21"/>
        </w:rPr>
        <w:t>地质灾害</w:t>
      </w:r>
      <w:r>
        <w:rPr>
          <w:rFonts w:hint="eastAsia" w:ascii="宋体" w:hAnsi="宋体"/>
          <w:kern w:val="0"/>
          <w:szCs w:val="21"/>
        </w:rPr>
        <w:t>灾情、</w:t>
      </w:r>
      <w:r>
        <w:rPr>
          <w:rFonts w:ascii="宋体" w:hAnsi="宋体"/>
          <w:kern w:val="0"/>
          <w:szCs w:val="21"/>
        </w:rPr>
        <w:t>险情等级</w:t>
      </w:r>
      <w:r>
        <w:rPr>
          <w:rFonts w:hint="eastAsia" w:ascii="宋体" w:hAnsi="宋体"/>
          <w:kern w:val="0"/>
          <w:szCs w:val="21"/>
        </w:rPr>
        <w:t>按《中华人民共和国突发事件应对法》第三条并参照《地质灾害防治条例》</w:t>
      </w:r>
      <w:r>
        <w:rPr>
          <w:rFonts w:ascii="宋体" w:hAnsi="宋体"/>
          <w:kern w:val="0"/>
          <w:szCs w:val="21"/>
        </w:rPr>
        <w:t>划分</w:t>
      </w:r>
      <w:r>
        <w:rPr>
          <w:rFonts w:hint="eastAsia" w:ascii="宋体" w:hAnsi="宋体"/>
          <w:kern w:val="0"/>
          <w:szCs w:val="21"/>
        </w:rPr>
        <w:t>，</w:t>
      </w:r>
      <w:r>
        <w:rPr>
          <w:rFonts w:ascii="Times New Roman" w:hAnsi="Times New Roman"/>
          <w:kern w:val="0"/>
          <w:szCs w:val="21"/>
        </w:rPr>
        <w:t>见表2、表3。</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表2  地质灾害灾情等级划分表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5"/>
        <w:gridCol w:w="1543"/>
        <w:gridCol w:w="1696"/>
        <w:gridCol w:w="1696"/>
        <w:gridCol w:w="1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4" w:type="pct"/>
            <w:shd w:val="clear" w:color="auto" w:fill="auto"/>
            <w:vAlign w:val="center"/>
          </w:tcPr>
          <w:p>
            <w:pPr>
              <w:jc w:val="center"/>
              <w:rPr>
                <w:rFonts w:ascii="Times New Roman" w:hAnsi="Times New Roman"/>
                <w:sz w:val="18"/>
                <w:szCs w:val="18"/>
              </w:rPr>
            </w:pPr>
            <w:r>
              <w:rPr>
                <w:rFonts w:ascii="Times New Roman" w:hAnsi="Times New Roman"/>
                <w:sz w:val="18"/>
                <w:szCs w:val="18"/>
              </w:rPr>
              <w:t>灾情等级</w:t>
            </w:r>
          </w:p>
        </w:tc>
        <w:tc>
          <w:tcPr>
            <w:tcW w:w="806" w:type="pct"/>
            <w:shd w:val="clear" w:color="auto" w:fill="auto"/>
            <w:vAlign w:val="center"/>
          </w:tcPr>
          <w:p>
            <w:pPr>
              <w:jc w:val="center"/>
              <w:rPr>
                <w:rFonts w:ascii="Times New Roman" w:hAnsi="Times New Roman"/>
                <w:sz w:val="18"/>
                <w:szCs w:val="18"/>
              </w:rPr>
            </w:pPr>
            <w:r>
              <w:rPr>
                <w:rFonts w:ascii="Times New Roman" w:hAnsi="Times New Roman"/>
                <w:sz w:val="18"/>
                <w:szCs w:val="18"/>
              </w:rPr>
              <w:t>特别重大</w:t>
            </w:r>
          </w:p>
        </w:tc>
        <w:tc>
          <w:tcPr>
            <w:tcW w:w="886" w:type="pct"/>
            <w:shd w:val="clear" w:color="auto" w:fill="auto"/>
            <w:vAlign w:val="center"/>
          </w:tcPr>
          <w:p>
            <w:pPr>
              <w:jc w:val="center"/>
              <w:rPr>
                <w:rFonts w:ascii="Times New Roman" w:hAnsi="Times New Roman"/>
                <w:sz w:val="18"/>
                <w:szCs w:val="18"/>
              </w:rPr>
            </w:pPr>
            <w:r>
              <w:rPr>
                <w:rFonts w:ascii="Times New Roman" w:hAnsi="Times New Roman"/>
                <w:sz w:val="18"/>
                <w:szCs w:val="18"/>
              </w:rPr>
              <w:t>重大</w:t>
            </w:r>
          </w:p>
        </w:tc>
        <w:tc>
          <w:tcPr>
            <w:tcW w:w="886" w:type="pct"/>
            <w:shd w:val="clear" w:color="auto" w:fill="auto"/>
            <w:vAlign w:val="center"/>
          </w:tcPr>
          <w:p>
            <w:pPr>
              <w:jc w:val="center"/>
              <w:rPr>
                <w:rFonts w:ascii="Times New Roman" w:hAnsi="Times New Roman"/>
                <w:sz w:val="18"/>
                <w:szCs w:val="18"/>
              </w:rPr>
            </w:pPr>
            <w:r>
              <w:rPr>
                <w:rFonts w:ascii="Times New Roman" w:hAnsi="Times New Roman"/>
                <w:sz w:val="18"/>
                <w:szCs w:val="18"/>
              </w:rPr>
              <w:t>较大</w:t>
            </w:r>
          </w:p>
        </w:tc>
        <w:tc>
          <w:tcPr>
            <w:tcW w:w="888" w:type="pct"/>
            <w:shd w:val="clear" w:color="auto" w:fill="auto"/>
            <w:vAlign w:val="center"/>
          </w:tcPr>
          <w:p>
            <w:pPr>
              <w:jc w:val="center"/>
              <w:rPr>
                <w:rFonts w:ascii="Times New Roman" w:hAnsi="Times New Roman"/>
                <w:sz w:val="18"/>
                <w:szCs w:val="18"/>
              </w:rPr>
            </w:pPr>
            <w:r>
              <w:rPr>
                <w:rFonts w:ascii="Times New Roman" w:hAnsi="Times New Roman"/>
                <w:sz w:val="18"/>
                <w:szCs w:val="18"/>
              </w:rPr>
              <w:t>一般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4" w:type="pct"/>
            <w:shd w:val="clear" w:color="auto" w:fill="auto"/>
            <w:vAlign w:val="center"/>
          </w:tcPr>
          <w:p>
            <w:pPr>
              <w:jc w:val="center"/>
              <w:rPr>
                <w:rFonts w:ascii="Times New Roman" w:hAnsi="Times New Roman"/>
                <w:sz w:val="18"/>
                <w:szCs w:val="18"/>
              </w:rPr>
            </w:pPr>
            <w:r>
              <w:rPr>
                <w:rFonts w:ascii="Times New Roman" w:hAnsi="Times New Roman"/>
                <w:sz w:val="18"/>
                <w:szCs w:val="18"/>
              </w:rPr>
              <w:t>死亡人数n（人）</w:t>
            </w:r>
          </w:p>
        </w:tc>
        <w:tc>
          <w:tcPr>
            <w:tcW w:w="806" w:type="pct"/>
            <w:shd w:val="clear" w:color="auto" w:fill="auto"/>
            <w:vAlign w:val="center"/>
          </w:tcPr>
          <w:p>
            <w:pPr>
              <w:jc w:val="center"/>
              <w:rPr>
                <w:rFonts w:ascii="Times New Roman" w:hAnsi="Times New Roman"/>
                <w:sz w:val="18"/>
                <w:szCs w:val="18"/>
              </w:rPr>
            </w:pPr>
            <w:r>
              <w:rPr>
                <w:rFonts w:ascii="Times New Roman" w:hAnsi="Times New Roman"/>
                <w:sz w:val="18"/>
                <w:szCs w:val="18"/>
              </w:rPr>
              <w:t>n</w:t>
            </w:r>
            <w:r>
              <w:rPr>
                <w:rFonts w:hint="eastAsia" w:ascii="宋体" w:hAnsi="宋体"/>
                <w:sz w:val="18"/>
                <w:szCs w:val="18"/>
              </w:rPr>
              <w:t>≥</w:t>
            </w:r>
            <w:r>
              <w:rPr>
                <w:rFonts w:ascii="Times New Roman" w:hAnsi="Times New Roman"/>
                <w:sz w:val="18"/>
                <w:szCs w:val="18"/>
              </w:rPr>
              <w:t>30</w:t>
            </w:r>
          </w:p>
        </w:tc>
        <w:tc>
          <w:tcPr>
            <w:tcW w:w="886" w:type="pct"/>
            <w:shd w:val="clear" w:color="auto" w:fill="auto"/>
            <w:vAlign w:val="center"/>
          </w:tcPr>
          <w:p>
            <w:pPr>
              <w:jc w:val="center"/>
              <w:rPr>
                <w:rFonts w:ascii="Times New Roman" w:hAnsi="Times New Roman"/>
                <w:sz w:val="18"/>
                <w:szCs w:val="18"/>
              </w:rPr>
            </w:pPr>
            <w:r>
              <w:rPr>
                <w:rFonts w:ascii="Times New Roman" w:hAnsi="Times New Roman"/>
                <w:sz w:val="18"/>
                <w:szCs w:val="18"/>
              </w:rPr>
              <w:t>30＞n</w:t>
            </w:r>
            <w:r>
              <w:rPr>
                <w:rFonts w:hint="eastAsia" w:ascii="宋体" w:hAnsi="宋体"/>
                <w:sz w:val="18"/>
                <w:szCs w:val="18"/>
              </w:rPr>
              <w:t>≥</w:t>
            </w:r>
            <w:r>
              <w:rPr>
                <w:rFonts w:ascii="Times New Roman" w:hAnsi="Times New Roman"/>
                <w:sz w:val="18"/>
                <w:szCs w:val="18"/>
              </w:rPr>
              <w:t>10</w:t>
            </w:r>
          </w:p>
        </w:tc>
        <w:tc>
          <w:tcPr>
            <w:tcW w:w="886" w:type="pct"/>
            <w:shd w:val="clear" w:color="auto" w:fill="auto"/>
            <w:vAlign w:val="center"/>
          </w:tcPr>
          <w:p>
            <w:pPr>
              <w:jc w:val="center"/>
              <w:rPr>
                <w:rFonts w:ascii="Times New Roman" w:hAnsi="Times New Roman"/>
                <w:sz w:val="18"/>
                <w:szCs w:val="18"/>
              </w:rPr>
            </w:pPr>
            <w:r>
              <w:rPr>
                <w:rFonts w:ascii="Times New Roman" w:hAnsi="Times New Roman"/>
                <w:sz w:val="18"/>
                <w:szCs w:val="18"/>
              </w:rPr>
              <w:t>10＞n</w:t>
            </w:r>
            <w:r>
              <w:rPr>
                <w:rFonts w:hint="eastAsia" w:ascii="宋体" w:hAnsi="宋体"/>
                <w:sz w:val="18"/>
                <w:szCs w:val="18"/>
              </w:rPr>
              <w:t>≥</w:t>
            </w:r>
            <w:r>
              <w:rPr>
                <w:rFonts w:ascii="Times New Roman" w:hAnsi="Times New Roman"/>
                <w:sz w:val="18"/>
                <w:szCs w:val="18"/>
              </w:rPr>
              <w:t>3</w:t>
            </w:r>
          </w:p>
        </w:tc>
        <w:tc>
          <w:tcPr>
            <w:tcW w:w="888" w:type="pct"/>
            <w:shd w:val="clear" w:color="auto" w:fill="auto"/>
            <w:vAlign w:val="center"/>
          </w:tcPr>
          <w:p>
            <w:pPr>
              <w:jc w:val="center"/>
              <w:rPr>
                <w:rFonts w:ascii="Times New Roman" w:hAnsi="Times New Roman"/>
                <w:sz w:val="18"/>
                <w:szCs w:val="18"/>
              </w:rPr>
            </w:pPr>
            <w:r>
              <w:rPr>
                <w:rFonts w:ascii="Times New Roman" w:hAnsi="Times New Roman"/>
                <w:sz w:val="18"/>
                <w:szCs w:val="18"/>
              </w:rPr>
              <w:t>n＜3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4" w:type="pct"/>
            <w:shd w:val="clear" w:color="auto" w:fill="auto"/>
            <w:vAlign w:val="center"/>
          </w:tcPr>
          <w:p>
            <w:pPr>
              <w:jc w:val="center"/>
              <w:rPr>
                <w:rFonts w:ascii="Times New Roman" w:hAnsi="Times New Roman"/>
                <w:sz w:val="18"/>
                <w:szCs w:val="18"/>
              </w:rPr>
            </w:pPr>
            <w:r>
              <w:rPr>
                <w:rFonts w:ascii="Times New Roman" w:hAnsi="Times New Roman"/>
                <w:sz w:val="18"/>
                <w:szCs w:val="18"/>
              </w:rPr>
              <w:t>直接经济损失S（万元）</w:t>
            </w:r>
          </w:p>
        </w:tc>
        <w:tc>
          <w:tcPr>
            <w:tcW w:w="806" w:type="pct"/>
            <w:shd w:val="clear" w:color="auto" w:fill="auto"/>
            <w:vAlign w:val="center"/>
          </w:tcPr>
          <w:p>
            <w:pPr>
              <w:jc w:val="center"/>
              <w:rPr>
                <w:rFonts w:ascii="Times New Roman" w:hAnsi="Times New Roman"/>
                <w:sz w:val="18"/>
                <w:szCs w:val="18"/>
              </w:rPr>
            </w:pPr>
            <w:r>
              <w:rPr>
                <w:rFonts w:ascii="Times New Roman" w:hAnsi="Times New Roman"/>
                <w:sz w:val="18"/>
                <w:szCs w:val="18"/>
              </w:rPr>
              <w:t>S</w:t>
            </w:r>
            <w:r>
              <w:rPr>
                <w:rFonts w:hint="eastAsia" w:ascii="宋体" w:hAnsi="宋体"/>
                <w:sz w:val="18"/>
                <w:szCs w:val="18"/>
              </w:rPr>
              <w:t>≥</w:t>
            </w:r>
            <w:r>
              <w:rPr>
                <w:rFonts w:ascii="Times New Roman" w:hAnsi="Times New Roman"/>
                <w:sz w:val="18"/>
                <w:szCs w:val="18"/>
              </w:rPr>
              <w:t>1 000</w:t>
            </w:r>
          </w:p>
        </w:tc>
        <w:tc>
          <w:tcPr>
            <w:tcW w:w="886" w:type="pct"/>
            <w:shd w:val="clear" w:color="auto" w:fill="auto"/>
            <w:vAlign w:val="center"/>
          </w:tcPr>
          <w:p>
            <w:pPr>
              <w:jc w:val="center"/>
              <w:rPr>
                <w:rFonts w:ascii="Times New Roman" w:hAnsi="Times New Roman"/>
                <w:sz w:val="18"/>
                <w:szCs w:val="18"/>
              </w:rPr>
            </w:pPr>
            <w:r>
              <w:rPr>
                <w:rFonts w:ascii="Times New Roman" w:hAnsi="Times New Roman"/>
                <w:sz w:val="18"/>
                <w:szCs w:val="18"/>
              </w:rPr>
              <w:t>1 000＞S</w:t>
            </w:r>
            <w:r>
              <w:rPr>
                <w:rFonts w:hint="eastAsia" w:ascii="宋体" w:hAnsi="宋体"/>
                <w:sz w:val="18"/>
                <w:szCs w:val="18"/>
              </w:rPr>
              <w:t>≥</w:t>
            </w:r>
            <w:r>
              <w:rPr>
                <w:rFonts w:ascii="Times New Roman" w:hAnsi="Times New Roman"/>
                <w:sz w:val="18"/>
                <w:szCs w:val="18"/>
              </w:rPr>
              <w:t>500</w:t>
            </w:r>
          </w:p>
        </w:tc>
        <w:tc>
          <w:tcPr>
            <w:tcW w:w="886" w:type="pct"/>
            <w:shd w:val="clear" w:color="auto" w:fill="auto"/>
            <w:vAlign w:val="center"/>
          </w:tcPr>
          <w:p>
            <w:pPr>
              <w:jc w:val="center"/>
              <w:rPr>
                <w:rFonts w:ascii="Times New Roman" w:hAnsi="Times New Roman"/>
                <w:sz w:val="18"/>
                <w:szCs w:val="18"/>
              </w:rPr>
            </w:pPr>
            <w:r>
              <w:rPr>
                <w:rFonts w:ascii="Times New Roman" w:hAnsi="Times New Roman"/>
                <w:sz w:val="18"/>
                <w:szCs w:val="18"/>
              </w:rPr>
              <w:t>500＞S</w:t>
            </w:r>
            <w:r>
              <w:rPr>
                <w:rFonts w:hint="eastAsia" w:ascii="宋体" w:hAnsi="宋体"/>
                <w:sz w:val="18"/>
                <w:szCs w:val="18"/>
              </w:rPr>
              <w:t>≥</w:t>
            </w:r>
            <w:r>
              <w:rPr>
                <w:rFonts w:ascii="Times New Roman" w:hAnsi="Times New Roman"/>
                <w:sz w:val="18"/>
                <w:szCs w:val="18"/>
              </w:rPr>
              <w:t>100</w:t>
            </w:r>
          </w:p>
        </w:tc>
        <w:tc>
          <w:tcPr>
            <w:tcW w:w="888" w:type="pct"/>
            <w:shd w:val="clear" w:color="auto" w:fill="auto"/>
            <w:vAlign w:val="center"/>
          </w:tcPr>
          <w:p>
            <w:pPr>
              <w:jc w:val="center"/>
              <w:rPr>
                <w:rFonts w:ascii="Times New Roman" w:hAnsi="Times New Roman"/>
                <w:sz w:val="18"/>
                <w:szCs w:val="18"/>
              </w:rPr>
            </w:pPr>
            <w:r>
              <w:rPr>
                <w:rFonts w:ascii="Times New Roman" w:hAnsi="Times New Roman"/>
                <w:sz w:val="18"/>
                <w:szCs w:val="18"/>
              </w:rPr>
              <w:t>S＜100</w:t>
            </w:r>
          </w:p>
        </w:tc>
      </w:tr>
    </w:tbl>
    <w:p>
      <w:pPr>
        <w:widowControl/>
        <w:tabs>
          <w:tab w:val="left" w:pos="360"/>
        </w:tabs>
        <w:spacing w:before="120" w:beforeLines="50" w:after="120" w:afterLines="50"/>
        <w:rPr>
          <w:rFonts w:ascii="黑体" w:hAnsi="黑体" w:eastAsia="黑体"/>
          <w:kern w:val="0"/>
          <w:szCs w:val="21"/>
        </w:r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 xml:space="preserve">3  </w:t>
      </w:r>
      <w:r>
        <w:rPr>
          <w:rFonts w:ascii="黑体" w:hAnsi="黑体" w:eastAsia="黑体"/>
          <w:kern w:val="0"/>
          <w:szCs w:val="21"/>
        </w:rPr>
        <w:t>地质灾害险情等级划分</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560"/>
        <w:gridCol w:w="1700"/>
        <w:gridCol w:w="1702"/>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8"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险情等级</w:t>
            </w:r>
          </w:p>
        </w:tc>
        <w:tc>
          <w:tcPr>
            <w:tcW w:w="815"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特别重大</w:t>
            </w:r>
          </w:p>
        </w:tc>
        <w:tc>
          <w:tcPr>
            <w:tcW w:w="888"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重大</w:t>
            </w:r>
          </w:p>
        </w:tc>
        <w:tc>
          <w:tcPr>
            <w:tcW w:w="889"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较大</w:t>
            </w:r>
          </w:p>
        </w:tc>
        <w:tc>
          <w:tcPr>
            <w:tcW w:w="870"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一般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8"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直接威胁人数n（人）</w:t>
            </w:r>
          </w:p>
        </w:tc>
        <w:tc>
          <w:tcPr>
            <w:tcW w:w="815"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n</w:t>
            </w:r>
            <w:r>
              <w:rPr>
                <w:rFonts w:hint="eastAsia" w:ascii="宋体" w:hAnsi="宋体"/>
                <w:sz w:val="18"/>
                <w:szCs w:val="18"/>
              </w:rPr>
              <w:t>≥</w:t>
            </w:r>
            <w:r>
              <w:rPr>
                <w:rFonts w:ascii="Times New Roman" w:hAnsi="Times New Roman"/>
                <w:sz w:val="18"/>
                <w:szCs w:val="18"/>
              </w:rPr>
              <w:t>1 000</w:t>
            </w:r>
          </w:p>
        </w:tc>
        <w:tc>
          <w:tcPr>
            <w:tcW w:w="888"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1 000＞n</w:t>
            </w:r>
            <w:r>
              <w:rPr>
                <w:rFonts w:hint="eastAsia" w:ascii="宋体" w:hAnsi="宋体"/>
                <w:sz w:val="18"/>
                <w:szCs w:val="18"/>
              </w:rPr>
              <w:t>≥</w:t>
            </w:r>
            <w:r>
              <w:rPr>
                <w:rFonts w:ascii="Times New Roman" w:hAnsi="Times New Roman"/>
                <w:sz w:val="18"/>
                <w:szCs w:val="18"/>
              </w:rPr>
              <w:t>500</w:t>
            </w:r>
          </w:p>
        </w:tc>
        <w:tc>
          <w:tcPr>
            <w:tcW w:w="889"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500＞n</w:t>
            </w:r>
            <w:r>
              <w:rPr>
                <w:rFonts w:hint="eastAsia" w:ascii="宋体" w:hAnsi="宋体"/>
                <w:sz w:val="18"/>
                <w:szCs w:val="18"/>
              </w:rPr>
              <w:t>≥</w:t>
            </w:r>
            <w:r>
              <w:rPr>
                <w:rFonts w:ascii="Times New Roman" w:hAnsi="Times New Roman"/>
                <w:sz w:val="18"/>
                <w:szCs w:val="18"/>
              </w:rPr>
              <w:t>100</w:t>
            </w:r>
          </w:p>
        </w:tc>
        <w:tc>
          <w:tcPr>
            <w:tcW w:w="870"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n＜100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8"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潜在经济损失S（万元）</w:t>
            </w:r>
          </w:p>
        </w:tc>
        <w:tc>
          <w:tcPr>
            <w:tcW w:w="815"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S</w:t>
            </w:r>
            <w:r>
              <w:rPr>
                <w:rFonts w:hint="eastAsia" w:ascii="宋体" w:hAnsi="宋体"/>
                <w:sz w:val="18"/>
                <w:szCs w:val="18"/>
              </w:rPr>
              <w:t>≥</w:t>
            </w:r>
            <w:r>
              <w:rPr>
                <w:rFonts w:ascii="Times New Roman" w:hAnsi="Times New Roman"/>
                <w:sz w:val="18"/>
                <w:szCs w:val="18"/>
              </w:rPr>
              <w:t>10 000</w:t>
            </w:r>
          </w:p>
        </w:tc>
        <w:tc>
          <w:tcPr>
            <w:tcW w:w="888"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10 000＞S</w:t>
            </w:r>
            <w:r>
              <w:rPr>
                <w:rFonts w:hint="eastAsia" w:ascii="宋体" w:hAnsi="宋体"/>
                <w:sz w:val="18"/>
                <w:szCs w:val="18"/>
              </w:rPr>
              <w:t>≥</w:t>
            </w:r>
            <w:r>
              <w:rPr>
                <w:rFonts w:ascii="Times New Roman" w:hAnsi="Times New Roman"/>
                <w:sz w:val="18"/>
                <w:szCs w:val="18"/>
              </w:rPr>
              <w:t>5 000</w:t>
            </w:r>
          </w:p>
        </w:tc>
        <w:tc>
          <w:tcPr>
            <w:tcW w:w="889"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5 000＞S</w:t>
            </w:r>
            <w:r>
              <w:rPr>
                <w:rFonts w:hint="eastAsia" w:ascii="宋体" w:hAnsi="宋体"/>
                <w:sz w:val="18"/>
                <w:szCs w:val="18"/>
              </w:rPr>
              <w:t>≥</w:t>
            </w:r>
            <w:r>
              <w:rPr>
                <w:rFonts w:ascii="Times New Roman" w:hAnsi="Times New Roman"/>
                <w:sz w:val="18"/>
                <w:szCs w:val="18"/>
              </w:rPr>
              <w:t>500</w:t>
            </w:r>
          </w:p>
        </w:tc>
        <w:tc>
          <w:tcPr>
            <w:tcW w:w="870" w:type="pct"/>
            <w:shd w:val="clear" w:color="auto" w:fill="auto"/>
            <w:vAlign w:val="center"/>
          </w:tcPr>
          <w:p>
            <w:pPr>
              <w:contextualSpacing/>
              <w:jc w:val="center"/>
              <w:rPr>
                <w:rFonts w:ascii="Times New Roman" w:hAnsi="Times New Roman"/>
                <w:sz w:val="18"/>
                <w:szCs w:val="18"/>
              </w:rPr>
            </w:pPr>
            <w:r>
              <w:rPr>
                <w:rFonts w:ascii="Times New Roman" w:hAnsi="Times New Roman"/>
                <w:sz w:val="18"/>
                <w:szCs w:val="18"/>
              </w:rPr>
              <w:t>S＜500</w:t>
            </w:r>
          </w:p>
        </w:tc>
      </w:tr>
    </w:tbl>
    <w:p>
      <w:pPr>
        <w:widowControl/>
        <w:tabs>
          <w:tab w:val="center" w:pos="4201"/>
          <w:tab w:val="right" w:leader="dot" w:pos="9298"/>
        </w:tabs>
        <w:autoSpaceDE w:val="0"/>
        <w:autoSpaceDN w:val="0"/>
        <w:spacing w:line="360" w:lineRule="auto"/>
        <w:rPr>
          <w:rFonts w:ascii="黑体" w:hAnsi="黑体" w:eastAsia="黑体"/>
          <w:kern w:val="0"/>
          <w:szCs w:val="21"/>
        </w:rPr>
      </w:pPr>
    </w:p>
    <w:p>
      <w:pPr>
        <w:pStyle w:val="3"/>
        <w:spacing w:before="120" w:after="120"/>
      </w:pPr>
      <w:bookmarkStart w:id="45" w:name="_Toc33177680"/>
      <w:r>
        <w:rPr>
          <w:rFonts w:hint="eastAsia"/>
        </w:rPr>
        <w:t>5.3  监测分级</w:t>
      </w:r>
      <w:bookmarkEnd w:id="45"/>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 xml:space="preserve">5.3.1  </w:t>
      </w:r>
      <w:r>
        <w:rPr>
          <w:rFonts w:hint="eastAsia" w:ascii="宋体" w:hAnsi="宋体"/>
          <w:kern w:val="0"/>
          <w:szCs w:val="21"/>
        </w:rPr>
        <w:t>区域监测等级的划分，</w:t>
      </w:r>
      <w:r>
        <w:rPr>
          <w:rFonts w:ascii="Times New Roman" w:hAnsi="Times New Roman"/>
          <w:kern w:val="0"/>
          <w:szCs w:val="21"/>
        </w:rPr>
        <w:t>在参考《地质灾害InSAR监测技术指南》（T/CAGHP 013－2018）的基础上，依据观测面积、地表复杂程度、数据类型及单位面积观测次数等综合确定，具体划分见附录A表A.1。</w:t>
      </w:r>
    </w:p>
    <w:p>
      <w:pPr>
        <w:widowControl/>
        <w:tabs>
          <w:tab w:val="center" w:pos="4201"/>
          <w:tab w:val="right" w:leader="dot" w:pos="9298"/>
        </w:tabs>
        <w:autoSpaceDE w:val="0"/>
        <w:autoSpaceDN w:val="0"/>
        <w:spacing w:line="360" w:lineRule="auto"/>
        <w:rPr>
          <w:rFonts w:ascii="Times New Roman" w:hAnsi="Times New Roman"/>
          <w:kern w:val="0"/>
          <w:szCs w:val="21"/>
        </w:rPr>
      </w:pPr>
      <w:r>
        <w:rPr>
          <w:rFonts w:hint="eastAsia" w:ascii="黑体" w:hAnsi="黑体" w:eastAsia="黑体"/>
          <w:kern w:val="0"/>
          <w:szCs w:val="21"/>
        </w:rPr>
        <w:t>5</w:t>
      </w:r>
      <w:r>
        <w:rPr>
          <w:rFonts w:ascii="黑体" w:hAnsi="黑体" w:eastAsia="黑体"/>
          <w:kern w:val="0"/>
          <w:szCs w:val="21"/>
        </w:rPr>
        <w:t>.</w:t>
      </w:r>
      <w:r>
        <w:rPr>
          <w:rFonts w:hint="eastAsia" w:ascii="黑体" w:hAnsi="黑体" w:eastAsia="黑体"/>
          <w:kern w:val="0"/>
          <w:szCs w:val="21"/>
        </w:rPr>
        <w:t>3</w:t>
      </w:r>
      <w:r>
        <w:rPr>
          <w:rFonts w:ascii="黑体" w:hAnsi="黑体" w:eastAsia="黑体"/>
          <w:kern w:val="0"/>
          <w:szCs w:val="21"/>
        </w:rPr>
        <w:t>.</w:t>
      </w:r>
      <w:r>
        <w:rPr>
          <w:rFonts w:hint="eastAsia" w:ascii="黑体" w:hAnsi="黑体" w:eastAsia="黑体"/>
          <w:kern w:val="0"/>
          <w:szCs w:val="21"/>
        </w:rPr>
        <w:t>2</w:t>
      </w:r>
      <w:r>
        <w:rPr>
          <w:rFonts w:hint="eastAsia" w:ascii="宋体" w:hAnsi="宋体"/>
          <w:kern w:val="0"/>
          <w:szCs w:val="21"/>
        </w:rPr>
        <w:t xml:space="preserve">  隐患点监测等级的划分，</w:t>
      </w:r>
      <w:r>
        <w:rPr>
          <w:rFonts w:ascii="Times New Roman" w:hAnsi="Times New Roman"/>
          <w:kern w:val="0"/>
          <w:szCs w:val="21"/>
        </w:rPr>
        <w:t>在参考《崩塌、滑坡、泥石流监测规范》（DZ/T 0221）的基础上，结合我省地质灾害特点以及全省综合防治体系建设的总体部署，按照其规模、灾情与险情等级，所处位置的重要性等综合划分为三级，见表4。</w:t>
      </w:r>
    </w:p>
    <w:p>
      <w:pPr>
        <w:pStyle w:val="3"/>
        <w:spacing w:before="120" w:after="120"/>
      </w:pPr>
      <w:bookmarkStart w:id="46" w:name="_Toc33177681"/>
      <w:r>
        <w:rPr>
          <w:rFonts w:hint="eastAsia"/>
        </w:rPr>
        <w:t>5.4  预警分级</w:t>
      </w:r>
      <w:bookmarkEnd w:id="46"/>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ascii="宋体" w:hAnsi="宋体"/>
          <w:kern w:val="0"/>
          <w:szCs w:val="21"/>
        </w:rPr>
        <w:t>依据</w:t>
      </w:r>
      <w:r>
        <w:rPr>
          <w:rFonts w:hint="eastAsia" w:ascii="宋体" w:hAnsi="宋体"/>
          <w:kern w:val="0"/>
          <w:szCs w:val="21"/>
        </w:rPr>
        <w:t>《中华人民共和国突发事件应对法》第四十二条，按照事件发生的紧急程度、发展势态和可能造成的危害程度，地质灾害预警级别分为一级、二级、三级和四级，分别用红色、橙色、黄色和蓝色标示，一级为最高级别。</w:t>
      </w:r>
    </w:p>
    <w:p>
      <w:pPr>
        <w:pStyle w:val="3"/>
        <w:spacing w:before="120" w:after="120"/>
      </w:pPr>
      <w:bookmarkStart w:id="47" w:name="_Toc21966348"/>
      <w:bookmarkStart w:id="48" w:name="_Toc33177682"/>
      <w:r>
        <w:rPr>
          <w:rFonts w:hint="eastAsia"/>
        </w:rPr>
        <w:t>5</w:t>
      </w:r>
      <w:r>
        <w:t>.</w:t>
      </w:r>
      <w:r>
        <w:rPr>
          <w:rFonts w:hint="eastAsia"/>
        </w:rPr>
        <w:t xml:space="preserve">5  </w:t>
      </w:r>
      <w:r>
        <w:t>预报</w:t>
      </w:r>
      <w:r>
        <w:rPr>
          <w:rFonts w:hint="eastAsia"/>
        </w:rPr>
        <w:t>分</w:t>
      </w:r>
      <w:r>
        <w:t>级</w:t>
      </w:r>
      <w:bookmarkEnd w:id="47"/>
      <w:bookmarkEnd w:id="48"/>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5</w:t>
      </w:r>
      <w:r>
        <w:rPr>
          <w:rFonts w:ascii="黑体" w:hAnsi="黑体" w:eastAsia="黑体"/>
          <w:kern w:val="0"/>
          <w:szCs w:val="21"/>
        </w:rPr>
        <w:t>.</w:t>
      </w:r>
      <w:r>
        <w:rPr>
          <w:rFonts w:hint="eastAsia" w:ascii="黑体" w:hAnsi="黑体" w:eastAsia="黑体"/>
          <w:kern w:val="0"/>
          <w:szCs w:val="21"/>
        </w:rPr>
        <w:t>5</w:t>
      </w:r>
      <w:r>
        <w:rPr>
          <w:rFonts w:ascii="黑体" w:hAnsi="黑体" w:eastAsia="黑体"/>
          <w:kern w:val="0"/>
          <w:szCs w:val="21"/>
        </w:rPr>
        <w:t>.1</w:t>
      </w:r>
      <w:r>
        <w:rPr>
          <w:rFonts w:hint="eastAsia" w:ascii="黑体" w:hAnsi="黑体" w:eastAsia="黑体"/>
          <w:kern w:val="0"/>
          <w:szCs w:val="21"/>
        </w:rPr>
        <w:t xml:space="preserve"> </w:t>
      </w:r>
      <w:r>
        <w:rPr>
          <w:rFonts w:hint="eastAsia" w:ascii="宋体" w:hAnsi="宋体"/>
          <w:kern w:val="0"/>
          <w:szCs w:val="21"/>
        </w:rPr>
        <w:t xml:space="preserve"> 对应预警分级，</w:t>
      </w:r>
      <w:r>
        <w:rPr>
          <w:rFonts w:ascii="宋体" w:hAnsi="宋体"/>
          <w:kern w:val="0"/>
          <w:szCs w:val="21"/>
        </w:rPr>
        <w:t>区域</w:t>
      </w:r>
      <w:r>
        <w:rPr>
          <w:rFonts w:hint="eastAsia" w:ascii="宋体" w:hAnsi="宋体"/>
          <w:kern w:val="0"/>
          <w:szCs w:val="21"/>
        </w:rPr>
        <w:t>监测风险预报等级</w:t>
      </w:r>
      <w:r>
        <w:rPr>
          <w:rFonts w:ascii="宋体" w:hAnsi="宋体"/>
          <w:kern w:val="0"/>
          <w:szCs w:val="21"/>
        </w:rPr>
        <w:t>分为四级：一级（红色），风险很高；二级（橙色），风险高；三级（黄色），风险较高；四级（</w:t>
      </w:r>
      <w:r>
        <w:rPr>
          <w:rFonts w:hint="eastAsia" w:ascii="宋体" w:hAnsi="宋体"/>
          <w:kern w:val="0"/>
          <w:szCs w:val="21"/>
        </w:rPr>
        <w:t>蓝色</w:t>
      </w:r>
      <w:r>
        <w:rPr>
          <w:rFonts w:ascii="宋体" w:hAnsi="宋体"/>
          <w:kern w:val="0"/>
          <w:szCs w:val="21"/>
        </w:rPr>
        <w:t>）风险</w:t>
      </w:r>
      <w:r>
        <w:rPr>
          <w:rFonts w:hint="eastAsia" w:ascii="宋体" w:hAnsi="宋体"/>
          <w:kern w:val="0"/>
          <w:szCs w:val="21"/>
        </w:rPr>
        <w:t>一般</w:t>
      </w:r>
      <w:r>
        <w:rPr>
          <w:rFonts w:ascii="宋体" w:hAnsi="宋体"/>
          <w:kern w:val="0"/>
          <w:szCs w:val="21"/>
        </w:rPr>
        <w:t>。</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5</w:t>
      </w:r>
      <w:r>
        <w:rPr>
          <w:rFonts w:ascii="黑体" w:hAnsi="黑体" w:eastAsia="黑体"/>
          <w:kern w:val="0"/>
          <w:szCs w:val="21"/>
        </w:rPr>
        <w:t>.</w:t>
      </w:r>
      <w:r>
        <w:rPr>
          <w:rFonts w:hint="eastAsia" w:ascii="黑体" w:hAnsi="黑体" w:eastAsia="黑体"/>
          <w:kern w:val="0"/>
          <w:szCs w:val="21"/>
        </w:rPr>
        <w:t>5</w:t>
      </w:r>
      <w:r>
        <w:rPr>
          <w:rFonts w:ascii="黑体" w:hAnsi="黑体" w:eastAsia="黑体"/>
          <w:kern w:val="0"/>
          <w:szCs w:val="21"/>
        </w:rPr>
        <w:t>.2</w:t>
      </w:r>
      <w:r>
        <w:rPr>
          <w:rFonts w:hint="eastAsia" w:ascii="宋体" w:hAnsi="宋体"/>
          <w:kern w:val="0"/>
          <w:szCs w:val="21"/>
        </w:rPr>
        <w:t xml:space="preserve">  对应预警分级，隐患点监测</w:t>
      </w:r>
      <w:r>
        <w:rPr>
          <w:rFonts w:ascii="宋体" w:hAnsi="宋体"/>
          <w:kern w:val="0"/>
          <w:szCs w:val="21"/>
        </w:rPr>
        <w:t>预报</w:t>
      </w:r>
      <w:r>
        <w:rPr>
          <w:rFonts w:hint="eastAsia" w:ascii="宋体" w:hAnsi="宋体"/>
          <w:kern w:val="0"/>
          <w:szCs w:val="21"/>
        </w:rPr>
        <w:t>等级</w:t>
      </w:r>
      <w:r>
        <w:rPr>
          <w:rFonts w:ascii="宋体" w:hAnsi="宋体"/>
          <w:kern w:val="0"/>
          <w:szCs w:val="21"/>
        </w:rPr>
        <w:t>分为四级：一级（红色），</w:t>
      </w:r>
      <w:r>
        <w:rPr>
          <w:rFonts w:ascii="Times New Roman" w:hAnsi="宋体"/>
          <w:szCs w:val="21"/>
        </w:rPr>
        <w:t>警报级</w:t>
      </w:r>
      <w:r>
        <w:rPr>
          <w:rFonts w:ascii="宋体" w:hAnsi="宋体"/>
          <w:kern w:val="0"/>
          <w:szCs w:val="21"/>
        </w:rPr>
        <w:t>；二级（橙色），</w:t>
      </w:r>
      <w:r>
        <w:rPr>
          <w:rFonts w:ascii="Times New Roman" w:hAnsi="宋体"/>
          <w:szCs w:val="21"/>
        </w:rPr>
        <w:t>警戒级</w:t>
      </w:r>
      <w:r>
        <w:rPr>
          <w:rFonts w:ascii="宋体" w:hAnsi="宋体"/>
          <w:kern w:val="0"/>
          <w:szCs w:val="21"/>
        </w:rPr>
        <w:t>；三级（黄色），</w:t>
      </w:r>
      <w:r>
        <w:rPr>
          <w:rFonts w:ascii="Times New Roman" w:hAnsi="宋体"/>
          <w:szCs w:val="21"/>
        </w:rPr>
        <w:t>警示级</w:t>
      </w:r>
      <w:r>
        <w:rPr>
          <w:rFonts w:ascii="宋体" w:hAnsi="宋体"/>
          <w:kern w:val="0"/>
          <w:szCs w:val="21"/>
        </w:rPr>
        <w:t>；四级（</w:t>
      </w:r>
      <w:r>
        <w:rPr>
          <w:rFonts w:hint="eastAsia" w:ascii="宋体" w:hAnsi="宋体"/>
          <w:kern w:val="0"/>
          <w:szCs w:val="21"/>
        </w:rPr>
        <w:t>蓝色</w:t>
      </w:r>
      <w:r>
        <w:rPr>
          <w:rFonts w:ascii="宋体" w:hAnsi="宋体"/>
          <w:kern w:val="0"/>
          <w:szCs w:val="21"/>
        </w:rPr>
        <w:t>）</w:t>
      </w:r>
      <w:r>
        <w:rPr>
          <w:rFonts w:ascii="Times New Roman" w:hAnsi="宋体"/>
          <w:szCs w:val="21"/>
        </w:rPr>
        <w:t>注意级</w:t>
      </w:r>
      <w:r>
        <w:rPr>
          <w:rFonts w:ascii="宋体" w:hAnsi="宋体"/>
          <w:kern w:val="0"/>
          <w:szCs w:val="21"/>
        </w:rPr>
        <w:t>。</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4  隐患点监测</w:t>
      </w:r>
      <w:r>
        <w:rPr>
          <w:rFonts w:ascii="黑体" w:hAnsi="黑体" w:eastAsia="黑体"/>
          <w:kern w:val="0"/>
          <w:szCs w:val="21"/>
        </w:rPr>
        <w:t>等级划分表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3826"/>
        <w:gridCol w:w="2268"/>
        <w:gridCol w:w="2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监测等级</w:t>
            </w:r>
          </w:p>
        </w:tc>
        <w:tc>
          <w:tcPr>
            <w:tcW w:w="1999"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所处位置的重要性</w:t>
            </w:r>
          </w:p>
        </w:tc>
        <w:tc>
          <w:tcPr>
            <w:tcW w:w="1185"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规模等级</w:t>
            </w:r>
          </w:p>
        </w:tc>
        <w:tc>
          <w:tcPr>
            <w:tcW w:w="1093"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灾情或险情等级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一级</w:t>
            </w:r>
          </w:p>
        </w:tc>
        <w:tc>
          <w:tcPr>
            <w:tcW w:w="1999"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特别重要或重要</w:t>
            </w:r>
          </w:p>
          <w:p>
            <w:pPr>
              <w:widowControl/>
              <w:tabs>
                <w:tab w:val="left" w:pos="360"/>
              </w:tabs>
              <w:contextualSpacing/>
              <w:jc w:val="center"/>
              <w:rPr>
                <w:rFonts w:ascii="宋体" w:hAnsi="宋体"/>
                <w:kern w:val="0"/>
                <w:sz w:val="18"/>
                <w:szCs w:val="18"/>
              </w:rPr>
            </w:pPr>
            <w:r>
              <w:rPr>
                <w:rFonts w:hint="eastAsia" w:ascii="宋体" w:hAnsi="宋体"/>
                <w:kern w:val="0"/>
                <w:sz w:val="18"/>
                <w:szCs w:val="18"/>
              </w:rPr>
              <w:t>（县级和县级以上城镇等）或</w:t>
            </w:r>
          </w:p>
          <w:p>
            <w:pPr>
              <w:widowControl/>
              <w:tabs>
                <w:tab w:val="left" w:pos="360"/>
              </w:tabs>
              <w:contextualSpacing/>
              <w:jc w:val="center"/>
              <w:rPr>
                <w:rFonts w:ascii="宋体" w:hAnsi="宋体"/>
                <w:kern w:val="0"/>
                <w:sz w:val="18"/>
                <w:szCs w:val="18"/>
              </w:rPr>
            </w:pPr>
            <w:r>
              <w:rPr>
                <w:rFonts w:hint="eastAsia" w:ascii="宋体" w:hAnsi="宋体"/>
                <w:kern w:val="0"/>
                <w:sz w:val="18"/>
                <w:szCs w:val="18"/>
              </w:rPr>
              <w:t>（重要集镇、重要工矿企业和重要交通设施等）</w:t>
            </w:r>
          </w:p>
        </w:tc>
        <w:tc>
          <w:tcPr>
            <w:tcW w:w="1185"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特大型及大型</w:t>
            </w:r>
          </w:p>
        </w:tc>
        <w:tc>
          <w:tcPr>
            <w:tcW w:w="1093"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特别重大及重大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二级</w:t>
            </w:r>
          </w:p>
        </w:tc>
        <w:tc>
          <w:tcPr>
            <w:tcW w:w="1999"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较重要</w:t>
            </w:r>
          </w:p>
          <w:p>
            <w:pPr>
              <w:widowControl/>
              <w:tabs>
                <w:tab w:val="left" w:pos="360"/>
              </w:tabs>
              <w:contextualSpacing/>
              <w:jc w:val="center"/>
              <w:rPr>
                <w:rFonts w:ascii="宋体" w:hAnsi="宋体"/>
                <w:kern w:val="0"/>
                <w:sz w:val="18"/>
                <w:szCs w:val="18"/>
              </w:rPr>
            </w:pPr>
            <w:r>
              <w:rPr>
                <w:rFonts w:hint="eastAsia" w:ascii="宋体" w:hAnsi="宋体"/>
                <w:kern w:val="0"/>
                <w:sz w:val="18"/>
                <w:szCs w:val="18"/>
              </w:rPr>
              <w:t>（集中居民点、工矿企业等）</w:t>
            </w:r>
          </w:p>
        </w:tc>
        <w:tc>
          <w:tcPr>
            <w:tcW w:w="1185"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中型及以上</w:t>
            </w:r>
          </w:p>
        </w:tc>
        <w:tc>
          <w:tcPr>
            <w:tcW w:w="1093"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较大及以上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三级</w:t>
            </w:r>
          </w:p>
        </w:tc>
        <w:tc>
          <w:tcPr>
            <w:tcW w:w="1999"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较重要</w:t>
            </w:r>
          </w:p>
          <w:p>
            <w:pPr>
              <w:widowControl/>
              <w:tabs>
                <w:tab w:val="left" w:pos="360"/>
              </w:tabs>
              <w:contextualSpacing/>
              <w:jc w:val="center"/>
              <w:rPr>
                <w:rFonts w:ascii="宋体" w:hAnsi="宋体"/>
                <w:kern w:val="0"/>
                <w:sz w:val="18"/>
                <w:szCs w:val="18"/>
              </w:rPr>
            </w:pPr>
            <w:r>
              <w:rPr>
                <w:rFonts w:hint="eastAsia" w:ascii="宋体" w:hAnsi="宋体"/>
                <w:kern w:val="0"/>
                <w:sz w:val="18"/>
                <w:szCs w:val="18"/>
              </w:rPr>
              <w:t>（居民点、一般工矿企业等）</w:t>
            </w:r>
          </w:p>
        </w:tc>
        <w:tc>
          <w:tcPr>
            <w:tcW w:w="1185"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小型及以上</w:t>
            </w:r>
          </w:p>
        </w:tc>
        <w:tc>
          <w:tcPr>
            <w:tcW w:w="1093" w:type="pct"/>
            <w:vAlign w:val="center"/>
          </w:tcPr>
          <w:p>
            <w:pPr>
              <w:widowControl/>
              <w:tabs>
                <w:tab w:val="left" w:pos="360"/>
              </w:tabs>
              <w:contextualSpacing/>
              <w:jc w:val="center"/>
              <w:rPr>
                <w:rFonts w:ascii="宋体" w:hAnsi="宋体"/>
                <w:kern w:val="0"/>
                <w:sz w:val="18"/>
                <w:szCs w:val="18"/>
              </w:rPr>
            </w:pPr>
            <w:r>
              <w:rPr>
                <w:rFonts w:hint="eastAsia" w:ascii="宋体" w:hAnsi="宋体"/>
                <w:kern w:val="0"/>
                <w:sz w:val="18"/>
                <w:szCs w:val="18"/>
              </w:rPr>
              <w:t>一般及以上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4"/>
            <w:vAlign w:val="center"/>
          </w:tcPr>
          <w:p>
            <w:pPr>
              <w:contextualSpacing/>
              <w:jc w:val="left"/>
              <w:rPr>
                <w:rFonts w:ascii="Times New Roman" w:hAnsi="Times New Roman"/>
                <w:sz w:val="18"/>
                <w:szCs w:val="18"/>
              </w:rPr>
            </w:pPr>
            <w:r>
              <w:rPr>
                <w:rFonts w:ascii="黑体" w:hAnsi="黑体" w:eastAsia="黑体"/>
                <w:sz w:val="18"/>
                <w:szCs w:val="18"/>
              </w:rPr>
              <w:t>注1：</w:t>
            </w:r>
            <w:r>
              <w:rPr>
                <w:rFonts w:ascii="Times New Roman" w:hAnsi="Times New Roman"/>
                <w:sz w:val="18"/>
                <w:szCs w:val="18"/>
              </w:rPr>
              <w:t>等级划分就低不就高。各项指标条件满足时，按最低指标条件划分监测等级。</w:t>
            </w:r>
          </w:p>
          <w:p>
            <w:pPr>
              <w:widowControl/>
              <w:tabs>
                <w:tab w:val="left" w:pos="360"/>
              </w:tabs>
              <w:ind w:left="540" w:hanging="540" w:hangingChars="300"/>
              <w:contextualSpacing/>
              <w:jc w:val="left"/>
              <w:rPr>
                <w:rFonts w:ascii="宋体" w:hAnsi="宋体"/>
                <w:kern w:val="0"/>
                <w:sz w:val="18"/>
                <w:szCs w:val="18"/>
              </w:rPr>
            </w:pPr>
            <w:r>
              <w:rPr>
                <w:rFonts w:ascii="黑体" w:hAnsi="黑体" w:eastAsia="黑体"/>
                <w:sz w:val="18"/>
                <w:szCs w:val="18"/>
              </w:rPr>
              <w:t>注2：</w:t>
            </w:r>
            <w:r>
              <w:rPr>
                <w:rFonts w:ascii="Times New Roman" w:hAnsi="Times New Roman"/>
                <w:sz w:val="18"/>
                <w:szCs w:val="18"/>
              </w:rPr>
              <w:t>监测等级参考《崩塌、滑坡、泥石流监测规范》（DZ/T 0221）中四级监测站（点）的划分，将Ⅰ、Ⅱ级监测站（点）合并后划分为三个等级。</w:t>
            </w:r>
          </w:p>
        </w:tc>
      </w:tr>
    </w:tbl>
    <w:p>
      <w:bookmarkStart w:id="49" w:name="_Toc21966349"/>
      <w:bookmarkStart w:id="50" w:name="_Toc534577723"/>
    </w:p>
    <w:p>
      <w:pPr>
        <w:pStyle w:val="2"/>
        <w:spacing w:before="240" w:after="240"/>
      </w:pPr>
      <w:bookmarkStart w:id="51" w:name="_Toc33177683"/>
      <w:r>
        <w:rPr>
          <w:rFonts w:hint="eastAsia"/>
        </w:rPr>
        <w:t>6  基本要求</w:t>
      </w:r>
      <w:bookmarkEnd w:id="51"/>
    </w:p>
    <w:p>
      <w:pPr>
        <w:pStyle w:val="3"/>
        <w:spacing w:before="120" w:after="120"/>
      </w:pPr>
      <w:bookmarkStart w:id="52" w:name="_Toc33177684"/>
      <w:r>
        <w:rPr>
          <w:rFonts w:hint="eastAsia"/>
        </w:rPr>
        <w:t>6.1  一般规定</w:t>
      </w:r>
      <w:bookmarkEnd w:id="52"/>
    </w:p>
    <w:p>
      <w:pPr>
        <w:tabs>
          <w:tab w:val="center" w:pos="4201"/>
          <w:tab w:val="right" w:leader="dot" w:pos="9298"/>
        </w:tabs>
        <w:autoSpaceDE w:val="0"/>
        <w:autoSpaceDN w:val="0"/>
        <w:spacing w:line="360" w:lineRule="auto"/>
        <w:rPr>
          <w:rFonts w:ascii="黑体" w:hAnsi="黑体" w:eastAsia="黑体"/>
          <w:kern w:val="0"/>
          <w:szCs w:val="21"/>
        </w:rPr>
      </w:pPr>
      <w:r>
        <w:rPr>
          <w:rFonts w:hint="eastAsia" w:ascii="黑体" w:hAnsi="黑体" w:eastAsia="黑体"/>
          <w:kern w:val="0"/>
          <w:szCs w:val="21"/>
        </w:rPr>
        <w:t>6</w:t>
      </w:r>
      <w:r>
        <w:rPr>
          <w:rFonts w:ascii="黑体" w:hAnsi="黑体" w:eastAsia="黑体"/>
          <w:kern w:val="0"/>
          <w:szCs w:val="21"/>
        </w:rPr>
        <w:t>.1.</w:t>
      </w:r>
      <w:r>
        <w:rPr>
          <w:rFonts w:hint="eastAsia" w:ascii="黑体" w:hAnsi="黑体" w:eastAsia="黑体"/>
          <w:kern w:val="0"/>
          <w:szCs w:val="21"/>
        </w:rPr>
        <w:t xml:space="preserve">1  </w:t>
      </w:r>
      <w:r>
        <w:rPr>
          <w:rFonts w:hint="eastAsia" w:ascii="Times New Roman" w:hAnsi="宋体"/>
          <w:szCs w:val="21"/>
        </w:rPr>
        <w:t>专业监测预警工作分为专业监测、预警预报两个阶段，</w:t>
      </w:r>
      <w:r>
        <w:rPr>
          <w:rFonts w:hint="eastAsia" w:ascii="宋体" w:hAnsi="宋体"/>
          <w:kern w:val="0"/>
          <w:szCs w:val="21"/>
        </w:rPr>
        <w:t>区域监测和隐患点监测两类建设工程。</w:t>
      </w:r>
    </w:p>
    <w:p>
      <w:pPr>
        <w:tabs>
          <w:tab w:val="center" w:pos="4201"/>
          <w:tab w:val="right" w:leader="dot" w:pos="9298"/>
        </w:tabs>
        <w:autoSpaceDE w:val="0"/>
        <w:autoSpaceDN w:val="0"/>
        <w:spacing w:line="360" w:lineRule="auto"/>
        <w:rPr>
          <w:rFonts w:ascii="Times New Roman" w:hAnsi="宋体"/>
          <w:szCs w:val="21"/>
        </w:rPr>
      </w:pPr>
      <w:r>
        <w:rPr>
          <w:rFonts w:hint="eastAsia" w:ascii="黑体" w:hAnsi="黑体" w:eastAsia="黑体"/>
          <w:kern w:val="0"/>
          <w:szCs w:val="21"/>
        </w:rPr>
        <w:t>6.1.2</w:t>
      </w:r>
      <w:r>
        <w:rPr>
          <w:rFonts w:hint="eastAsia" w:ascii="宋体" w:hAnsi="宋体"/>
          <w:kern w:val="0"/>
          <w:szCs w:val="21"/>
        </w:rPr>
        <w:t xml:space="preserve">  </w:t>
      </w:r>
      <w:r>
        <w:rPr>
          <w:rFonts w:ascii="Times New Roman" w:hAnsi="宋体"/>
          <w:szCs w:val="21"/>
        </w:rPr>
        <w:t>专业监测</w:t>
      </w:r>
      <w:r>
        <w:rPr>
          <w:rFonts w:hint="eastAsia" w:ascii="Times New Roman" w:hAnsi="宋体"/>
          <w:szCs w:val="21"/>
        </w:rPr>
        <w:t>预警</w:t>
      </w:r>
      <w:r>
        <w:rPr>
          <w:rFonts w:ascii="Times New Roman" w:hAnsi="宋体"/>
          <w:szCs w:val="21"/>
        </w:rPr>
        <w:t>工作开展之前，应有上级主管部门下达的任务书或业主单位合同，监测单位根据任务书或合同编制监测</w:t>
      </w:r>
      <w:r>
        <w:rPr>
          <w:rFonts w:hint="eastAsia" w:ascii="宋体" w:hAnsi="宋体"/>
          <w:kern w:val="0"/>
          <w:szCs w:val="21"/>
        </w:rPr>
        <w:t>预警</w:t>
      </w:r>
      <w:r>
        <w:rPr>
          <w:rFonts w:ascii="Times New Roman" w:hAnsi="宋体"/>
          <w:szCs w:val="21"/>
        </w:rPr>
        <w:t>设计</w:t>
      </w:r>
      <w:r>
        <w:rPr>
          <w:rFonts w:hint="eastAsia" w:ascii="Times New Roman" w:hAnsi="宋体"/>
          <w:szCs w:val="21"/>
        </w:rPr>
        <w:t>，设计须通过</w:t>
      </w:r>
      <w:r>
        <w:rPr>
          <w:rFonts w:ascii="Times New Roman" w:hAnsi="宋体"/>
          <w:szCs w:val="21"/>
        </w:rPr>
        <w:t>专家审</w:t>
      </w:r>
      <w:r>
        <w:rPr>
          <w:rFonts w:hint="eastAsia" w:ascii="Times New Roman" w:hAnsi="宋体"/>
          <w:szCs w:val="21"/>
        </w:rPr>
        <w:t>查</w:t>
      </w:r>
      <w:r>
        <w:rPr>
          <w:rFonts w:ascii="Times New Roman" w:hAnsi="宋体"/>
          <w:szCs w:val="21"/>
        </w:rPr>
        <w:t>后，</w:t>
      </w:r>
      <w:r>
        <w:rPr>
          <w:rFonts w:hint="eastAsia" w:ascii="Times New Roman" w:hAnsi="宋体"/>
          <w:szCs w:val="21"/>
        </w:rPr>
        <w:t>方可实施</w:t>
      </w:r>
      <w:r>
        <w:rPr>
          <w:rFonts w:ascii="Times New Roman" w:hAnsi="宋体"/>
          <w:szCs w:val="21"/>
        </w:rPr>
        <w:t>。</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6.1.3</w:t>
      </w:r>
      <w:r>
        <w:rPr>
          <w:rFonts w:hint="eastAsia" w:ascii="宋体" w:hAnsi="宋体"/>
          <w:kern w:val="0"/>
          <w:szCs w:val="21"/>
        </w:rPr>
        <w:t xml:space="preserve">  区域监测和一级、二级隐患点，应在勘（调）查的基础上单独编制监测预警设计；三级隐患点在调查测绘的基础上，可多点集中编制监测预警设计。</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6.1.4</w:t>
      </w:r>
      <w:r>
        <w:rPr>
          <w:rFonts w:hint="eastAsia" w:ascii="宋体" w:hAnsi="宋体"/>
          <w:kern w:val="0"/>
          <w:szCs w:val="21"/>
        </w:rPr>
        <w:t xml:space="preserve">  </w:t>
      </w:r>
      <w:r>
        <w:rPr>
          <w:rFonts w:ascii="Times New Roman" w:hAnsi="宋体"/>
          <w:szCs w:val="21"/>
        </w:rPr>
        <w:t>专业监测宜选用自动化监测方式，实现自动采集、实时上报和及时预警。也可根据实际需要因地制宜，选取人工仪器监测方式或者人工、自动化相结合的监测方式，以有效为准。</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6.1.5</w:t>
      </w:r>
      <w:r>
        <w:rPr>
          <w:rFonts w:hint="eastAsia" w:ascii="宋体" w:hAnsi="宋体"/>
          <w:kern w:val="0"/>
          <w:szCs w:val="21"/>
        </w:rPr>
        <w:t xml:space="preserve">  监测仪器、设备和元器件应满足设计技术参数要求，同时遵循技术成熟，性能稳定、可靠，实用、经济合理，先进且有成功应用经验优先的原则。</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6.1.6</w:t>
      </w:r>
      <w:r>
        <w:rPr>
          <w:rFonts w:hint="eastAsia" w:ascii="宋体" w:hAnsi="宋体"/>
          <w:kern w:val="0"/>
          <w:szCs w:val="21"/>
        </w:rPr>
        <w:t xml:space="preserve">  </w:t>
      </w:r>
      <w:r>
        <w:rPr>
          <w:rFonts w:ascii="宋体" w:hAnsi="宋体"/>
          <w:kern w:val="0"/>
          <w:szCs w:val="21"/>
        </w:rPr>
        <w:t>专业监测</w:t>
      </w:r>
      <w:r>
        <w:rPr>
          <w:rFonts w:hint="eastAsia" w:ascii="宋体" w:hAnsi="宋体"/>
          <w:kern w:val="0"/>
          <w:szCs w:val="21"/>
        </w:rPr>
        <w:t>预警工</w:t>
      </w:r>
      <w:r>
        <w:rPr>
          <w:rFonts w:ascii="Times New Roman" w:hAnsi="Times New Roman"/>
          <w:kern w:val="0"/>
          <w:szCs w:val="21"/>
        </w:rPr>
        <w:t>程建设实行施工监理制度，对每一分部、分项工程逐一进行检查和阶段性验收。验收使用表格见附录B</w:t>
      </w:r>
      <w:r>
        <w:rPr>
          <w:rFonts w:ascii="宋体" w:hAnsi="宋体"/>
          <w:kern w:val="0"/>
          <w:szCs w:val="21"/>
        </w:rPr>
        <w:t>。</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6.1.7</w:t>
      </w:r>
      <w:r>
        <w:rPr>
          <w:rFonts w:hint="eastAsia" w:ascii="宋体" w:hAnsi="宋体"/>
          <w:kern w:val="0"/>
          <w:szCs w:val="21"/>
        </w:rPr>
        <w:t xml:space="preserve">  </w:t>
      </w:r>
      <w:r>
        <w:rPr>
          <w:rFonts w:ascii="宋体" w:hAnsi="宋体"/>
          <w:kern w:val="0"/>
          <w:szCs w:val="21"/>
        </w:rPr>
        <w:t>专业监测</w:t>
      </w:r>
      <w:r>
        <w:rPr>
          <w:rFonts w:hint="eastAsia" w:ascii="宋体" w:hAnsi="宋体"/>
          <w:kern w:val="0"/>
          <w:szCs w:val="21"/>
        </w:rPr>
        <w:t>预警工程建设完工后，必须进行质量检验评定与竣工施工质量验收。竣工施工质量验收一般分为自验、初验和终验三个阶段。自验一般于工程建设完工后由业主单位自行组织；初验是在自验基础上，通过不少于</w:t>
      </w:r>
      <w:r>
        <w:rPr>
          <w:rFonts w:ascii="Times New Roman" w:hAnsi="Times New Roman"/>
          <w:kern w:val="0"/>
          <w:szCs w:val="21"/>
        </w:rPr>
        <w:t>3</w:t>
      </w:r>
      <w:r>
        <w:rPr>
          <w:rFonts w:hint="eastAsia" w:ascii="宋体" w:hAnsi="宋体"/>
          <w:kern w:val="0"/>
          <w:szCs w:val="21"/>
        </w:rPr>
        <w:t>个月的试运行后方能进行竣工初步验收；终验是在初验通过后，工程正常运行一个水文年后进行竣工最终验收。</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6.1.8</w:t>
      </w:r>
      <w:r>
        <w:rPr>
          <w:rFonts w:hint="eastAsia" w:ascii="宋体" w:hAnsi="宋体"/>
          <w:kern w:val="0"/>
          <w:szCs w:val="21"/>
        </w:rPr>
        <w:t xml:space="preserve">  </w:t>
      </w:r>
      <w:r>
        <w:rPr>
          <w:rFonts w:ascii="宋体" w:hAnsi="宋体"/>
          <w:kern w:val="0"/>
          <w:szCs w:val="21"/>
        </w:rPr>
        <w:t>专业监测数据采集、传输和数据接口</w:t>
      </w:r>
      <w:r>
        <w:rPr>
          <w:rFonts w:hint="eastAsia" w:ascii="宋体" w:hAnsi="宋体"/>
          <w:kern w:val="0"/>
          <w:szCs w:val="21"/>
        </w:rPr>
        <w:t>须</w:t>
      </w:r>
      <w:r>
        <w:rPr>
          <w:rFonts w:ascii="宋体" w:hAnsi="宋体"/>
          <w:kern w:val="0"/>
          <w:szCs w:val="21"/>
        </w:rPr>
        <w:t>满足“湖北省地质环境综合信息平台”的相应要求，实现</w:t>
      </w:r>
      <w:r>
        <w:rPr>
          <w:rFonts w:hint="eastAsia" w:ascii="宋体" w:hAnsi="宋体"/>
          <w:kern w:val="0"/>
          <w:szCs w:val="21"/>
        </w:rPr>
        <w:t>对</w:t>
      </w:r>
      <w:r>
        <w:rPr>
          <w:rFonts w:ascii="宋体" w:hAnsi="宋体"/>
          <w:kern w:val="0"/>
          <w:szCs w:val="21"/>
        </w:rPr>
        <w:t>省内专业监测</w:t>
      </w:r>
      <w:r>
        <w:rPr>
          <w:rFonts w:hint="eastAsia" w:ascii="宋体" w:hAnsi="宋体"/>
          <w:kern w:val="0"/>
          <w:szCs w:val="21"/>
        </w:rPr>
        <w:t>信息的</w:t>
      </w:r>
      <w:r>
        <w:rPr>
          <w:rFonts w:ascii="宋体" w:hAnsi="宋体"/>
          <w:kern w:val="0"/>
          <w:szCs w:val="21"/>
        </w:rPr>
        <w:t>统一管理，</w:t>
      </w:r>
      <w:r>
        <w:rPr>
          <w:rFonts w:hint="eastAsia" w:ascii="宋体" w:hAnsi="宋体"/>
          <w:kern w:val="0"/>
          <w:szCs w:val="21"/>
        </w:rPr>
        <w:t>保证省级</w:t>
      </w:r>
      <w:r>
        <w:rPr>
          <w:rFonts w:ascii="宋体" w:hAnsi="宋体"/>
          <w:kern w:val="0"/>
          <w:szCs w:val="21"/>
        </w:rPr>
        <w:t>监测数据库的完整性、系统性、可靠性、稳定性、兼容性、扩展性及安全性。</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6.1.9</w:t>
      </w:r>
      <w:r>
        <w:rPr>
          <w:rFonts w:hint="eastAsia" w:ascii="宋体" w:hAnsi="宋体"/>
          <w:kern w:val="0"/>
          <w:szCs w:val="21"/>
        </w:rPr>
        <w:t xml:space="preserve">  专业监测运行期间，</w:t>
      </w:r>
      <w:r>
        <w:rPr>
          <w:rFonts w:ascii="宋体" w:hAnsi="宋体"/>
          <w:kern w:val="0"/>
          <w:szCs w:val="21"/>
        </w:rPr>
        <w:t>监测单位</w:t>
      </w:r>
      <w:r>
        <w:rPr>
          <w:rFonts w:hint="eastAsia" w:ascii="宋体" w:hAnsi="宋体"/>
          <w:kern w:val="0"/>
          <w:szCs w:val="21"/>
        </w:rPr>
        <w:t>须</w:t>
      </w:r>
      <w:r>
        <w:rPr>
          <w:rFonts w:ascii="宋体" w:hAnsi="宋体"/>
          <w:kern w:val="0"/>
          <w:szCs w:val="21"/>
        </w:rPr>
        <w:t>及时</w:t>
      </w:r>
      <w:r>
        <w:rPr>
          <w:rFonts w:hint="eastAsia" w:ascii="宋体" w:hAnsi="宋体"/>
          <w:kern w:val="0"/>
          <w:szCs w:val="21"/>
        </w:rPr>
        <w:t>进行</w:t>
      </w:r>
      <w:r>
        <w:rPr>
          <w:rFonts w:ascii="宋体" w:hAnsi="宋体"/>
          <w:kern w:val="0"/>
          <w:szCs w:val="21"/>
        </w:rPr>
        <w:t>汇总</w:t>
      </w:r>
      <w:r>
        <w:rPr>
          <w:rFonts w:hint="eastAsia" w:ascii="宋体" w:hAnsi="宋体"/>
          <w:kern w:val="0"/>
          <w:szCs w:val="21"/>
        </w:rPr>
        <w:t>、</w:t>
      </w:r>
      <w:r>
        <w:rPr>
          <w:rFonts w:ascii="宋体" w:hAnsi="宋体"/>
          <w:kern w:val="0"/>
          <w:szCs w:val="21"/>
        </w:rPr>
        <w:t>整理</w:t>
      </w:r>
      <w:r>
        <w:rPr>
          <w:rFonts w:hint="eastAsia" w:ascii="宋体" w:hAnsi="宋体"/>
          <w:kern w:val="0"/>
          <w:szCs w:val="21"/>
        </w:rPr>
        <w:t>和</w:t>
      </w:r>
      <w:r>
        <w:rPr>
          <w:rFonts w:ascii="宋体" w:hAnsi="宋体"/>
          <w:kern w:val="0"/>
          <w:szCs w:val="21"/>
        </w:rPr>
        <w:t>分析监测数据，</w:t>
      </w:r>
      <w:r>
        <w:rPr>
          <w:rFonts w:hint="eastAsia" w:ascii="宋体" w:hAnsi="宋体"/>
          <w:kern w:val="0"/>
          <w:szCs w:val="21"/>
        </w:rPr>
        <w:t>监测</w:t>
      </w:r>
      <w:r>
        <w:rPr>
          <w:rFonts w:ascii="宋体" w:hAnsi="宋体"/>
          <w:kern w:val="0"/>
          <w:szCs w:val="21"/>
        </w:rPr>
        <w:t>报表中应含明确、可靠的</w:t>
      </w:r>
      <w:r>
        <w:rPr>
          <w:rFonts w:hint="eastAsia" w:ascii="宋体" w:hAnsi="宋体"/>
          <w:kern w:val="0"/>
          <w:szCs w:val="21"/>
        </w:rPr>
        <w:t>变形监测分析和</w:t>
      </w:r>
      <w:r>
        <w:rPr>
          <w:rFonts w:ascii="宋体" w:hAnsi="宋体"/>
          <w:kern w:val="0"/>
          <w:szCs w:val="21"/>
        </w:rPr>
        <w:t>结论，</w:t>
      </w:r>
      <w:r>
        <w:rPr>
          <w:rFonts w:hint="eastAsia" w:ascii="宋体" w:hAnsi="宋体"/>
          <w:kern w:val="0"/>
          <w:szCs w:val="21"/>
        </w:rPr>
        <w:t>提出有关防范建议，为</w:t>
      </w:r>
      <w:r>
        <w:rPr>
          <w:rFonts w:ascii="宋体" w:hAnsi="宋体"/>
          <w:kern w:val="0"/>
          <w:szCs w:val="21"/>
        </w:rPr>
        <w:t>主管</w:t>
      </w:r>
      <w:r>
        <w:rPr>
          <w:rFonts w:hint="eastAsia" w:ascii="宋体" w:hAnsi="宋体"/>
          <w:kern w:val="0"/>
          <w:szCs w:val="21"/>
        </w:rPr>
        <w:t>部门或</w:t>
      </w:r>
      <w:r>
        <w:rPr>
          <w:rFonts w:ascii="宋体" w:hAnsi="宋体"/>
          <w:kern w:val="0"/>
          <w:szCs w:val="21"/>
        </w:rPr>
        <w:t>建设单位</w:t>
      </w:r>
      <w:r>
        <w:rPr>
          <w:rFonts w:hint="eastAsia" w:ascii="宋体" w:hAnsi="宋体"/>
          <w:kern w:val="0"/>
          <w:szCs w:val="21"/>
        </w:rPr>
        <w:t>防灾、</w:t>
      </w:r>
      <w:r>
        <w:rPr>
          <w:rFonts w:ascii="宋体" w:hAnsi="宋体"/>
          <w:kern w:val="0"/>
          <w:szCs w:val="21"/>
        </w:rPr>
        <w:t>预警</w:t>
      </w:r>
      <w:r>
        <w:rPr>
          <w:rFonts w:hint="eastAsia" w:ascii="宋体" w:hAnsi="宋体"/>
          <w:kern w:val="0"/>
          <w:szCs w:val="21"/>
        </w:rPr>
        <w:t>决策提供技术支撑</w:t>
      </w:r>
      <w:r>
        <w:rPr>
          <w:rFonts w:ascii="宋体" w:hAnsi="宋体"/>
          <w:kern w:val="0"/>
          <w:szCs w:val="21"/>
        </w:rPr>
        <w:t>。</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6.1.10</w:t>
      </w:r>
      <w:r>
        <w:rPr>
          <w:rFonts w:hint="eastAsia" w:ascii="宋体" w:hAnsi="宋体"/>
          <w:kern w:val="0"/>
          <w:szCs w:val="21"/>
        </w:rPr>
        <w:t xml:space="preserve">  专业监测运行结束时，监测单位应及时提交监测预警总结报告，完成监测成果资料的整理和归档。</w:t>
      </w:r>
    </w:p>
    <w:p>
      <w:pPr>
        <w:pStyle w:val="3"/>
        <w:spacing w:before="120" w:after="120"/>
      </w:pPr>
      <w:bookmarkStart w:id="53" w:name="_Toc33177685"/>
      <w:r>
        <w:rPr>
          <w:rFonts w:hint="eastAsia"/>
        </w:rPr>
        <w:t>6.2  区域监测</w:t>
      </w:r>
      <w:bookmarkEnd w:id="53"/>
    </w:p>
    <w:p>
      <w:pPr>
        <w:pStyle w:val="4"/>
        <w:spacing w:before="120" w:after="120"/>
      </w:pPr>
      <w:r>
        <w:rPr>
          <w:rFonts w:hint="eastAsia"/>
        </w:rPr>
        <w:t xml:space="preserve">6.2.1  </w:t>
      </w:r>
      <w:r>
        <w:t>监测内容</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区域监测内容主要包括地表形变、气象及地震等。</w:t>
      </w:r>
    </w:p>
    <w:p>
      <w:pPr>
        <w:pStyle w:val="5"/>
        <w:spacing w:before="120" w:after="120"/>
      </w:pPr>
      <w:r>
        <w:rPr>
          <w:rFonts w:hint="eastAsia"/>
        </w:rPr>
        <w:t>6.2.1.1  地表形变监测</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对目标区内地质灾害发育和变形情况进行监测。主要内容包括灾害体位置、规模、数量、地表变形及地表位移变形等，早期识别发现地质灾害数据库隐患点之外、高位远程隐蔽隐患体。</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  对区域内地形地貌、构造、地质岩体、人类工程活动、生态环境等进行监测，重点监测目标区内与地质灾害发生、发展有关联的相关因素。</w:t>
      </w:r>
    </w:p>
    <w:p>
      <w:pPr>
        <w:widowControl/>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 xml:space="preserve">c) </w:t>
      </w:r>
      <w:r>
        <w:rPr>
          <w:rFonts w:hint="eastAsia" w:ascii="宋体" w:hAnsi="宋体"/>
          <w:kern w:val="0"/>
          <w:szCs w:val="21"/>
        </w:rPr>
        <w:t xml:space="preserve"> 对区域内灾害隐患进行排查。分为设计阶段调查和监测阶段排查调查。设计阶段调查主要是在收集前期资料的基础上，对区域内地质灾害开展更新调查；监测阶段排查调查是对发现的变形和地形地貌变化结合光学卫星遥感、地质背景资料进行排查，对排查后认为新增的、潜在的地质灾害隐患和变形较大的地质灾害体进行调查。</w:t>
      </w:r>
    </w:p>
    <w:p>
      <w:pPr>
        <w:pStyle w:val="5"/>
        <w:spacing w:before="120" w:after="120"/>
      </w:pPr>
      <w:r>
        <w:rPr>
          <w:rFonts w:hint="eastAsia"/>
        </w:rPr>
        <w:t xml:space="preserve">6.2.1.2  </w:t>
      </w:r>
      <w:r>
        <w:t>气象监测</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监测区域内降雨量，依据基础地理、地质条件、地质灾害易发分区资料，结合前期过程降水量和预报降水量资料,为地质灾害气象预警提供数据。</w:t>
      </w:r>
    </w:p>
    <w:p>
      <w:pPr>
        <w:pStyle w:val="5"/>
        <w:spacing w:before="120" w:after="120"/>
      </w:pPr>
      <w:r>
        <w:rPr>
          <w:rFonts w:hint="eastAsia"/>
        </w:rPr>
        <w:t xml:space="preserve">6.2.1.3  </w:t>
      </w:r>
      <w:r>
        <w:t>地震</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ascii="宋体" w:hAnsi="宋体"/>
          <w:kern w:val="0"/>
          <w:szCs w:val="21"/>
        </w:rPr>
        <w:t>区域内及周边地震情况与风险程度。</w:t>
      </w:r>
    </w:p>
    <w:p>
      <w:pPr>
        <w:pStyle w:val="4"/>
        <w:spacing w:before="120" w:after="120"/>
      </w:pPr>
      <w:r>
        <w:rPr>
          <w:rFonts w:hint="eastAsia"/>
        </w:rPr>
        <w:t xml:space="preserve">6.2.2  </w:t>
      </w:r>
      <w:r>
        <w:t>监测方法</w:t>
      </w:r>
    </w:p>
    <w:p>
      <w:pPr>
        <w:pStyle w:val="5"/>
        <w:spacing w:before="120" w:after="120"/>
      </w:pPr>
      <w:r>
        <w:rPr>
          <w:rFonts w:hint="eastAsia"/>
        </w:rPr>
        <w:t>6.2.2.1  地表形变监测</w:t>
      </w:r>
    </w:p>
    <w:p>
      <w:pPr>
        <w:widowControl/>
        <w:tabs>
          <w:tab w:val="center" w:pos="4201"/>
          <w:tab w:val="right" w:leader="dot" w:pos="9298"/>
        </w:tabs>
        <w:autoSpaceDE w:val="0"/>
        <w:autoSpaceDN w:val="0"/>
        <w:spacing w:line="360" w:lineRule="auto"/>
        <w:ind w:firstLine="420" w:firstLineChars="200"/>
        <w:rPr>
          <w:rStyle w:val="23"/>
          <w:rFonts w:ascii="Times New Roman" w:hAnsi="Times New Roman"/>
        </w:rPr>
      </w:pPr>
      <w:r>
        <w:rPr>
          <w:rFonts w:ascii="Times New Roman" w:hAnsi="Times New Roman"/>
          <w:kern w:val="0"/>
          <w:szCs w:val="21"/>
        </w:rPr>
        <w:t>地表形变监测方法主要利用合成孔径雷达干涉测量技术（InSAR），特指利用SAR数据提取地质灾害体变形的技术，包括差分合成孔径雷达干涉测量（D-InSAR）、短基线集干涉测量（SBAS-InSAR）和永久散射体干涉测量（PS-InSAR）等。还可综合利用其它航遥技术及排查核查手段。</w:t>
      </w: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InSAR技术方法的选择应根据监测对象、应用环境、监测精度、可监测的量程、所需数据量和观测频率、技术复杂程度等因素综合确定，可参照附录A之A.2。</w:t>
      </w: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  依据地表形变结果进行灾害隐患识别和灾害体形变分析，可综合利用高分辨率光学卫星遥感、航空遥感、多光谱遥感等多种技术手段。用于区域地质灾害隐患监测的InSAR技术方法选择及适用性见表</w:t>
      </w:r>
      <w:r>
        <w:rPr>
          <w:rFonts w:hint="eastAsia" w:ascii="Times New Roman" w:hAnsi="Times New Roman"/>
          <w:kern w:val="0"/>
          <w:szCs w:val="21"/>
        </w:rPr>
        <w:t>5</w:t>
      </w:r>
      <w:r>
        <w:rPr>
          <w:rFonts w:ascii="Times New Roman" w:hAnsi="Times New Roman"/>
          <w:kern w:val="0"/>
          <w:szCs w:val="21"/>
        </w:rPr>
        <w:t>。</w:t>
      </w:r>
    </w:p>
    <w:p>
      <w:pPr>
        <w:widowControl/>
        <w:tabs>
          <w:tab w:val="center" w:pos="4201"/>
          <w:tab w:val="right" w:leader="dot" w:pos="9298"/>
        </w:tabs>
        <w:autoSpaceDE w:val="0"/>
        <w:autoSpaceDN w:val="0"/>
        <w:spacing w:line="360" w:lineRule="auto"/>
        <w:ind w:firstLine="420" w:firstLineChars="200"/>
        <w:rPr>
          <w:rStyle w:val="23"/>
        </w:rPr>
      </w:pPr>
      <w:r>
        <w:rPr>
          <w:rFonts w:ascii="Times New Roman" w:hAnsi="Times New Roman"/>
          <w:kern w:val="0"/>
          <w:szCs w:val="21"/>
        </w:rPr>
        <w:t xml:space="preserve">c)  </w:t>
      </w:r>
      <w:r>
        <w:rPr>
          <w:rFonts w:hint="eastAsia" w:ascii="宋体" w:hAnsi="宋体"/>
          <w:kern w:val="0"/>
          <w:szCs w:val="21"/>
        </w:rPr>
        <w:t>根据实际需要进行排查调查。</w:t>
      </w:r>
      <w:r>
        <w:rPr>
          <w:rFonts w:hint="eastAsia" w:ascii="Times New Roman" w:hAnsi="宋体"/>
          <w:szCs w:val="21"/>
        </w:rPr>
        <w:t>设计阶段调查主要以收集资料、人员访问调查、数据分析为主，以弥补已有资料中对新发生灾害记录缺失。监测阶段排查调查以专业人员现场调查为主，对发现的新增隐患或旧隐患的新变形迹象进行核查。</w:t>
      </w:r>
    </w:p>
    <w:p>
      <w:pPr>
        <w:spacing w:before="120" w:beforeLines="50" w:after="120" w:afterLines="50"/>
        <w:jc w:val="center"/>
        <w:rPr>
          <w:rFonts w:ascii="黑体" w:hAnsi="黑体" w:eastAsia="黑体"/>
        </w:rPr>
      </w:pPr>
      <w:r>
        <w:rPr>
          <w:rFonts w:ascii="黑体" w:hAnsi="黑体" w:eastAsia="黑体"/>
        </w:rPr>
        <w:t>表</w:t>
      </w:r>
      <w:r>
        <w:rPr>
          <w:rFonts w:hint="eastAsia" w:ascii="黑体" w:hAnsi="黑体" w:eastAsia="黑体"/>
        </w:rPr>
        <w:t>5  区域监测InSAR方法选择及适用性说明表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4"/>
        <w:gridCol w:w="7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9"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区域灾种</w:t>
            </w:r>
          </w:p>
        </w:tc>
        <w:tc>
          <w:tcPr>
            <w:tcW w:w="4141"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InSAR技术方法选择及适用性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9"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区域内滑坡</w:t>
            </w:r>
          </w:p>
        </w:tc>
        <w:tc>
          <w:tcPr>
            <w:tcW w:w="4141" w:type="pct"/>
            <w:shd w:val="clear" w:color="auto" w:fill="auto"/>
            <w:vAlign w:val="center"/>
          </w:tcPr>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1.用于区域滑坡识别的SAR数据宜首选存档时间长的数据，采用D-InSAR、PS-InSAR、SBAS-InSAR、SqueeSAR、CRInSAR等2种及以上方法同时进行数据处理</w:t>
            </w:r>
            <w:r>
              <w:rPr>
                <w:rFonts w:hint="eastAsia" w:ascii="Times New Roman" w:hAnsi="Times New Roman"/>
                <w:kern w:val="0"/>
                <w:sz w:val="18"/>
                <w:szCs w:val="18"/>
              </w:rPr>
              <w:t>。</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2.D-InSAR结果精度、稳定性均存在较大问题，在工作区SAR数据量较小时，可采用D-InSAR方法</w:t>
            </w:r>
            <w:r>
              <w:rPr>
                <w:rFonts w:hint="eastAsia" w:ascii="Times New Roman" w:hAnsi="Times New Roman"/>
                <w:kern w:val="0"/>
                <w:sz w:val="18"/>
                <w:szCs w:val="18"/>
              </w:rPr>
              <w:t>。</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3.对于大于1 m/a的滑坡可采用Offset-Traciking数据处理方法探测变形</w:t>
            </w:r>
            <w:r>
              <w:rPr>
                <w:rFonts w:hint="eastAsia" w:ascii="Times New Roman" w:hAnsi="Times New Roman"/>
                <w:kern w:val="0"/>
                <w:sz w:val="18"/>
                <w:szCs w:val="18"/>
              </w:rPr>
              <w:t>。</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4.多数滑坡宜采用PS-InSAR与SBAS-InSAR结合应用的TS-InSAR方法</w:t>
            </w:r>
            <w:r>
              <w:rPr>
                <w:rFonts w:hint="eastAsia" w:ascii="Times New Roman" w:hAnsi="Times New Roman"/>
                <w:kern w:val="0"/>
                <w:sz w:val="18"/>
                <w:szCs w:val="18"/>
              </w:rPr>
              <w:t>。</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5.植被覆盖或冰雪覆盖区宜采用CR-InSAR技术，加强雷达波反射效果。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9"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区域内崩塌</w:t>
            </w:r>
          </w:p>
        </w:tc>
        <w:tc>
          <w:tcPr>
            <w:tcW w:w="4141" w:type="pct"/>
            <w:shd w:val="clear" w:color="auto" w:fill="auto"/>
            <w:vAlign w:val="center"/>
          </w:tcPr>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1.首选面向危岩面、大入射角（入射角＞35°）的高分辨率SAR数据，宜采用PS-InSAR、SBAS-InSAR或改进型方法</w:t>
            </w:r>
            <w:r>
              <w:rPr>
                <w:rFonts w:hint="eastAsia" w:ascii="Times New Roman" w:hAnsi="Times New Roman"/>
                <w:kern w:val="0"/>
                <w:sz w:val="18"/>
                <w:szCs w:val="18"/>
              </w:rPr>
              <w:t>。</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2.植被覆盖区宜采用CR-InSAR技术。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9"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区域内泥石流</w:t>
            </w:r>
          </w:p>
        </w:tc>
        <w:tc>
          <w:tcPr>
            <w:tcW w:w="4141" w:type="pct"/>
            <w:shd w:val="clear" w:color="auto" w:fill="auto"/>
            <w:vAlign w:val="center"/>
          </w:tcPr>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1.区域泥石流沟的识别，在受大气干扰小的区域且具有短时间间隔SAR数据条件下，可采用D-InSAR方法</w:t>
            </w:r>
            <w:r>
              <w:rPr>
                <w:rFonts w:hint="eastAsia" w:ascii="Times New Roman" w:hAnsi="Times New Roman"/>
                <w:kern w:val="0"/>
                <w:sz w:val="18"/>
                <w:szCs w:val="18"/>
              </w:rPr>
              <w:t>。</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2.对于降雨泥石流应采用PS-InSAR与SBAS-InSAR交叉结合的多时相干涉雷达测量方法。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9"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区域内地面</w:t>
            </w:r>
          </w:p>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塌陷</w:t>
            </w:r>
          </w:p>
        </w:tc>
        <w:tc>
          <w:tcPr>
            <w:tcW w:w="4141" w:type="pct"/>
            <w:shd w:val="clear" w:color="auto" w:fill="auto"/>
            <w:vAlign w:val="center"/>
          </w:tcPr>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1.无确定方法用于塌陷的识别，各种InSAR方法均应试算</w:t>
            </w:r>
            <w:r>
              <w:rPr>
                <w:rFonts w:hint="eastAsia" w:ascii="Times New Roman" w:hAnsi="Times New Roman"/>
                <w:kern w:val="0"/>
                <w:sz w:val="18"/>
                <w:szCs w:val="18"/>
              </w:rPr>
              <w:t>。</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2.对岩溶区塌陷变形特征的监测可采用D-InSAR、TS-InSAR及改进方法</w:t>
            </w:r>
            <w:r>
              <w:rPr>
                <w:rFonts w:hint="eastAsia" w:ascii="Times New Roman" w:hAnsi="Times New Roman"/>
                <w:kern w:val="0"/>
                <w:sz w:val="18"/>
                <w:szCs w:val="18"/>
              </w:rPr>
              <w:t>。</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3.对于大范围变形的采空塌陷监测宜选择Offset-SAR方法监测中心部位位移，D-InSAR、TS-InSAR方法监测边缘位移。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2"/>
            <w:shd w:val="clear" w:color="auto" w:fill="auto"/>
            <w:vAlign w:val="center"/>
          </w:tcPr>
          <w:p>
            <w:pPr>
              <w:widowControl/>
              <w:tabs>
                <w:tab w:val="center" w:pos="4201"/>
                <w:tab w:val="right" w:leader="dot" w:pos="9298"/>
              </w:tabs>
              <w:autoSpaceDE w:val="0"/>
              <w:autoSpaceDN w:val="0"/>
              <w:rPr>
                <w:rFonts w:ascii="Times New Roman" w:hAnsi="Times New Roman"/>
                <w:kern w:val="0"/>
                <w:sz w:val="18"/>
                <w:szCs w:val="18"/>
              </w:rPr>
            </w:pPr>
            <w:r>
              <w:rPr>
                <w:rFonts w:ascii="黑体" w:hAnsi="黑体" w:eastAsia="黑体"/>
                <w:kern w:val="0"/>
                <w:sz w:val="18"/>
                <w:szCs w:val="18"/>
              </w:rPr>
              <w:t>注：</w:t>
            </w:r>
            <w:r>
              <w:rPr>
                <w:rFonts w:ascii="Times New Roman" w:hAnsi="Times New Roman"/>
                <w:kern w:val="0"/>
                <w:sz w:val="18"/>
                <w:szCs w:val="18"/>
              </w:rPr>
              <w:t>以上各种InSAR技术方法的具体要求参照《地质灾害InSAR监测技术指南》（T/CAGHP 013</w:t>
            </w:r>
            <w:r>
              <w:rPr>
                <w:rFonts w:hint="eastAsia" w:ascii="宋体" w:hAnsi="宋体"/>
                <w:kern w:val="0"/>
                <w:szCs w:val="21"/>
              </w:rPr>
              <w:t>―</w:t>
            </w:r>
            <w:r>
              <w:rPr>
                <w:rFonts w:ascii="Times New Roman" w:hAnsi="Times New Roman"/>
                <w:kern w:val="0"/>
                <w:sz w:val="18"/>
                <w:szCs w:val="18"/>
              </w:rPr>
              <w:t>2018）执行。</w:t>
            </w:r>
          </w:p>
        </w:tc>
      </w:tr>
    </w:tbl>
    <w:p/>
    <w:p>
      <w:pPr>
        <w:pStyle w:val="5"/>
        <w:spacing w:before="120" w:after="120"/>
      </w:pPr>
      <w:r>
        <w:rPr>
          <w:rFonts w:hint="eastAsia"/>
        </w:rPr>
        <w:t xml:space="preserve">6.2.2.2  </w:t>
      </w:r>
      <w:r>
        <w:t>气象监测</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在地质灾害易发区与集中区建立气象监测站；定期收集监测区气象预报资料。</w:t>
      </w:r>
    </w:p>
    <w:p>
      <w:pPr>
        <w:pStyle w:val="5"/>
        <w:spacing w:before="120" w:after="120"/>
      </w:pPr>
      <w:r>
        <w:rPr>
          <w:rFonts w:hint="eastAsia"/>
        </w:rPr>
        <w:t xml:space="preserve">6.2.2.3  </w:t>
      </w:r>
      <w:r>
        <w:t>地震</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定期收集地震部门监测资料，掌握</w:t>
      </w:r>
      <w:r>
        <w:rPr>
          <w:rFonts w:ascii="宋体" w:hAnsi="宋体"/>
          <w:kern w:val="0"/>
          <w:szCs w:val="21"/>
        </w:rPr>
        <w:t>区域内及周边</w:t>
      </w:r>
      <w:r>
        <w:rPr>
          <w:rFonts w:hint="eastAsia" w:ascii="宋体" w:hAnsi="宋体"/>
          <w:kern w:val="0"/>
          <w:szCs w:val="21"/>
        </w:rPr>
        <w:t>的</w:t>
      </w:r>
      <w:r>
        <w:rPr>
          <w:rFonts w:ascii="宋体" w:hAnsi="宋体"/>
          <w:kern w:val="0"/>
          <w:szCs w:val="21"/>
        </w:rPr>
        <w:t>地震情况与风险程度。</w:t>
      </w:r>
    </w:p>
    <w:p>
      <w:pPr>
        <w:pStyle w:val="4"/>
        <w:spacing w:before="120" w:after="120"/>
      </w:pPr>
      <w:r>
        <w:rPr>
          <w:rFonts w:hint="eastAsia"/>
        </w:rPr>
        <w:t xml:space="preserve">6.2.3  </w:t>
      </w:r>
      <w:r>
        <w:t>监测精度</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区域InSAR监测各灾种</w:t>
      </w:r>
      <w:r>
        <w:rPr>
          <w:rFonts w:ascii="Times New Roman" w:hAnsi="Times New Roman"/>
          <w:color w:val="000000" w:themeColor="text1"/>
          <w:kern w:val="0"/>
          <w:szCs w:val="21"/>
        </w:rPr>
        <w:t>的变形速</w:t>
      </w:r>
      <w:r>
        <w:rPr>
          <w:rFonts w:ascii="Times New Roman" w:hAnsi="Times New Roman"/>
          <w:kern w:val="0"/>
          <w:szCs w:val="21"/>
        </w:rPr>
        <w:t>率应达到一定精度，且应根据InSAR监测工作条件和采用的技术方法综合确定。监测精度及监测设备技术参数具体按照附录A表A.3</w:t>
      </w:r>
      <w:r>
        <w:rPr>
          <w:rFonts w:hint="eastAsia" w:ascii="宋体" w:hAnsi="宋体"/>
          <w:kern w:val="0"/>
          <w:szCs w:val="21"/>
        </w:rPr>
        <w:t>～</w:t>
      </w:r>
      <w:r>
        <w:rPr>
          <w:rFonts w:ascii="Times New Roman" w:hAnsi="Times New Roman"/>
          <w:kern w:val="0"/>
          <w:szCs w:val="21"/>
        </w:rPr>
        <w:t>A.5执行。可用星载SAR传感器基本参数见附录A.4,选用星载SAR数据时，需考虑数据的升降轨一致性，以有利于形成干涉对。</w:t>
      </w:r>
    </w:p>
    <w:p>
      <w:pPr>
        <w:pStyle w:val="4"/>
        <w:spacing w:before="120" w:after="120"/>
      </w:pPr>
      <w:r>
        <w:rPr>
          <w:rFonts w:hint="eastAsia"/>
        </w:rPr>
        <w:t xml:space="preserve">6.2.4  </w:t>
      </w:r>
      <w:r>
        <w:t>监测频率</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区域监测的各种InSAR技术方法其对应的监测频率按附录A之A.2执行。</w:t>
      </w:r>
    </w:p>
    <w:p>
      <w:pPr>
        <w:pStyle w:val="4"/>
        <w:spacing w:before="120" w:after="120"/>
      </w:pPr>
      <w:r>
        <w:rPr>
          <w:rFonts w:hint="eastAsia"/>
        </w:rPr>
        <w:t xml:space="preserve">6.2.5  </w:t>
      </w:r>
      <w:r>
        <w:t>监测</w:t>
      </w:r>
      <w:r>
        <w:rPr>
          <w:rFonts w:hint="eastAsia"/>
        </w:rPr>
        <w:t>设计</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ascii="宋体" w:hAnsi="宋体"/>
          <w:kern w:val="0"/>
          <w:szCs w:val="21"/>
        </w:rPr>
        <w:t>区域监测设计应在目标区需求分析、资料收集、调查及地质背景分析的基础上进行编制。</w:t>
      </w:r>
    </w:p>
    <w:p>
      <w:pPr>
        <w:pStyle w:val="5"/>
        <w:spacing w:before="120" w:after="120"/>
      </w:pPr>
      <w:r>
        <w:rPr>
          <w:rFonts w:hint="eastAsia"/>
        </w:rPr>
        <w:t xml:space="preserve">6.2.5.1  </w:t>
      </w:r>
      <w:r>
        <w:t>需求分析</w:t>
      </w:r>
    </w:p>
    <w:p>
      <w:pPr>
        <w:spacing w:line="360" w:lineRule="auto"/>
        <w:ind w:left="840" w:leftChars="200" w:hanging="420" w:hangingChars="200"/>
        <w:rPr>
          <w:rFonts w:ascii="Times New Roman" w:hAnsi="Times New Roman"/>
          <w:szCs w:val="21"/>
        </w:rPr>
      </w:pPr>
      <w:r>
        <w:rPr>
          <w:rFonts w:ascii="Times New Roman" w:hAnsi="Times New Roman"/>
          <w:szCs w:val="21"/>
        </w:rPr>
        <w:t>a)  应分析目标区域地质灾害特征和监测条件，比较各种变形监测方法的优缺点，有针对性的选择对目标区域监测适用、适宜的InSAR技术方法，提出采用InSAR技术的依据。</w:t>
      </w:r>
    </w:p>
    <w:p>
      <w:pPr>
        <w:spacing w:line="360" w:lineRule="auto"/>
        <w:ind w:left="840" w:leftChars="200" w:hanging="420" w:hangingChars="200"/>
        <w:rPr>
          <w:rFonts w:ascii="Times New Roman" w:hAnsi="Times New Roman"/>
          <w:szCs w:val="21"/>
        </w:rPr>
      </w:pPr>
      <w:r>
        <w:rPr>
          <w:rFonts w:ascii="Times New Roman" w:hAnsi="Times New Roman"/>
          <w:szCs w:val="21"/>
        </w:rPr>
        <w:t>b)  应根据地质条件及SAR数据源，在工作之初明确InSAR区域监测拟获取的变形信息，达到的精度等，使其与工作目标、数据条件和成本相匹配。</w:t>
      </w:r>
    </w:p>
    <w:p>
      <w:pPr>
        <w:spacing w:line="360" w:lineRule="auto"/>
        <w:ind w:left="840" w:leftChars="200" w:hanging="420" w:hangingChars="200"/>
        <w:rPr>
          <w:rFonts w:ascii="Times New Roman" w:hAnsi="Times New Roman"/>
          <w:szCs w:val="21"/>
        </w:rPr>
      </w:pPr>
      <w:r>
        <w:rPr>
          <w:rFonts w:ascii="Times New Roman" w:hAnsi="Times New Roman"/>
          <w:szCs w:val="21"/>
        </w:rPr>
        <w:t>c)  应根据区域内气象、地震、基础地质、国民经济发展及规划、人类工程活动情况划定重点观测范围，选取适合的角反射器建设点、观测参考点等。</w:t>
      </w:r>
    </w:p>
    <w:p>
      <w:pPr>
        <w:spacing w:line="360" w:lineRule="auto"/>
        <w:ind w:left="840" w:leftChars="200" w:hanging="420" w:hangingChars="200"/>
        <w:rPr>
          <w:rFonts w:ascii="Times New Roman" w:hAnsi="Times New Roman"/>
          <w:szCs w:val="21"/>
        </w:rPr>
      </w:pPr>
      <w:r>
        <w:rPr>
          <w:rFonts w:ascii="Times New Roman" w:hAnsi="Times New Roman"/>
          <w:szCs w:val="21"/>
        </w:rPr>
        <w:t>d)  分析区内地理、地质情况，明确光学遥感、现场调查等工作方法，选取合适的技术手段。</w:t>
      </w:r>
    </w:p>
    <w:p>
      <w:pPr>
        <w:pStyle w:val="5"/>
        <w:spacing w:before="120" w:after="120"/>
      </w:pPr>
      <w:r>
        <w:rPr>
          <w:rFonts w:hint="eastAsia"/>
        </w:rPr>
        <w:t xml:space="preserve">6.2.5.2  </w:t>
      </w:r>
      <w:r>
        <w:t>资料收集</w:t>
      </w:r>
    </w:p>
    <w:p>
      <w:pPr>
        <w:spacing w:line="360" w:lineRule="auto"/>
        <w:ind w:left="840" w:leftChars="200" w:hanging="420" w:hangingChars="200"/>
        <w:rPr>
          <w:rFonts w:ascii="Times New Roman" w:hAnsi="Times New Roman"/>
          <w:szCs w:val="21"/>
        </w:rPr>
      </w:pPr>
      <w:r>
        <w:rPr>
          <w:rFonts w:ascii="Times New Roman" w:hAnsi="Times New Roman"/>
          <w:szCs w:val="21"/>
        </w:rPr>
        <w:t>a)  应收集监测区SAR数据存档信息，监测区在轨SAR数据参数、在轨状况和编程定制规则，监测区光学遥感图像，监测区域数字地形图和DEM。</w:t>
      </w:r>
    </w:p>
    <w:p>
      <w:pPr>
        <w:spacing w:line="360" w:lineRule="auto"/>
        <w:ind w:left="840" w:leftChars="200" w:hanging="420" w:hangingChars="200"/>
        <w:rPr>
          <w:rFonts w:ascii="Times New Roman" w:hAnsi="Times New Roman"/>
          <w:szCs w:val="21"/>
        </w:rPr>
      </w:pPr>
      <w:r>
        <w:rPr>
          <w:rFonts w:ascii="Times New Roman" w:hAnsi="Times New Roman"/>
          <w:szCs w:val="21"/>
        </w:rPr>
        <w:t>b)  应充分搜集监测区地质灾害调查、勘查和已有监测成果资料。</w:t>
      </w:r>
    </w:p>
    <w:p>
      <w:pPr>
        <w:spacing w:line="360" w:lineRule="auto"/>
        <w:ind w:left="840" w:leftChars="200" w:hanging="420" w:hangingChars="200"/>
        <w:rPr>
          <w:rFonts w:ascii="Times New Roman" w:hAnsi="Times New Roman"/>
          <w:szCs w:val="21"/>
        </w:rPr>
      </w:pPr>
      <w:r>
        <w:rPr>
          <w:rFonts w:ascii="Times New Roman" w:hAnsi="Times New Roman"/>
          <w:szCs w:val="21"/>
        </w:rPr>
        <w:t>c)  系统收集监测区的气象、地震、基础地质、环境地质、灾害地质、水文地质、工程地质等资料。</w:t>
      </w:r>
    </w:p>
    <w:p>
      <w:pPr>
        <w:spacing w:line="360" w:lineRule="auto"/>
        <w:ind w:left="840" w:leftChars="200" w:hanging="420" w:hangingChars="200"/>
        <w:rPr>
          <w:rFonts w:ascii="Times New Roman" w:hAnsi="Times New Roman"/>
          <w:szCs w:val="21"/>
        </w:rPr>
      </w:pPr>
      <w:r>
        <w:rPr>
          <w:rFonts w:ascii="Times New Roman" w:hAnsi="Times New Roman"/>
          <w:szCs w:val="21"/>
        </w:rPr>
        <w:t>d)  收集区域内国民经济发展及规划、人类工程活动情况等资料。</w:t>
      </w:r>
    </w:p>
    <w:p>
      <w:pPr>
        <w:pStyle w:val="5"/>
        <w:spacing w:before="120" w:after="120"/>
      </w:pPr>
      <w:r>
        <w:rPr>
          <w:rFonts w:hint="eastAsia"/>
        </w:rPr>
        <w:t>6.2.5.3  设计阶段调查</w:t>
      </w:r>
    </w:p>
    <w:p>
      <w:pPr>
        <w:spacing w:line="360" w:lineRule="auto"/>
        <w:ind w:firstLine="420" w:firstLineChars="200"/>
        <w:rPr>
          <w:rFonts w:ascii="Times New Roman" w:hAnsi="Times New Roman"/>
          <w:szCs w:val="21"/>
        </w:rPr>
      </w:pPr>
      <w:r>
        <w:rPr>
          <w:rFonts w:ascii="Times New Roman" w:hAnsi="Times New Roman"/>
          <w:szCs w:val="21"/>
        </w:rPr>
        <w:t>利用1:50 000地质灾害详查、核查和1:10 000重点调查地段资料，对目标区域内地质灾害开展更新调查、重点地段补充调（勘）查和</w:t>
      </w:r>
      <w:r>
        <w:rPr>
          <w:rFonts w:hint="eastAsia" w:ascii="Times New Roman" w:hAnsi="Times New Roman"/>
          <w:szCs w:val="21"/>
        </w:rPr>
        <w:t>地质灾害</w:t>
      </w:r>
      <w:r>
        <w:rPr>
          <w:rFonts w:ascii="Times New Roman" w:hAnsi="Times New Roman"/>
          <w:szCs w:val="21"/>
        </w:rPr>
        <w:t>集中群调（勘）查。</w:t>
      </w:r>
    </w:p>
    <w:p>
      <w:pPr>
        <w:pStyle w:val="5"/>
        <w:spacing w:before="120" w:after="120"/>
      </w:pPr>
      <w:r>
        <w:rPr>
          <w:rFonts w:hint="eastAsia"/>
        </w:rPr>
        <w:t xml:space="preserve">6.2.5.4  </w:t>
      </w:r>
      <w:r>
        <w:t>地质背景分析</w:t>
      </w:r>
    </w:p>
    <w:p>
      <w:pPr>
        <w:spacing w:line="360" w:lineRule="auto"/>
        <w:ind w:left="840" w:leftChars="200" w:hanging="420" w:hangingChars="200"/>
        <w:rPr>
          <w:rFonts w:ascii="Times New Roman" w:hAnsi="Times New Roman"/>
          <w:szCs w:val="21"/>
        </w:rPr>
      </w:pPr>
      <w:r>
        <w:rPr>
          <w:rFonts w:ascii="Times New Roman" w:hAnsi="Times New Roman"/>
          <w:szCs w:val="21"/>
        </w:rPr>
        <w:t>a)  根据收集资料，分析地质灾害形成条件和SAR成像特点，为InSAR监测数据选取、处理方法、参数确定和监测结果地质分析提供参考依据。</w:t>
      </w:r>
    </w:p>
    <w:p>
      <w:pPr>
        <w:spacing w:line="360" w:lineRule="auto"/>
        <w:ind w:left="840" w:leftChars="200" w:hanging="420" w:hangingChars="200"/>
        <w:rPr>
          <w:rFonts w:ascii="Times New Roman" w:hAnsi="Times New Roman"/>
          <w:szCs w:val="21"/>
        </w:rPr>
      </w:pPr>
      <w:r>
        <w:rPr>
          <w:rFonts w:ascii="Times New Roman" w:hAnsi="Times New Roman"/>
          <w:szCs w:val="21"/>
        </w:rPr>
        <w:t>b)  地质背景分析应综合考虑地质灾害的类型、时空发育特征、发育阶段、灾害发生的时间段、灾害的变形梯度、地形、植被、气候、地层岩性、地震和活动构造、SAR数据干涉条件、人类工程活动等因素。</w:t>
      </w:r>
    </w:p>
    <w:p>
      <w:pPr>
        <w:pStyle w:val="5"/>
        <w:spacing w:before="120" w:after="120"/>
      </w:pPr>
      <w:r>
        <w:rPr>
          <w:rFonts w:hint="eastAsia"/>
        </w:rPr>
        <w:t>6.2.5.5  监测工作部署</w:t>
      </w:r>
    </w:p>
    <w:p>
      <w:pPr>
        <w:spacing w:line="360" w:lineRule="auto"/>
        <w:ind w:left="840" w:leftChars="200" w:hanging="420" w:hangingChars="200"/>
        <w:rPr>
          <w:rFonts w:ascii="Times New Roman" w:hAnsi="Times New Roman"/>
          <w:szCs w:val="21"/>
        </w:rPr>
      </w:pPr>
      <w:r>
        <w:rPr>
          <w:rFonts w:ascii="Times New Roman" w:hAnsi="Times New Roman"/>
          <w:szCs w:val="21"/>
        </w:rPr>
        <w:t>a)  采用InSAR、其它高精度遥感技术手段，以全域全覆盖原则部署区域监测工作。应从区域上兼顾宏观和微观，依据监测对象的形变特征、监测区域地理气候条件、全区和重点区域监测目标选用合适的SAR影像，SAR数据在时间和空间范围应略大于实际调查的范围。</w:t>
      </w:r>
    </w:p>
    <w:p>
      <w:pPr>
        <w:spacing w:line="360" w:lineRule="auto"/>
        <w:ind w:left="840" w:leftChars="200" w:hanging="420" w:hangingChars="200"/>
        <w:rPr>
          <w:rFonts w:ascii="Times New Roman" w:hAnsi="Times New Roman"/>
          <w:szCs w:val="21"/>
        </w:rPr>
      </w:pPr>
      <w:r>
        <w:rPr>
          <w:rFonts w:ascii="Times New Roman" w:hAnsi="Times New Roman"/>
          <w:szCs w:val="21"/>
        </w:rPr>
        <w:t>b)  区域InSAR监测的CR基准点应固定且易长期保护维护区域，基座和拉线应保持长期稳定。</w:t>
      </w:r>
    </w:p>
    <w:p>
      <w:pPr>
        <w:spacing w:line="360" w:lineRule="auto"/>
        <w:ind w:left="840" w:leftChars="200" w:hanging="420" w:hangingChars="200"/>
        <w:rPr>
          <w:rFonts w:ascii="Times New Roman" w:hAnsi="Times New Roman"/>
          <w:szCs w:val="21"/>
        </w:rPr>
      </w:pPr>
      <w:r>
        <w:rPr>
          <w:rFonts w:ascii="Times New Roman" w:hAnsi="Times New Roman"/>
          <w:szCs w:val="21"/>
        </w:rPr>
        <w:t>c)  在区域内的地质灾害高风险区段、集中发育地段布设一定数量的气象监测站，形成重点区段的精细化气象监测网。</w:t>
      </w:r>
    </w:p>
    <w:p>
      <w:pPr>
        <w:spacing w:line="360" w:lineRule="auto"/>
        <w:ind w:left="840" w:leftChars="200" w:hanging="420" w:hangingChars="200"/>
        <w:rPr>
          <w:rFonts w:ascii="Times New Roman" w:hAnsi="Times New Roman"/>
          <w:szCs w:val="21"/>
        </w:rPr>
      </w:pPr>
      <w:r>
        <w:rPr>
          <w:rFonts w:ascii="Times New Roman" w:hAnsi="Times New Roman"/>
          <w:szCs w:val="21"/>
        </w:rPr>
        <w:t>d)  在植被发育地区，宜布设角反射器增强干涉效果。</w:t>
      </w:r>
    </w:p>
    <w:p>
      <w:pPr>
        <w:pStyle w:val="5"/>
        <w:spacing w:before="120" w:after="120"/>
      </w:pPr>
      <w:r>
        <w:rPr>
          <w:rFonts w:hint="eastAsia"/>
        </w:rPr>
        <w:t>6.2.5.6  监测设计编制</w:t>
      </w:r>
    </w:p>
    <w:p>
      <w:pPr>
        <w:spacing w:line="360" w:lineRule="auto"/>
        <w:ind w:firstLine="420" w:firstLineChars="200"/>
        <w:rPr>
          <w:rFonts w:ascii="Times New Roman" w:hAnsi="Times New Roman"/>
          <w:szCs w:val="21"/>
        </w:rPr>
      </w:pPr>
      <w:r>
        <w:rPr>
          <w:rFonts w:ascii="Times New Roman" w:hAnsi="Times New Roman"/>
          <w:szCs w:val="21"/>
        </w:rPr>
        <w:t>区域监测设计书应包括任务来源及监测目的，区域地质环境条件，区域内各类地质灾害的特征，区域监测内容、方法选定，监测精度及频率，区域监测网点布设，监测工程施工与设备安装要求，资料整理与数据分析，变形、活动破坏判定的依据，保障措施、经费预算等内容，并附区域监测工作部署图等附图、附表。区域监测设计书提纲可参考附录C</w:t>
      </w:r>
      <w:r>
        <w:rPr>
          <w:rFonts w:ascii="Times New Roman" w:hAnsi="Times New Roman"/>
          <w:kern w:val="0"/>
          <w:szCs w:val="21"/>
        </w:rPr>
        <w:t>之</w:t>
      </w:r>
      <w:r>
        <w:rPr>
          <w:rFonts w:ascii="Times New Roman" w:hAnsi="Times New Roman"/>
          <w:szCs w:val="21"/>
        </w:rPr>
        <w:t>C.1。</w:t>
      </w:r>
      <w:bookmarkEnd w:id="49"/>
      <w:bookmarkEnd w:id="50"/>
    </w:p>
    <w:p>
      <w:pPr>
        <w:pStyle w:val="3"/>
        <w:spacing w:before="120" w:after="120"/>
      </w:pPr>
      <w:bookmarkStart w:id="54" w:name="_Toc33177686"/>
      <w:bookmarkStart w:id="55" w:name="_Toc21966352"/>
      <w:bookmarkStart w:id="56" w:name="_Toc534577726"/>
      <w:r>
        <w:rPr>
          <w:rFonts w:hint="eastAsia"/>
        </w:rPr>
        <w:t xml:space="preserve">6.3  </w:t>
      </w:r>
      <w:r>
        <w:t>隐患点监测</w:t>
      </w:r>
      <w:bookmarkEnd w:id="54"/>
      <w:bookmarkEnd w:id="55"/>
      <w:bookmarkEnd w:id="56"/>
    </w:p>
    <w:p>
      <w:pPr>
        <w:pStyle w:val="4"/>
        <w:spacing w:before="120" w:after="120"/>
      </w:pPr>
      <w:r>
        <w:rPr>
          <w:rFonts w:hint="eastAsia"/>
        </w:rPr>
        <w:t xml:space="preserve">6.3.1  </w:t>
      </w:r>
      <w:r>
        <w:t>监测内容</w:t>
      </w:r>
    </w:p>
    <w:p>
      <w:pPr>
        <w:spacing w:line="360" w:lineRule="auto"/>
        <w:ind w:firstLine="420" w:firstLineChars="200"/>
        <w:rPr>
          <w:rFonts w:ascii="宋体" w:hAnsi="宋体"/>
          <w:kern w:val="0"/>
          <w:szCs w:val="21"/>
        </w:rPr>
      </w:pPr>
      <w:r>
        <w:rPr>
          <w:rFonts w:ascii="宋体" w:hAnsi="宋体"/>
          <w:kern w:val="0"/>
          <w:szCs w:val="21"/>
        </w:rPr>
        <w:t>隐患点监测内容</w:t>
      </w:r>
      <w:r>
        <w:rPr>
          <w:rFonts w:hint="eastAsia" w:ascii="宋体" w:hAnsi="宋体"/>
          <w:kern w:val="0"/>
          <w:szCs w:val="21"/>
        </w:rPr>
        <w:t>主要</w:t>
      </w:r>
      <w:r>
        <w:rPr>
          <w:rFonts w:ascii="宋体" w:hAnsi="宋体"/>
          <w:kern w:val="0"/>
          <w:szCs w:val="21"/>
        </w:rPr>
        <w:t>分为位移、应力</w:t>
      </w:r>
      <w:r>
        <w:rPr>
          <w:rFonts w:hint="eastAsia" w:ascii="宋体" w:hAnsi="宋体"/>
          <w:kern w:val="0"/>
          <w:szCs w:val="21"/>
        </w:rPr>
        <w:t>、诱发因素</w:t>
      </w:r>
      <w:r>
        <w:rPr>
          <w:rFonts w:ascii="宋体" w:hAnsi="宋体"/>
          <w:kern w:val="0"/>
          <w:szCs w:val="21"/>
        </w:rPr>
        <w:t>监测</w:t>
      </w:r>
      <w:r>
        <w:rPr>
          <w:rFonts w:hint="eastAsia" w:ascii="宋体" w:hAnsi="宋体"/>
          <w:kern w:val="0"/>
          <w:szCs w:val="21"/>
        </w:rPr>
        <w:t>和其它监测</w:t>
      </w:r>
      <w:r>
        <w:rPr>
          <w:rFonts w:ascii="宋体" w:hAnsi="宋体"/>
          <w:kern w:val="0"/>
          <w:szCs w:val="21"/>
        </w:rPr>
        <w:t>等。</w:t>
      </w:r>
    </w:p>
    <w:p>
      <w:pPr>
        <w:spacing w:line="360" w:lineRule="auto"/>
        <w:rPr>
          <w:rFonts w:ascii="宋体" w:hAnsi="宋体"/>
          <w:kern w:val="0"/>
          <w:szCs w:val="21"/>
        </w:rPr>
      </w:pPr>
      <w:r>
        <w:rPr>
          <w:rStyle w:val="24"/>
        </w:rPr>
        <w:t>6.3.1</w:t>
      </w:r>
      <w:r>
        <w:rPr>
          <w:rStyle w:val="24"/>
          <w:rFonts w:hint="eastAsia"/>
        </w:rPr>
        <w:t>.1</w:t>
      </w:r>
      <w:r>
        <w:rPr>
          <w:rStyle w:val="24"/>
        </w:rPr>
        <w:t xml:space="preserve">  </w:t>
      </w:r>
      <w:r>
        <w:rPr>
          <w:rFonts w:ascii="宋体" w:hAnsi="宋体"/>
          <w:kern w:val="0"/>
          <w:szCs w:val="21"/>
        </w:rPr>
        <w:t>监测内容</w:t>
      </w:r>
      <w:r>
        <w:rPr>
          <w:rFonts w:hint="eastAsia" w:ascii="宋体" w:hAnsi="宋体"/>
          <w:kern w:val="0"/>
          <w:szCs w:val="21"/>
        </w:rPr>
        <w:t>的选取</w:t>
      </w:r>
      <w:r>
        <w:rPr>
          <w:rFonts w:ascii="宋体" w:hAnsi="宋体"/>
          <w:kern w:val="0"/>
          <w:szCs w:val="21"/>
        </w:rPr>
        <w:t>应根据灾种及其监测等级、</w:t>
      </w:r>
      <w:r>
        <w:rPr>
          <w:rFonts w:hint="eastAsia" w:ascii="宋体" w:hAnsi="宋体"/>
          <w:kern w:val="0"/>
          <w:szCs w:val="21"/>
        </w:rPr>
        <w:t>灾害体</w:t>
      </w:r>
      <w:r>
        <w:rPr>
          <w:rFonts w:ascii="宋体" w:hAnsi="宋体"/>
          <w:kern w:val="0"/>
          <w:szCs w:val="21"/>
        </w:rPr>
        <w:t>变形趋势等综合确定</w:t>
      </w:r>
      <w:r>
        <w:rPr>
          <w:rFonts w:hint="eastAsia" w:ascii="宋体" w:hAnsi="宋体"/>
          <w:kern w:val="0"/>
          <w:szCs w:val="21"/>
        </w:rPr>
        <w:t>,</w:t>
      </w:r>
      <w:r>
        <w:rPr>
          <w:rFonts w:ascii="宋体" w:hAnsi="宋体"/>
          <w:kern w:val="0"/>
          <w:szCs w:val="21"/>
        </w:rPr>
        <w:t>并应遵循如下原则：</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根据不同灾种、不同灾害体的变形失稳控制性因素，针对性地选取监测内容。</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  一级监测可采取全要素（位移、应力、诱发因素）多手段综合立体自动监测；二级监测可主要采取位移自动监测，辅以必要的应力、诱发因素自动监测；三级监测宜采用地表位移监测，必要时辅以雨量监测或人工监测。</w:t>
      </w:r>
    </w:p>
    <w:p>
      <w:pPr>
        <w:spacing w:line="360" w:lineRule="auto"/>
        <w:ind w:firstLine="420" w:firstLineChars="200"/>
        <w:rPr>
          <w:rFonts w:ascii="Times New Roman" w:hAnsi="Times New Roman"/>
          <w:kern w:val="0"/>
          <w:szCs w:val="21"/>
        </w:rPr>
      </w:pPr>
      <w:r>
        <w:rPr>
          <w:rFonts w:ascii="Times New Roman" w:hAnsi="Times New Roman"/>
          <w:kern w:val="0"/>
          <w:szCs w:val="21"/>
        </w:rPr>
        <w:t>c)  监测实施过程中，可根据灾害体变形趋势增减相应监测内容。</w:t>
      </w:r>
    </w:p>
    <w:p>
      <w:pPr>
        <w:spacing w:line="360" w:lineRule="auto"/>
        <w:rPr>
          <w:rFonts w:ascii="宋体" w:hAnsi="宋体"/>
          <w:szCs w:val="21"/>
        </w:rPr>
      </w:pPr>
      <w:r>
        <w:rPr>
          <w:rStyle w:val="24"/>
        </w:rPr>
        <w:t>6.3.1</w:t>
      </w:r>
      <w:r>
        <w:rPr>
          <w:rStyle w:val="24"/>
          <w:rFonts w:hint="eastAsia"/>
        </w:rPr>
        <w:t>.2</w:t>
      </w:r>
      <w:r>
        <w:rPr>
          <w:rStyle w:val="24"/>
        </w:rPr>
        <w:t xml:space="preserve">  </w:t>
      </w:r>
      <w:r>
        <w:rPr>
          <w:rFonts w:ascii="宋体" w:hAnsi="宋体"/>
          <w:bCs/>
        </w:rPr>
        <w:t>按</w:t>
      </w:r>
      <w:r>
        <w:rPr>
          <w:rFonts w:ascii="宋体" w:hAnsi="宋体"/>
          <w:szCs w:val="21"/>
        </w:rPr>
        <w:t>不同监测等级，滑坡、崩塌、泥石流、地面塌陷的监测内容</w:t>
      </w:r>
      <w:r>
        <w:rPr>
          <w:rFonts w:hint="eastAsia" w:ascii="宋体" w:hAnsi="宋体"/>
          <w:szCs w:val="21"/>
        </w:rPr>
        <w:t>可参考</w:t>
      </w:r>
      <w:r>
        <w:rPr>
          <w:rFonts w:ascii="Times New Roman" w:hAnsi="Times New Roman"/>
          <w:szCs w:val="21"/>
        </w:rPr>
        <w:t>表6</w:t>
      </w:r>
      <w:r>
        <w:rPr>
          <w:rFonts w:hint="eastAsia" w:ascii="宋体" w:hAnsi="宋体"/>
          <w:szCs w:val="21"/>
        </w:rPr>
        <w:t>～</w:t>
      </w:r>
      <w:r>
        <w:rPr>
          <w:rFonts w:ascii="Times New Roman" w:hAnsi="Times New Roman"/>
          <w:szCs w:val="21"/>
        </w:rPr>
        <w:t>表</w:t>
      </w:r>
      <w:r>
        <w:rPr>
          <w:rFonts w:hint="eastAsia" w:ascii="Times New Roman" w:hAnsi="Times New Roman"/>
          <w:szCs w:val="21"/>
        </w:rPr>
        <w:t>9</w:t>
      </w:r>
      <w:r>
        <w:rPr>
          <w:rFonts w:ascii="Times New Roman" w:hAnsi="Times New Roman"/>
          <w:szCs w:val="21"/>
        </w:rPr>
        <w:t>。</w:t>
      </w:r>
    </w:p>
    <w:p>
      <w:pPr>
        <w:spacing w:before="120" w:beforeLines="50" w:after="120" w:afterLines="50"/>
        <w:jc w:val="center"/>
        <w:rPr>
          <w:rFonts w:ascii="黑体" w:hAnsi="黑体" w:eastAsia="黑体"/>
        </w:rPr>
      </w:pPr>
      <w:r>
        <w:rPr>
          <w:rFonts w:ascii="黑体" w:hAnsi="黑体" w:eastAsia="黑体"/>
        </w:rPr>
        <w:t>表</w:t>
      </w:r>
      <w:r>
        <w:rPr>
          <w:rFonts w:hint="eastAsia" w:ascii="黑体" w:hAnsi="黑体" w:eastAsia="黑体"/>
        </w:rPr>
        <w:t xml:space="preserve">6  </w:t>
      </w:r>
      <w:r>
        <w:rPr>
          <w:rFonts w:ascii="黑体" w:hAnsi="黑体" w:eastAsia="黑体"/>
        </w:rPr>
        <w:t>滑坡专业监测内容</w:t>
      </w:r>
      <w:r>
        <w:rPr>
          <w:rFonts w:hint="eastAsia" w:ascii="黑体" w:hAnsi="黑体" w:eastAsia="黑体"/>
        </w:rPr>
        <w:t>选取表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6"/>
        <w:gridCol w:w="2971"/>
        <w:gridCol w:w="1407"/>
        <w:gridCol w:w="1407"/>
        <w:gridCol w:w="1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20" w:type="pct"/>
            <w:gridSpan w:val="2"/>
            <w:vMerge w:val="restart"/>
            <w:shd w:val="clear" w:color="auto" w:fill="auto"/>
            <w:vAlign w:val="center"/>
          </w:tcPr>
          <w:p>
            <w:pPr>
              <w:jc w:val="center"/>
              <w:rPr>
                <w:rFonts w:ascii="宋体" w:hAnsi="宋体"/>
                <w:sz w:val="18"/>
                <w:szCs w:val="18"/>
              </w:rPr>
            </w:pPr>
            <w:r>
              <w:rPr>
                <w:rFonts w:ascii="宋体" w:hAnsi="宋体"/>
                <w:sz w:val="18"/>
                <w:szCs w:val="18"/>
              </w:rPr>
              <w:t>监测内容</w:t>
            </w:r>
          </w:p>
        </w:tc>
        <w:tc>
          <w:tcPr>
            <w:tcW w:w="2180" w:type="pct"/>
            <w:gridSpan w:val="3"/>
            <w:shd w:val="clear" w:color="auto" w:fill="auto"/>
            <w:vAlign w:val="center"/>
          </w:tcPr>
          <w:p>
            <w:pPr>
              <w:jc w:val="center"/>
              <w:rPr>
                <w:rFonts w:ascii="宋体" w:hAnsi="宋体"/>
                <w:sz w:val="18"/>
                <w:szCs w:val="18"/>
              </w:rPr>
            </w:pPr>
            <w:r>
              <w:rPr>
                <w:rFonts w:ascii="宋体" w:hAnsi="宋体"/>
                <w:sz w:val="18"/>
                <w:szCs w:val="18"/>
              </w:rPr>
              <w:t>监测等级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20" w:type="pct"/>
            <w:gridSpan w:val="2"/>
            <w:vMerge w:val="continue"/>
            <w:shd w:val="clear" w:color="auto" w:fill="auto"/>
            <w:vAlign w:val="center"/>
          </w:tcPr>
          <w:p>
            <w:pPr>
              <w:jc w:val="center"/>
              <w:rPr>
                <w:rFonts w:ascii="宋体" w:hAnsi="宋体"/>
                <w:sz w:val="18"/>
                <w:szCs w:val="18"/>
              </w:rPr>
            </w:pPr>
          </w:p>
        </w:tc>
        <w:tc>
          <w:tcPr>
            <w:tcW w:w="735" w:type="pct"/>
            <w:shd w:val="clear" w:color="auto" w:fill="auto"/>
            <w:vAlign w:val="center"/>
          </w:tcPr>
          <w:p>
            <w:pPr>
              <w:jc w:val="center"/>
              <w:rPr>
                <w:rFonts w:ascii="宋体" w:hAnsi="宋体"/>
                <w:sz w:val="18"/>
                <w:szCs w:val="18"/>
              </w:rPr>
            </w:pPr>
            <w:r>
              <w:rPr>
                <w:rFonts w:ascii="宋体" w:hAnsi="宋体"/>
                <w:sz w:val="18"/>
                <w:szCs w:val="18"/>
              </w:rPr>
              <w:t>一级</w:t>
            </w:r>
          </w:p>
        </w:tc>
        <w:tc>
          <w:tcPr>
            <w:tcW w:w="735" w:type="pct"/>
            <w:shd w:val="clear" w:color="auto" w:fill="auto"/>
            <w:vAlign w:val="center"/>
          </w:tcPr>
          <w:p>
            <w:pPr>
              <w:jc w:val="center"/>
              <w:rPr>
                <w:rFonts w:ascii="宋体" w:hAnsi="宋体"/>
                <w:sz w:val="18"/>
                <w:szCs w:val="18"/>
              </w:rPr>
            </w:pPr>
            <w:r>
              <w:rPr>
                <w:rFonts w:ascii="宋体" w:hAnsi="宋体"/>
                <w:sz w:val="18"/>
                <w:szCs w:val="18"/>
              </w:rPr>
              <w:t>二级</w:t>
            </w:r>
          </w:p>
        </w:tc>
        <w:tc>
          <w:tcPr>
            <w:tcW w:w="710" w:type="pct"/>
            <w:shd w:val="clear" w:color="auto" w:fill="auto"/>
            <w:vAlign w:val="center"/>
          </w:tcPr>
          <w:p>
            <w:pPr>
              <w:jc w:val="center"/>
              <w:rPr>
                <w:rFonts w:ascii="宋体" w:hAnsi="宋体"/>
                <w:sz w:val="18"/>
                <w:szCs w:val="18"/>
              </w:rPr>
            </w:pPr>
            <w:r>
              <w:rPr>
                <w:rFonts w:ascii="宋体" w:hAnsi="宋体"/>
                <w:sz w:val="18"/>
                <w:szCs w:val="18"/>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restart"/>
            <w:shd w:val="clear" w:color="auto" w:fill="auto"/>
            <w:vAlign w:val="center"/>
          </w:tcPr>
          <w:p>
            <w:pPr>
              <w:jc w:val="center"/>
              <w:rPr>
                <w:rFonts w:ascii="宋体" w:hAnsi="宋体"/>
                <w:sz w:val="18"/>
                <w:szCs w:val="18"/>
              </w:rPr>
            </w:pPr>
            <w:r>
              <w:rPr>
                <w:rFonts w:ascii="宋体" w:hAnsi="宋体"/>
                <w:sz w:val="18"/>
                <w:szCs w:val="18"/>
              </w:rPr>
              <w:t>位移监测</w:t>
            </w:r>
          </w:p>
        </w:tc>
        <w:tc>
          <w:tcPr>
            <w:tcW w:w="1552" w:type="pct"/>
            <w:shd w:val="clear" w:color="auto" w:fill="auto"/>
            <w:vAlign w:val="center"/>
          </w:tcPr>
          <w:p>
            <w:pPr>
              <w:jc w:val="center"/>
              <w:rPr>
                <w:rFonts w:ascii="宋体" w:hAnsi="宋体"/>
                <w:sz w:val="18"/>
                <w:szCs w:val="18"/>
              </w:rPr>
            </w:pPr>
            <w:r>
              <w:rPr>
                <w:rFonts w:ascii="宋体" w:hAnsi="宋体"/>
                <w:sz w:val="18"/>
                <w:szCs w:val="18"/>
              </w:rPr>
              <w:t>地表绝对位移</w:t>
            </w:r>
            <w:r>
              <w:rPr>
                <w:rFonts w:hint="eastAsia" w:ascii="宋体" w:hAnsi="宋体"/>
                <w:sz w:val="18"/>
                <w:szCs w:val="18"/>
              </w:rPr>
              <w:t>或相对位移</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r>
              <w:rPr>
                <w:rFonts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ascii="宋体" w:hAnsi="宋体"/>
                <w:sz w:val="18"/>
                <w:szCs w:val="18"/>
              </w:rPr>
              <w:t>裂缝相对位移</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r>
              <w:rPr>
                <w:rFonts w:hint="eastAsia"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ascii="宋体" w:hAnsi="宋体"/>
                <w:sz w:val="18"/>
                <w:szCs w:val="18"/>
              </w:rPr>
              <w:t>建（构）筑物变形</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ascii="宋体" w:hAnsi="宋体"/>
                <w:sz w:val="18"/>
                <w:szCs w:val="18"/>
              </w:rPr>
              <w:t>深部位移</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restart"/>
            <w:shd w:val="clear" w:color="auto" w:fill="auto"/>
            <w:vAlign w:val="center"/>
          </w:tcPr>
          <w:p>
            <w:pPr>
              <w:jc w:val="center"/>
              <w:rPr>
                <w:rFonts w:ascii="宋体" w:hAnsi="宋体"/>
                <w:sz w:val="18"/>
                <w:szCs w:val="18"/>
              </w:rPr>
            </w:pPr>
            <w:r>
              <w:rPr>
                <w:rFonts w:ascii="宋体" w:hAnsi="宋体"/>
                <w:sz w:val="18"/>
                <w:szCs w:val="18"/>
              </w:rPr>
              <w:t>应力监测</w:t>
            </w:r>
          </w:p>
        </w:tc>
        <w:tc>
          <w:tcPr>
            <w:tcW w:w="1552" w:type="pct"/>
            <w:shd w:val="clear" w:color="auto" w:fill="auto"/>
            <w:vAlign w:val="center"/>
          </w:tcPr>
          <w:p>
            <w:pPr>
              <w:jc w:val="center"/>
              <w:rPr>
                <w:rFonts w:ascii="宋体" w:hAnsi="宋体"/>
                <w:sz w:val="18"/>
                <w:szCs w:val="18"/>
              </w:rPr>
            </w:pPr>
            <w:r>
              <w:rPr>
                <w:rFonts w:ascii="宋体" w:hAnsi="宋体"/>
                <w:sz w:val="18"/>
                <w:szCs w:val="18"/>
              </w:rPr>
              <w:t>岩土体应力</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ascii="宋体" w:hAnsi="宋体"/>
                <w:sz w:val="18"/>
                <w:szCs w:val="18"/>
              </w:rPr>
              <w:t>支护结构（如预应力锚索等）应力</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restart"/>
            <w:shd w:val="clear" w:color="auto" w:fill="auto"/>
            <w:vAlign w:val="center"/>
          </w:tcPr>
          <w:p>
            <w:pPr>
              <w:jc w:val="center"/>
              <w:rPr>
                <w:rFonts w:ascii="宋体" w:hAnsi="宋体"/>
                <w:sz w:val="18"/>
                <w:szCs w:val="18"/>
              </w:rPr>
            </w:pPr>
            <w:r>
              <w:rPr>
                <w:rFonts w:hint="eastAsia" w:ascii="宋体" w:hAnsi="宋体"/>
                <w:sz w:val="18"/>
                <w:szCs w:val="18"/>
              </w:rPr>
              <w:t>诱发因素</w:t>
            </w:r>
            <w:r>
              <w:rPr>
                <w:rFonts w:ascii="宋体" w:hAnsi="宋体"/>
                <w:sz w:val="18"/>
                <w:szCs w:val="18"/>
              </w:rPr>
              <w:t>监测</w:t>
            </w:r>
          </w:p>
        </w:tc>
        <w:tc>
          <w:tcPr>
            <w:tcW w:w="1552" w:type="pct"/>
            <w:shd w:val="clear" w:color="auto" w:fill="auto"/>
            <w:vAlign w:val="center"/>
          </w:tcPr>
          <w:p>
            <w:pPr>
              <w:jc w:val="center"/>
              <w:rPr>
                <w:rFonts w:ascii="宋体" w:hAnsi="宋体"/>
                <w:sz w:val="18"/>
                <w:szCs w:val="18"/>
              </w:rPr>
            </w:pPr>
            <w:r>
              <w:rPr>
                <w:rFonts w:ascii="宋体" w:hAnsi="宋体"/>
                <w:sz w:val="18"/>
                <w:szCs w:val="18"/>
              </w:rPr>
              <w:t>气象（降雨量）</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r>
              <w:rPr>
                <w:rFonts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ascii="宋体" w:hAnsi="宋体"/>
                <w:sz w:val="18"/>
                <w:szCs w:val="18"/>
              </w:rPr>
              <w:t>地下水位</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hint="eastAsia" w:ascii="宋体" w:hAnsi="宋体"/>
                <w:sz w:val="18"/>
                <w:szCs w:val="18"/>
              </w:rPr>
              <w:t>土壤</w:t>
            </w:r>
            <w:r>
              <w:rPr>
                <w:rFonts w:ascii="宋体" w:hAnsi="宋体"/>
                <w:sz w:val="18"/>
                <w:szCs w:val="18"/>
              </w:rPr>
              <w:t>含水率</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ascii="宋体" w:hAnsi="宋体"/>
                <w:sz w:val="18"/>
                <w:szCs w:val="18"/>
              </w:rPr>
              <w:t>地表水位</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ascii="宋体" w:hAnsi="宋体"/>
                <w:sz w:val="18"/>
                <w:szCs w:val="18"/>
              </w:rPr>
              <w:t>孔隙水压力</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ascii="宋体" w:hAnsi="宋体"/>
                <w:sz w:val="18"/>
                <w:szCs w:val="18"/>
              </w:rPr>
              <w:t>人类工程活动</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r>
              <w:rPr>
                <w:rFonts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restart"/>
            <w:shd w:val="clear" w:color="auto" w:fill="auto"/>
            <w:vAlign w:val="center"/>
          </w:tcPr>
          <w:p>
            <w:pPr>
              <w:jc w:val="center"/>
              <w:rPr>
                <w:rFonts w:ascii="宋体" w:hAnsi="宋体"/>
                <w:sz w:val="18"/>
                <w:szCs w:val="18"/>
              </w:rPr>
            </w:pPr>
            <w:r>
              <w:rPr>
                <w:rFonts w:hint="eastAsia" w:ascii="宋体" w:hAnsi="宋体"/>
                <w:sz w:val="18"/>
                <w:szCs w:val="18"/>
              </w:rPr>
              <w:t>其它</w:t>
            </w:r>
          </w:p>
        </w:tc>
        <w:tc>
          <w:tcPr>
            <w:tcW w:w="1552" w:type="pct"/>
            <w:shd w:val="clear" w:color="auto" w:fill="auto"/>
            <w:vAlign w:val="center"/>
          </w:tcPr>
          <w:p>
            <w:pPr>
              <w:jc w:val="center"/>
              <w:rPr>
                <w:rFonts w:ascii="宋体" w:hAnsi="宋体"/>
                <w:sz w:val="18"/>
                <w:szCs w:val="18"/>
              </w:rPr>
            </w:pPr>
            <w:r>
              <w:rPr>
                <w:rFonts w:ascii="宋体" w:hAnsi="宋体"/>
                <w:sz w:val="18"/>
                <w:szCs w:val="18"/>
              </w:rPr>
              <w:t>视频</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8" w:type="pct"/>
            <w:vMerge w:val="continue"/>
            <w:shd w:val="clear" w:color="auto" w:fill="auto"/>
            <w:vAlign w:val="center"/>
          </w:tcPr>
          <w:p>
            <w:pPr>
              <w:jc w:val="center"/>
              <w:rPr>
                <w:rFonts w:ascii="宋体" w:hAnsi="宋体"/>
                <w:sz w:val="18"/>
                <w:szCs w:val="18"/>
              </w:rPr>
            </w:pPr>
          </w:p>
        </w:tc>
        <w:tc>
          <w:tcPr>
            <w:tcW w:w="1552" w:type="pct"/>
            <w:shd w:val="clear" w:color="auto" w:fill="auto"/>
            <w:vAlign w:val="center"/>
          </w:tcPr>
          <w:p>
            <w:pPr>
              <w:jc w:val="center"/>
              <w:rPr>
                <w:rFonts w:ascii="宋体" w:hAnsi="宋体"/>
                <w:sz w:val="18"/>
                <w:szCs w:val="18"/>
              </w:rPr>
            </w:pPr>
            <w:r>
              <w:rPr>
                <w:rFonts w:hint="eastAsia" w:ascii="宋体" w:hAnsi="宋体"/>
                <w:sz w:val="18"/>
                <w:szCs w:val="18"/>
              </w:rPr>
              <w:t>地声</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35" w:type="pct"/>
            <w:shd w:val="clear" w:color="auto" w:fill="auto"/>
            <w:vAlign w:val="center"/>
          </w:tcPr>
          <w:p>
            <w:pPr>
              <w:jc w:val="center"/>
              <w:rPr>
                <w:rFonts w:ascii="宋体" w:hAnsi="宋体"/>
                <w:sz w:val="18"/>
                <w:szCs w:val="18"/>
              </w:rPr>
            </w:pPr>
            <w:r>
              <w:rPr>
                <w:rFonts w:ascii="宋体" w:hAnsi="宋体"/>
                <w:sz w:val="18"/>
                <w:szCs w:val="18"/>
              </w:rPr>
              <w:t>○</w:t>
            </w:r>
          </w:p>
        </w:tc>
        <w:tc>
          <w:tcPr>
            <w:tcW w:w="710"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shd w:val="clear" w:color="auto" w:fill="auto"/>
            <w:vAlign w:val="center"/>
          </w:tcPr>
          <w:p>
            <w:pPr>
              <w:jc w:val="left"/>
              <w:rPr>
                <w:rFonts w:ascii="宋体" w:hAnsi="宋体"/>
                <w:sz w:val="18"/>
                <w:szCs w:val="18"/>
              </w:rPr>
            </w:pPr>
            <w:r>
              <w:rPr>
                <w:rFonts w:ascii="宋体" w:hAnsi="宋体"/>
                <w:sz w:val="18"/>
                <w:szCs w:val="18"/>
              </w:rPr>
              <w:t>注：</w:t>
            </w:r>
            <w:r>
              <w:rPr>
                <w:rFonts w:ascii="宋体" w:hAnsi="宋体"/>
                <w:w w:val="96"/>
                <w:sz w:val="18"/>
                <w:szCs w:val="18"/>
              </w:rPr>
              <w:t>●</w:t>
            </w:r>
            <w:r>
              <w:rPr>
                <w:rFonts w:ascii="宋体" w:hAnsi="宋体"/>
                <w:sz w:val="18"/>
                <w:szCs w:val="18"/>
              </w:rPr>
              <w:t>表示</w:t>
            </w:r>
            <w:r>
              <w:rPr>
                <w:rFonts w:hint="eastAsia" w:ascii="宋体" w:hAnsi="宋体"/>
                <w:sz w:val="18"/>
                <w:szCs w:val="18"/>
              </w:rPr>
              <w:t>强烈推荐</w:t>
            </w:r>
            <w:r>
              <w:rPr>
                <w:rFonts w:ascii="宋体" w:hAnsi="宋体"/>
                <w:sz w:val="18"/>
                <w:szCs w:val="18"/>
              </w:rPr>
              <w:t>；</w:t>
            </w:r>
            <w:r>
              <w:rPr>
                <w:rFonts w:ascii="宋体" w:hAnsi="宋体"/>
                <w:kern w:val="0"/>
                <w:sz w:val="18"/>
                <w:szCs w:val="18"/>
              </w:rPr>
              <w:t>○</w:t>
            </w:r>
            <w:r>
              <w:rPr>
                <w:rFonts w:ascii="宋体" w:hAnsi="宋体"/>
                <w:sz w:val="18"/>
                <w:szCs w:val="18"/>
              </w:rPr>
              <w:t>表示</w:t>
            </w:r>
            <w:r>
              <w:rPr>
                <w:rFonts w:hint="eastAsia" w:ascii="宋体" w:hAnsi="宋体"/>
                <w:sz w:val="18"/>
                <w:szCs w:val="18"/>
              </w:rPr>
              <w:t>推荐</w:t>
            </w:r>
            <w:r>
              <w:rPr>
                <w:rFonts w:ascii="宋体" w:hAnsi="宋体"/>
                <w:sz w:val="18"/>
                <w:szCs w:val="18"/>
              </w:rPr>
              <w:t>。其它未列</w:t>
            </w:r>
            <w:r>
              <w:rPr>
                <w:rFonts w:hint="eastAsia" w:ascii="宋体" w:hAnsi="宋体"/>
                <w:sz w:val="18"/>
                <w:szCs w:val="18"/>
              </w:rPr>
              <w:t>出或</w:t>
            </w:r>
            <w:r>
              <w:rPr>
                <w:rFonts w:ascii="宋体" w:hAnsi="宋体"/>
                <w:sz w:val="18"/>
                <w:szCs w:val="18"/>
              </w:rPr>
              <w:t>不常</w:t>
            </w:r>
            <w:r>
              <w:rPr>
                <w:rFonts w:hint="eastAsia" w:ascii="宋体" w:hAnsi="宋体"/>
                <w:sz w:val="18"/>
                <w:szCs w:val="18"/>
              </w:rPr>
              <w:t>用的监测</w:t>
            </w:r>
            <w:r>
              <w:rPr>
                <w:rFonts w:ascii="宋体" w:hAnsi="宋体"/>
                <w:sz w:val="18"/>
                <w:szCs w:val="18"/>
              </w:rPr>
              <w:t>内容为可选。</w:t>
            </w:r>
          </w:p>
        </w:tc>
      </w:tr>
    </w:tbl>
    <w:p>
      <w:pPr>
        <w:spacing w:before="120" w:beforeLines="50" w:after="120" w:afterLines="50"/>
        <w:jc w:val="center"/>
        <w:rPr>
          <w:rFonts w:ascii="黑体" w:hAnsi="黑体" w:eastAsia="黑体"/>
        </w:rPr>
      </w:pPr>
      <w:r>
        <w:rPr>
          <w:rFonts w:ascii="黑体" w:hAnsi="黑体" w:eastAsia="黑体"/>
        </w:rPr>
        <w:t>表</w:t>
      </w:r>
      <w:r>
        <w:rPr>
          <w:rFonts w:hint="eastAsia" w:ascii="黑体" w:hAnsi="黑体" w:eastAsia="黑体"/>
        </w:rPr>
        <w:t xml:space="preserve">7  </w:t>
      </w:r>
      <w:r>
        <w:rPr>
          <w:rFonts w:ascii="黑体" w:hAnsi="黑体" w:eastAsia="黑体"/>
        </w:rPr>
        <w:t>崩塌（危岩）监测内容</w:t>
      </w:r>
      <w:r>
        <w:rPr>
          <w:rFonts w:hint="eastAsia" w:ascii="黑体" w:hAnsi="黑体" w:eastAsia="黑体"/>
        </w:rPr>
        <w:t>选取表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2647"/>
        <w:gridCol w:w="1510"/>
        <w:gridCol w:w="1554"/>
        <w:gridCol w:w="1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99" w:type="pct"/>
            <w:gridSpan w:val="2"/>
            <w:vMerge w:val="restart"/>
            <w:shd w:val="clear" w:color="auto" w:fill="auto"/>
            <w:vAlign w:val="center"/>
          </w:tcPr>
          <w:p>
            <w:pPr>
              <w:widowControl/>
              <w:jc w:val="center"/>
              <w:rPr>
                <w:rFonts w:ascii="宋体" w:hAnsi="宋体"/>
                <w:kern w:val="0"/>
                <w:sz w:val="18"/>
                <w:szCs w:val="18"/>
              </w:rPr>
            </w:pPr>
            <w:r>
              <w:rPr>
                <w:rFonts w:ascii="宋体" w:hAnsi="宋体"/>
                <w:kern w:val="0"/>
                <w:sz w:val="18"/>
                <w:szCs w:val="18"/>
              </w:rPr>
              <w:t>监测内容</w:t>
            </w:r>
          </w:p>
        </w:tc>
        <w:tc>
          <w:tcPr>
            <w:tcW w:w="2401" w:type="pct"/>
            <w:gridSpan w:val="3"/>
            <w:shd w:val="clear" w:color="auto" w:fill="auto"/>
            <w:vAlign w:val="center"/>
          </w:tcPr>
          <w:p>
            <w:pPr>
              <w:widowControl/>
              <w:jc w:val="center"/>
              <w:rPr>
                <w:rFonts w:ascii="宋体" w:hAnsi="宋体"/>
                <w:kern w:val="0"/>
                <w:sz w:val="18"/>
                <w:szCs w:val="18"/>
              </w:rPr>
            </w:pPr>
            <w:r>
              <w:rPr>
                <w:rFonts w:ascii="宋体" w:hAnsi="宋体"/>
                <w:kern w:val="0"/>
                <w:sz w:val="18"/>
                <w:szCs w:val="18"/>
              </w:rPr>
              <w:t>监测等级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99" w:type="pct"/>
            <w:gridSpan w:val="2"/>
            <w:vMerge w:val="continue"/>
            <w:shd w:val="clear" w:color="auto" w:fill="auto"/>
            <w:vAlign w:val="center"/>
          </w:tcPr>
          <w:p>
            <w:pPr>
              <w:widowControl/>
              <w:jc w:val="center"/>
              <w:rPr>
                <w:rFonts w:ascii="宋体" w:hAnsi="宋体"/>
                <w:kern w:val="0"/>
                <w:sz w:val="18"/>
                <w:szCs w:val="18"/>
              </w:rPr>
            </w:pPr>
          </w:p>
        </w:tc>
        <w:tc>
          <w:tcPr>
            <w:tcW w:w="789" w:type="pct"/>
            <w:shd w:val="clear" w:color="auto" w:fill="auto"/>
            <w:vAlign w:val="center"/>
          </w:tcPr>
          <w:p>
            <w:pPr>
              <w:widowControl/>
              <w:jc w:val="center"/>
              <w:rPr>
                <w:rFonts w:ascii="宋体" w:hAnsi="宋体"/>
                <w:kern w:val="0"/>
                <w:sz w:val="18"/>
                <w:szCs w:val="18"/>
              </w:rPr>
            </w:pPr>
            <w:r>
              <w:rPr>
                <w:rFonts w:ascii="宋体" w:hAnsi="宋体"/>
                <w:kern w:val="0"/>
                <w:sz w:val="18"/>
                <w:szCs w:val="18"/>
              </w:rPr>
              <w:t>一级</w:t>
            </w:r>
          </w:p>
        </w:tc>
        <w:tc>
          <w:tcPr>
            <w:tcW w:w="812" w:type="pct"/>
            <w:shd w:val="clear" w:color="auto" w:fill="auto"/>
            <w:vAlign w:val="center"/>
          </w:tcPr>
          <w:p>
            <w:pPr>
              <w:widowControl/>
              <w:jc w:val="center"/>
              <w:rPr>
                <w:rFonts w:ascii="宋体" w:hAnsi="宋体"/>
                <w:kern w:val="0"/>
                <w:sz w:val="18"/>
                <w:szCs w:val="18"/>
              </w:rPr>
            </w:pPr>
            <w:r>
              <w:rPr>
                <w:rFonts w:ascii="宋体" w:hAnsi="宋体"/>
                <w:kern w:val="0"/>
                <w:sz w:val="18"/>
                <w:szCs w:val="18"/>
              </w:rPr>
              <w:t>二级</w:t>
            </w:r>
          </w:p>
        </w:tc>
        <w:tc>
          <w:tcPr>
            <w:tcW w:w="800" w:type="pct"/>
            <w:shd w:val="clear" w:color="auto" w:fill="auto"/>
            <w:vAlign w:val="center"/>
          </w:tcPr>
          <w:p>
            <w:pPr>
              <w:widowControl/>
              <w:jc w:val="center"/>
              <w:rPr>
                <w:rFonts w:ascii="宋体" w:hAnsi="宋体"/>
                <w:kern w:val="0"/>
                <w:sz w:val="18"/>
                <w:szCs w:val="18"/>
              </w:rPr>
            </w:pPr>
            <w:r>
              <w:rPr>
                <w:rFonts w:ascii="宋体" w:hAnsi="宋体"/>
                <w:kern w:val="0"/>
                <w:sz w:val="18"/>
                <w:szCs w:val="18"/>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16" w:type="pct"/>
            <w:vMerge w:val="restart"/>
            <w:shd w:val="clear" w:color="auto" w:fill="auto"/>
            <w:vAlign w:val="center"/>
          </w:tcPr>
          <w:p>
            <w:pPr>
              <w:widowControl/>
              <w:jc w:val="center"/>
              <w:rPr>
                <w:rFonts w:ascii="宋体" w:hAnsi="宋体"/>
                <w:kern w:val="0"/>
                <w:sz w:val="18"/>
                <w:szCs w:val="18"/>
              </w:rPr>
            </w:pPr>
            <w:r>
              <w:rPr>
                <w:rFonts w:hint="eastAsia" w:ascii="宋体" w:hAnsi="宋体"/>
                <w:kern w:val="0"/>
                <w:sz w:val="18"/>
                <w:szCs w:val="18"/>
              </w:rPr>
              <w:t>位移</w:t>
            </w:r>
            <w:r>
              <w:rPr>
                <w:rFonts w:ascii="宋体" w:hAnsi="宋体"/>
                <w:kern w:val="0"/>
                <w:sz w:val="18"/>
                <w:szCs w:val="18"/>
              </w:rPr>
              <w:t>监测</w:t>
            </w:r>
          </w:p>
        </w:tc>
        <w:tc>
          <w:tcPr>
            <w:tcW w:w="1383" w:type="pct"/>
            <w:shd w:val="clear" w:color="auto" w:fill="auto"/>
            <w:vAlign w:val="center"/>
          </w:tcPr>
          <w:p>
            <w:pPr>
              <w:widowControl/>
              <w:jc w:val="center"/>
              <w:rPr>
                <w:rFonts w:ascii="宋体" w:hAnsi="宋体"/>
                <w:kern w:val="0"/>
                <w:sz w:val="18"/>
                <w:szCs w:val="18"/>
              </w:rPr>
            </w:pPr>
            <w:r>
              <w:rPr>
                <w:rFonts w:ascii="宋体" w:hAnsi="宋体"/>
                <w:kern w:val="0"/>
                <w:sz w:val="18"/>
                <w:szCs w:val="18"/>
              </w:rPr>
              <w:t>地表绝对位移</w:t>
            </w:r>
            <w:r>
              <w:rPr>
                <w:rFonts w:hint="eastAsia" w:ascii="宋体" w:hAnsi="宋体"/>
                <w:kern w:val="0"/>
                <w:sz w:val="18"/>
                <w:szCs w:val="18"/>
              </w:rPr>
              <w:t>或相对位移</w:t>
            </w:r>
          </w:p>
        </w:tc>
        <w:tc>
          <w:tcPr>
            <w:tcW w:w="789"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812"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800" w:type="pct"/>
            <w:shd w:val="clear" w:color="auto" w:fill="auto"/>
            <w:vAlign w:val="center"/>
          </w:tcPr>
          <w:p>
            <w:pPr>
              <w:widowControl/>
              <w:jc w:val="center"/>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16" w:type="pct"/>
            <w:vMerge w:val="continue"/>
            <w:shd w:val="clear" w:color="auto" w:fill="auto"/>
            <w:vAlign w:val="center"/>
          </w:tcPr>
          <w:p>
            <w:pPr>
              <w:widowControl/>
              <w:jc w:val="center"/>
              <w:rPr>
                <w:rFonts w:ascii="宋体" w:hAnsi="宋体"/>
                <w:kern w:val="0"/>
                <w:sz w:val="18"/>
                <w:szCs w:val="18"/>
              </w:rPr>
            </w:pPr>
          </w:p>
        </w:tc>
        <w:tc>
          <w:tcPr>
            <w:tcW w:w="1383" w:type="pct"/>
            <w:shd w:val="clear" w:color="auto" w:fill="auto"/>
            <w:vAlign w:val="center"/>
          </w:tcPr>
          <w:p>
            <w:pPr>
              <w:widowControl/>
              <w:jc w:val="center"/>
              <w:rPr>
                <w:rFonts w:ascii="宋体" w:hAnsi="宋体"/>
                <w:kern w:val="0"/>
                <w:sz w:val="18"/>
                <w:szCs w:val="18"/>
              </w:rPr>
            </w:pPr>
            <w:r>
              <w:rPr>
                <w:rFonts w:ascii="宋体" w:hAnsi="宋体"/>
                <w:kern w:val="0"/>
                <w:sz w:val="18"/>
                <w:szCs w:val="18"/>
              </w:rPr>
              <w:t>裂缝相对位移</w:t>
            </w:r>
          </w:p>
        </w:tc>
        <w:tc>
          <w:tcPr>
            <w:tcW w:w="789" w:type="pct"/>
            <w:shd w:val="clear" w:color="auto" w:fill="auto"/>
            <w:vAlign w:val="center"/>
          </w:tcPr>
          <w:p>
            <w:pPr>
              <w:widowControl/>
              <w:jc w:val="center"/>
              <w:rPr>
                <w:rFonts w:ascii="宋体" w:hAnsi="宋体"/>
                <w:kern w:val="0"/>
                <w:sz w:val="18"/>
                <w:szCs w:val="18"/>
              </w:rPr>
            </w:pPr>
            <w:r>
              <w:rPr>
                <w:rFonts w:ascii="宋体" w:hAnsi="宋体"/>
                <w:sz w:val="18"/>
                <w:szCs w:val="18"/>
              </w:rPr>
              <w:t>●</w:t>
            </w:r>
          </w:p>
        </w:tc>
        <w:tc>
          <w:tcPr>
            <w:tcW w:w="812" w:type="pct"/>
            <w:shd w:val="clear" w:color="auto" w:fill="auto"/>
            <w:vAlign w:val="center"/>
          </w:tcPr>
          <w:p>
            <w:pPr>
              <w:widowControl/>
              <w:jc w:val="center"/>
              <w:rPr>
                <w:rFonts w:ascii="宋体" w:hAnsi="宋体"/>
                <w:kern w:val="0"/>
                <w:sz w:val="18"/>
                <w:szCs w:val="18"/>
              </w:rPr>
            </w:pPr>
            <w:r>
              <w:rPr>
                <w:rFonts w:ascii="宋体" w:hAnsi="宋体"/>
                <w:sz w:val="18"/>
                <w:szCs w:val="18"/>
              </w:rPr>
              <w:t>●</w:t>
            </w:r>
          </w:p>
        </w:tc>
        <w:tc>
          <w:tcPr>
            <w:tcW w:w="800" w:type="pct"/>
            <w:shd w:val="clear" w:color="auto" w:fill="auto"/>
            <w:vAlign w:val="center"/>
          </w:tcPr>
          <w:p>
            <w:pPr>
              <w:widowControl/>
              <w:jc w:val="center"/>
              <w:rPr>
                <w:rFonts w:ascii="宋体" w:hAnsi="宋体"/>
                <w:kern w:val="0"/>
                <w:sz w:val="18"/>
                <w:szCs w:val="18"/>
              </w:rPr>
            </w:pPr>
            <w:r>
              <w:rPr>
                <w:rFonts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16" w:type="pct"/>
            <w:vMerge w:val="continue"/>
            <w:shd w:val="clear" w:color="auto" w:fill="auto"/>
            <w:vAlign w:val="center"/>
          </w:tcPr>
          <w:p>
            <w:pPr>
              <w:widowControl/>
              <w:jc w:val="center"/>
              <w:rPr>
                <w:rFonts w:ascii="宋体" w:hAnsi="宋体"/>
                <w:kern w:val="0"/>
                <w:sz w:val="18"/>
                <w:szCs w:val="18"/>
              </w:rPr>
            </w:pPr>
          </w:p>
        </w:tc>
        <w:tc>
          <w:tcPr>
            <w:tcW w:w="1383" w:type="pct"/>
            <w:shd w:val="clear" w:color="auto" w:fill="auto"/>
            <w:vAlign w:val="center"/>
          </w:tcPr>
          <w:p>
            <w:pPr>
              <w:widowControl/>
              <w:jc w:val="center"/>
              <w:rPr>
                <w:rFonts w:ascii="宋体" w:hAnsi="宋体"/>
                <w:kern w:val="0"/>
                <w:sz w:val="18"/>
                <w:szCs w:val="18"/>
              </w:rPr>
            </w:pPr>
            <w:r>
              <w:rPr>
                <w:rFonts w:ascii="宋体" w:hAnsi="宋体"/>
                <w:kern w:val="0"/>
                <w:sz w:val="18"/>
                <w:szCs w:val="18"/>
              </w:rPr>
              <w:t>地面倾斜</w:t>
            </w:r>
          </w:p>
        </w:tc>
        <w:tc>
          <w:tcPr>
            <w:tcW w:w="789" w:type="pct"/>
            <w:shd w:val="clear" w:color="auto" w:fill="auto"/>
            <w:vAlign w:val="center"/>
          </w:tcPr>
          <w:p>
            <w:pPr>
              <w:widowControl/>
              <w:jc w:val="center"/>
              <w:rPr>
                <w:rFonts w:ascii="宋体" w:hAnsi="宋体"/>
                <w:kern w:val="0"/>
                <w:sz w:val="18"/>
                <w:szCs w:val="18"/>
              </w:rPr>
            </w:pPr>
            <w:r>
              <w:rPr>
                <w:rFonts w:ascii="宋体" w:hAnsi="宋体"/>
                <w:sz w:val="18"/>
                <w:szCs w:val="18"/>
              </w:rPr>
              <w:t>●</w:t>
            </w:r>
          </w:p>
        </w:tc>
        <w:tc>
          <w:tcPr>
            <w:tcW w:w="812" w:type="pct"/>
            <w:shd w:val="clear" w:color="auto" w:fill="auto"/>
            <w:vAlign w:val="center"/>
          </w:tcPr>
          <w:p>
            <w:pPr>
              <w:widowControl/>
              <w:jc w:val="center"/>
              <w:rPr>
                <w:rFonts w:ascii="宋体" w:hAnsi="宋体"/>
                <w:kern w:val="0"/>
                <w:sz w:val="18"/>
                <w:szCs w:val="18"/>
              </w:rPr>
            </w:pPr>
            <w:r>
              <w:rPr>
                <w:rFonts w:ascii="宋体" w:hAnsi="宋体"/>
                <w:sz w:val="18"/>
                <w:szCs w:val="18"/>
              </w:rPr>
              <w:t>●</w:t>
            </w:r>
          </w:p>
        </w:tc>
        <w:tc>
          <w:tcPr>
            <w:tcW w:w="800" w:type="pct"/>
            <w:shd w:val="clear" w:color="auto" w:fill="auto"/>
            <w:vAlign w:val="center"/>
          </w:tcPr>
          <w:p>
            <w:pPr>
              <w:widowControl/>
              <w:jc w:val="center"/>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16" w:type="pct"/>
            <w:shd w:val="clear" w:color="auto" w:fill="auto"/>
            <w:vAlign w:val="center"/>
          </w:tcPr>
          <w:p>
            <w:pPr>
              <w:widowControl/>
              <w:jc w:val="center"/>
              <w:rPr>
                <w:rFonts w:ascii="宋体" w:hAnsi="宋体"/>
                <w:kern w:val="0"/>
                <w:sz w:val="18"/>
                <w:szCs w:val="18"/>
              </w:rPr>
            </w:pPr>
            <w:r>
              <w:rPr>
                <w:rFonts w:ascii="宋体" w:hAnsi="宋体"/>
                <w:kern w:val="0"/>
                <w:sz w:val="18"/>
                <w:szCs w:val="18"/>
              </w:rPr>
              <w:t>应力监测</w:t>
            </w:r>
          </w:p>
        </w:tc>
        <w:tc>
          <w:tcPr>
            <w:tcW w:w="1383" w:type="pct"/>
            <w:shd w:val="clear" w:color="auto" w:fill="auto"/>
            <w:vAlign w:val="center"/>
          </w:tcPr>
          <w:p>
            <w:pPr>
              <w:widowControl/>
              <w:jc w:val="center"/>
              <w:rPr>
                <w:rFonts w:ascii="宋体" w:hAnsi="宋体"/>
                <w:kern w:val="0"/>
                <w:sz w:val="18"/>
                <w:szCs w:val="18"/>
              </w:rPr>
            </w:pPr>
            <w:r>
              <w:rPr>
                <w:rFonts w:ascii="宋体" w:hAnsi="宋体"/>
                <w:kern w:val="0"/>
                <w:sz w:val="18"/>
                <w:szCs w:val="18"/>
              </w:rPr>
              <w:t>岩土体应力</w:t>
            </w:r>
          </w:p>
        </w:tc>
        <w:tc>
          <w:tcPr>
            <w:tcW w:w="789" w:type="pct"/>
            <w:shd w:val="clear" w:color="auto" w:fill="auto"/>
            <w:vAlign w:val="center"/>
          </w:tcPr>
          <w:p>
            <w:pPr>
              <w:widowControl/>
              <w:jc w:val="center"/>
              <w:rPr>
                <w:rFonts w:ascii="宋体" w:hAnsi="宋体"/>
                <w:kern w:val="0"/>
                <w:sz w:val="18"/>
                <w:szCs w:val="18"/>
              </w:rPr>
            </w:pPr>
            <w:r>
              <w:rPr>
                <w:rFonts w:ascii="宋体" w:hAnsi="宋体"/>
                <w:sz w:val="18"/>
                <w:szCs w:val="18"/>
              </w:rPr>
              <w:t>●</w:t>
            </w:r>
          </w:p>
        </w:tc>
        <w:tc>
          <w:tcPr>
            <w:tcW w:w="812"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800" w:type="pct"/>
            <w:shd w:val="clear" w:color="auto" w:fill="auto"/>
            <w:vAlign w:val="center"/>
          </w:tcPr>
          <w:p>
            <w:pPr>
              <w:widowControl/>
              <w:jc w:val="center"/>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16" w:type="pct"/>
            <w:shd w:val="clear" w:color="auto" w:fill="auto"/>
            <w:vAlign w:val="center"/>
          </w:tcPr>
          <w:p>
            <w:pPr>
              <w:jc w:val="center"/>
              <w:rPr>
                <w:rFonts w:ascii="宋体" w:hAnsi="宋体"/>
                <w:kern w:val="0"/>
                <w:sz w:val="18"/>
                <w:szCs w:val="18"/>
              </w:rPr>
            </w:pPr>
            <w:r>
              <w:rPr>
                <w:rFonts w:hint="eastAsia" w:ascii="宋体" w:hAnsi="宋体"/>
                <w:sz w:val="18"/>
                <w:szCs w:val="18"/>
              </w:rPr>
              <w:t>诱发因素</w:t>
            </w:r>
            <w:r>
              <w:rPr>
                <w:rFonts w:ascii="宋体" w:hAnsi="宋体"/>
                <w:sz w:val="18"/>
                <w:szCs w:val="18"/>
              </w:rPr>
              <w:t>监测</w:t>
            </w:r>
          </w:p>
        </w:tc>
        <w:tc>
          <w:tcPr>
            <w:tcW w:w="1383" w:type="pct"/>
            <w:shd w:val="clear" w:color="auto" w:fill="auto"/>
            <w:vAlign w:val="center"/>
          </w:tcPr>
          <w:p>
            <w:pPr>
              <w:widowControl/>
              <w:jc w:val="center"/>
              <w:rPr>
                <w:rFonts w:ascii="宋体" w:hAnsi="宋体"/>
                <w:kern w:val="0"/>
                <w:sz w:val="18"/>
                <w:szCs w:val="18"/>
              </w:rPr>
            </w:pPr>
            <w:r>
              <w:rPr>
                <w:rFonts w:ascii="宋体" w:hAnsi="宋体"/>
                <w:sz w:val="18"/>
                <w:szCs w:val="18"/>
              </w:rPr>
              <w:t>气象（降雨量）</w:t>
            </w:r>
          </w:p>
        </w:tc>
        <w:tc>
          <w:tcPr>
            <w:tcW w:w="789" w:type="pct"/>
            <w:shd w:val="clear" w:color="auto" w:fill="auto"/>
            <w:vAlign w:val="center"/>
          </w:tcPr>
          <w:p>
            <w:pPr>
              <w:widowControl/>
              <w:jc w:val="center"/>
              <w:rPr>
                <w:rFonts w:ascii="宋体" w:hAnsi="宋体"/>
                <w:kern w:val="0"/>
                <w:sz w:val="18"/>
                <w:szCs w:val="18"/>
              </w:rPr>
            </w:pPr>
            <w:r>
              <w:rPr>
                <w:rFonts w:ascii="宋体" w:hAnsi="宋体"/>
                <w:sz w:val="18"/>
                <w:szCs w:val="18"/>
              </w:rPr>
              <w:t>●</w:t>
            </w:r>
          </w:p>
        </w:tc>
        <w:tc>
          <w:tcPr>
            <w:tcW w:w="812" w:type="pct"/>
            <w:shd w:val="clear" w:color="auto" w:fill="auto"/>
            <w:vAlign w:val="center"/>
          </w:tcPr>
          <w:p>
            <w:pPr>
              <w:widowControl/>
              <w:jc w:val="center"/>
              <w:rPr>
                <w:rFonts w:ascii="宋体" w:hAnsi="宋体"/>
                <w:kern w:val="0"/>
                <w:sz w:val="18"/>
                <w:szCs w:val="18"/>
              </w:rPr>
            </w:pPr>
            <w:r>
              <w:rPr>
                <w:rFonts w:ascii="宋体" w:hAnsi="宋体"/>
                <w:sz w:val="18"/>
                <w:szCs w:val="18"/>
              </w:rPr>
              <w:t>●</w:t>
            </w:r>
          </w:p>
        </w:tc>
        <w:tc>
          <w:tcPr>
            <w:tcW w:w="800"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16" w:type="pct"/>
            <w:shd w:val="clear" w:color="auto" w:fill="auto"/>
            <w:vAlign w:val="center"/>
          </w:tcPr>
          <w:p>
            <w:pPr>
              <w:jc w:val="center"/>
              <w:rPr>
                <w:rFonts w:ascii="宋体" w:hAnsi="宋体"/>
                <w:kern w:val="0"/>
                <w:sz w:val="18"/>
                <w:szCs w:val="18"/>
              </w:rPr>
            </w:pPr>
            <w:r>
              <w:rPr>
                <w:rFonts w:hint="eastAsia" w:ascii="宋体" w:hAnsi="宋体"/>
                <w:kern w:val="0"/>
                <w:sz w:val="18"/>
                <w:szCs w:val="18"/>
              </w:rPr>
              <w:t>其它</w:t>
            </w:r>
          </w:p>
        </w:tc>
        <w:tc>
          <w:tcPr>
            <w:tcW w:w="1383" w:type="pct"/>
            <w:shd w:val="clear" w:color="auto" w:fill="auto"/>
            <w:vAlign w:val="center"/>
          </w:tcPr>
          <w:p>
            <w:pPr>
              <w:widowControl/>
              <w:jc w:val="center"/>
              <w:rPr>
                <w:rFonts w:ascii="宋体" w:hAnsi="宋体"/>
                <w:kern w:val="0"/>
                <w:sz w:val="18"/>
                <w:szCs w:val="18"/>
              </w:rPr>
            </w:pPr>
            <w:r>
              <w:rPr>
                <w:rFonts w:ascii="宋体" w:hAnsi="宋体"/>
                <w:kern w:val="0"/>
                <w:sz w:val="18"/>
                <w:szCs w:val="18"/>
              </w:rPr>
              <w:t>视频</w:t>
            </w:r>
          </w:p>
        </w:tc>
        <w:tc>
          <w:tcPr>
            <w:tcW w:w="789"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812"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800" w:type="pct"/>
            <w:shd w:val="clear" w:color="auto" w:fill="auto"/>
            <w:vAlign w:val="center"/>
          </w:tcPr>
          <w:p>
            <w:pPr>
              <w:widowControl/>
              <w:jc w:val="center"/>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shd w:val="clear" w:color="auto" w:fill="auto"/>
            <w:vAlign w:val="center"/>
          </w:tcPr>
          <w:p>
            <w:pPr>
              <w:widowControl/>
              <w:jc w:val="left"/>
              <w:rPr>
                <w:rFonts w:ascii="宋体" w:hAnsi="宋体"/>
                <w:kern w:val="0"/>
                <w:sz w:val="18"/>
                <w:szCs w:val="18"/>
              </w:rPr>
            </w:pPr>
            <w:r>
              <w:rPr>
                <w:rFonts w:ascii="黑体" w:hAnsi="黑体" w:eastAsia="黑体"/>
                <w:sz w:val="18"/>
                <w:szCs w:val="18"/>
              </w:rPr>
              <w:t>注：</w:t>
            </w:r>
            <w:r>
              <w:rPr>
                <w:rFonts w:ascii="宋体" w:hAnsi="宋体"/>
                <w:w w:val="96"/>
                <w:sz w:val="18"/>
                <w:szCs w:val="18"/>
              </w:rPr>
              <w:t>●</w:t>
            </w:r>
            <w:r>
              <w:rPr>
                <w:rFonts w:ascii="宋体" w:hAnsi="宋体"/>
                <w:sz w:val="18"/>
                <w:szCs w:val="18"/>
              </w:rPr>
              <w:t>表示</w:t>
            </w:r>
            <w:r>
              <w:rPr>
                <w:rFonts w:hint="eastAsia" w:ascii="宋体" w:hAnsi="宋体"/>
                <w:sz w:val="18"/>
                <w:szCs w:val="18"/>
              </w:rPr>
              <w:t>强烈推荐</w:t>
            </w:r>
            <w:r>
              <w:rPr>
                <w:rFonts w:ascii="宋体" w:hAnsi="宋体"/>
                <w:sz w:val="18"/>
                <w:szCs w:val="18"/>
              </w:rPr>
              <w:t>；</w:t>
            </w:r>
            <w:r>
              <w:rPr>
                <w:rFonts w:ascii="宋体" w:hAnsi="宋体"/>
                <w:kern w:val="0"/>
                <w:sz w:val="18"/>
                <w:szCs w:val="18"/>
              </w:rPr>
              <w:t>○</w:t>
            </w:r>
            <w:r>
              <w:rPr>
                <w:rFonts w:ascii="宋体" w:hAnsi="宋体"/>
                <w:sz w:val="18"/>
                <w:szCs w:val="18"/>
              </w:rPr>
              <w:t>表示</w:t>
            </w:r>
            <w:r>
              <w:rPr>
                <w:rFonts w:hint="eastAsia" w:ascii="宋体" w:hAnsi="宋体"/>
                <w:sz w:val="18"/>
                <w:szCs w:val="18"/>
              </w:rPr>
              <w:t>推荐</w:t>
            </w:r>
            <w:r>
              <w:rPr>
                <w:rFonts w:ascii="宋体" w:hAnsi="宋体"/>
                <w:sz w:val="18"/>
                <w:szCs w:val="18"/>
              </w:rPr>
              <w:t>。其它未列</w:t>
            </w:r>
            <w:r>
              <w:rPr>
                <w:rFonts w:hint="eastAsia" w:ascii="宋体" w:hAnsi="宋体"/>
                <w:sz w:val="18"/>
                <w:szCs w:val="18"/>
              </w:rPr>
              <w:t>出或</w:t>
            </w:r>
            <w:r>
              <w:rPr>
                <w:rFonts w:ascii="宋体" w:hAnsi="宋体"/>
                <w:sz w:val="18"/>
                <w:szCs w:val="18"/>
              </w:rPr>
              <w:t>不常</w:t>
            </w:r>
            <w:r>
              <w:rPr>
                <w:rFonts w:hint="eastAsia" w:ascii="宋体" w:hAnsi="宋体"/>
                <w:sz w:val="18"/>
                <w:szCs w:val="18"/>
              </w:rPr>
              <w:t>用的监测</w:t>
            </w:r>
            <w:r>
              <w:rPr>
                <w:rFonts w:ascii="宋体" w:hAnsi="宋体"/>
                <w:sz w:val="18"/>
                <w:szCs w:val="18"/>
              </w:rPr>
              <w:t>内容为可选。</w:t>
            </w:r>
          </w:p>
        </w:tc>
      </w:tr>
    </w:tbl>
    <w:p>
      <w:pPr>
        <w:spacing w:before="120" w:beforeLines="50" w:after="120" w:afterLines="50"/>
        <w:jc w:val="center"/>
        <w:rPr>
          <w:rFonts w:ascii="黑体" w:hAnsi="黑体" w:eastAsia="黑体"/>
        </w:rPr>
      </w:pPr>
      <w:r>
        <w:rPr>
          <w:rFonts w:ascii="黑体" w:hAnsi="黑体" w:eastAsia="黑体"/>
        </w:rPr>
        <w:t>表</w:t>
      </w:r>
      <w:r>
        <w:rPr>
          <w:rFonts w:hint="eastAsia" w:ascii="黑体" w:hAnsi="黑体" w:eastAsia="黑体"/>
        </w:rPr>
        <w:t xml:space="preserve">8  </w:t>
      </w:r>
      <w:r>
        <w:rPr>
          <w:rFonts w:ascii="黑体" w:hAnsi="黑体" w:eastAsia="黑体"/>
        </w:rPr>
        <w:t>泥石流监测内容</w:t>
      </w:r>
      <w:r>
        <w:rPr>
          <w:rFonts w:hint="eastAsia" w:ascii="黑体" w:hAnsi="黑体" w:eastAsia="黑体"/>
        </w:rPr>
        <w:t>选取表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2"/>
        <w:gridCol w:w="2326"/>
        <w:gridCol w:w="1830"/>
        <w:gridCol w:w="1661"/>
        <w:gridCol w:w="1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7" w:type="pct"/>
            <w:gridSpan w:val="2"/>
            <w:vMerge w:val="restart"/>
            <w:shd w:val="clear" w:color="auto" w:fill="auto"/>
            <w:vAlign w:val="center"/>
          </w:tcPr>
          <w:p>
            <w:pPr>
              <w:jc w:val="center"/>
              <w:rPr>
                <w:rFonts w:ascii="宋体" w:hAnsi="宋体"/>
                <w:sz w:val="18"/>
                <w:szCs w:val="18"/>
              </w:rPr>
            </w:pPr>
            <w:r>
              <w:rPr>
                <w:rFonts w:ascii="宋体" w:hAnsi="宋体"/>
                <w:sz w:val="18"/>
                <w:szCs w:val="18"/>
              </w:rPr>
              <w:t>监测内容</w:t>
            </w:r>
          </w:p>
        </w:tc>
        <w:tc>
          <w:tcPr>
            <w:tcW w:w="2723" w:type="pct"/>
            <w:gridSpan w:val="3"/>
            <w:shd w:val="clear" w:color="auto" w:fill="auto"/>
            <w:vAlign w:val="center"/>
          </w:tcPr>
          <w:p>
            <w:pPr>
              <w:jc w:val="center"/>
              <w:rPr>
                <w:rFonts w:ascii="宋体" w:hAnsi="宋体"/>
                <w:sz w:val="18"/>
                <w:szCs w:val="18"/>
              </w:rPr>
            </w:pPr>
            <w:r>
              <w:rPr>
                <w:rFonts w:ascii="宋体" w:hAnsi="宋体"/>
                <w:sz w:val="18"/>
                <w:szCs w:val="18"/>
              </w:rPr>
              <w:t>监测等级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7" w:type="pct"/>
            <w:gridSpan w:val="2"/>
            <w:vMerge w:val="continue"/>
            <w:shd w:val="clear" w:color="auto" w:fill="auto"/>
            <w:vAlign w:val="center"/>
          </w:tcPr>
          <w:p>
            <w:pPr>
              <w:jc w:val="center"/>
              <w:rPr>
                <w:rFonts w:ascii="宋体" w:hAnsi="宋体"/>
                <w:sz w:val="18"/>
                <w:szCs w:val="18"/>
              </w:rPr>
            </w:pPr>
          </w:p>
        </w:tc>
        <w:tc>
          <w:tcPr>
            <w:tcW w:w="956" w:type="pct"/>
            <w:shd w:val="clear" w:color="auto" w:fill="auto"/>
            <w:vAlign w:val="center"/>
          </w:tcPr>
          <w:p>
            <w:pPr>
              <w:jc w:val="center"/>
              <w:rPr>
                <w:rFonts w:ascii="宋体" w:hAnsi="宋体"/>
                <w:sz w:val="18"/>
                <w:szCs w:val="18"/>
              </w:rPr>
            </w:pPr>
            <w:r>
              <w:rPr>
                <w:rFonts w:ascii="宋体" w:hAnsi="宋体"/>
                <w:sz w:val="18"/>
                <w:szCs w:val="18"/>
              </w:rPr>
              <w:t>一级</w:t>
            </w:r>
          </w:p>
        </w:tc>
        <w:tc>
          <w:tcPr>
            <w:tcW w:w="868" w:type="pct"/>
            <w:shd w:val="clear" w:color="auto" w:fill="auto"/>
            <w:vAlign w:val="center"/>
          </w:tcPr>
          <w:p>
            <w:pPr>
              <w:jc w:val="center"/>
              <w:rPr>
                <w:rFonts w:ascii="宋体" w:hAnsi="宋体"/>
                <w:sz w:val="18"/>
                <w:szCs w:val="18"/>
              </w:rPr>
            </w:pPr>
            <w:r>
              <w:rPr>
                <w:rFonts w:ascii="宋体" w:hAnsi="宋体"/>
                <w:sz w:val="18"/>
                <w:szCs w:val="18"/>
              </w:rPr>
              <w:t>二级</w:t>
            </w:r>
          </w:p>
        </w:tc>
        <w:tc>
          <w:tcPr>
            <w:tcW w:w="899" w:type="pct"/>
            <w:shd w:val="clear" w:color="auto" w:fill="auto"/>
            <w:vAlign w:val="center"/>
          </w:tcPr>
          <w:p>
            <w:pPr>
              <w:jc w:val="center"/>
              <w:rPr>
                <w:rFonts w:ascii="宋体" w:hAnsi="宋体"/>
                <w:sz w:val="18"/>
                <w:szCs w:val="18"/>
              </w:rPr>
            </w:pPr>
            <w:r>
              <w:rPr>
                <w:rFonts w:ascii="宋体" w:hAnsi="宋体"/>
                <w:sz w:val="18"/>
                <w:szCs w:val="18"/>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2" w:type="pct"/>
            <w:vMerge w:val="restart"/>
            <w:shd w:val="clear" w:color="auto" w:fill="auto"/>
            <w:vAlign w:val="center"/>
          </w:tcPr>
          <w:p>
            <w:pPr>
              <w:jc w:val="center"/>
              <w:rPr>
                <w:rFonts w:ascii="宋体" w:hAnsi="宋体"/>
                <w:sz w:val="18"/>
                <w:szCs w:val="18"/>
              </w:rPr>
            </w:pPr>
            <w:r>
              <w:rPr>
                <w:rFonts w:hint="eastAsia" w:ascii="宋体" w:hAnsi="宋体"/>
                <w:sz w:val="18"/>
                <w:szCs w:val="18"/>
              </w:rPr>
              <w:t>诱发</w:t>
            </w:r>
            <w:r>
              <w:rPr>
                <w:rFonts w:ascii="宋体" w:hAnsi="宋体"/>
                <w:sz w:val="18"/>
                <w:szCs w:val="18"/>
              </w:rPr>
              <w:t>因素监测</w:t>
            </w:r>
          </w:p>
        </w:tc>
        <w:tc>
          <w:tcPr>
            <w:tcW w:w="1215" w:type="pct"/>
            <w:shd w:val="clear" w:color="auto" w:fill="auto"/>
            <w:vAlign w:val="center"/>
          </w:tcPr>
          <w:p>
            <w:pPr>
              <w:jc w:val="center"/>
              <w:rPr>
                <w:rFonts w:ascii="宋体" w:hAnsi="宋体"/>
                <w:sz w:val="18"/>
                <w:szCs w:val="18"/>
              </w:rPr>
            </w:pPr>
            <w:r>
              <w:rPr>
                <w:rFonts w:ascii="宋体" w:hAnsi="宋体"/>
                <w:sz w:val="18"/>
                <w:szCs w:val="18"/>
              </w:rPr>
              <w:t>降雨量</w:t>
            </w:r>
          </w:p>
        </w:tc>
        <w:tc>
          <w:tcPr>
            <w:tcW w:w="956" w:type="pct"/>
            <w:shd w:val="clear" w:color="auto" w:fill="auto"/>
            <w:vAlign w:val="center"/>
          </w:tcPr>
          <w:p>
            <w:pPr>
              <w:jc w:val="center"/>
              <w:rPr>
                <w:rFonts w:ascii="宋体" w:hAnsi="宋体"/>
                <w:sz w:val="18"/>
                <w:szCs w:val="18"/>
              </w:rPr>
            </w:pPr>
            <w:r>
              <w:rPr>
                <w:rFonts w:ascii="宋体" w:hAnsi="宋体"/>
                <w:sz w:val="18"/>
                <w:szCs w:val="18"/>
              </w:rPr>
              <w:t>●</w:t>
            </w:r>
          </w:p>
        </w:tc>
        <w:tc>
          <w:tcPr>
            <w:tcW w:w="868" w:type="pct"/>
            <w:shd w:val="clear" w:color="auto" w:fill="auto"/>
            <w:vAlign w:val="center"/>
          </w:tcPr>
          <w:p>
            <w:pPr>
              <w:jc w:val="center"/>
              <w:rPr>
                <w:rFonts w:ascii="宋体" w:hAnsi="宋体"/>
                <w:sz w:val="18"/>
                <w:szCs w:val="18"/>
              </w:rPr>
            </w:pPr>
            <w:r>
              <w:rPr>
                <w:rFonts w:ascii="宋体" w:hAnsi="宋体"/>
                <w:sz w:val="18"/>
                <w:szCs w:val="18"/>
              </w:rPr>
              <w:t>●</w:t>
            </w:r>
          </w:p>
        </w:tc>
        <w:tc>
          <w:tcPr>
            <w:tcW w:w="899" w:type="pct"/>
            <w:shd w:val="clear" w:color="auto" w:fill="auto"/>
            <w:vAlign w:val="center"/>
          </w:tcPr>
          <w:p>
            <w:pPr>
              <w:jc w:val="center"/>
              <w:rPr>
                <w:rFonts w:ascii="宋体" w:hAnsi="宋体"/>
                <w:sz w:val="18"/>
                <w:szCs w:val="18"/>
              </w:rPr>
            </w:pPr>
            <w:r>
              <w:rPr>
                <w:rFonts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2" w:type="pct"/>
            <w:vMerge w:val="continue"/>
            <w:shd w:val="clear" w:color="auto" w:fill="auto"/>
            <w:vAlign w:val="center"/>
          </w:tcPr>
          <w:p>
            <w:pPr>
              <w:jc w:val="center"/>
              <w:rPr>
                <w:rFonts w:ascii="宋体" w:hAnsi="宋体"/>
                <w:sz w:val="18"/>
                <w:szCs w:val="18"/>
              </w:rPr>
            </w:pPr>
          </w:p>
        </w:tc>
        <w:tc>
          <w:tcPr>
            <w:tcW w:w="1215" w:type="pct"/>
            <w:shd w:val="clear" w:color="auto" w:fill="auto"/>
            <w:vAlign w:val="center"/>
          </w:tcPr>
          <w:p>
            <w:pPr>
              <w:jc w:val="center"/>
              <w:rPr>
                <w:rFonts w:ascii="宋体" w:hAnsi="宋体"/>
                <w:sz w:val="18"/>
                <w:szCs w:val="18"/>
              </w:rPr>
            </w:pPr>
            <w:r>
              <w:rPr>
                <w:rFonts w:ascii="宋体" w:hAnsi="宋体"/>
                <w:sz w:val="18"/>
                <w:szCs w:val="18"/>
              </w:rPr>
              <w:t>泥（水）位</w:t>
            </w:r>
          </w:p>
        </w:tc>
        <w:tc>
          <w:tcPr>
            <w:tcW w:w="956" w:type="pct"/>
            <w:shd w:val="clear" w:color="auto" w:fill="auto"/>
            <w:vAlign w:val="center"/>
          </w:tcPr>
          <w:p>
            <w:pPr>
              <w:jc w:val="center"/>
              <w:rPr>
                <w:rFonts w:ascii="宋体" w:hAnsi="宋体"/>
                <w:sz w:val="18"/>
                <w:szCs w:val="18"/>
              </w:rPr>
            </w:pPr>
            <w:r>
              <w:rPr>
                <w:rFonts w:ascii="宋体" w:hAnsi="宋体"/>
                <w:sz w:val="18"/>
                <w:szCs w:val="18"/>
              </w:rPr>
              <w:t>●</w:t>
            </w:r>
          </w:p>
        </w:tc>
        <w:tc>
          <w:tcPr>
            <w:tcW w:w="868" w:type="pct"/>
            <w:shd w:val="clear" w:color="auto" w:fill="auto"/>
            <w:vAlign w:val="center"/>
          </w:tcPr>
          <w:p>
            <w:pPr>
              <w:jc w:val="center"/>
              <w:rPr>
                <w:rFonts w:ascii="宋体" w:hAnsi="宋体"/>
                <w:sz w:val="18"/>
                <w:szCs w:val="18"/>
              </w:rPr>
            </w:pPr>
            <w:r>
              <w:rPr>
                <w:rFonts w:ascii="宋体" w:hAnsi="宋体"/>
                <w:sz w:val="18"/>
                <w:szCs w:val="18"/>
              </w:rPr>
              <w:t>●</w:t>
            </w:r>
          </w:p>
        </w:tc>
        <w:tc>
          <w:tcPr>
            <w:tcW w:w="899" w:type="pct"/>
            <w:shd w:val="clear" w:color="auto" w:fill="auto"/>
            <w:vAlign w:val="center"/>
          </w:tcPr>
          <w:p>
            <w:pPr>
              <w:jc w:val="center"/>
              <w:rPr>
                <w:rFonts w:ascii="宋体" w:hAnsi="宋体"/>
                <w:sz w:val="18"/>
                <w:szCs w:val="18"/>
              </w:rPr>
            </w:pPr>
            <w:r>
              <w:rPr>
                <w:rFonts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2" w:type="pct"/>
            <w:vMerge w:val="continue"/>
            <w:shd w:val="clear" w:color="auto" w:fill="auto"/>
            <w:vAlign w:val="center"/>
          </w:tcPr>
          <w:p>
            <w:pPr>
              <w:jc w:val="center"/>
              <w:rPr>
                <w:rFonts w:ascii="宋体" w:hAnsi="宋体"/>
                <w:sz w:val="18"/>
                <w:szCs w:val="18"/>
              </w:rPr>
            </w:pPr>
          </w:p>
        </w:tc>
        <w:tc>
          <w:tcPr>
            <w:tcW w:w="1215" w:type="pct"/>
            <w:shd w:val="clear" w:color="auto" w:fill="auto"/>
            <w:vAlign w:val="center"/>
          </w:tcPr>
          <w:p>
            <w:pPr>
              <w:jc w:val="center"/>
              <w:rPr>
                <w:rFonts w:ascii="宋体" w:hAnsi="宋体"/>
                <w:sz w:val="18"/>
                <w:szCs w:val="18"/>
              </w:rPr>
            </w:pPr>
            <w:r>
              <w:rPr>
                <w:rFonts w:ascii="宋体" w:hAnsi="宋体"/>
                <w:sz w:val="18"/>
                <w:szCs w:val="18"/>
              </w:rPr>
              <w:t>次声</w:t>
            </w:r>
          </w:p>
        </w:tc>
        <w:tc>
          <w:tcPr>
            <w:tcW w:w="956" w:type="pct"/>
            <w:shd w:val="clear" w:color="auto" w:fill="auto"/>
            <w:vAlign w:val="center"/>
          </w:tcPr>
          <w:p>
            <w:pPr>
              <w:jc w:val="center"/>
              <w:rPr>
                <w:rFonts w:ascii="宋体" w:hAnsi="宋体"/>
                <w:sz w:val="18"/>
                <w:szCs w:val="18"/>
              </w:rPr>
            </w:pPr>
            <w:r>
              <w:rPr>
                <w:rFonts w:ascii="宋体" w:hAnsi="宋体"/>
                <w:kern w:val="0"/>
                <w:sz w:val="18"/>
                <w:szCs w:val="18"/>
              </w:rPr>
              <w:t>○</w:t>
            </w:r>
          </w:p>
        </w:tc>
        <w:tc>
          <w:tcPr>
            <w:tcW w:w="868" w:type="pct"/>
            <w:shd w:val="clear" w:color="auto" w:fill="auto"/>
            <w:vAlign w:val="center"/>
          </w:tcPr>
          <w:p>
            <w:pPr>
              <w:jc w:val="center"/>
              <w:rPr>
                <w:rFonts w:ascii="宋体" w:hAnsi="宋体"/>
                <w:sz w:val="18"/>
                <w:szCs w:val="18"/>
              </w:rPr>
            </w:pPr>
            <w:r>
              <w:rPr>
                <w:rFonts w:ascii="宋体" w:hAnsi="宋体"/>
                <w:kern w:val="0"/>
                <w:sz w:val="18"/>
                <w:szCs w:val="18"/>
              </w:rPr>
              <w:t>○</w:t>
            </w:r>
          </w:p>
        </w:tc>
        <w:tc>
          <w:tcPr>
            <w:tcW w:w="899" w:type="pct"/>
            <w:shd w:val="clear" w:color="auto" w:fill="auto"/>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2" w:type="pct"/>
            <w:vMerge w:val="continue"/>
            <w:shd w:val="clear" w:color="auto" w:fill="auto"/>
            <w:vAlign w:val="center"/>
          </w:tcPr>
          <w:p>
            <w:pPr>
              <w:jc w:val="center"/>
              <w:rPr>
                <w:rFonts w:ascii="宋体" w:hAnsi="宋体"/>
                <w:sz w:val="18"/>
                <w:szCs w:val="18"/>
              </w:rPr>
            </w:pPr>
          </w:p>
        </w:tc>
        <w:tc>
          <w:tcPr>
            <w:tcW w:w="1215" w:type="pct"/>
            <w:shd w:val="clear" w:color="auto" w:fill="auto"/>
            <w:vAlign w:val="center"/>
          </w:tcPr>
          <w:p>
            <w:pPr>
              <w:jc w:val="center"/>
              <w:rPr>
                <w:rFonts w:ascii="宋体" w:hAnsi="宋体"/>
                <w:sz w:val="18"/>
                <w:szCs w:val="18"/>
              </w:rPr>
            </w:pPr>
            <w:r>
              <w:rPr>
                <w:rFonts w:ascii="宋体" w:hAnsi="宋体"/>
                <w:sz w:val="18"/>
                <w:szCs w:val="18"/>
              </w:rPr>
              <w:t>断线报警器</w:t>
            </w:r>
          </w:p>
        </w:tc>
        <w:tc>
          <w:tcPr>
            <w:tcW w:w="956" w:type="pct"/>
            <w:shd w:val="clear" w:color="auto" w:fill="auto"/>
            <w:vAlign w:val="center"/>
          </w:tcPr>
          <w:p>
            <w:pPr>
              <w:jc w:val="center"/>
              <w:rPr>
                <w:rFonts w:ascii="宋体" w:hAnsi="宋体"/>
                <w:w w:val="96"/>
                <w:sz w:val="18"/>
                <w:szCs w:val="18"/>
              </w:rPr>
            </w:pPr>
            <w:r>
              <w:rPr>
                <w:rFonts w:ascii="宋体" w:hAnsi="宋体"/>
                <w:sz w:val="18"/>
                <w:szCs w:val="18"/>
              </w:rPr>
              <w:t>●</w:t>
            </w:r>
          </w:p>
        </w:tc>
        <w:tc>
          <w:tcPr>
            <w:tcW w:w="868" w:type="pct"/>
            <w:shd w:val="clear" w:color="auto" w:fill="auto"/>
            <w:vAlign w:val="center"/>
          </w:tcPr>
          <w:p>
            <w:pPr>
              <w:jc w:val="center"/>
              <w:rPr>
                <w:rFonts w:ascii="宋体" w:hAnsi="宋体"/>
                <w:w w:val="96"/>
                <w:sz w:val="18"/>
                <w:szCs w:val="18"/>
              </w:rPr>
            </w:pPr>
            <w:r>
              <w:rPr>
                <w:rFonts w:ascii="宋体" w:hAnsi="宋体"/>
                <w:kern w:val="0"/>
                <w:sz w:val="18"/>
                <w:szCs w:val="18"/>
              </w:rPr>
              <w:t>○</w:t>
            </w:r>
            <w:r>
              <w:rPr>
                <w:rFonts w:ascii="宋体" w:hAnsi="宋体"/>
                <w:w w:val="96"/>
                <w:sz w:val="18"/>
                <w:szCs w:val="18"/>
              </w:rPr>
              <w:t xml:space="preserve"> </w:t>
            </w:r>
          </w:p>
        </w:tc>
        <w:tc>
          <w:tcPr>
            <w:tcW w:w="899" w:type="pct"/>
            <w:shd w:val="clear" w:color="auto" w:fill="auto"/>
            <w:vAlign w:val="center"/>
          </w:tcPr>
          <w:p>
            <w:pPr>
              <w:jc w:val="center"/>
              <w:rPr>
                <w:rFonts w:ascii="宋体" w:hAnsi="宋体"/>
                <w:w w:val="96"/>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2" w:type="pct"/>
            <w:shd w:val="clear" w:color="auto" w:fill="auto"/>
            <w:vAlign w:val="center"/>
          </w:tcPr>
          <w:p>
            <w:pPr>
              <w:jc w:val="center"/>
              <w:rPr>
                <w:rFonts w:ascii="宋体" w:hAnsi="宋体"/>
                <w:sz w:val="18"/>
                <w:szCs w:val="18"/>
              </w:rPr>
            </w:pPr>
            <w:r>
              <w:rPr>
                <w:rFonts w:hint="eastAsia" w:ascii="宋体" w:hAnsi="宋体"/>
                <w:sz w:val="18"/>
                <w:szCs w:val="18"/>
              </w:rPr>
              <w:t>其它监测</w:t>
            </w:r>
          </w:p>
        </w:tc>
        <w:tc>
          <w:tcPr>
            <w:tcW w:w="1215" w:type="pct"/>
            <w:shd w:val="clear" w:color="auto" w:fill="auto"/>
            <w:vAlign w:val="center"/>
          </w:tcPr>
          <w:p>
            <w:pPr>
              <w:jc w:val="center"/>
              <w:rPr>
                <w:rFonts w:ascii="宋体" w:hAnsi="宋体"/>
                <w:sz w:val="18"/>
                <w:szCs w:val="18"/>
              </w:rPr>
            </w:pPr>
            <w:r>
              <w:rPr>
                <w:rFonts w:ascii="宋体" w:hAnsi="宋体"/>
                <w:sz w:val="18"/>
                <w:szCs w:val="18"/>
              </w:rPr>
              <w:t>视频</w:t>
            </w:r>
          </w:p>
        </w:tc>
        <w:tc>
          <w:tcPr>
            <w:tcW w:w="956" w:type="pct"/>
            <w:shd w:val="clear" w:color="auto" w:fill="auto"/>
            <w:vAlign w:val="center"/>
          </w:tcPr>
          <w:p>
            <w:pPr>
              <w:jc w:val="center"/>
              <w:rPr>
                <w:rFonts w:ascii="宋体" w:hAnsi="宋体"/>
                <w:sz w:val="18"/>
                <w:szCs w:val="18"/>
              </w:rPr>
            </w:pPr>
            <w:r>
              <w:rPr>
                <w:rFonts w:ascii="宋体" w:hAnsi="宋体"/>
                <w:sz w:val="18"/>
                <w:szCs w:val="18"/>
              </w:rPr>
              <w:t>●</w:t>
            </w:r>
          </w:p>
        </w:tc>
        <w:tc>
          <w:tcPr>
            <w:tcW w:w="868" w:type="pct"/>
            <w:shd w:val="clear" w:color="auto" w:fill="auto"/>
            <w:vAlign w:val="center"/>
          </w:tcPr>
          <w:p>
            <w:pPr>
              <w:jc w:val="center"/>
              <w:rPr>
                <w:rFonts w:ascii="宋体" w:hAnsi="宋体"/>
                <w:sz w:val="18"/>
                <w:szCs w:val="18"/>
              </w:rPr>
            </w:pPr>
            <w:r>
              <w:rPr>
                <w:rFonts w:ascii="宋体" w:hAnsi="宋体"/>
                <w:sz w:val="18"/>
                <w:szCs w:val="18"/>
              </w:rPr>
              <w:t>●</w:t>
            </w:r>
          </w:p>
        </w:tc>
        <w:tc>
          <w:tcPr>
            <w:tcW w:w="899" w:type="pct"/>
            <w:shd w:val="clear" w:color="auto" w:fill="auto"/>
            <w:vAlign w:val="center"/>
          </w:tcPr>
          <w:p>
            <w:pPr>
              <w:jc w:val="center"/>
              <w:rPr>
                <w:rFonts w:ascii="宋体" w:hAnsi="宋体"/>
                <w:sz w:val="18"/>
                <w:szCs w:val="18"/>
              </w:rPr>
            </w:pPr>
            <w:r>
              <w:rPr>
                <w:rFonts w:ascii="宋体" w:hAnsi="宋体"/>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shd w:val="clear" w:color="auto" w:fill="auto"/>
            <w:vAlign w:val="center"/>
          </w:tcPr>
          <w:p>
            <w:pPr>
              <w:jc w:val="left"/>
              <w:rPr>
                <w:rFonts w:ascii="Times New Roman" w:hAnsi="Times New Roman"/>
                <w:sz w:val="18"/>
                <w:szCs w:val="18"/>
              </w:rPr>
            </w:pPr>
            <w:r>
              <w:rPr>
                <w:rFonts w:ascii="黑体" w:hAnsi="黑体" w:eastAsia="黑体"/>
                <w:sz w:val="18"/>
                <w:szCs w:val="18"/>
              </w:rPr>
              <w:t>注：</w:t>
            </w:r>
            <w:r>
              <w:rPr>
                <w:rFonts w:ascii="Times New Roman" w:hAnsi="Times New Roman"/>
                <w:w w:val="96"/>
                <w:sz w:val="18"/>
                <w:szCs w:val="18"/>
              </w:rPr>
              <w:t>●</w:t>
            </w:r>
            <w:r>
              <w:rPr>
                <w:rFonts w:ascii="Times New Roman" w:hAnsi="Times New Roman"/>
                <w:sz w:val="18"/>
                <w:szCs w:val="18"/>
              </w:rPr>
              <w:t>表示强烈推荐；</w:t>
            </w:r>
            <w:r>
              <w:rPr>
                <w:rFonts w:ascii="Times New Roman" w:hAnsi="Times New Roman"/>
                <w:kern w:val="0"/>
                <w:sz w:val="18"/>
                <w:szCs w:val="18"/>
              </w:rPr>
              <w:t>○</w:t>
            </w:r>
            <w:r>
              <w:rPr>
                <w:rFonts w:ascii="Times New Roman" w:hAnsi="Times New Roman"/>
                <w:sz w:val="18"/>
                <w:szCs w:val="18"/>
              </w:rPr>
              <w:t>表示推荐。其它未列出或不常用的监测内容为可选。</w:t>
            </w:r>
          </w:p>
          <w:p>
            <w:pPr>
              <w:ind w:left="720" w:hanging="720" w:hangingChars="400"/>
              <w:jc w:val="left"/>
              <w:rPr>
                <w:rFonts w:ascii="Times New Roman" w:hAnsi="Times New Roman"/>
                <w:sz w:val="18"/>
                <w:szCs w:val="18"/>
              </w:rPr>
            </w:pPr>
            <w:r>
              <w:rPr>
                <w:rFonts w:ascii="黑体" w:hAnsi="黑体" w:eastAsia="黑体"/>
                <w:sz w:val="18"/>
                <w:szCs w:val="18"/>
              </w:rPr>
              <w:t>说明：</w:t>
            </w:r>
            <w:r>
              <w:rPr>
                <w:rFonts w:ascii="Times New Roman" w:hAnsi="Times New Roman"/>
                <w:sz w:val="18"/>
                <w:szCs w:val="18"/>
              </w:rPr>
              <w:t>1.泥石流在成灾前和致灾后其监测内容侧重点有所不同。其中成灾前主要为物源（固体物源、水源等）监测、运动情况监测；致灾后主要对堆积体稳定性及流通区的泥水位进行监测。</w:t>
            </w:r>
          </w:p>
          <w:p>
            <w:pPr>
              <w:ind w:left="722" w:leftChars="258" w:hanging="180" w:hangingChars="100"/>
              <w:jc w:val="left"/>
              <w:rPr>
                <w:rFonts w:ascii="宋体" w:hAnsi="宋体"/>
                <w:sz w:val="18"/>
                <w:szCs w:val="18"/>
              </w:rPr>
            </w:pPr>
            <w:r>
              <w:rPr>
                <w:rFonts w:ascii="Times New Roman" w:hAnsi="Times New Roman"/>
                <w:sz w:val="18"/>
                <w:szCs w:val="18"/>
              </w:rPr>
              <w:t>2.泥石流固体物质来源于崩滑体的，其监测内容在表5、表6、表7中选取；固体物质来源于松散堆积物的，其监测内容见表7。</w:t>
            </w:r>
          </w:p>
        </w:tc>
      </w:tr>
    </w:tbl>
    <w:p>
      <w:pPr>
        <w:widowControl/>
        <w:tabs>
          <w:tab w:val="left" w:pos="360"/>
        </w:tabs>
        <w:spacing w:before="120" w:beforeLines="50" w:after="120" w:afterLines="50"/>
        <w:jc w:val="center"/>
        <w:rPr>
          <w:rFonts w:ascii="黑体" w:hAnsi="黑体" w:eastAsia="黑体"/>
          <w:kern w:val="0"/>
          <w:szCs w:val="21"/>
        </w:rPr>
      </w:pPr>
      <w:bookmarkStart w:id="57" w:name="_Hlk513102229"/>
    </w:p>
    <w:p>
      <w:pPr>
        <w:spacing w:before="120" w:beforeLines="50" w:after="120" w:afterLines="50"/>
        <w:jc w:val="center"/>
        <w:rPr>
          <w:rFonts w:ascii="黑体" w:hAnsi="黑体" w:eastAsia="黑体"/>
        </w:rPr>
      </w:pPr>
      <w:r>
        <w:rPr>
          <w:rFonts w:ascii="黑体" w:hAnsi="黑体" w:eastAsia="黑体"/>
        </w:rPr>
        <w:t>表</w:t>
      </w:r>
      <w:r>
        <w:rPr>
          <w:rFonts w:hint="eastAsia" w:ascii="黑体" w:hAnsi="黑体" w:eastAsia="黑体"/>
        </w:rPr>
        <w:t xml:space="preserve">9  </w:t>
      </w:r>
      <w:r>
        <w:rPr>
          <w:rFonts w:ascii="黑体" w:hAnsi="黑体" w:eastAsia="黑体"/>
        </w:rPr>
        <w:t>地面塌陷监测内容</w:t>
      </w:r>
      <w:r>
        <w:rPr>
          <w:rFonts w:hint="eastAsia" w:ascii="黑体" w:hAnsi="黑体" w:eastAsia="黑体"/>
        </w:rPr>
        <w:t>选取表</w:t>
      </w:r>
    </w:p>
    <w:bookmarkEnd w:id="57"/>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1"/>
        <w:gridCol w:w="2972"/>
        <w:gridCol w:w="1409"/>
        <w:gridCol w:w="1409"/>
        <w:gridCol w:w="1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818" w:type="pct"/>
            <w:gridSpan w:val="2"/>
            <w:vMerge w:val="restart"/>
            <w:shd w:val="clear" w:color="auto" w:fill="auto"/>
            <w:vAlign w:val="center"/>
          </w:tcPr>
          <w:p>
            <w:pPr>
              <w:widowControl/>
              <w:jc w:val="center"/>
              <w:rPr>
                <w:rFonts w:ascii="宋体" w:hAnsi="宋体"/>
                <w:kern w:val="0"/>
                <w:sz w:val="18"/>
                <w:szCs w:val="18"/>
              </w:rPr>
            </w:pPr>
            <w:r>
              <w:rPr>
                <w:rFonts w:ascii="宋体" w:hAnsi="宋体"/>
                <w:kern w:val="0"/>
                <w:sz w:val="18"/>
                <w:szCs w:val="18"/>
              </w:rPr>
              <w:t>监测内容</w:t>
            </w:r>
          </w:p>
        </w:tc>
        <w:tc>
          <w:tcPr>
            <w:tcW w:w="2182" w:type="pct"/>
            <w:gridSpan w:val="3"/>
            <w:shd w:val="clear" w:color="auto" w:fill="auto"/>
            <w:vAlign w:val="center"/>
          </w:tcPr>
          <w:p>
            <w:pPr>
              <w:widowControl/>
              <w:jc w:val="center"/>
              <w:rPr>
                <w:rFonts w:ascii="宋体" w:hAnsi="宋体"/>
                <w:kern w:val="0"/>
                <w:sz w:val="18"/>
                <w:szCs w:val="18"/>
              </w:rPr>
            </w:pPr>
            <w:r>
              <w:rPr>
                <w:rFonts w:ascii="宋体" w:hAnsi="宋体"/>
                <w:kern w:val="0"/>
                <w:sz w:val="18"/>
                <w:szCs w:val="18"/>
              </w:rPr>
              <w:t>监测等级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18" w:type="pct"/>
            <w:gridSpan w:val="2"/>
            <w:vMerge w:val="continue"/>
            <w:shd w:val="clear" w:color="auto" w:fill="auto"/>
            <w:vAlign w:val="center"/>
          </w:tcPr>
          <w:p>
            <w:pPr>
              <w:widowControl/>
              <w:jc w:val="center"/>
              <w:rPr>
                <w:rFonts w:ascii="宋体" w:hAnsi="宋体"/>
                <w:kern w:val="0"/>
                <w:sz w:val="18"/>
                <w:szCs w:val="18"/>
              </w:rPr>
            </w:pP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一级</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二级</w:t>
            </w:r>
          </w:p>
        </w:tc>
        <w:tc>
          <w:tcPr>
            <w:tcW w:w="710" w:type="pct"/>
            <w:shd w:val="clear" w:color="auto" w:fill="auto"/>
            <w:vAlign w:val="center"/>
          </w:tcPr>
          <w:p>
            <w:pPr>
              <w:widowControl/>
              <w:jc w:val="center"/>
              <w:rPr>
                <w:rFonts w:ascii="宋体" w:hAnsi="宋体"/>
                <w:kern w:val="0"/>
                <w:sz w:val="18"/>
                <w:szCs w:val="18"/>
              </w:rPr>
            </w:pPr>
            <w:r>
              <w:rPr>
                <w:rFonts w:ascii="宋体" w:hAnsi="宋体"/>
                <w:kern w:val="0"/>
                <w:sz w:val="18"/>
                <w:szCs w:val="18"/>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5" w:type="pct"/>
            <w:vMerge w:val="restart"/>
            <w:shd w:val="clear" w:color="auto" w:fill="auto"/>
            <w:vAlign w:val="center"/>
          </w:tcPr>
          <w:p>
            <w:pPr>
              <w:widowControl/>
              <w:jc w:val="center"/>
              <w:rPr>
                <w:rFonts w:ascii="宋体" w:hAnsi="宋体"/>
                <w:kern w:val="0"/>
                <w:sz w:val="18"/>
                <w:szCs w:val="18"/>
              </w:rPr>
            </w:pPr>
            <w:r>
              <w:rPr>
                <w:rFonts w:hint="eastAsia" w:ascii="宋体" w:hAnsi="宋体"/>
                <w:kern w:val="0"/>
                <w:sz w:val="18"/>
                <w:szCs w:val="18"/>
              </w:rPr>
              <w:t>位移</w:t>
            </w:r>
            <w:r>
              <w:rPr>
                <w:rFonts w:ascii="宋体" w:hAnsi="宋体"/>
                <w:kern w:val="0"/>
                <w:sz w:val="18"/>
                <w:szCs w:val="18"/>
              </w:rPr>
              <w:t>监测</w:t>
            </w:r>
          </w:p>
        </w:tc>
        <w:tc>
          <w:tcPr>
            <w:tcW w:w="1552" w:type="pct"/>
            <w:shd w:val="clear" w:color="auto" w:fill="auto"/>
            <w:vAlign w:val="center"/>
          </w:tcPr>
          <w:p>
            <w:pPr>
              <w:widowControl/>
              <w:jc w:val="center"/>
              <w:rPr>
                <w:rFonts w:ascii="宋体" w:hAnsi="宋体"/>
                <w:kern w:val="0"/>
                <w:sz w:val="18"/>
                <w:szCs w:val="18"/>
              </w:rPr>
            </w:pPr>
            <w:r>
              <w:rPr>
                <w:rFonts w:ascii="宋体" w:hAnsi="宋体"/>
                <w:kern w:val="0"/>
                <w:sz w:val="18"/>
                <w:szCs w:val="18"/>
              </w:rPr>
              <w:t>地表绝对位移</w:t>
            </w:r>
            <w:r>
              <w:rPr>
                <w:rFonts w:hint="eastAsia" w:ascii="宋体" w:hAnsi="宋体"/>
                <w:kern w:val="0"/>
                <w:sz w:val="18"/>
                <w:szCs w:val="18"/>
              </w:rPr>
              <w:t>或相对位移</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10"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5" w:type="pct"/>
            <w:vMerge w:val="continue"/>
            <w:shd w:val="clear" w:color="auto" w:fill="auto"/>
            <w:vAlign w:val="center"/>
          </w:tcPr>
          <w:p>
            <w:pPr>
              <w:widowControl/>
              <w:jc w:val="center"/>
              <w:rPr>
                <w:rFonts w:ascii="宋体" w:hAnsi="宋体"/>
                <w:kern w:val="0"/>
                <w:sz w:val="18"/>
                <w:szCs w:val="18"/>
              </w:rPr>
            </w:pPr>
          </w:p>
        </w:tc>
        <w:tc>
          <w:tcPr>
            <w:tcW w:w="1552" w:type="pct"/>
            <w:shd w:val="clear" w:color="auto" w:fill="auto"/>
            <w:vAlign w:val="center"/>
          </w:tcPr>
          <w:p>
            <w:pPr>
              <w:widowControl/>
              <w:jc w:val="center"/>
              <w:rPr>
                <w:rFonts w:ascii="宋体" w:hAnsi="宋体"/>
                <w:kern w:val="0"/>
                <w:sz w:val="18"/>
                <w:szCs w:val="18"/>
              </w:rPr>
            </w:pPr>
            <w:r>
              <w:rPr>
                <w:rFonts w:ascii="宋体" w:hAnsi="宋体"/>
                <w:kern w:val="0"/>
                <w:sz w:val="18"/>
                <w:szCs w:val="18"/>
              </w:rPr>
              <w:t>建（构）筑物变形</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10"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5" w:type="pct"/>
            <w:vMerge w:val="continue"/>
            <w:shd w:val="clear" w:color="auto" w:fill="auto"/>
            <w:vAlign w:val="center"/>
          </w:tcPr>
          <w:p>
            <w:pPr>
              <w:widowControl/>
              <w:jc w:val="center"/>
              <w:rPr>
                <w:rFonts w:ascii="宋体" w:hAnsi="宋体"/>
                <w:kern w:val="0"/>
                <w:sz w:val="18"/>
                <w:szCs w:val="18"/>
              </w:rPr>
            </w:pPr>
          </w:p>
        </w:tc>
        <w:tc>
          <w:tcPr>
            <w:tcW w:w="1552" w:type="pct"/>
            <w:shd w:val="clear" w:color="auto" w:fill="auto"/>
            <w:vAlign w:val="center"/>
          </w:tcPr>
          <w:p>
            <w:pPr>
              <w:widowControl/>
              <w:jc w:val="center"/>
              <w:rPr>
                <w:rFonts w:ascii="宋体" w:hAnsi="宋体"/>
                <w:kern w:val="0"/>
                <w:sz w:val="18"/>
                <w:szCs w:val="18"/>
              </w:rPr>
            </w:pPr>
            <w:r>
              <w:rPr>
                <w:rFonts w:ascii="宋体" w:hAnsi="宋体"/>
                <w:kern w:val="0"/>
                <w:sz w:val="18"/>
                <w:szCs w:val="18"/>
              </w:rPr>
              <w:t>地面沉降监测</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10"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5" w:type="pct"/>
            <w:vMerge w:val="restart"/>
            <w:shd w:val="clear" w:color="auto" w:fill="auto"/>
            <w:vAlign w:val="center"/>
          </w:tcPr>
          <w:p>
            <w:pPr>
              <w:widowControl/>
              <w:jc w:val="center"/>
              <w:rPr>
                <w:rFonts w:ascii="宋体" w:hAnsi="宋体"/>
                <w:kern w:val="0"/>
                <w:sz w:val="18"/>
                <w:szCs w:val="18"/>
              </w:rPr>
            </w:pPr>
            <w:r>
              <w:rPr>
                <w:rFonts w:hint="eastAsia" w:ascii="宋体" w:hAnsi="宋体"/>
                <w:kern w:val="0"/>
                <w:sz w:val="18"/>
                <w:szCs w:val="18"/>
              </w:rPr>
              <w:t>诱发</w:t>
            </w:r>
            <w:r>
              <w:rPr>
                <w:rFonts w:ascii="宋体" w:hAnsi="宋体"/>
                <w:kern w:val="0"/>
                <w:sz w:val="18"/>
                <w:szCs w:val="18"/>
              </w:rPr>
              <w:t>因素监测</w:t>
            </w:r>
          </w:p>
        </w:tc>
        <w:tc>
          <w:tcPr>
            <w:tcW w:w="1552" w:type="pct"/>
            <w:shd w:val="clear" w:color="auto" w:fill="auto"/>
            <w:vAlign w:val="center"/>
          </w:tcPr>
          <w:p>
            <w:pPr>
              <w:widowControl/>
              <w:jc w:val="center"/>
              <w:rPr>
                <w:rFonts w:ascii="宋体" w:hAnsi="宋体"/>
                <w:kern w:val="0"/>
                <w:sz w:val="18"/>
                <w:szCs w:val="18"/>
              </w:rPr>
            </w:pPr>
            <w:r>
              <w:rPr>
                <w:rFonts w:ascii="宋体" w:hAnsi="宋体"/>
                <w:kern w:val="0"/>
                <w:sz w:val="18"/>
                <w:szCs w:val="18"/>
              </w:rPr>
              <w:t>降雨量</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10"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5" w:type="pct"/>
            <w:vMerge w:val="continue"/>
            <w:shd w:val="clear" w:color="auto" w:fill="auto"/>
            <w:vAlign w:val="center"/>
          </w:tcPr>
          <w:p>
            <w:pPr>
              <w:widowControl/>
              <w:jc w:val="center"/>
              <w:rPr>
                <w:rFonts w:ascii="宋体" w:hAnsi="宋体"/>
                <w:kern w:val="0"/>
                <w:sz w:val="18"/>
                <w:szCs w:val="18"/>
              </w:rPr>
            </w:pPr>
          </w:p>
        </w:tc>
        <w:tc>
          <w:tcPr>
            <w:tcW w:w="1552" w:type="pct"/>
            <w:shd w:val="clear" w:color="auto" w:fill="auto"/>
            <w:vAlign w:val="center"/>
          </w:tcPr>
          <w:p>
            <w:pPr>
              <w:widowControl/>
              <w:jc w:val="center"/>
              <w:rPr>
                <w:rFonts w:ascii="宋体" w:hAnsi="宋体"/>
                <w:kern w:val="0"/>
                <w:sz w:val="18"/>
                <w:szCs w:val="18"/>
              </w:rPr>
            </w:pPr>
            <w:r>
              <w:rPr>
                <w:rFonts w:ascii="宋体" w:hAnsi="宋体"/>
                <w:kern w:val="0"/>
                <w:sz w:val="18"/>
                <w:szCs w:val="18"/>
              </w:rPr>
              <w:t>地下水位</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10" w:type="pct"/>
            <w:shd w:val="clear" w:color="auto" w:fill="auto"/>
            <w:vAlign w:val="center"/>
          </w:tcPr>
          <w:p>
            <w:pPr>
              <w:widowControl/>
              <w:jc w:val="center"/>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5" w:type="pct"/>
            <w:shd w:val="clear" w:color="auto" w:fill="auto"/>
            <w:vAlign w:val="center"/>
          </w:tcPr>
          <w:p>
            <w:pPr>
              <w:widowControl/>
              <w:jc w:val="center"/>
              <w:rPr>
                <w:rFonts w:ascii="宋体" w:hAnsi="宋体"/>
                <w:kern w:val="0"/>
                <w:sz w:val="18"/>
                <w:szCs w:val="18"/>
              </w:rPr>
            </w:pPr>
            <w:r>
              <w:rPr>
                <w:rFonts w:hint="eastAsia" w:ascii="宋体" w:hAnsi="宋体"/>
                <w:kern w:val="0"/>
                <w:sz w:val="18"/>
                <w:szCs w:val="18"/>
              </w:rPr>
              <w:t>其他监测</w:t>
            </w:r>
          </w:p>
        </w:tc>
        <w:tc>
          <w:tcPr>
            <w:tcW w:w="1552" w:type="pct"/>
            <w:shd w:val="clear" w:color="auto" w:fill="auto"/>
            <w:vAlign w:val="center"/>
          </w:tcPr>
          <w:p>
            <w:pPr>
              <w:widowControl/>
              <w:jc w:val="center"/>
              <w:rPr>
                <w:rFonts w:ascii="宋体" w:hAnsi="宋体"/>
                <w:kern w:val="0"/>
                <w:sz w:val="18"/>
                <w:szCs w:val="18"/>
              </w:rPr>
            </w:pPr>
            <w:r>
              <w:rPr>
                <w:rFonts w:hint="eastAsia" w:ascii="宋体" w:hAnsi="宋体"/>
                <w:kern w:val="0"/>
                <w:sz w:val="18"/>
                <w:szCs w:val="18"/>
              </w:rPr>
              <w:t>空腔气压</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36" w:type="pct"/>
            <w:shd w:val="clear" w:color="auto" w:fill="auto"/>
            <w:vAlign w:val="center"/>
          </w:tcPr>
          <w:p>
            <w:pPr>
              <w:widowControl/>
              <w:jc w:val="center"/>
              <w:rPr>
                <w:rFonts w:ascii="宋体" w:hAnsi="宋体"/>
                <w:kern w:val="0"/>
                <w:sz w:val="18"/>
                <w:szCs w:val="18"/>
              </w:rPr>
            </w:pPr>
            <w:r>
              <w:rPr>
                <w:rFonts w:ascii="宋体" w:hAnsi="宋体"/>
                <w:kern w:val="0"/>
                <w:sz w:val="18"/>
                <w:szCs w:val="18"/>
              </w:rPr>
              <w:t>○</w:t>
            </w:r>
          </w:p>
        </w:tc>
        <w:tc>
          <w:tcPr>
            <w:tcW w:w="710" w:type="pct"/>
            <w:shd w:val="clear" w:color="auto" w:fill="auto"/>
            <w:vAlign w:val="center"/>
          </w:tcPr>
          <w:p>
            <w:pPr>
              <w:widowControl/>
              <w:jc w:val="center"/>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shd w:val="clear" w:color="auto" w:fill="auto"/>
            <w:vAlign w:val="center"/>
          </w:tcPr>
          <w:p>
            <w:pPr>
              <w:jc w:val="left"/>
              <w:rPr>
                <w:rFonts w:ascii="宋体" w:hAnsi="宋体"/>
                <w:kern w:val="0"/>
                <w:sz w:val="18"/>
                <w:szCs w:val="18"/>
              </w:rPr>
            </w:pPr>
            <w:r>
              <w:rPr>
                <w:rFonts w:ascii="黑体" w:hAnsi="黑体" w:eastAsia="黑体"/>
                <w:sz w:val="18"/>
                <w:szCs w:val="18"/>
              </w:rPr>
              <w:t>注：</w:t>
            </w:r>
            <w:r>
              <w:rPr>
                <w:rFonts w:ascii="宋体" w:hAnsi="宋体"/>
                <w:w w:val="96"/>
                <w:sz w:val="18"/>
                <w:szCs w:val="18"/>
              </w:rPr>
              <w:t>●</w:t>
            </w:r>
            <w:r>
              <w:rPr>
                <w:rFonts w:ascii="宋体" w:hAnsi="宋体"/>
                <w:sz w:val="18"/>
                <w:szCs w:val="18"/>
              </w:rPr>
              <w:t>表示</w:t>
            </w:r>
            <w:r>
              <w:rPr>
                <w:rFonts w:hint="eastAsia" w:ascii="宋体" w:hAnsi="宋体"/>
                <w:sz w:val="18"/>
                <w:szCs w:val="18"/>
              </w:rPr>
              <w:t>强烈推荐</w:t>
            </w:r>
            <w:r>
              <w:rPr>
                <w:rFonts w:ascii="宋体" w:hAnsi="宋体"/>
                <w:sz w:val="18"/>
                <w:szCs w:val="18"/>
              </w:rPr>
              <w:t>；</w:t>
            </w:r>
            <w:r>
              <w:rPr>
                <w:rFonts w:ascii="宋体" w:hAnsi="宋体"/>
                <w:kern w:val="0"/>
                <w:sz w:val="18"/>
                <w:szCs w:val="18"/>
              </w:rPr>
              <w:t>○</w:t>
            </w:r>
            <w:r>
              <w:rPr>
                <w:rFonts w:ascii="宋体" w:hAnsi="宋体"/>
                <w:sz w:val="18"/>
                <w:szCs w:val="18"/>
              </w:rPr>
              <w:t>表示</w:t>
            </w:r>
            <w:r>
              <w:rPr>
                <w:rFonts w:hint="eastAsia" w:ascii="宋体" w:hAnsi="宋体"/>
                <w:sz w:val="18"/>
                <w:szCs w:val="18"/>
              </w:rPr>
              <w:t>推荐</w:t>
            </w:r>
            <w:r>
              <w:rPr>
                <w:rFonts w:ascii="宋体" w:hAnsi="宋体"/>
                <w:sz w:val="18"/>
                <w:szCs w:val="18"/>
              </w:rPr>
              <w:t>。其它未列</w:t>
            </w:r>
            <w:r>
              <w:rPr>
                <w:rFonts w:hint="eastAsia" w:ascii="宋体" w:hAnsi="宋体"/>
                <w:sz w:val="18"/>
                <w:szCs w:val="18"/>
              </w:rPr>
              <w:t>出或</w:t>
            </w:r>
            <w:r>
              <w:rPr>
                <w:rFonts w:ascii="宋体" w:hAnsi="宋体"/>
                <w:sz w:val="18"/>
                <w:szCs w:val="18"/>
              </w:rPr>
              <w:t>不常</w:t>
            </w:r>
            <w:r>
              <w:rPr>
                <w:rFonts w:hint="eastAsia" w:ascii="宋体" w:hAnsi="宋体"/>
                <w:sz w:val="18"/>
                <w:szCs w:val="18"/>
              </w:rPr>
              <w:t>用的监测</w:t>
            </w:r>
            <w:r>
              <w:rPr>
                <w:rFonts w:ascii="宋体" w:hAnsi="宋体"/>
                <w:sz w:val="18"/>
                <w:szCs w:val="18"/>
              </w:rPr>
              <w:t>内容为可选。</w:t>
            </w:r>
          </w:p>
        </w:tc>
      </w:tr>
    </w:tbl>
    <w:p/>
    <w:p>
      <w:pPr>
        <w:pStyle w:val="4"/>
        <w:spacing w:before="120" w:after="120"/>
      </w:pPr>
      <w:r>
        <w:rPr>
          <w:rFonts w:hint="eastAsia"/>
        </w:rPr>
        <w:t xml:space="preserve">6.3.2  </w:t>
      </w:r>
      <w:r>
        <w:t>监测方法</w:t>
      </w:r>
    </w:p>
    <w:p>
      <w:pPr>
        <w:widowControl/>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hint="eastAsia" w:ascii="宋体" w:hAnsi="宋体"/>
          <w:kern w:val="0"/>
          <w:szCs w:val="21"/>
        </w:rPr>
        <w:t>隐患点监测方法分为自动化监测、人工监测和宏观巡查法三大类。</w:t>
      </w:r>
    </w:p>
    <w:p>
      <w:pPr>
        <w:pStyle w:val="5"/>
        <w:spacing w:before="120" w:after="120"/>
      </w:pPr>
      <w:r>
        <w:rPr>
          <w:rFonts w:hint="eastAsia"/>
        </w:rPr>
        <w:t>6.3.2.1  选取原则</w:t>
      </w:r>
    </w:p>
    <w:p>
      <w:pPr>
        <w:widowControl/>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a)</w:t>
      </w:r>
      <w:r>
        <w:rPr>
          <w:rFonts w:hint="eastAsia" w:ascii="宋体" w:hAnsi="宋体"/>
          <w:kern w:val="0"/>
          <w:szCs w:val="21"/>
        </w:rPr>
        <w:t xml:space="preserve">  </w:t>
      </w:r>
      <w:r>
        <w:rPr>
          <w:rFonts w:ascii="宋体" w:hAnsi="宋体"/>
          <w:kern w:val="0"/>
          <w:szCs w:val="21"/>
        </w:rPr>
        <w:t>一级监测应采用多种监测</w:t>
      </w:r>
      <w:r>
        <w:rPr>
          <w:rFonts w:hint="eastAsia" w:ascii="宋体" w:hAnsi="宋体"/>
          <w:kern w:val="0"/>
          <w:szCs w:val="21"/>
        </w:rPr>
        <w:t>手段</w:t>
      </w:r>
      <w:r>
        <w:rPr>
          <w:rFonts w:ascii="宋体" w:hAnsi="宋体"/>
          <w:kern w:val="0"/>
          <w:szCs w:val="21"/>
        </w:rPr>
        <w:t>进行全自动实时精确监测，并对主要网点同时采取多种监测技术手段互相验证、比较、关联。</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b)</w:t>
      </w:r>
      <w:r>
        <w:rPr>
          <w:rFonts w:hint="eastAsia" w:ascii="宋体" w:hAnsi="宋体"/>
          <w:kern w:val="0"/>
          <w:szCs w:val="21"/>
        </w:rPr>
        <w:t xml:space="preserve">  </w:t>
      </w:r>
      <w:r>
        <w:rPr>
          <w:rFonts w:ascii="宋体" w:hAnsi="宋体"/>
          <w:kern w:val="0"/>
          <w:szCs w:val="21"/>
        </w:rPr>
        <w:t>二级监测宜采用多种监测</w:t>
      </w:r>
      <w:r>
        <w:rPr>
          <w:rFonts w:hint="eastAsia" w:ascii="宋体" w:hAnsi="宋体"/>
          <w:kern w:val="0"/>
          <w:szCs w:val="21"/>
        </w:rPr>
        <w:t>手段</w:t>
      </w:r>
      <w:r>
        <w:rPr>
          <w:rFonts w:ascii="宋体" w:hAnsi="宋体"/>
          <w:kern w:val="0"/>
          <w:szCs w:val="21"/>
        </w:rPr>
        <w:t>进行全自动实时精确监测，并对部分主要网点同时采取多种监测技术手段互相验证、比较、关联。</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c)</w:t>
      </w:r>
      <w:r>
        <w:rPr>
          <w:rFonts w:hint="eastAsia" w:ascii="宋体" w:hAnsi="宋体"/>
          <w:kern w:val="0"/>
          <w:szCs w:val="21"/>
        </w:rPr>
        <w:t xml:space="preserve">  </w:t>
      </w:r>
      <w:r>
        <w:rPr>
          <w:rFonts w:ascii="宋体" w:hAnsi="宋体"/>
          <w:kern w:val="0"/>
          <w:szCs w:val="21"/>
        </w:rPr>
        <w:t>三级监测可采用自动化与人工监测相结合方式进行监测，监测方法与技术手段不宜超过两种。</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d)</w:t>
      </w:r>
      <w:r>
        <w:rPr>
          <w:rFonts w:hint="eastAsia" w:ascii="宋体" w:hAnsi="宋体"/>
          <w:kern w:val="0"/>
          <w:szCs w:val="21"/>
        </w:rPr>
        <w:t xml:space="preserve">  宏观巡查法作为监测通用手段，应定期开展。</w:t>
      </w:r>
    </w:p>
    <w:p>
      <w:pPr>
        <w:pStyle w:val="5"/>
        <w:spacing w:before="120" w:after="120"/>
      </w:pPr>
      <w:r>
        <w:rPr>
          <w:rFonts w:hint="eastAsia"/>
        </w:rPr>
        <w:t>6.3.2.2  自动化监测方法</w:t>
      </w:r>
    </w:p>
    <w:p>
      <w:pPr>
        <w:spacing w:line="360" w:lineRule="auto"/>
        <w:ind w:firstLine="420" w:firstLineChars="200"/>
        <w:rPr>
          <w:rFonts w:ascii="宋体" w:hAnsi="宋体"/>
          <w:szCs w:val="21"/>
        </w:rPr>
      </w:pPr>
      <w:r>
        <w:rPr>
          <w:rFonts w:hint="eastAsia" w:ascii="宋体" w:hAnsi="宋体"/>
          <w:szCs w:val="21"/>
        </w:rPr>
        <w:t>自动化监测方法与技术手段，</w:t>
      </w:r>
      <w:r>
        <w:rPr>
          <w:rFonts w:ascii="宋体" w:hAnsi="宋体"/>
          <w:szCs w:val="21"/>
        </w:rPr>
        <w:t>应在监测内容的基础上，根据其重要性和危害性、监测环境优劣情况和难易程度、技术可行性和经济合理性等，本着先进、直观、方便、快速、连续等</w:t>
      </w:r>
      <w:r>
        <w:rPr>
          <w:rFonts w:hint="eastAsia" w:ascii="宋体" w:hAnsi="宋体"/>
          <w:szCs w:val="21"/>
        </w:rPr>
        <w:t>条件</w:t>
      </w:r>
      <w:r>
        <w:rPr>
          <w:rFonts w:ascii="宋体" w:hAnsi="宋体"/>
          <w:szCs w:val="21"/>
        </w:rPr>
        <w:t>确定。</w:t>
      </w:r>
    </w:p>
    <w:p>
      <w:pPr>
        <w:spacing w:line="360" w:lineRule="auto"/>
        <w:ind w:firstLine="420" w:firstLineChars="200"/>
        <w:rPr>
          <w:rFonts w:ascii="Times New Roman" w:hAnsi="Times New Roman"/>
          <w:szCs w:val="21"/>
        </w:rPr>
      </w:pPr>
      <w:r>
        <w:rPr>
          <w:rFonts w:hint="eastAsia" w:ascii="宋体" w:hAnsi="宋体"/>
          <w:szCs w:val="21"/>
        </w:rPr>
        <w:t>各灾种常用的自动化监测方法选取可参考表</w:t>
      </w:r>
      <w:r>
        <w:rPr>
          <w:rFonts w:ascii="Times New Roman" w:hAnsi="Times New Roman"/>
          <w:szCs w:val="21"/>
        </w:rPr>
        <w:t>10。</w:t>
      </w:r>
    </w:p>
    <w:p>
      <w:pPr>
        <w:spacing w:line="360" w:lineRule="auto"/>
        <w:ind w:firstLine="420" w:firstLineChars="200"/>
        <w:rPr>
          <w:rFonts w:ascii="Times New Roman" w:hAnsi="Times New Roman"/>
          <w:szCs w:val="21"/>
        </w:r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 xml:space="preserve">10  </w:t>
      </w:r>
      <w:r>
        <w:rPr>
          <w:rFonts w:ascii="黑体" w:hAnsi="黑体" w:eastAsia="黑体"/>
          <w:kern w:val="0"/>
          <w:szCs w:val="21"/>
        </w:rPr>
        <w:t>地质灾害</w:t>
      </w:r>
      <w:r>
        <w:rPr>
          <w:rFonts w:hint="eastAsia" w:ascii="黑体" w:hAnsi="黑体" w:eastAsia="黑体"/>
          <w:kern w:val="0"/>
          <w:szCs w:val="21"/>
        </w:rPr>
        <w:t>自动化</w:t>
      </w:r>
      <w:r>
        <w:rPr>
          <w:rFonts w:ascii="黑体" w:hAnsi="黑体" w:eastAsia="黑体"/>
          <w:kern w:val="0"/>
          <w:szCs w:val="21"/>
        </w:rPr>
        <w:t>专业监测方法选取表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26"/>
        <w:gridCol w:w="699"/>
        <w:gridCol w:w="1538"/>
        <w:gridCol w:w="2019"/>
        <w:gridCol w:w="2875"/>
        <w:gridCol w:w="1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序号</w:t>
            </w:r>
          </w:p>
        </w:tc>
        <w:tc>
          <w:tcPr>
            <w:tcW w:w="373" w:type="pct"/>
            <w:shd w:val="clear" w:color="auto" w:fill="auto"/>
            <w:vAlign w:val="center"/>
          </w:tcPr>
          <w:p>
            <w:pPr>
              <w:jc w:val="center"/>
              <w:rPr>
                <w:rFonts w:ascii="Times New Roman" w:hAnsi="Times New Roman"/>
                <w:sz w:val="18"/>
                <w:szCs w:val="18"/>
              </w:rPr>
            </w:pPr>
            <w:r>
              <w:rPr>
                <w:rFonts w:ascii="Times New Roman" w:hAnsi="Times New Roman"/>
                <w:sz w:val="18"/>
                <w:szCs w:val="18"/>
              </w:rPr>
              <w:t>监测</w:t>
            </w:r>
          </w:p>
          <w:p>
            <w:pPr>
              <w:jc w:val="center"/>
              <w:rPr>
                <w:rFonts w:ascii="Times New Roman" w:hAnsi="Times New Roman"/>
                <w:sz w:val="18"/>
                <w:szCs w:val="18"/>
              </w:rPr>
            </w:pPr>
            <w:r>
              <w:rPr>
                <w:rFonts w:ascii="Times New Roman" w:hAnsi="Times New Roman"/>
                <w:sz w:val="18"/>
                <w:szCs w:val="18"/>
              </w:rPr>
              <w:t>分类</w:t>
            </w: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监测项目</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观测内容</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自动化监测方法/手段</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适用灾种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1</w:t>
            </w:r>
          </w:p>
        </w:tc>
        <w:tc>
          <w:tcPr>
            <w:tcW w:w="373"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位移</w:t>
            </w:r>
          </w:p>
          <w:p>
            <w:pPr>
              <w:jc w:val="center"/>
              <w:rPr>
                <w:rFonts w:ascii="Times New Roman" w:hAnsi="Times New Roman"/>
                <w:sz w:val="18"/>
                <w:szCs w:val="18"/>
              </w:rPr>
            </w:pPr>
            <w:r>
              <w:rPr>
                <w:rFonts w:ascii="Times New Roman" w:hAnsi="Times New Roman"/>
                <w:sz w:val="18"/>
                <w:szCs w:val="18"/>
              </w:rPr>
              <w:t>监测</w:t>
            </w: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地表位移监测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地表水平位移、</w:t>
            </w:r>
          </w:p>
          <w:p>
            <w:pPr>
              <w:jc w:val="center"/>
              <w:rPr>
                <w:rFonts w:ascii="Times New Roman" w:hAnsi="Times New Roman"/>
                <w:sz w:val="18"/>
                <w:szCs w:val="18"/>
              </w:rPr>
            </w:pPr>
            <w:r>
              <w:rPr>
                <w:rFonts w:ascii="Times New Roman" w:hAnsi="Times New Roman"/>
                <w:sz w:val="18"/>
                <w:szCs w:val="18"/>
              </w:rPr>
              <w:t>垂直位移监测</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GNSS（GPS、北斗）、拉线式或激光测距式相对位移监测、自动化水平角、电磁波、三角高程</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滑坡、崩塌、地面塌陷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2</w:t>
            </w:r>
          </w:p>
        </w:tc>
        <w:tc>
          <w:tcPr>
            <w:tcW w:w="373" w:type="pct"/>
            <w:vMerge w:val="continue"/>
            <w:shd w:val="clear" w:color="auto" w:fill="auto"/>
            <w:vAlign w:val="center"/>
          </w:tcPr>
          <w:p>
            <w:pPr>
              <w:jc w:val="center"/>
              <w:rPr>
                <w:rFonts w:ascii="Times New Roman" w:hAnsi="Times New Roman"/>
                <w:sz w:val="18"/>
                <w:szCs w:val="18"/>
              </w:rPr>
            </w:pP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深部位移监测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深部位移变形、</w:t>
            </w:r>
          </w:p>
          <w:p>
            <w:pPr>
              <w:jc w:val="center"/>
              <w:rPr>
                <w:rFonts w:ascii="Times New Roman" w:hAnsi="Times New Roman"/>
                <w:sz w:val="18"/>
                <w:szCs w:val="18"/>
              </w:rPr>
            </w:pPr>
            <w:r>
              <w:rPr>
                <w:rFonts w:ascii="Times New Roman" w:hAnsi="Times New Roman"/>
                <w:sz w:val="18"/>
                <w:szCs w:val="18"/>
              </w:rPr>
              <w:t>滑带处错动等</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复合式深部位移监测仪</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滑坡、崩塌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3</w:t>
            </w:r>
          </w:p>
        </w:tc>
        <w:tc>
          <w:tcPr>
            <w:tcW w:w="373" w:type="pct"/>
            <w:vMerge w:val="continue"/>
            <w:shd w:val="clear" w:color="auto" w:fill="auto"/>
            <w:vAlign w:val="center"/>
          </w:tcPr>
          <w:p>
            <w:pPr>
              <w:jc w:val="center"/>
              <w:rPr>
                <w:rFonts w:ascii="Times New Roman" w:hAnsi="Times New Roman"/>
                <w:sz w:val="18"/>
                <w:szCs w:val="18"/>
              </w:rPr>
            </w:pP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裂缝监测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裂缝宽度、长度、错位情况、方向及裂缝深度等</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裂缝监测仪、多维非接触监测仪</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滑坡、崩塌、地面塌陷、泥石流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4</w:t>
            </w:r>
          </w:p>
        </w:tc>
        <w:tc>
          <w:tcPr>
            <w:tcW w:w="373" w:type="pct"/>
            <w:vMerge w:val="continue"/>
            <w:shd w:val="clear" w:color="auto" w:fill="auto"/>
            <w:vAlign w:val="center"/>
          </w:tcPr>
          <w:p>
            <w:pPr>
              <w:jc w:val="center"/>
              <w:rPr>
                <w:rFonts w:ascii="Times New Roman" w:hAnsi="Times New Roman"/>
                <w:sz w:val="18"/>
                <w:szCs w:val="18"/>
              </w:rPr>
            </w:pP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危岩位移倾斜监测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三维位移、倾斜</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多维非接触监测仪、倾斜计、倾角计</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崩塌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5</w:t>
            </w:r>
          </w:p>
        </w:tc>
        <w:tc>
          <w:tcPr>
            <w:tcW w:w="373"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应力</w:t>
            </w:r>
          </w:p>
          <w:p>
            <w:pPr>
              <w:jc w:val="center"/>
              <w:rPr>
                <w:rFonts w:ascii="Times New Roman" w:hAnsi="Times New Roman"/>
                <w:sz w:val="18"/>
                <w:szCs w:val="18"/>
              </w:rPr>
            </w:pPr>
            <w:r>
              <w:rPr>
                <w:rFonts w:ascii="Times New Roman" w:hAnsi="Times New Roman"/>
                <w:sz w:val="18"/>
                <w:szCs w:val="18"/>
              </w:rPr>
              <w:t>监测</w:t>
            </w: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应力监测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土压力、岩体应力</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应力传感器</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滑坡、崩塌、地面塌陷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6</w:t>
            </w:r>
          </w:p>
        </w:tc>
        <w:tc>
          <w:tcPr>
            <w:tcW w:w="373" w:type="pct"/>
            <w:vMerge w:val="continue"/>
            <w:shd w:val="clear" w:color="auto" w:fill="auto"/>
            <w:vAlign w:val="center"/>
          </w:tcPr>
          <w:p>
            <w:pPr>
              <w:jc w:val="center"/>
              <w:rPr>
                <w:rFonts w:ascii="Times New Roman" w:hAnsi="Times New Roman"/>
                <w:sz w:val="18"/>
                <w:szCs w:val="18"/>
              </w:rPr>
            </w:pP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推力监测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滑坡推力</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复合式深部监测仪、滑坡推力监测</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7</w:t>
            </w:r>
          </w:p>
        </w:tc>
        <w:tc>
          <w:tcPr>
            <w:tcW w:w="373"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诱发因素监测</w:t>
            </w: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地下水监测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地下水水位、水温</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复合式深部监测仪/</w:t>
            </w:r>
          </w:p>
          <w:p>
            <w:pPr>
              <w:jc w:val="center"/>
              <w:rPr>
                <w:rFonts w:ascii="Times New Roman" w:hAnsi="Times New Roman"/>
                <w:sz w:val="18"/>
                <w:szCs w:val="18"/>
              </w:rPr>
            </w:pPr>
            <w:r>
              <w:rPr>
                <w:rFonts w:ascii="Times New Roman" w:hAnsi="Times New Roman"/>
                <w:sz w:val="18"/>
                <w:szCs w:val="18"/>
              </w:rPr>
              <w:t>地下水文观测系统</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滑坡、崩塌、地面塌陷、泥石流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8</w:t>
            </w:r>
          </w:p>
        </w:tc>
        <w:tc>
          <w:tcPr>
            <w:tcW w:w="373" w:type="pct"/>
            <w:vMerge w:val="continue"/>
            <w:shd w:val="clear" w:color="auto" w:fill="auto"/>
            <w:vAlign w:val="center"/>
          </w:tcPr>
          <w:p>
            <w:pPr>
              <w:jc w:val="center"/>
              <w:rPr>
                <w:rFonts w:ascii="Times New Roman" w:hAnsi="Times New Roman"/>
                <w:sz w:val="18"/>
                <w:szCs w:val="18"/>
              </w:rPr>
            </w:pP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降雨量监测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大气降水量</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自动雨量计</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滑坡、崩塌、地面塌陷、泥石流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9</w:t>
            </w:r>
          </w:p>
        </w:tc>
        <w:tc>
          <w:tcPr>
            <w:tcW w:w="373" w:type="pct"/>
            <w:vMerge w:val="continue"/>
            <w:shd w:val="clear" w:color="auto" w:fill="auto"/>
            <w:vAlign w:val="center"/>
          </w:tcPr>
          <w:p>
            <w:pPr>
              <w:jc w:val="center"/>
              <w:rPr>
                <w:rFonts w:ascii="Times New Roman" w:hAnsi="Times New Roman"/>
                <w:sz w:val="18"/>
                <w:szCs w:val="18"/>
              </w:rPr>
            </w:pP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土壤含水率</w:t>
            </w:r>
          </w:p>
          <w:p>
            <w:pPr>
              <w:jc w:val="center"/>
              <w:rPr>
                <w:rFonts w:ascii="Times New Roman" w:hAnsi="Times New Roman"/>
                <w:sz w:val="18"/>
                <w:szCs w:val="18"/>
              </w:rPr>
            </w:pPr>
            <w:r>
              <w:rPr>
                <w:rFonts w:ascii="Times New Roman" w:hAnsi="Times New Roman"/>
                <w:sz w:val="18"/>
                <w:szCs w:val="18"/>
              </w:rPr>
              <w:t>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监测土壤含水率</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土壤含水率监测仪</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滑坡、崩塌、地面塌陷、泥石流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c>
          <w:tcPr>
            <w:tcW w:w="373" w:type="pct"/>
            <w:vMerge w:val="continue"/>
            <w:shd w:val="clear" w:color="auto" w:fill="auto"/>
            <w:vAlign w:val="center"/>
          </w:tcPr>
          <w:p>
            <w:pPr>
              <w:jc w:val="center"/>
              <w:rPr>
                <w:rFonts w:ascii="Times New Roman" w:hAnsi="Times New Roman"/>
                <w:sz w:val="18"/>
                <w:szCs w:val="18"/>
              </w:rPr>
            </w:pP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孔隙水压力监测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孔隙水压力</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复合式深部监测仪/孔隙水压力计</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滑坡、泥石流、</w:t>
            </w:r>
          </w:p>
          <w:p>
            <w:pPr>
              <w:jc w:val="center"/>
              <w:rPr>
                <w:rFonts w:ascii="Times New Roman" w:hAnsi="Times New Roman"/>
                <w:sz w:val="18"/>
                <w:szCs w:val="18"/>
              </w:rPr>
            </w:pPr>
            <w:r>
              <w:rPr>
                <w:rFonts w:ascii="Times New Roman" w:hAnsi="Times New Roman"/>
                <w:sz w:val="18"/>
                <w:szCs w:val="18"/>
              </w:rPr>
              <w:t>地面塌陷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11</w:t>
            </w:r>
          </w:p>
        </w:tc>
        <w:tc>
          <w:tcPr>
            <w:tcW w:w="373" w:type="pct"/>
            <w:vMerge w:val="continue"/>
            <w:shd w:val="clear" w:color="auto" w:fill="auto"/>
            <w:vAlign w:val="center"/>
          </w:tcPr>
          <w:p>
            <w:pPr>
              <w:jc w:val="center"/>
              <w:rPr>
                <w:rFonts w:ascii="Times New Roman" w:hAnsi="Times New Roman"/>
                <w:sz w:val="18"/>
                <w:szCs w:val="18"/>
              </w:rPr>
            </w:pP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泥水位监测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泥石流泥水位</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泥水位监测仪</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泥石流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12</w:t>
            </w:r>
          </w:p>
        </w:tc>
        <w:tc>
          <w:tcPr>
            <w:tcW w:w="373"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其它</w:t>
            </w:r>
          </w:p>
          <w:p>
            <w:pPr>
              <w:jc w:val="center"/>
              <w:rPr>
                <w:rFonts w:ascii="Times New Roman" w:hAnsi="Times New Roman"/>
                <w:sz w:val="18"/>
                <w:szCs w:val="18"/>
              </w:rPr>
            </w:pPr>
            <w:r>
              <w:rPr>
                <w:rFonts w:ascii="Times New Roman" w:hAnsi="Times New Roman"/>
                <w:sz w:val="18"/>
                <w:szCs w:val="18"/>
              </w:rPr>
              <w:t>监测</w:t>
            </w: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视频监控</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地表变形、</w:t>
            </w:r>
          </w:p>
          <w:p>
            <w:pPr>
              <w:jc w:val="center"/>
              <w:rPr>
                <w:rFonts w:ascii="Times New Roman" w:hAnsi="Times New Roman"/>
                <w:sz w:val="18"/>
                <w:szCs w:val="18"/>
              </w:rPr>
            </w:pPr>
            <w:r>
              <w:rPr>
                <w:rFonts w:ascii="Times New Roman" w:hAnsi="Times New Roman"/>
                <w:sz w:val="18"/>
                <w:szCs w:val="18"/>
              </w:rPr>
              <w:t>泥石流冲沟淤积</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视频监控系统</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滑坡、崩塌、泥石流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8" w:type="pct"/>
            <w:shd w:val="clear" w:color="auto" w:fill="auto"/>
            <w:vAlign w:val="center"/>
          </w:tcPr>
          <w:p>
            <w:pPr>
              <w:jc w:val="center"/>
              <w:rPr>
                <w:rFonts w:ascii="Times New Roman" w:hAnsi="Times New Roman"/>
                <w:sz w:val="18"/>
                <w:szCs w:val="18"/>
              </w:rPr>
            </w:pPr>
            <w:r>
              <w:rPr>
                <w:rFonts w:ascii="Times New Roman" w:hAnsi="Times New Roman"/>
                <w:sz w:val="18"/>
                <w:szCs w:val="18"/>
              </w:rPr>
              <w:t>13</w:t>
            </w:r>
          </w:p>
        </w:tc>
        <w:tc>
          <w:tcPr>
            <w:tcW w:w="373" w:type="pct"/>
            <w:vMerge w:val="continue"/>
            <w:shd w:val="clear" w:color="auto" w:fill="auto"/>
            <w:vAlign w:val="center"/>
          </w:tcPr>
          <w:p>
            <w:pPr>
              <w:jc w:val="center"/>
              <w:rPr>
                <w:rFonts w:ascii="Times New Roman" w:hAnsi="Times New Roman"/>
                <w:sz w:val="18"/>
                <w:szCs w:val="18"/>
              </w:rPr>
            </w:pPr>
          </w:p>
        </w:tc>
        <w:tc>
          <w:tcPr>
            <w:tcW w:w="821" w:type="pct"/>
            <w:shd w:val="clear" w:color="auto" w:fill="auto"/>
            <w:vAlign w:val="center"/>
          </w:tcPr>
          <w:p>
            <w:pPr>
              <w:jc w:val="center"/>
              <w:rPr>
                <w:rFonts w:ascii="Times New Roman" w:hAnsi="Times New Roman"/>
                <w:sz w:val="18"/>
                <w:szCs w:val="18"/>
              </w:rPr>
            </w:pPr>
            <w:r>
              <w:rPr>
                <w:rFonts w:ascii="Times New Roman" w:hAnsi="Times New Roman"/>
                <w:sz w:val="18"/>
                <w:szCs w:val="18"/>
              </w:rPr>
              <w:t>地声（次声）地震动监测</w:t>
            </w:r>
          </w:p>
        </w:tc>
        <w:tc>
          <w:tcPr>
            <w:tcW w:w="1078" w:type="pct"/>
            <w:shd w:val="clear" w:color="auto" w:fill="auto"/>
            <w:vAlign w:val="center"/>
          </w:tcPr>
          <w:p>
            <w:pPr>
              <w:jc w:val="center"/>
              <w:rPr>
                <w:rFonts w:ascii="Times New Roman" w:hAnsi="Times New Roman"/>
                <w:sz w:val="18"/>
                <w:szCs w:val="18"/>
              </w:rPr>
            </w:pPr>
            <w:r>
              <w:rPr>
                <w:rFonts w:ascii="Times New Roman" w:hAnsi="Times New Roman"/>
                <w:sz w:val="18"/>
                <w:szCs w:val="18"/>
              </w:rPr>
              <w:t>地声、次声波、地震动</w:t>
            </w:r>
          </w:p>
        </w:tc>
        <w:tc>
          <w:tcPr>
            <w:tcW w:w="1535" w:type="pct"/>
            <w:shd w:val="clear" w:color="auto" w:fill="auto"/>
            <w:vAlign w:val="center"/>
          </w:tcPr>
          <w:p>
            <w:pPr>
              <w:jc w:val="center"/>
              <w:rPr>
                <w:rFonts w:ascii="Times New Roman" w:hAnsi="Times New Roman"/>
                <w:sz w:val="18"/>
                <w:szCs w:val="18"/>
              </w:rPr>
            </w:pPr>
            <w:r>
              <w:rPr>
                <w:rFonts w:ascii="Times New Roman" w:hAnsi="Times New Roman"/>
                <w:sz w:val="18"/>
                <w:szCs w:val="18"/>
              </w:rPr>
              <w:t>地声发射仪、地音探测仪、</w:t>
            </w:r>
          </w:p>
          <w:p>
            <w:pPr>
              <w:jc w:val="center"/>
              <w:rPr>
                <w:rFonts w:ascii="Times New Roman" w:hAnsi="Times New Roman"/>
                <w:sz w:val="18"/>
                <w:szCs w:val="18"/>
              </w:rPr>
            </w:pPr>
            <w:r>
              <w:rPr>
                <w:rFonts w:ascii="Times New Roman" w:hAnsi="Times New Roman"/>
                <w:sz w:val="18"/>
                <w:szCs w:val="18"/>
              </w:rPr>
              <w:t>地震仪、地电仪</w:t>
            </w:r>
          </w:p>
        </w:tc>
        <w:tc>
          <w:tcPr>
            <w:tcW w:w="965" w:type="pct"/>
            <w:shd w:val="clear" w:color="auto" w:fill="auto"/>
            <w:vAlign w:val="center"/>
          </w:tcPr>
          <w:p>
            <w:pPr>
              <w:jc w:val="center"/>
              <w:rPr>
                <w:rFonts w:ascii="Times New Roman" w:hAnsi="Times New Roman"/>
                <w:sz w:val="18"/>
                <w:szCs w:val="18"/>
              </w:rPr>
            </w:pPr>
            <w:r>
              <w:rPr>
                <w:rFonts w:ascii="Times New Roman" w:hAnsi="Times New Roman"/>
                <w:sz w:val="18"/>
                <w:szCs w:val="18"/>
              </w:rPr>
              <w:t>岩质滑坡、崩塌、</w:t>
            </w:r>
          </w:p>
          <w:p>
            <w:pPr>
              <w:jc w:val="center"/>
              <w:rPr>
                <w:rFonts w:ascii="Times New Roman" w:hAnsi="Times New Roman"/>
                <w:sz w:val="18"/>
                <w:szCs w:val="18"/>
              </w:rPr>
            </w:pPr>
            <w:r>
              <w:rPr>
                <w:rFonts w:ascii="Times New Roman" w:hAnsi="Times New Roman"/>
                <w:sz w:val="18"/>
                <w:szCs w:val="18"/>
              </w:rPr>
              <w:t>泥石流、地面塌陷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6"/>
            <w:shd w:val="clear" w:color="auto" w:fill="auto"/>
            <w:vAlign w:val="center"/>
          </w:tcPr>
          <w:p>
            <w:pPr>
              <w:jc w:val="left"/>
              <w:rPr>
                <w:rFonts w:ascii="Times New Roman" w:hAnsi="Times New Roman"/>
                <w:sz w:val="18"/>
                <w:szCs w:val="18"/>
              </w:rPr>
            </w:pPr>
            <w:r>
              <w:rPr>
                <w:rFonts w:ascii="黑体" w:hAnsi="黑体" w:eastAsia="黑体"/>
                <w:sz w:val="18"/>
                <w:szCs w:val="18"/>
              </w:rPr>
              <w:t>注：</w:t>
            </w:r>
            <w:r>
              <w:rPr>
                <w:rFonts w:ascii="Times New Roman" w:hAnsi="Times New Roman"/>
                <w:sz w:val="18"/>
                <w:szCs w:val="18"/>
              </w:rPr>
              <w:t>本表列出了目前常用的监测方法和手段。随着信息化、物联网及传感器等技术的快速发展，仅做推荐性参考。</w:t>
            </w:r>
          </w:p>
        </w:tc>
      </w:tr>
    </w:tbl>
    <w:p>
      <w:pPr>
        <w:spacing w:line="360" w:lineRule="auto"/>
        <w:ind w:firstLine="420" w:firstLineChars="200"/>
        <w:rPr>
          <w:rFonts w:ascii="宋体" w:hAnsi="宋体"/>
          <w:szCs w:val="21"/>
        </w:rPr>
      </w:pPr>
    </w:p>
    <w:p>
      <w:pPr>
        <w:pStyle w:val="5"/>
        <w:spacing w:before="120" w:after="120"/>
      </w:pPr>
      <w:r>
        <w:rPr>
          <w:rFonts w:hint="eastAsia"/>
        </w:rPr>
        <w:t>6.3.2.3  人工监测方法</w:t>
      </w:r>
    </w:p>
    <w:p>
      <w:pPr>
        <w:spacing w:line="360" w:lineRule="auto"/>
        <w:ind w:firstLine="420" w:firstLineChars="200"/>
        <w:rPr>
          <w:rFonts w:ascii="Times New Roman" w:hAnsi="Times New Roman"/>
          <w:szCs w:val="21"/>
        </w:rPr>
      </w:pPr>
      <w:r>
        <w:rPr>
          <w:rFonts w:ascii="宋体" w:hAnsi="宋体"/>
          <w:kern w:val="0"/>
          <w:szCs w:val="21"/>
        </w:rPr>
        <w:t>人工监测方法可参照《崩塌、滑坡、泥石流监测规范》</w:t>
      </w:r>
      <w:r>
        <w:rPr>
          <w:rFonts w:ascii="Times New Roman" w:hAnsi="Times New Roman"/>
          <w:kern w:val="0"/>
          <w:szCs w:val="21"/>
        </w:rPr>
        <w:t>（DZ/T 0221</w:t>
      </w:r>
      <w:r>
        <w:rPr>
          <w:rFonts w:hint="eastAsia" w:ascii="宋体" w:hAnsi="宋体"/>
          <w:kern w:val="0"/>
          <w:szCs w:val="21"/>
        </w:rPr>
        <w:t>―</w:t>
      </w:r>
      <w:r>
        <w:rPr>
          <w:rFonts w:ascii="Times New Roman" w:hAnsi="Times New Roman"/>
          <w:kern w:val="0"/>
          <w:szCs w:val="21"/>
        </w:rPr>
        <w:t>2006）以及《建筑变形测量规范》（JGJ 8</w:t>
      </w:r>
      <w:r>
        <w:rPr>
          <w:rFonts w:hint="eastAsia" w:ascii="宋体" w:hAnsi="宋体"/>
          <w:kern w:val="0"/>
          <w:szCs w:val="21"/>
        </w:rPr>
        <w:t>―</w:t>
      </w:r>
      <w:r>
        <w:rPr>
          <w:rFonts w:ascii="Times New Roman" w:hAnsi="Times New Roman"/>
          <w:kern w:val="0"/>
          <w:szCs w:val="21"/>
        </w:rPr>
        <w:t>2016）执行。</w:t>
      </w:r>
    </w:p>
    <w:p>
      <w:pPr>
        <w:pStyle w:val="5"/>
        <w:spacing w:before="120" w:after="120"/>
      </w:pPr>
      <w:r>
        <w:rPr>
          <w:rFonts w:hint="eastAsia"/>
        </w:rPr>
        <w:t>6.3.2.4  宏观巡查</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ascii="宋体" w:hAnsi="宋体"/>
          <w:kern w:val="0"/>
          <w:szCs w:val="21"/>
        </w:rPr>
        <w:t>为及时掌握灾害体</w:t>
      </w:r>
      <w:r>
        <w:rPr>
          <w:rFonts w:hint="eastAsia" w:ascii="宋体" w:hAnsi="宋体"/>
          <w:kern w:val="0"/>
          <w:szCs w:val="21"/>
        </w:rPr>
        <w:t>的</w:t>
      </w:r>
      <w:r>
        <w:rPr>
          <w:rFonts w:ascii="宋体" w:hAnsi="宋体"/>
          <w:kern w:val="0"/>
          <w:szCs w:val="21"/>
        </w:rPr>
        <w:t>宏观变形</w:t>
      </w:r>
      <w:r>
        <w:rPr>
          <w:rFonts w:hint="eastAsia" w:ascii="宋体" w:hAnsi="宋体"/>
          <w:kern w:val="0"/>
          <w:szCs w:val="21"/>
        </w:rPr>
        <w:t>动态和发展趋势，以</w:t>
      </w:r>
      <w:r>
        <w:rPr>
          <w:rFonts w:ascii="宋体" w:hAnsi="宋体"/>
          <w:kern w:val="0"/>
          <w:szCs w:val="21"/>
        </w:rPr>
        <w:t>及监测设备运行（设备完好度、是否有隐患存在）</w:t>
      </w:r>
      <w:r>
        <w:rPr>
          <w:rFonts w:hint="eastAsia" w:ascii="宋体" w:hAnsi="宋体"/>
          <w:kern w:val="0"/>
          <w:szCs w:val="21"/>
        </w:rPr>
        <w:t>、人类工程活动</w:t>
      </w:r>
      <w:r>
        <w:rPr>
          <w:rFonts w:ascii="宋体" w:hAnsi="宋体"/>
          <w:kern w:val="0"/>
          <w:szCs w:val="21"/>
        </w:rPr>
        <w:t>等情况，监测期间应辅以专业技术人员巡查，并填写相应巡查记录表格</w:t>
      </w:r>
      <w:r>
        <w:rPr>
          <w:rFonts w:ascii="Times New Roman" w:hAnsi="Times New Roman"/>
          <w:kern w:val="0"/>
          <w:szCs w:val="21"/>
        </w:rPr>
        <w:t>（见附录D）</w:t>
      </w:r>
      <w:r>
        <w:rPr>
          <w:rFonts w:ascii="宋体" w:hAnsi="宋体"/>
          <w:kern w:val="0"/>
          <w:szCs w:val="21"/>
        </w:rPr>
        <w:t>。</w:t>
      </w:r>
    </w:p>
    <w:p>
      <w:pPr>
        <w:pStyle w:val="4"/>
        <w:spacing w:before="120" w:after="120"/>
      </w:pPr>
      <w:r>
        <w:rPr>
          <w:rFonts w:hint="eastAsia"/>
        </w:rPr>
        <w:t xml:space="preserve">6.3.3  </w:t>
      </w:r>
      <w:r>
        <w:t>监测精度</w:t>
      </w:r>
    </w:p>
    <w:p>
      <w:pPr>
        <w:tabs>
          <w:tab w:val="center" w:pos="4201"/>
          <w:tab w:val="right" w:leader="dot" w:pos="9298"/>
        </w:tabs>
        <w:autoSpaceDE w:val="0"/>
        <w:autoSpaceDN w:val="0"/>
        <w:spacing w:line="360" w:lineRule="auto"/>
        <w:rPr>
          <w:rFonts w:ascii="Times New Roman" w:hAnsi="Times New Roman"/>
          <w:kern w:val="0"/>
          <w:szCs w:val="21"/>
        </w:rPr>
      </w:pPr>
      <w:r>
        <w:rPr>
          <w:rStyle w:val="24"/>
        </w:rPr>
        <w:t>6.3.</w:t>
      </w:r>
      <w:r>
        <w:rPr>
          <w:rStyle w:val="24"/>
          <w:rFonts w:hint="eastAsia"/>
        </w:rPr>
        <w:t>3.1</w:t>
      </w:r>
      <w:r>
        <w:rPr>
          <w:rStyle w:val="24"/>
        </w:rPr>
        <w:t xml:space="preserve">  </w:t>
      </w:r>
      <w:r>
        <w:rPr>
          <w:rFonts w:ascii="Times New Roman" w:hAnsi="Times New Roman"/>
          <w:kern w:val="0"/>
          <w:szCs w:val="21"/>
        </w:rPr>
        <w:t>滑坡监测精度根据滑坡物质组成、监测等级综合确定，具体见附录A之A.6；崩塌（危岩）、泥石流、地面塌陷监测精度要求见附录A之A.7。</w:t>
      </w:r>
    </w:p>
    <w:p>
      <w:pPr>
        <w:tabs>
          <w:tab w:val="center" w:pos="4201"/>
          <w:tab w:val="right" w:leader="dot" w:pos="9298"/>
        </w:tabs>
        <w:autoSpaceDE w:val="0"/>
        <w:autoSpaceDN w:val="0"/>
        <w:spacing w:line="360" w:lineRule="auto"/>
        <w:rPr>
          <w:rFonts w:ascii="宋体" w:hAnsi="宋体"/>
          <w:kern w:val="0"/>
          <w:szCs w:val="21"/>
        </w:rPr>
      </w:pPr>
      <w:r>
        <w:rPr>
          <w:rStyle w:val="24"/>
        </w:rPr>
        <w:t>6.3.</w:t>
      </w:r>
      <w:r>
        <w:rPr>
          <w:rStyle w:val="24"/>
          <w:rFonts w:hint="eastAsia"/>
        </w:rPr>
        <w:t>3.2</w:t>
      </w:r>
      <w:r>
        <w:rPr>
          <w:rStyle w:val="24"/>
        </w:rPr>
        <w:t xml:space="preserve">  </w:t>
      </w:r>
      <w:r>
        <w:rPr>
          <w:rFonts w:ascii="Times New Roman" w:hAnsi="Times New Roman"/>
          <w:kern w:val="0"/>
          <w:szCs w:val="21"/>
        </w:rPr>
        <w:t>目前常用的GNSS、地表相对位移（裂缝，拉线，激光测距）、深部位移、多维形变、应力、孔隙水压力、降雨量、地下水位、土体含水率、视频、泥水位、次声、沉降监测等自动化监测备，其监测精度和技术参数要求见附录A之A.8</w:t>
      </w:r>
      <w:r>
        <w:rPr>
          <w:rFonts w:hint="eastAsia" w:ascii="宋体" w:hAnsi="宋体"/>
          <w:kern w:val="0"/>
          <w:szCs w:val="21"/>
        </w:rPr>
        <w:t>～</w:t>
      </w:r>
      <w:r>
        <w:rPr>
          <w:rFonts w:ascii="Times New Roman" w:hAnsi="Times New Roman"/>
          <w:kern w:val="0"/>
          <w:szCs w:val="21"/>
        </w:rPr>
        <w:t>A.21。</w:t>
      </w:r>
    </w:p>
    <w:p>
      <w:pPr>
        <w:pStyle w:val="4"/>
        <w:spacing w:before="120" w:after="120"/>
      </w:pPr>
      <w:r>
        <w:rPr>
          <w:rFonts w:hint="eastAsia"/>
        </w:rPr>
        <w:t xml:space="preserve">6.3.4  </w:t>
      </w:r>
      <w:r>
        <w:t>监测频率</w:t>
      </w:r>
    </w:p>
    <w:p>
      <w:pPr>
        <w:spacing w:line="360" w:lineRule="auto"/>
        <w:ind w:firstLine="420" w:firstLineChars="200"/>
        <w:rPr>
          <w:rFonts w:ascii="Times New Roman" w:hAnsi="宋体"/>
          <w:szCs w:val="21"/>
        </w:rPr>
      </w:pPr>
      <w:r>
        <w:rPr>
          <w:rFonts w:ascii="Times New Roman" w:hAnsi="宋体"/>
          <w:szCs w:val="21"/>
        </w:rPr>
        <w:t>监测频率应根据地质灾害体变形阶段等条件综合确定</w:t>
      </w:r>
      <w:r>
        <w:rPr>
          <w:rFonts w:hint="eastAsia" w:ascii="Times New Roman" w:hAnsi="宋体"/>
          <w:szCs w:val="21"/>
        </w:rPr>
        <w:t>，</w:t>
      </w:r>
      <w:r>
        <w:rPr>
          <w:rFonts w:ascii="Times New Roman" w:hAnsi="宋体"/>
          <w:szCs w:val="21"/>
        </w:rPr>
        <w:t>具体见表</w:t>
      </w:r>
      <w:r>
        <w:rPr>
          <w:rFonts w:hint="eastAsia" w:ascii="Times New Roman" w:hAnsi="宋体"/>
          <w:szCs w:val="21"/>
        </w:rPr>
        <w:t>11</w:t>
      </w:r>
      <w:r>
        <w:rPr>
          <w:rFonts w:ascii="Times New Roman" w:hAnsi="宋体"/>
          <w:szCs w:val="21"/>
        </w:rPr>
        <w:t>。</w:t>
      </w:r>
    </w:p>
    <w:p>
      <w:pPr>
        <w:spacing w:line="360" w:lineRule="auto"/>
        <w:rPr>
          <w:rFonts w:ascii="Times New Roman" w:hAnsi="宋体"/>
          <w:szCs w:val="21"/>
        </w:r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 xml:space="preserve">11  </w:t>
      </w:r>
      <w:r>
        <w:rPr>
          <w:rFonts w:ascii="黑体" w:hAnsi="黑体" w:eastAsia="黑体"/>
          <w:kern w:val="0"/>
          <w:szCs w:val="21"/>
        </w:rPr>
        <w:t>地质灾害专业监测频率表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5"/>
        <w:gridCol w:w="2260"/>
        <w:gridCol w:w="1255"/>
        <w:gridCol w:w="1397"/>
        <w:gridCol w:w="1341"/>
        <w:gridCol w:w="1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9" w:type="pct"/>
            <w:vMerge w:val="restart"/>
            <w:vAlign w:val="center"/>
          </w:tcPr>
          <w:p>
            <w:pPr>
              <w:jc w:val="center"/>
              <w:rPr>
                <w:rFonts w:ascii="Times New Roman" w:hAnsi="Times New Roman"/>
                <w:sz w:val="18"/>
                <w:szCs w:val="18"/>
              </w:rPr>
            </w:pPr>
            <w:r>
              <w:rPr>
                <w:rFonts w:ascii="Times New Roman" w:hAnsi="Times New Roman"/>
                <w:sz w:val="18"/>
                <w:szCs w:val="18"/>
              </w:rPr>
              <w:t>监测阶段</w:t>
            </w:r>
          </w:p>
        </w:tc>
        <w:tc>
          <w:tcPr>
            <w:tcW w:w="1207" w:type="pct"/>
            <w:vAlign w:val="center"/>
          </w:tcPr>
          <w:p>
            <w:pPr>
              <w:jc w:val="center"/>
              <w:rPr>
                <w:rFonts w:ascii="Times New Roman" w:hAnsi="Times New Roman"/>
                <w:sz w:val="18"/>
                <w:szCs w:val="18"/>
              </w:rPr>
            </w:pPr>
            <w:r>
              <w:rPr>
                <w:rFonts w:ascii="Times New Roman" w:hAnsi="Times New Roman"/>
                <w:sz w:val="18"/>
                <w:szCs w:val="18"/>
              </w:rPr>
              <w:t>季节</w:t>
            </w:r>
          </w:p>
        </w:tc>
        <w:tc>
          <w:tcPr>
            <w:tcW w:w="1416" w:type="pct"/>
            <w:gridSpan w:val="2"/>
            <w:vAlign w:val="center"/>
          </w:tcPr>
          <w:p>
            <w:pPr>
              <w:jc w:val="center"/>
              <w:rPr>
                <w:rFonts w:ascii="Times New Roman" w:hAnsi="Times New Roman"/>
                <w:sz w:val="18"/>
                <w:szCs w:val="18"/>
              </w:rPr>
            </w:pPr>
            <w:r>
              <w:rPr>
                <w:rFonts w:ascii="Times New Roman" w:hAnsi="Times New Roman"/>
                <w:sz w:val="18"/>
                <w:szCs w:val="18"/>
              </w:rPr>
              <w:t>雨季</w:t>
            </w:r>
          </w:p>
        </w:tc>
        <w:tc>
          <w:tcPr>
            <w:tcW w:w="1568" w:type="pct"/>
            <w:gridSpan w:val="2"/>
            <w:vAlign w:val="center"/>
          </w:tcPr>
          <w:p>
            <w:pPr>
              <w:jc w:val="center"/>
              <w:rPr>
                <w:rFonts w:ascii="Times New Roman" w:hAnsi="Times New Roman"/>
                <w:sz w:val="18"/>
                <w:szCs w:val="18"/>
              </w:rPr>
            </w:pPr>
            <w:r>
              <w:rPr>
                <w:rFonts w:ascii="Times New Roman" w:hAnsi="Times New Roman"/>
                <w:sz w:val="18"/>
                <w:szCs w:val="18"/>
              </w:rPr>
              <w:t>旱季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9" w:type="pct"/>
            <w:vMerge w:val="continue"/>
            <w:vAlign w:val="center"/>
          </w:tcPr>
          <w:p>
            <w:pPr>
              <w:jc w:val="center"/>
              <w:rPr>
                <w:rFonts w:ascii="Times New Roman" w:hAnsi="Times New Roman"/>
                <w:sz w:val="18"/>
                <w:szCs w:val="18"/>
              </w:rPr>
            </w:pPr>
          </w:p>
        </w:tc>
        <w:tc>
          <w:tcPr>
            <w:tcW w:w="1207" w:type="pct"/>
            <w:vMerge w:val="restart"/>
            <w:vAlign w:val="center"/>
          </w:tcPr>
          <w:p>
            <w:pPr>
              <w:jc w:val="center"/>
              <w:rPr>
                <w:rFonts w:ascii="Times New Roman" w:hAnsi="Times New Roman"/>
                <w:sz w:val="18"/>
                <w:szCs w:val="18"/>
              </w:rPr>
            </w:pPr>
            <w:r>
              <w:rPr>
                <w:rFonts w:ascii="Times New Roman" w:hAnsi="Times New Roman"/>
                <w:sz w:val="18"/>
                <w:szCs w:val="18"/>
              </w:rPr>
              <w:t>监测性质</w:t>
            </w:r>
          </w:p>
        </w:tc>
        <w:tc>
          <w:tcPr>
            <w:tcW w:w="2984" w:type="pct"/>
            <w:gridSpan w:val="4"/>
            <w:vAlign w:val="center"/>
          </w:tcPr>
          <w:p>
            <w:pPr>
              <w:jc w:val="center"/>
              <w:rPr>
                <w:rFonts w:ascii="Times New Roman" w:hAnsi="Times New Roman"/>
                <w:sz w:val="18"/>
                <w:szCs w:val="18"/>
              </w:rPr>
            </w:pPr>
            <w:r>
              <w:rPr>
                <w:rFonts w:ascii="Times New Roman" w:hAnsi="Times New Roman"/>
                <w:sz w:val="18"/>
                <w:szCs w:val="18"/>
              </w:rPr>
              <w:t>监测频率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9" w:type="pct"/>
            <w:vMerge w:val="continue"/>
            <w:vAlign w:val="center"/>
          </w:tcPr>
          <w:p>
            <w:pPr>
              <w:jc w:val="center"/>
              <w:rPr>
                <w:rFonts w:ascii="Times New Roman" w:hAnsi="Times New Roman"/>
                <w:sz w:val="18"/>
                <w:szCs w:val="18"/>
              </w:rPr>
            </w:pPr>
          </w:p>
        </w:tc>
        <w:tc>
          <w:tcPr>
            <w:tcW w:w="1207" w:type="pct"/>
            <w:vMerge w:val="continue"/>
            <w:vAlign w:val="center"/>
          </w:tcPr>
          <w:p>
            <w:pPr>
              <w:jc w:val="left"/>
              <w:rPr>
                <w:rFonts w:ascii="Times New Roman" w:hAnsi="Times New Roman"/>
                <w:sz w:val="18"/>
                <w:szCs w:val="18"/>
              </w:rPr>
            </w:pPr>
          </w:p>
        </w:tc>
        <w:tc>
          <w:tcPr>
            <w:tcW w:w="670" w:type="pct"/>
            <w:vAlign w:val="center"/>
          </w:tcPr>
          <w:p>
            <w:pPr>
              <w:jc w:val="center"/>
              <w:rPr>
                <w:rFonts w:ascii="Times New Roman" w:hAnsi="Times New Roman"/>
                <w:sz w:val="18"/>
                <w:szCs w:val="18"/>
              </w:rPr>
            </w:pPr>
            <w:r>
              <w:rPr>
                <w:rFonts w:ascii="Times New Roman" w:hAnsi="Times New Roman"/>
                <w:sz w:val="18"/>
                <w:szCs w:val="18"/>
              </w:rPr>
              <w:t>自动化</w:t>
            </w:r>
          </w:p>
        </w:tc>
        <w:tc>
          <w:tcPr>
            <w:tcW w:w="746" w:type="pct"/>
            <w:vAlign w:val="center"/>
          </w:tcPr>
          <w:p>
            <w:pPr>
              <w:jc w:val="center"/>
              <w:rPr>
                <w:rFonts w:ascii="Times New Roman" w:hAnsi="Times New Roman"/>
                <w:sz w:val="18"/>
                <w:szCs w:val="18"/>
              </w:rPr>
            </w:pPr>
            <w:r>
              <w:rPr>
                <w:rFonts w:ascii="Times New Roman" w:hAnsi="Times New Roman"/>
                <w:sz w:val="18"/>
                <w:szCs w:val="18"/>
              </w:rPr>
              <w:t>人工</w:t>
            </w:r>
          </w:p>
        </w:tc>
        <w:tc>
          <w:tcPr>
            <w:tcW w:w="716" w:type="pct"/>
            <w:vAlign w:val="center"/>
          </w:tcPr>
          <w:p>
            <w:pPr>
              <w:jc w:val="center"/>
              <w:rPr>
                <w:rFonts w:ascii="Times New Roman" w:hAnsi="Times New Roman"/>
                <w:sz w:val="18"/>
                <w:szCs w:val="18"/>
              </w:rPr>
            </w:pPr>
            <w:r>
              <w:rPr>
                <w:rFonts w:ascii="Times New Roman" w:hAnsi="Times New Roman"/>
                <w:sz w:val="18"/>
                <w:szCs w:val="18"/>
              </w:rPr>
              <w:t>自动化</w:t>
            </w:r>
          </w:p>
        </w:tc>
        <w:tc>
          <w:tcPr>
            <w:tcW w:w="852" w:type="pct"/>
            <w:vAlign w:val="center"/>
          </w:tcPr>
          <w:p>
            <w:pPr>
              <w:jc w:val="center"/>
              <w:rPr>
                <w:rFonts w:ascii="Times New Roman" w:hAnsi="Times New Roman"/>
                <w:sz w:val="18"/>
                <w:szCs w:val="18"/>
              </w:rPr>
            </w:pPr>
            <w:r>
              <w:rPr>
                <w:rFonts w:ascii="Times New Roman" w:hAnsi="Times New Roman"/>
                <w:sz w:val="18"/>
                <w:szCs w:val="18"/>
              </w:rPr>
              <w:t>人工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9" w:type="pct"/>
            <w:vAlign w:val="center"/>
          </w:tcPr>
          <w:p>
            <w:pPr>
              <w:jc w:val="center"/>
              <w:rPr>
                <w:rFonts w:ascii="Times New Roman" w:hAnsi="Times New Roman"/>
                <w:sz w:val="18"/>
                <w:szCs w:val="18"/>
              </w:rPr>
            </w:pPr>
            <w:r>
              <w:rPr>
                <w:rFonts w:ascii="Times New Roman" w:hAnsi="Times New Roman"/>
                <w:sz w:val="18"/>
                <w:szCs w:val="18"/>
              </w:rPr>
              <w:t>破坏变形阶段</w:t>
            </w:r>
          </w:p>
        </w:tc>
        <w:tc>
          <w:tcPr>
            <w:tcW w:w="1207" w:type="pct"/>
            <w:vAlign w:val="center"/>
          </w:tcPr>
          <w:p>
            <w:pPr>
              <w:jc w:val="center"/>
              <w:rPr>
                <w:rFonts w:ascii="Times New Roman" w:hAnsi="Times New Roman"/>
                <w:sz w:val="18"/>
                <w:szCs w:val="18"/>
              </w:rPr>
            </w:pPr>
            <w:r>
              <w:rPr>
                <w:rFonts w:ascii="Times New Roman" w:hAnsi="Times New Roman"/>
                <w:sz w:val="18"/>
                <w:szCs w:val="18"/>
              </w:rPr>
              <w:t>临灾应急监测</w:t>
            </w:r>
          </w:p>
        </w:tc>
        <w:tc>
          <w:tcPr>
            <w:tcW w:w="2984" w:type="pct"/>
            <w:gridSpan w:val="4"/>
            <w:vAlign w:val="center"/>
          </w:tcPr>
          <w:p>
            <w:pPr>
              <w:jc w:val="center"/>
              <w:rPr>
                <w:rFonts w:ascii="Times New Roman" w:hAnsi="Times New Roman"/>
                <w:sz w:val="18"/>
                <w:szCs w:val="18"/>
              </w:rPr>
            </w:pPr>
            <w:r>
              <w:rPr>
                <w:rFonts w:ascii="Times New Roman" w:hAnsi="Times New Roman"/>
                <w:sz w:val="18"/>
                <w:szCs w:val="18"/>
              </w:rPr>
              <w:t>全天候实时监测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9" w:type="pct"/>
            <w:vAlign w:val="center"/>
          </w:tcPr>
          <w:p>
            <w:pPr>
              <w:jc w:val="center"/>
              <w:rPr>
                <w:rFonts w:ascii="Times New Roman" w:hAnsi="Times New Roman"/>
                <w:sz w:val="18"/>
                <w:szCs w:val="18"/>
              </w:rPr>
            </w:pPr>
            <w:r>
              <w:rPr>
                <w:rFonts w:ascii="Times New Roman" w:hAnsi="Times New Roman"/>
                <w:sz w:val="18"/>
                <w:szCs w:val="18"/>
              </w:rPr>
              <w:t>加速变形阶段</w:t>
            </w:r>
          </w:p>
        </w:tc>
        <w:tc>
          <w:tcPr>
            <w:tcW w:w="1207" w:type="pct"/>
            <w:vAlign w:val="center"/>
          </w:tcPr>
          <w:p>
            <w:pPr>
              <w:jc w:val="center"/>
              <w:rPr>
                <w:rFonts w:ascii="Times New Roman" w:hAnsi="Times New Roman"/>
                <w:sz w:val="18"/>
                <w:szCs w:val="18"/>
              </w:rPr>
            </w:pPr>
            <w:r>
              <w:rPr>
                <w:rFonts w:ascii="Times New Roman" w:hAnsi="Times New Roman"/>
                <w:sz w:val="18"/>
                <w:szCs w:val="18"/>
              </w:rPr>
              <w:t>加密应急监测（短期）</w:t>
            </w:r>
          </w:p>
        </w:tc>
        <w:tc>
          <w:tcPr>
            <w:tcW w:w="670" w:type="pct"/>
            <w:vAlign w:val="center"/>
          </w:tcPr>
          <w:p>
            <w:pPr>
              <w:jc w:val="center"/>
              <w:rPr>
                <w:rFonts w:ascii="Times New Roman" w:hAnsi="Times New Roman"/>
                <w:sz w:val="18"/>
                <w:szCs w:val="18"/>
              </w:rPr>
            </w:pPr>
            <w:r>
              <w:rPr>
                <w:rFonts w:ascii="Times New Roman" w:hAnsi="Times New Roman"/>
                <w:sz w:val="18"/>
                <w:szCs w:val="18"/>
              </w:rPr>
              <w:t>1次/1-2 h</w:t>
            </w:r>
          </w:p>
        </w:tc>
        <w:tc>
          <w:tcPr>
            <w:tcW w:w="746" w:type="pct"/>
            <w:vAlign w:val="center"/>
          </w:tcPr>
          <w:p>
            <w:pPr>
              <w:jc w:val="center"/>
              <w:rPr>
                <w:rFonts w:ascii="Times New Roman" w:hAnsi="Times New Roman"/>
                <w:sz w:val="18"/>
                <w:szCs w:val="18"/>
              </w:rPr>
            </w:pPr>
            <w:r>
              <w:rPr>
                <w:rFonts w:ascii="Times New Roman" w:hAnsi="Times New Roman"/>
                <w:sz w:val="18"/>
                <w:szCs w:val="18"/>
              </w:rPr>
              <w:t>1次/1-5 d</w:t>
            </w:r>
          </w:p>
        </w:tc>
        <w:tc>
          <w:tcPr>
            <w:tcW w:w="716" w:type="pct"/>
            <w:vAlign w:val="center"/>
          </w:tcPr>
          <w:p>
            <w:pPr>
              <w:jc w:val="center"/>
              <w:rPr>
                <w:rFonts w:ascii="Times New Roman" w:hAnsi="Times New Roman"/>
                <w:sz w:val="18"/>
                <w:szCs w:val="18"/>
              </w:rPr>
            </w:pPr>
            <w:r>
              <w:rPr>
                <w:rFonts w:ascii="Times New Roman" w:hAnsi="Times New Roman"/>
                <w:sz w:val="18"/>
                <w:szCs w:val="18"/>
              </w:rPr>
              <w:t>1次/1-2 h</w:t>
            </w:r>
          </w:p>
        </w:tc>
        <w:tc>
          <w:tcPr>
            <w:tcW w:w="852" w:type="pct"/>
            <w:vAlign w:val="center"/>
          </w:tcPr>
          <w:p>
            <w:pPr>
              <w:jc w:val="center"/>
              <w:rPr>
                <w:rFonts w:ascii="Times New Roman" w:hAnsi="Times New Roman"/>
                <w:sz w:val="18"/>
                <w:szCs w:val="18"/>
              </w:rPr>
            </w:pPr>
            <w:r>
              <w:rPr>
                <w:rFonts w:ascii="Times New Roman" w:hAnsi="Times New Roman"/>
                <w:sz w:val="18"/>
                <w:szCs w:val="18"/>
              </w:rPr>
              <w:t>1次/3-10 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9" w:type="pct"/>
            <w:vAlign w:val="center"/>
          </w:tcPr>
          <w:p>
            <w:pPr>
              <w:jc w:val="center"/>
              <w:rPr>
                <w:rFonts w:ascii="Times New Roman" w:hAnsi="Times New Roman"/>
                <w:sz w:val="18"/>
                <w:szCs w:val="18"/>
              </w:rPr>
            </w:pPr>
            <w:r>
              <w:rPr>
                <w:rFonts w:ascii="Times New Roman" w:hAnsi="Times New Roman"/>
                <w:sz w:val="18"/>
                <w:szCs w:val="18"/>
              </w:rPr>
              <w:t>匀速变形阶段</w:t>
            </w:r>
          </w:p>
          <w:p>
            <w:pPr>
              <w:jc w:val="center"/>
              <w:rPr>
                <w:rFonts w:ascii="Times New Roman" w:hAnsi="Times New Roman"/>
                <w:sz w:val="18"/>
                <w:szCs w:val="18"/>
              </w:rPr>
            </w:pPr>
            <w:r>
              <w:rPr>
                <w:rFonts w:ascii="Times New Roman" w:hAnsi="Times New Roman"/>
                <w:sz w:val="18"/>
                <w:szCs w:val="18"/>
              </w:rPr>
              <w:t>初始变形阶段</w:t>
            </w:r>
          </w:p>
        </w:tc>
        <w:tc>
          <w:tcPr>
            <w:tcW w:w="1207" w:type="pct"/>
            <w:vAlign w:val="center"/>
          </w:tcPr>
          <w:p>
            <w:pPr>
              <w:jc w:val="center"/>
              <w:rPr>
                <w:rFonts w:ascii="Times New Roman" w:hAnsi="Times New Roman"/>
                <w:sz w:val="18"/>
                <w:szCs w:val="18"/>
              </w:rPr>
            </w:pPr>
            <w:r>
              <w:rPr>
                <w:rFonts w:ascii="Times New Roman" w:hAnsi="Times New Roman"/>
                <w:sz w:val="18"/>
                <w:szCs w:val="18"/>
              </w:rPr>
              <w:t>常规监测（中长期）</w:t>
            </w:r>
          </w:p>
        </w:tc>
        <w:tc>
          <w:tcPr>
            <w:tcW w:w="670" w:type="pct"/>
            <w:vAlign w:val="center"/>
          </w:tcPr>
          <w:p>
            <w:pPr>
              <w:jc w:val="center"/>
              <w:rPr>
                <w:rFonts w:ascii="Times New Roman" w:hAnsi="Times New Roman"/>
                <w:sz w:val="18"/>
                <w:szCs w:val="18"/>
              </w:rPr>
            </w:pPr>
            <w:r>
              <w:rPr>
                <w:rFonts w:ascii="Times New Roman" w:hAnsi="Times New Roman"/>
                <w:sz w:val="18"/>
                <w:szCs w:val="18"/>
              </w:rPr>
              <w:t>1-6次/d</w:t>
            </w:r>
          </w:p>
        </w:tc>
        <w:tc>
          <w:tcPr>
            <w:tcW w:w="746" w:type="pct"/>
            <w:vAlign w:val="center"/>
          </w:tcPr>
          <w:p>
            <w:pPr>
              <w:jc w:val="center"/>
              <w:rPr>
                <w:rFonts w:ascii="Times New Roman" w:hAnsi="Times New Roman"/>
                <w:sz w:val="18"/>
                <w:szCs w:val="18"/>
              </w:rPr>
            </w:pPr>
            <w:r>
              <w:rPr>
                <w:rFonts w:ascii="Times New Roman" w:hAnsi="Times New Roman"/>
                <w:sz w:val="18"/>
                <w:szCs w:val="18"/>
              </w:rPr>
              <w:t>2次/月</w:t>
            </w:r>
          </w:p>
        </w:tc>
        <w:tc>
          <w:tcPr>
            <w:tcW w:w="716" w:type="pct"/>
            <w:vAlign w:val="center"/>
          </w:tcPr>
          <w:p>
            <w:pPr>
              <w:jc w:val="center"/>
              <w:rPr>
                <w:rFonts w:ascii="Times New Roman" w:hAnsi="Times New Roman"/>
                <w:sz w:val="18"/>
                <w:szCs w:val="18"/>
              </w:rPr>
            </w:pPr>
            <w:r>
              <w:rPr>
                <w:rFonts w:ascii="Times New Roman" w:hAnsi="Times New Roman"/>
                <w:sz w:val="18"/>
                <w:szCs w:val="18"/>
              </w:rPr>
              <w:t>1-3次/d</w:t>
            </w:r>
          </w:p>
        </w:tc>
        <w:tc>
          <w:tcPr>
            <w:tcW w:w="852" w:type="pct"/>
            <w:vAlign w:val="center"/>
          </w:tcPr>
          <w:p>
            <w:pPr>
              <w:jc w:val="center"/>
              <w:rPr>
                <w:rFonts w:ascii="Times New Roman" w:hAnsi="Times New Roman"/>
                <w:sz w:val="18"/>
                <w:szCs w:val="18"/>
              </w:rPr>
            </w:pPr>
            <w:r>
              <w:rPr>
                <w:rFonts w:ascii="Times New Roman" w:hAnsi="Times New Roman"/>
                <w:sz w:val="18"/>
                <w:szCs w:val="18"/>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6"/>
          </w:tcPr>
          <w:p>
            <w:pPr>
              <w:ind w:left="586" w:leftChars="22" w:hanging="540" w:hangingChars="300"/>
              <w:rPr>
                <w:rFonts w:ascii="Times New Roman" w:hAnsi="Times New Roman"/>
                <w:sz w:val="18"/>
                <w:szCs w:val="18"/>
              </w:rPr>
            </w:pPr>
            <w:r>
              <w:rPr>
                <w:rFonts w:hint="eastAsia" w:ascii="黑体" w:hAnsi="黑体" w:eastAsia="黑体"/>
                <w:sz w:val="18"/>
                <w:szCs w:val="18"/>
              </w:rPr>
              <w:t>注</w:t>
            </w:r>
            <w:r>
              <w:rPr>
                <w:rFonts w:ascii="黑体" w:hAnsi="黑体" w:eastAsia="黑体"/>
                <w:sz w:val="18"/>
                <w:szCs w:val="18"/>
              </w:rPr>
              <w:t>1</w:t>
            </w:r>
            <w:r>
              <w:rPr>
                <w:rFonts w:hint="eastAsia" w:ascii="Times New Roman" w:hAnsi="Times New Roman"/>
                <w:sz w:val="18"/>
                <w:szCs w:val="18"/>
              </w:rPr>
              <w:t>：</w:t>
            </w:r>
            <w:r>
              <w:rPr>
                <w:rFonts w:ascii="Times New Roman" w:hAnsi="Times New Roman"/>
                <w:sz w:val="18"/>
                <w:szCs w:val="18"/>
              </w:rPr>
              <w:t xml:space="preserve">监测期间地质灾害体变形明显加剧时，应视其所处变形阶段及稳定性提高监测频率，常规监测转为加密或临灾应急监测；经综合分析确定地质灾害体变形趋缓时，应急监测可转为常规监测。 </w:t>
            </w:r>
          </w:p>
          <w:p>
            <w:pPr>
              <w:ind w:left="576" w:leftChars="17" w:hanging="540" w:hangingChars="300"/>
              <w:jc w:val="left"/>
              <w:rPr>
                <w:rFonts w:ascii="Times New Roman" w:hAnsi="Times New Roman"/>
                <w:sz w:val="18"/>
                <w:szCs w:val="18"/>
              </w:rPr>
            </w:pPr>
            <w:r>
              <w:rPr>
                <w:rFonts w:hint="eastAsia" w:ascii="黑体" w:hAnsi="黑体" w:eastAsia="黑体"/>
                <w:sz w:val="18"/>
                <w:szCs w:val="18"/>
              </w:rPr>
              <w:t>注2：</w:t>
            </w:r>
            <w:r>
              <w:rPr>
                <w:rFonts w:ascii="Times New Roman" w:hAnsi="Times New Roman"/>
                <w:sz w:val="18"/>
                <w:szCs w:val="18"/>
              </w:rPr>
              <w:t>加密应急监测期间，人工监测频率须满足旬报要求。旱季一旬内至少进行一期观测，雨季一旬内应至少进行两期观测。</w:t>
            </w:r>
          </w:p>
          <w:p>
            <w:pPr>
              <w:ind w:left="586" w:leftChars="22" w:hanging="540" w:hangingChars="300"/>
              <w:jc w:val="left"/>
              <w:rPr>
                <w:rFonts w:ascii="Times New Roman" w:hAnsi="Times New Roman"/>
                <w:sz w:val="18"/>
                <w:szCs w:val="18"/>
              </w:rPr>
            </w:pPr>
            <w:r>
              <w:rPr>
                <w:rFonts w:hint="eastAsia" w:ascii="黑体" w:hAnsi="黑体" w:eastAsia="黑体"/>
                <w:sz w:val="18"/>
                <w:szCs w:val="18"/>
              </w:rPr>
              <w:t>注3：</w:t>
            </w:r>
            <w:r>
              <w:rPr>
                <w:rFonts w:ascii="Times New Roman" w:hAnsi="Times New Roman"/>
                <w:sz w:val="18"/>
                <w:szCs w:val="18"/>
              </w:rPr>
              <w:t>常规监测期间，专业技术人员巡查频率不低于1次/月，当变形加剧或监测数据异常时，专业技术人员须到现场核查，并视具体情况加密巡查频率。</w:t>
            </w:r>
          </w:p>
        </w:tc>
      </w:tr>
    </w:tbl>
    <w:p/>
    <w:p>
      <w:pPr>
        <w:pStyle w:val="4"/>
        <w:spacing w:before="120" w:after="120"/>
      </w:pPr>
      <w:r>
        <w:rPr>
          <w:rFonts w:hint="eastAsia"/>
        </w:rPr>
        <w:t xml:space="preserve">6.3.5  </w:t>
      </w:r>
      <w:r>
        <w:t>监测</w:t>
      </w:r>
      <w:r>
        <w:rPr>
          <w:rFonts w:hint="eastAsia"/>
        </w:rPr>
        <w:t>设计</w:t>
      </w:r>
    </w:p>
    <w:p>
      <w:pPr>
        <w:pStyle w:val="5"/>
        <w:spacing w:before="120" w:after="120"/>
      </w:pPr>
      <w:r>
        <w:rPr>
          <w:rFonts w:hint="eastAsia"/>
        </w:rPr>
        <w:t>6.3.5.1  资料收集</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应实地收集灾害体区域地质资料、地形地貌、气象水文、人类工程活动现状及其它相关资料，访问、了解该灾害体的变形历史、威胁对象、防灾措施等基本情况，为勘（调）查工作和监测设计提供基础。</w:t>
      </w:r>
    </w:p>
    <w:p>
      <w:pPr>
        <w:pStyle w:val="5"/>
        <w:spacing w:before="120" w:after="120"/>
      </w:pPr>
      <w:r>
        <w:rPr>
          <w:rFonts w:hint="eastAsia"/>
        </w:rPr>
        <w:t>6.3.5.2  隐患点勘（调）查</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一级隐患点监测设计须按相关规范要求进行初步设计阶段的详细勘查。</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b)  二级隐患点监测设计须按相关规范要求进行可行性论证阶段的初步勘查。</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c)  三级隐患点应满足相关规范的调查要求，宜进行1:500～1:2 000工程地质调查测绘。</w:t>
      </w:r>
    </w:p>
    <w:p>
      <w:pPr>
        <w:spacing w:line="360" w:lineRule="auto"/>
        <w:ind w:firstLine="420" w:firstLineChars="200"/>
        <w:rPr>
          <w:rFonts w:ascii="Times New Roman" w:hAnsi="Times New Roman"/>
          <w:kern w:val="0"/>
          <w:szCs w:val="21"/>
        </w:rPr>
      </w:pPr>
      <w:r>
        <w:rPr>
          <w:rFonts w:ascii="Times New Roman" w:hAnsi="Times New Roman"/>
          <w:kern w:val="0"/>
          <w:szCs w:val="21"/>
        </w:rPr>
        <w:t>d)  一、二级隐患点的稳定性应按照勘查结论确定；三级隐患点的稳定性判定参照附录E执行。</w:t>
      </w:r>
    </w:p>
    <w:p>
      <w:pPr>
        <w:pStyle w:val="5"/>
        <w:spacing w:before="120" w:after="120"/>
      </w:pPr>
      <w:r>
        <w:rPr>
          <w:rFonts w:hint="eastAsia"/>
        </w:rPr>
        <w:t>6.3.5.3  监测网点布设</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监测网是由测线（即监测剖面）、测点组成的立体监测体系。监测网的布设应能达到系统监测地质灾害体变形量、变形方向，掌握其时空动态和发展趋势，满足预测预报精度等基本要求。</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监测网点布设可遵循如下原则：</w:t>
      </w:r>
    </w:p>
    <w:p>
      <w:pPr>
        <w:spacing w:line="360" w:lineRule="auto"/>
        <w:ind w:left="840" w:leftChars="200" w:hanging="420" w:hangingChars="200"/>
        <w:rPr>
          <w:rFonts w:ascii="Times New Roman" w:hAnsi="Times New Roman"/>
          <w:szCs w:val="21"/>
        </w:rPr>
      </w:pPr>
      <w:r>
        <w:rPr>
          <w:rFonts w:ascii="Times New Roman" w:hAnsi="Times New Roman"/>
          <w:szCs w:val="21"/>
        </w:rPr>
        <w:t>a)  一级监测点一般纵、横各布2条及以上监测剖面，且每条剖面上监测方法不少于2种；一般不少于9个位移及应力测点，且保证至少有5个点同时采取2种以上监测方法。</w:t>
      </w:r>
    </w:p>
    <w:p>
      <w:pPr>
        <w:spacing w:line="360" w:lineRule="auto"/>
        <w:ind w:left="840" w:leftChars="200" w:hanging="420" w:hangingChars="200"/>
        <w:rPr>
          <w:rFonts w:ascii="Times New Roman" w:hAnsi="Times New Roman"/>
          <w:szCs w:val="21"/>
        </w:rPr>
      </w:pPr>
      <w:r>
        <w:rPr>
          <w:rFonts w:ascii="Times New Roman" w:hAnsi="Times New Roman"/>
          <w:szCs w:val="21"/>
        </w:rPr>
        <w:t>b)  二级监测点一般纵、横各布设1条及以上监测剖面，且至少保证1条剖面上监测方法不少于2种；一般不少于6个位移及应力测点，且保证至少有2个点同时采取2种以上监测方法。</w:t>
      </w:r>
    </w:p>
    <w:p>
      <w:pPr>
        <w:spacing w:line="360" w:lineRule="auto"/>
        <w:ind w:left="840" w:leftChars="200" w:hanging="420" w:hangingChars="200"/>
        <w:rPr>
          <w:rFonts w:ascii="Times New Roman" w:hAnsi="Times New Roman"/>
          <w:szCs w:val="21"/>
        </w:rPr>
      </w:pPr>
      <w:r>
        <w:rPr>
          <w:rFonts w:ascii="Times New Roman" w:hAnsi="Times New Roman"/>
          <w:szCs w:val="21"/>
        </w:rPr>
        <w:t>c)  三级监测预警点布设不少于1条监测剖面；测点以地表位移或裂缝相对位移监测、或两者相结合为主；一般不少于2个位移监测点。</w:t>
      </w:r>
    </w:p>
    <w:p>
      <w:pPr>
        <w:spacing w:line="360" w:lineRule="auto"/>
        <w:ind w:left="840" w:leftChars="200" w:hanging="420" w:hangingChars="200"/>
        <w:rPr>
          <w:rFonts w:ascii="Times New Roman" w:hAnsi="Times New Roman"/>
          <w:szCs w:val="21"/>
        </w:rPr>
      </w:pPr>
      <w:r>
        <w:rPr>
          <w:rFonts w:ascii="Times New Roman" w:hAnsi="Times New Roman"/>
          <w:szCs w:val="21"/>
        </w:rPr>
        <w:t>d)  在监测分级布设原则的基础上，滑坡、崩塌、泥石流、地面塌陷的监测网点布设可参照附录F。</w:t>
      </w:r>
    </w:p>
    <w:p>
      <w:pPr>
        <w:spacing w:line="360" w:lineRule="auto"/>
        <w:ind w:left="840" w:leftChars="200" w:hanging="420" w:hangingChars="200"/>
        <w:rPr>
          <w:rFonts w:ascii="Times New Roman" w:hAnsi="Times New Roman"/>
          <w:szCs w:val="21"/>
        </w:rPr>
      </w:pPr>
      <w:r>
        <w:rPr>
          <w:rFonts w:ascii="Times New Roman" w:hAnsi="Times New Roman"/>
          <w:szCs w:val="21"/>
        </w:rPr>
        <w:t>e)  测点布设应重点突出、兼顾一般，以能反映被监测主体应力应变显著特征与变化的位置为原则。测点不要求平均分布，对重要的块段、块体和变形部位可增加测点，充分发挥单点功效。</w:t>
      </w:r>
    </w:p>
    <w:p>
      <w:pPr>
        <w:spacing w:line="360" w:lineRule="auto"/>
        <w:ind w:left="840" w:leftChars="200" w:hanging="420" w:hangingChars="200"/>
        <w:rPr>
          <w:rFonts w:ascii="Times New Roman" w:hAnsi="Times New Roman"/>
          <w:szCs w:val="21"/>
        </w:rPr>
      </w:pPr>
      <w:r>
        <w:rPr>
          <w:rFonts w:ascii="Times New Roman" w:hAnsi="Times New Roman"/>
          <w:szCs w:val="21"/>
        </w:rPr>
        <w:t>f)  测点宜布设在测线上或测线两侧5 m范围内；且兼顾实地四周障碍物的影响（一般情况下，四周障碍物与设备仪器的距离不得小于障碍物顶高与仪器口高差的2倍）。</w:t>
      </w:r>
    </w:p>
    <w:p>
      <w:pPr>
        <w:spacing w:line="360" w:lineRule="auto"/>
        <w:ind w:left="840" w:leftChars="200" w:hanging="420" w:hangingChars="200"/>
        <w:rPr>
          <w:rFonts w:ascii="Times New Roman" w:hAnsi="Times New Roman"/>
          <w:szCs w:val="21"/>
        </w:rPr>
      </w:pPr>
      <w:r>
        <w:rPr>
          <w:rFonts w:ascii="Times New Roman" w:hAnsi="Times New Roman"/>
          <w:szCs w:val="21"/>
        </w:rPr>
        <w:t>g)  监测基准点数量须满足解算要求，相邻监测点可共用已建成的监测基准网，达到减少基准点布设数量、提高基准点稳定性的目的，但共用前必须进行可靠性和稳定性测试。</w:t>
      </w:r>
    </w:p>
    <w:p>
      <w:pPr>
        <w:spacing w:line="360" w:lineRule="auto"/>
        <w:ind w:left="840" w:leftChars="200" w:hanging="420" w:hangingChars="200"/>
        <w:rPr>
          <w:rFonts w:ascii="Times New Roman" w:hAnsi="Times New Roman"/>
          <w:szCs w:val="21"/>
        </w:rPr>
      </w:pPr>
      <w:r>
        <w:rPr>
          <w:rFonts w:ascii="Times New Roman" w:hAnsi="Times New Roman"/>
          <w:szCs w:val="21"/>
        </w:rPr>
        <w:t>h)  从监测的一致性、技术性和经济性考虑，深部位移钻孔可以兼做地下水水位监测钻孔进行布设。</w:t>
      </w:r>
    </w:p>
    <w:p>
      <w:pPr>
        <w:pStyle w:val="5"/>
        <w:spacing w:before="120" w:after="120"/>
      </w:pPr>
      <w:r>
        <w:rPr>
          <w:rFonts w:hint="eastAsia"/>
        </w:rPr>
        <w:t>6.3.5.4  监测设计编制</w:t>
      </w:r>
    </w:p>
    <w:p>
      <w:pPr>
        <w:spacing w:line="360" w:lineRule="auto"/>
        <w:ind w:left="840" w:leftChars="200" w:hanging="420" w:hangingChars="200"/>
        <w:rPr>
          <w:rFonts w:ascii="Times New Roman" w:hAnsi="Times New Roman"/>
          <w:szCs w:val="21"/>
        </w:rPr>
      </w:pPr>
      <w:r>
        <w:rPr>
          <w:rFonts w:ascii="Times New Roman" w:hAnsi="Times New Roman"/>
          <w:szCs w:val="21"/>
        </w:rPr>
        <w:t>a)  监测设计书的内容包括：任务来源，目的任务，监测区概况（自然地理与地质环境条件），灾害体特征、成因和稳定性现状分析，监测设计（监测内容、方法、精度、频率、网点布设、监测数据分析、预警预报方案），监测进度计划、监测质量保证体系、监测成果提交、监测经费预算等。并附监测设计平、剖面图等。监测设计书提纲见附录C</w:t>
      </w:r>
      <w:r>
        <w:rPr>
          <w:rFonts w:ascii="Times New Roman" w:hAnsi="Times New Roman"/>
          <w:kern w:val="0"/>
          <w:szCs w:val="21"/>
        </w:rPr>
        <w:t>之</w:t>
      </w:r>
      <w:r>
        <w:rPr>
          <w:rFonts w:ascii="Times New Roman" w:hAnsi="Times New Roman"/>
          <w:szCs w:val="21"/>
        </w:rPr>
        <w:t>C.2。</w:t>
      </w:r>
    </w:p>
    <w:p>
      <w:pPr>
        <w:spacing w:line="360" w:lineRule="auto"/>
        <w:ind w:left="840" w:leftChars="200" w:hanging="420" w:hangingChars="200"/>
        <w:rPr>
          <w:rFonts w:ascii="Times New Roman" w:hAnsi="Times New Roman"/>
          <w:szCs w:val="21"/>
        </w:rPr>
      </w:pPr>
      <w:r>
        <w:rPr>
          <w:rFonts w:ascii="Times New Roman" w:hAnsi="Times New Roman"/>
          <w:szCs w:val="21"/>
        </w:rPr>
        <w:t>b)  监测设计阶段，应针对隐患点制定明确的预警预报方案。</w:t>
      </w:r>
    </w:p>
    <w:p>
      <w:pPr>
        <w:pStyle w:val="2"/>
        <w:spacing w:before="240" w:after="240"/>
      </w:pPr>
      <w:bookmarkStart w:id="58" w:name="_Toc534577735"/>
      <w:bookmarkStart w:id="59" w:name="_Toc33177687"/>
      <w:bookmarkStart w:id="60" w:name="_Toc21966357"/>
      <w:r>
        <w:rPr>
          <w:rFonts w:hint="eastAsia"/>
        </w:rPr>
        <w:t xml:space="preserve">7  </w:t>
      </w:r>
      <w:r>
        <w:t>监测</w:t>
      </w:r>
      <w:bookmarkEnd w:id="58"/>
      <w:r>
        <w:rPr>
          <w:rFonts w:hint="eastAsia"/>
        </w:rPr>
        <w:t>预警工程建设</w:t>
      </w:r>
      <w:bookmarkEnd w:id="59"/>
      <w:bookmarkEnd w:id="60"/>
    </w:p>
    <w:p>
      <w:pPr>
        <w:pStyle w:val="3"/>
        <w:spacing w:before="120" w:after="120"/>
      </w:pPr>
      <w:bookmarkStart w:id="61" w:name="_Toc534577736"/>
      <w:bookmarkStart w:id="62" w:name="_Toc33177688"/>
      <w:bookmarkStart w:id="63" w:name="_Toc21966358"/>
      <w:r>
        <w:rPr>
          <w:rFonts w:hint="eastAsia"/>
        </w:rPr>
        <w:t xml:space="preserve">7.1  </w:t>
      </w:r>
      <w:r>
        <w:t>一般规定</w:t>
      </w:r>
      <w:bookmarkEnd w:id="61"/>
      <w:bookmarkEnd w:id="62"/>
      <w:bookmarkEnd w:id="63"/>
    </w:p>
    <w:p>
      <w:pPr>
        <w:spacing w:line="360" w:lineRule="auto"/>
        <w:rPr>
          <w:rFonts w:ascii="黑体" w:hAnsi="黑体" w:eastAsia="黑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1</w:t>
      </w:r>
      <w:r>
        <w:rPr>
          <w:rFonts w:hint="eastAsia" w:ascii="宋体" w:hAnsi="宋体"/>
          <w:kern w:val="0"/>
          <w:szCs w:val="21"/>
        </w:rPr>
        <w:t xml:space="preserve">  监测预警工程建设基本程序：监测设备仪器采购、基础工程建设，设备仪器安装、检验调试、自验收、监测试运行、工程竣工初步验收、正常监测与运行维护、工程竣工最终验收。</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2</w:t>
      </w:r>
      <w:r>
        <w:rPr>
          <w:rFonts w:hint="eastAsia" w:ascii="宋体" w:hAnsi="宋体"/>
          <w:kern w:val="0"/>
          <w:szCs w:val="21"/>
        </w:rPr>
        <w:t xml:space="preserve">  </w:t>
      </w:r>
      <w:r>
        <w:rPr>
          <w:rFonts w:hint="eastAsia" w:ascii="宋体" w:hAnsi="宋体"/>
          <w:szCs w:val="21"/>
        </w:rPr>
        <w:t>现场监测网点的建设应进行施工设计，各监测网点位置应严格按设计和地质灾害体的特点与变形实际准确定位。</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3</w:t>
      </w:r>
      <w:r>
        <w:rPr>
          <w:rFonts w:hint="eastAsia" w:ascii="宋体" w:hAnsi="宋体"/>
          <w:kern w:val="0"/>
          <w:szCs w:val="21"/>
        </w:rPr>
        <w:t xml:space="preserve">  基础建设所使用的原材料、半成品均须满足设计及相关规范要求，出厂合格证、送检、试验及检验报告齐全，质量检验合格。</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4</w:t>
      </w:r>
      <w:r>
        <w:rPr>
          <w:rFonts w:hint="eastAsia" w:ascii="宋体" w:hAnsi="宋体"/>
          <w:kern w:val="0"/>
          <w:szCs w:val="21"/>
        </w:rPr>
        <w:t xml:space="preserve">  基础施工前应编制施工组织设计，施工须进过程记录、描述，关键工序须旁站监理、及时验收，验收合格后方能进行下一阶段施工或仪器设备安装。</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5</w:t>
      </w:r>
      <w:r>
        <w:rPr>
          <w:rFonts w:hint="eastAsia" w:ascii="宋体" w:hAnsi="宋体"/>
          <w:kern w:val="0"/>
          <w:szCs w:val="21"/>
        </w:rPr>
        <w:t xml:space="preserve">  </w:t>
      </w:r>
      <w:r>
        <w:rPr>
          <w:rFonts w:ascii="宋体" w:hAnsi="宋体"/>
          <w:szCs w:val="21"/>
        </w:rPr>
        <w:t>监测仪器设备应选取</w:t>
      </w:r>
      <w:r>
        <w:rPr>
          <w:rFonts w:hint="eastAsia" w:ascii="宋体" w:hAnsi="宋体"/>
          <w:szCs w:val="21"/>
        </w:rPr>
        <w:t>市</w:t>
      </w:r>
      <w:r>
        <w:rPr>
          <w:rFonts w:ascii="宋体" w:hAnsi="宋体"/>
          <w:szCs w:val="21"/>
        </w:rPr>
        <w:t>级以上质监部门相关认证的产品。</w:t>
      </w:r>
      <w:r>
        <w:rPr>
          <w:rFonts w:hint="eastAsia" w:ascii="宋体" w:hAnsi="宋体"/>
          <w:szCs w:val="21"/>
        </w:rPr>
        <w:t>工程施工</w:t>
      </w:r>
      <w:r>
        <w:rPr>
          <w:rFonts w:ascii="宋体" w:hAnsi="宋体"/>
          <w:szCs w:val="21"/>
        </w:rPr>
        <w:t>前，应对</w:t>
      </w:r>
      <w:r>
        <w:rPr>
          <w:rFonts w:hint="eastAsia" w:ascii="宋体" w:hAnsi="宋体"/>
          <w:szCs w:val="21"/>
        </w:rPr>
        <w:t>拟投入</w:t>
      </w:r>
      <w:r>
        <w:rPr>
          <w:rFonts w:ascii="宋体" w:hAnsi="宋体"/>
          <w:szCs w:val="21"/>
        </w:rPr>
        <w:t>的仪器设备进行检验和校正，出具测试报告</w:t>
      </w:r>
      <w:r>
        <w:rPr>
          <w:rFonts w:hint="eastAsia" w:ascii="宋体" w:hAnsi="宋体"/>
          <w:szCs w:val="21"/>
        </w:rPr>
        <w:t>；</w:t>
      </w:r>
      <w:r>
        <w:rPr>
          <w:rFonts w:hint="eastAsia" w:ascii="Times New Roman" w:hAnsi="宋体"/>
          <w:szCs w:val="21"/>
        </w:rPr>
        <w:t>对特定设备还需进行定期率定，并出具检验报告。仪器测试检验合格后方能安装使用。</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6</w:t>
      </w:r>
      <w:r>
        <w:rPr>
          <w:rFonts w:hint="eastAsia" w:ascii="宋体" w:hAnsi="宋体"/>
          <w:kern w:val="0"/>
          <w:szCs w:val="21"/>
        </w:rPr>
        <w:t xml:space="preserve">  基础工程施工完成，仪器设备现场安装到位后，需进行设备现场测试调试，检查设备安装运行是否正常。测试调试设备的网络联通、设备联通、数据采集联通、信息平台联通等；并按监测预警要求，合理设置数据采集步长、传感器各项参数等。</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7</w:t>
      </w:r>
      <w:r>
        <w:rPr>
          <w:rFonts w:hint="eastAsia" w:ascii="宋体" w:hAnsi="宋体"/>
          <w:kern w:val="0"/>
          <w:szCs w:val="21"/>
        </w:rPr>
        <w:t xml:space="preserve">  经联调联试到位、通过竣工自验收后，进入试运行阶段。对试运行过程中发现的问题应及时反馈和解决，通过不断检查、调试和整改，逐渐降低故障率，最终应达到设计要求。</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8</w:t>
      </w:r>
      <w:r>
        <w:rPr>
          <w:rFonts w:hint="eastAsia" w:ascii="宋体" w:hAnsi="宋体"/>
          <w:kern w:val="0"/>
          <w:szCs w:val="21"/>
        </w:rPr>
        <w:t xml:space="preserve">  试运行监测须至少进行</w:t>
      </w:r>
      <w:r>
        <w:rPr>
          <w:rFonts w:ascii="Times New Roman" w:hAnsi="Times New Roman"/>
          <w:kern w:val="0"/>
          <w:szCs w:val="21"/>
        </w:rPr>
        <w:t>3</w:t>
      </w:r>
      <w:r>
        <w:rPr>
          <w:rFonts w:hint="eastAsia" w:ascii="宋体" w:hAnsi="宋体"/>
          <w:kern w:val="0"/>
          <w:szCs w:val="21"/>
        </w:rPr>
        <w:t>个月，并提交试运行监测报告。待监测设备稳定后方可进行工程建设竣工初步验收。</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9</w:t>
      </w:r>
      <w:r>
        <w:rPr>
          <w:rFonts w:hint="eastAsia" w:ascii="宋体" w:hAnsi="宋体"/>
          <w:kern w:val="0"/>
          <w:szCs w:val="21"/>
        </w:rPr>
        <w:t xml:space="preserve">  正常监测运行与维护期间，需明确运行维护责任主体和人员，建立健全运行维护管理机制，定期进行现场巡查、检查，维护与更新，直至工程建设竣工最终验收。</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10</w:t>
      </w:r>
      <w:r>
        <w:rPr>
          <w:rFonts w:hint="eastAsia" w:ascii="宋体" w:hAnsi="宋体"/>
          <w:kern w:val="0"/>
          <w:szCs w:val="21"/>
        </w:rPr>
        <w:t xml:space="preserve">  工程建设竣工最终验收通过后，监测单位可根据合同或业主单位要求，对监测工程进行长期的运行和维护管理。</w:t>
      </w:r>
    </w:p>
    <w:p>
      <w:pPr>
        <w:spacing w:line="360" w:lineRule="auto"/>
        <w:rPr>
          <w:rFonts w:ascii="Times New Roman" w:hAnsi="Times New Roman" w:eastAsiaTheme="minorEastAsia"/>
          <w:szCs w:val="21"/>
        </w:rPr>
      </w:pPr>
      <w:r>
        <w:rPr>
          <w:rFonts w:hint="eastAsia" w:ascii="黑体" w:hAnsi="黑体" w:eastAsia="黑体"/>
          <w:kern w:val="0"/>
          <w:szCs w:val="21"/>
        </w:rPr>
        <w:t>7</w:t>
      </w:r>
      <w:r>
        <w:rPr>
          <w:rFonts w:ascii="黑体" w:hAnsi="黑体" w:eastAsia="黑体"/>
          <w:kern w:val="0"/>
          <w:szCs w:val="21"/>
        </w:rPr>
        <w:t>.1.</w:t>
      </w:r>
      <w:r>
        <w:rPr>
          <w:rFonts w:hint="eastAsia" w:ascii="黑体" w:hAnsi="黑体" w:eastAsia="黑体"/>
          <w:kern w:val="0"/>
          <w:szCs w:val="21"/>
        </w:rPr>
        <w:t>11</w:t>
      </w:r>
      <w:r>
        <w:rPr>
          <w:rFonts w:hint="eastAsia" w:ascii="宋体" w:hAnsi="宋体"/>
          <w:kern w:val="0"/>
          <w:szCs w:val="21"/>
        </w:rPr>
        <w:t xml:space="preserve">  </w:t>
      </w:r>
      <w:r>
        <w:rPr>
          <w:rFonts w:ascii="Times New Roman" w:hAnsi="Times New Roman"/>
          <w:szCs w:val="21"/>
        </w:rPr>
        <w:t>监测控制网基准点的稳定性应定期检查。按照《国家一、二等水准测量规范》</w:t>
      </w:r>
      <w:r>
        <w:rPr>
          <w:rFonts w:ascii="Times New Roman" w:hAnsi="Times New Roman" w:eastAsiaTheme="minorEastAsia"/>
          <w:szCs w:val="21"/>
        </w:rPr>
        <w:t>（GB/T 12897）和《国家三、四等水准测量规范》（GB/T 12898）执行，并应符合下列要求：</w:t>
      </w:r>
    </w:p>
    <w:p>
      <w:pPr>
        <w:tabs>
          <w:tab w:val="center" w:pos="4201"/>
          <w:tab w:val="right" w:leader="dot" w:pos="9298"/>
        </w:tabs>
        <w:autoSpaceDE w:val="0"/>
        <w:autoSpaceDN w:val="0"/>
        <w:spacing w:line="360" w:lineRule="auto"/>
        <w:ind w:left="840" w:leftChars="200" w:hanging="420" w:hangingChars="200"/>
        <w:jc w:val="left"/>
        <w:rPr>
          <w:rFonts w:ascii="Times New Roman" w:hAnsi="Times New Roman"/>
          <w:kern w:val="0"/>
          <w:szCs w:val="21"/>
        </w:rPr>
      </w:pPr>
      <w:r>
        <w:rPr>
          <w:rFonts w:ascii="Times New Roman" w:hAnsi="Times New Roman"/>
          <w:kern w:val="0"/>
          <w:szCs w:val="21"/>
        </w:rPr>
        <w:t>a)  复测周期宜3</w:t>
      </w:r>
      <w:r>
        <w:rPr>
          <w:rFonts w:hint="eastAsia" w:ascii="Times New Roman" w:hAnsi="Times New Roman"/>
          <w:szCs w:val="21"/>
        </w:rPr>
        <w:t>-</w:t>
      </w:r>
      <w:r>
        <w:rPr>
          <w:rFonts w:ascii="Times New Roman" w:hAnsi="Times New Roman"/>
          <w:kern w:val="0"/>
          <w:szCs w:val="21"/>
        </w:rPr>
        <w:t>6个月一次，当周边有A级控制点时，应定期（3年）与A级网联测检验。当复测发现基准点有明显的位移时，应找出有问题的点位，重新选点并相应缩短复测周期。</w:t>
      </w:r>
    </w:p>
    <w:p>
      <w:pPr>
        <w:tabs>
          <w:tab w:val="center" w:pos="4201"/>
          <w:tab w:val="right" w:leader="dot" w:pos="9298"/>
        </w:tabs>
        <w:autoSpaceDE w:val="0"/>
        <w:autoSpaceDN w:val="0"/>
        <w:spacing w:line="360" w:lineRule="auto"/>
        <w:ind w:left="840" w:leftChars="200" w:hanging="420" w:hangingChars="200"/>
        <w:jc w:val="left"/>
        <w:rPr>
          <w:rFonts w:ascii="Times New Roman" w:hAnsi="Times New Roman"/>
          <w:kern w:val="0"/>
          <w:szCs w:val="21"/>
        </w:rPr>
      </w:pPr>
      <w:r>
        <w:rPr>
          <w:rFonts w:ascii="Times New Roman" w:hAnsi="Times New Roman"/>
          <w:kern w:val="0"/>
          <w:szCs w:val="21"/>
        </w:rPr>
        <w:t>b)  当三次及以上的复测证明基准点无明显位移时，可适当延长复测周期。</w:t>
      </w:r>
    </w:p>
    <w:p>
      <w:pPr>
        <w:tabs>
          <w:tab w:val="center" w:pos="4201"/>
          <w:tab w:val="right" w:leader="dot" w:pos="9298"/>
        </w:tabs>
        <w:autoSpaceDE w:val="0"/>
        <w:autoSpaceDN w:val="0"/>
        <w:spacing w:line="360" w:lineRule="auto"/>
        <w:ind w:left="840" w:leftChars="200" w:hanging="420" w:hangingChars="200"/>
        <w:jc w:val="left"/>
        <w:rPr>
          <w:rFonts w:ascii="Times New Roman" w:hAnsi="Times New Roman"/>
          <w:kern w:val="0"/>
          <w:szCs w:val="21"/>
        </w:rPr>
      </w:pPr>
      <w:r>
        <w:rPr>
          <w:rFonts w:ascii="Times New Roman" w:hAnsi="Times New Roman"/>
          <w:kern w:val="0"/>
          <w:szCs w:val="21"/>
        </w:rPr>
        <w:t>c)  变形监测基准点的标石、标志埋设后，应达到稳定状态后方可开始观测。稳定期应根据观测要求与地质条件确定，不宜少于15天。</w:t>
      </w:r>
    </w:p>
    <w:p>
      <w:pPr>
        <w:tabs>
          <w:tab w:val="center" w:pos="4201"/>
          <w:tab w:val="right" w:leader="dot" w:pos="9298"/>
        </w:tabs>
        <w:autoSpaceDE w:val="0"/>
        <w:autoSpaceDN w:val="0"/>
        <w:spacing w:line="360" w:lineRule="auto"/>
        <w:ind w:left="840" w:leftChars="200" w:hanging="420" w:hangingChars="200"/>
        <w:jc w:val="left"/>
        <w:rPr>
          <w:rFonts w:ascii="Times New Roman" w:hAnsi="Times New Roman"/>
          <w:kern w:val="0"/>
          <w:szCs w:val="21"/>
        </w:rPr>
      </w:pPr>
      <w:r>
        <w:rPr>
          <w:rFonts w:ascii="Times New Roman" w:hAnsi="Times New Roman"/>
          <w:kern w:val="0"/>
          <w:szCs w:val="21"/>
        </w:rPr>
        <w:t>d)  地表变形监测控制网的精度级别应根据地质灾害监测级别确定。</w:t>
      </w:r>
    </w:p>
    <w:p>
      <w:pPr>
        <w:pStyle w:val="3"/>
        <w:spacing w:before="120" w:after="120"/>
      </w:pPr>
      <w:bookmarkStart w:id="64" w:name="_Toc33177689"/>
      <w:r>
        <w:rPr>
          <w:rFonts w:hint="eastAsia"/>
        </w:rPr>
        <w:t>7.2  监测设备要求</w:t>
      </w:r>
      <w:bookmarkEnd w:id="64"/>
    </w:p>
    <w:p>
      <w:pPr>
        <w:spacing w:line="360" w:lineRule="auto"/>
        <w:rPr>
          <w:rFonts w:ascii="宋体" w:hAnsi="宋体"/>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w:t>
      </w:r>
      <w:r>
        <w:rPr>
          <w:rFonts w:hint="eastAsia" w:ascii="黑体" w:hAnsi="黑体" w:eastAsia="黑体"/>
          <w:kern w:val="0"/>
          <w:szCs w:val="21"/>
        </w:rPr>
        <w:t>1</w:t>
      </w:r>
      <w:r>
        <w:rPr>
          <w:rFonts w:hint="eastAsia" w:ascii="宋体" w:hAnsi="宋体"/>
          <w:szCs w:val="21"/>
        </w:rPr>
        <w:t xml:space="preserve">  监测设备应满足本技术要求中监测设备技术参数及精度的有关要求。监测设备选型时应充分考虑野外长期自主运行的实际特点，从以下几个角度，尽量选取各功能同时具备的一体化封装式专业设备。</w:t>
      </w:r>
    </w:p>
    <w:p>
      <w:pPr>
        <w:spacing w:line="360" w:lineRule="auto"/>
        <w:ind w:left="840" w:leftChars="200" w:hanging="420" w:hangingChars="200"/>
        <w:rPr>
          <w:rFonts w:ascii="Times New Roman" w:hAnsi="Times New Roman"/>
          <w:szCs w:val="21"/>
        </w:rPr>
      </w:pPr>
      <w:r>
        <w:rPr>
          <w:rFonts w:ascii="Times New Roman" w:hAnsi="Times New Roman"/>
          <w:szCs w:val="21"/>
        </w:rPr>
        <w:t>a)  环境适宜性：选取的设备应能长时间工作于野外恶劣环境条件下，应具备防雷、防水、防尘、耐高低温等基本性能，所有专业监测设备应能保证365天全天候运行的需求。</w:t>
      </w:r>
    </w:p>
    <w:p>
      <w:pPr>
        <w:spacing w:line="360" w:lineRule="auto"/>
        <w:ind w:left="840" w:leftChars="200" w:hanging="420" w:hangingChars="200"/>
        <w:rPr>
          <w:rFonts w:ascii="Times New Roman" w:hAnsi="Times New Roman"/>
          <w:szCs w:val="21"/>
        </w:rPr>
      </w:pPr>
      <w:r>
        <w:rPr>
          <w:rFonts w:ascii="Times New Roman" w:hAnsi="Times New Roman"/>
          <w:szCs w:val="21"/>
        </w:rPr>
        <w:t>b)  性能适用性：选取的设备应具有基本的硬件、软件机制，各种性能应满足监测要求。</w:t>
      </w:r>
    </w:p>
    <w:p>
      <w:pPr>
        <w:spacing w:line="360" w:lineRule="auto"/>
        <w:ind w:left="840" w:leftChars="200" w:hanging="420" w:hangingChars="200"/>
        <w:rPr>
          <w:rFonts w:ascii="Times New Roman" w:hAnsi="Times New Roman"/>
          <w:szCs w:val="21"/>
        </w:rPr>
      </w:pPr>
      <w:r>
        <w:rPr>
          <w:rFonts w:ascii="Times New Roman" w:hAnsi="Times New Roman"/>
          <w:szCs w:val="21"/>
        </w:rPr>
        <w:t>c)  数据可靠性：所选设备除可实现数据远程传输外，还应具备足够容量的本地存储介质（如SD卡或外接USB存储设备等），数据远程传输设备应保证全天候运行的需求。</w:t>
      </w:r>
    </w:p>
    <w:p>
      <w:pPr>
        <w:spacing w:line="360" w:lineRule="auto"/>
        <w:ind w:left="840" w:leftChars="200" w:hanging="420" w:hangingChars="200"/>
        <w:rPr>
          <w:rFonts w:ascii="Times New Roman" w:hAnsi="Times New Roman"/>
          <w:szCs w:val="21"/>
        </w:rPr>
      </w:pPr>
      <w:r>
        <w:rPr>
          <w:rFonts w:ascii="Times New Roman" w:hAnsi="Times New Roman"/>
          <w:szCs w:val="21"/>
        </w:rPr>
        <w:t>d)  网络多样性：选取的设备应具备灵活组网机制，能根据现场的实际网络条件选择最为适合的入网方式，无线网络方面应支持国内三家运营商2 G～5 G等多种无线网络技术。</w:t>
      </w:r>
    </w:p>
    <w:p>
      <w:pPr>
        <w:spacing w:line="360" w:lineRule="auto"/>
        <w:ind w:left="840" w:leftChars="200" w:hanging="420" w:hangingChars="200"/>
        <w:rPr>
          <w:rFonts w:ascii="Times New Roman" w:hAnsi="Times New Roman"/>
          <w:szCs w:val="21"/>
        </w:rPr>
      </w:pPr>
      <w:r>
        <w:rPr>
          <w:rFonts w:ascii="Times New Roman" w:hAnsi="Times New Roman"/>
          <w:szCs w:val="21"/>
        </w:rPr>
        <w:t>e)  使用寿命：选取的监测设备使用寿命不得低于3年。</w:t>
      </w:r>
    </w:p>
    <w:p>
      <w:pPr>
        <w:spacing w:line="360" w:lineRule="auto"/>
        <w:ind w:left="840" w:leftChars="200" w:hanging="420" w:hangingChars="200"/>
        <w:rPr>
          <w:rFonts w:ascii="Times New Roman" w:hAnsi="Times New Roman"/>
          <w:szCs w:val="21"/>
        </w:rPr>
      </w:pPr>
      <w:r>
        <w:rPr>
          <w:rFonts w:ascii="Times New Roman" w:hAnsi="Times New Roman"/>
          <w:szCs w:val="21"/>
        </w:rPr>
        <w:t>f)  同一地质灾害各监测部位的同一仪器应尽量采用同一厂家的仪器。</w:t>
      </w:r>
    </w:p>
    <w:p>
      <w:pPr>
        <w:spacing w:line="360" w:lineRule="auto"/>
        <w:ind w:left="840" w:leftChars="200" w:hanging="420" w:hangingChars="200"/>
        <w:rPr>
          <w:rFonts w:ascii="Times New Roman" w:hAnsi="Times New Roman"/>
          <w:szCs w:val="21"/>
        </w:rPr>
      </w:pPr>
      <w:r>
        <w:rPr>
          <w:rFonts w:ascii="Times New Roman" w:hAnsi="Times New Roman"/>
          <w:szCs w:val="21"/>
        </w:rPr>
        <w:t>g)  区域地质灾害监测目标区内宜采用同时段同种数据源。</w:t>
      </w:r>
    </w:p>
    <w:p>
      <w:pPr>
        <w:spacing w:line="360" w:lineRule="auto"/>
        <w:ind w:left="840" w:leftChars="200" w:hanging="420" w:hangingChars="200"/>
        <w:rPr>
          <w:rFonts w:ascii="Times New Roman" w:hAnsi="Times New Roman"/>
          <w:szCs w:val="21"/>
        </w:rPr>
      </w:pPr>
      <w:r>
        <w:rPr>
          <w:rFonts w:ascii="Times New Roman" w:hAnsi="Times New Roman"/>
          <w:szCs w:val="21"/>
        </w:rPr>
        <w:t>h)  监测仪器的电缆应为负重、防水、防酸、耐碱、耐腐蚀、质地柔软的专用电缆。</w:t>
      </w:r>
    </w:p>
    <w:p>
      <w:pPr>
        <w:spacing w:line="360" w:lineRule="auto"/>
        <w:rPr>
          <w:rFonts w:ascii="宋体" w:hAnsi="宋体"/>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w:t>
      </w:r>
      <w:r>
        <w:rPr>
          <w:rFonts w:hint="eastAsia" w:ascii="黑体" w:hAnsi="黑体" w:eastAsia="黑体"/>
          <w:kern w:val="0"/>
          <w:szCs w:val="21"/>
        </w:rPr>
        <w:t>2</w:t>
      </w:r>
      <w:r>
        <w:rPr>
          <w:rFonts w:hint="eastAsia" w:ascii="宋体" w:hAnsi="宋体"/>
          <w:szCs w:val="21"/>
        </w:rPr>
        <w:t xml:space="preserve">  监测设备安装前需进行开箱检验、检查、核对仪器设备清单、生产许可证、出厂合格证、检验（标定）测试报告、说明书等资料文件。</w:t>
      </w:r>
    </w:p>
    <w:p>
      <w:pPr>
        <w:spacing w:line="360" w:lineRule="auto"/>
        <w:rPr>
          <w:rFonts w:ascii="宋体" w:hAnsi="宋体"/>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w:t>
      </w:r>
      <w:r>
        <w:rPr>
          <w:rFonts w:hint="eastAsia" w:ascii="黑体" w:hAnsi="黑体" w:eastAsia="黑体"/>
          <w:kern w:val="0"/>
          <w:szCs w:val="21"/>
        </w:rPr>
        <w:t>3</w:t>
      </w:r>
      <w:r>
        <w:rPr>
          <w:rFonts w:hint="eastAsia" w:ascii="宋体" w:hAnsi="宋体"/>
          <w:szCs w:val="21"/>
        </w:rPr>
        <w:t xml:space="preserve">  仪器设备埋设应有考证表,实际安装记录表,点之记等。仪器设备安装应按照仪器设备说明书的流程和要求执行，做好相应的编号和标志，安装前后应进行系统测试，安装、测试过程应进行详细记录，正常时方能埋设与投入运行。</w:t>
      </w:r>
    </w:p>
    <w:p>
      <w:pPr>
        <w:spacing w:line="360" w:lineRule="auto"/>
        <w:rPr>
          <w:rFonts w:ascii="宋体" w:hAnsi="宋体"/>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w:t>
      </w:r>
      <w:r>
        <w:rPr>
          <w:rFonts w:hint="eastAsia" w:ascii="黑体" w:hAnsi="黑体" w:eastAsia="黑体"/>
          <w:kern w:val="0"/>
          <w:szCs w:val="21"/>
        </w:rPr>
        <w:t>4</w:t>
      </w:r>
      <w:r>
        <w:rPr>
          <w:rFonts w:hint="eastAsia" w:ascii="宋体" w:hAnsi="宋体"/>
          <w:szCs w:val="21"/>
        </w:rPr>
        <w:t xml:space="preserve">  仪器埋设安装后应及时将连接的电缆或光缆进行编号标识，并引入现场监测网点或站（点）妥善保护，确认连接的电缆或光缆与相应测头、传感器编号无误，做好各种埋设施工记录和测读初始值。</w:t>
      </w:r>
    </w:p>
    <w:p>
      <w:pPr>
        <w:spacing w:line="360" w:lineRule="auto"/>
        <w:rPr>
          <w:rFonts w:ascii="宋体" w:hAnsi="宋体"/>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w:t>
      </w:r>
      <w:r>
        <w:rPr>
          <w:rFonts w:hint="eastAsia" w:ascii="黑体" w:hAnsi="黑体" w:eastAsia="黑体"/>
          <w:kern w:val="0"/>
          <w:szCs w:val="21"/>
        </w:rPr>
        <w:t>5</w:t>
      </w:r>
      <w:r>
        <w:rPr>
          <w:rFonts w:hint="eastAsia" w:ascii="宋体" w:hAnsi="宋体"/>
          <w:szCs w:val="21"/>
        </w:rPr>
        <w:t xml:space="preserve">  监测仪器和设备完装后应定期进行检定或校准。且应试运行一段时间，并提交试运行报告。</w:t>
      </w:r>
    </w:p>
    <w:p>
      <w:pPr>
        <w:spacing w:line="360" w:lineRule="auto"/>
        <w:rPr>
          <w:rFonts w:ascii="宋体" w:hAnsi="宋体"/>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2</w:t>
      </w:r>
      <w:r>
        <w:rPr>
          <w:rFonts w:ascii="黑体" w:hAnsi="黑体" w:eastAsia="黑体"/>
          <w:kern w:val="0"/>
          <w:szCs w:val="21"/>
        </w:rPr>
        <w:t>.</w:t>
      </w:r>
      <w:r>
        <w:rPr>
          <w:rFonts w:hint="eastAsia" w:ascii="黑体" w:hAnsi="黑体" w:eastAsia="黑体"/>
          <w:kern w:val="0"/>
          <w:szCs w:val="21"/>
        </w:rPr>
        <w:t>6</w:t>
      </w:r>
      <w:r>
        <w:rPr>
          <w:rFonts w:hint="eastAsia" w:ascii="宋体" w:hAnsi="宋体"/>
          <w:szCs w:val="21"/>
        </w:rPr>
        <w:t xml:space="preserve">  现场仪器设备的有关出厂资料、安装记录及初始值测试、检查测试结果等应按有关要求存档。</w:t>
      </w:r>
    </w:p>
    <w:p>
      <w:pPr>
        <w:pStyle w:val="3"/>
        <w:spacing w:before="120" w:after="120"/>
      </w:pPr>
      <w:bookmarkStart w:id="65" w:name="_Toc33177690"/>
      <w:r>
        <w:rPr>
          <w:rFonts w:hint="eastAsia"/>
        </w:rPr>
        <w:t>7.3  基础工程建设</w:t>
      </w:r>
      <w:bookmarkEnd w:id="65"/>
    </w:p>
    <w:p>
      <w:pPr>
        <w:pStyle w:val="4"/>
        <w:spacing w:before="120" w:after="120"/>
      </w:pPr>
      <w:r>
        <w:rPr>
          <w:rFonts w:hint="eastAsia"/>
        </w:rPr>
        <w:t>7.3.1  监测孔建设</w:t>
      </w:r>
    </w:p>
    <w:p>
      <w:pPr>
        <w:spacing w:line="360" w:lineRule="auto"/>
        <w:ind w:left="840" w:leftChars="200" w:hanging="420" w:hangingChars="200"/>
        <w:rPr>
          <w:rFonts w:ascii="Times New Roman" w:hAnsi="Times New Roman"/>
          <w:szCs w:val="21"/>
        </w:rPr>
      </w:pPr>
      <w:r>
        <w:rPr>
          <w:rFonts w:ascii="Times New Roman" w:hAnsi="Times New Roman"/>
          <w:szCs w:val="21"/>
        </w:rPr>
        <w:t>a)  钻探施工基本要求按《工程地质钻探规程》（DZ／T 0017）、《水文水井地质钻探规程》（DZ／T 0148）实施。</w:t>
      </w:r>
    </w:p>
    <w:p>
      <w:pPr>
        <w:spacing w:line="360" w:lineRule="auto"/>
        <w:ind w:left="840" w:leftChars="200" w:hanging="420" w:hangingChars="200"/>
        <w:rPr>
          <w:rFonts w:ascii="Times New Roman" w:hAnsi="Times New Roman"/>
          <w:szCs w:val="21"/>
        </w:rPr>
      </w:pPr>
      <w:r>
        <w:rPr>
          <w:rFonts w:ascii="Times New Roman" w:hAnsi="Times New Roman"/>
          <w:szCs w:val="21"/>
        </w:rPr>
        <w:t>b)  深部位移、地下水、滑坡推力等监测钻孔的具体建设技术要求参见附录G</w:t>
      </w:r>
      <w:r>
        <w:rPr>
          <w:rFonts w:ascii="Times New Roman" w:hAnsi="Times New Roman"/>
          <w:kern w:val="0"/>
          <w:szCs w:val="21"/>
        </w:rPr>
        <w:t>之</w:t>
      </w:r>
      <w:r>
        <w:rPr>
          <w:rFonts w:ascii="Times New Roman" w:hAnsi="Times New Roman"/>
          <w:szCs w:val="21"/>
        </w:rPr>
        <w:t>G.1～表G.3。</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c</w:t>
      </w:r>
      <w:r>
        <w:rPr>
          <w:rFonts w:ascii="Times New Roman" w:hAnsi="Times New Roman"/>
          <w:kern w:val="0"/>
          <w:szCs w:val="21"/>
        </w:rPr>
        <w:t xml:space="preserve">)  </w:t>
      </w:r>
      <w:r>
        <w:rPr>
          <w:rFonts w:ascii="Times New Roman" w:hAnsi="Times New Roman"/>
          <w:szCs w:val="21"/>
        </w:rPr>
        <w:t>各类监测孔孔(井)口可参照《国家级地下水监测井建设标准》</w:t>
      </w:r>
      <w:r>
        <w:rPr>
          <w:rFonts w:hint="eastAsia" w:ascii="Times New Roman" w:hAnsi="Times New Roman"/>
          <w:szCs w:val="21"/>
        </w:rPr>
        <w:t>（</w:t>
      </w:r>
      <w:r>
        <w:rPr>
          <w:rFonts w:ascii="Times New Roman" w:hAnsi="Times New Roman"/>
          <w:szCs w:val="21"/>
        </w:rPr>
        <w:t>DZ/T 0270</w:t>
      </w:r>
      <w:r>
        <w:rPr>
          <w:rFonts w:hint="eastAsia" w:ascii="Times New Roman" w:hAnsi="Times New Roman"/>
          <w:szCs w:val="21"/>
        </w:rPr>
        <w:t>）</w:t>
      </w:r>
      <w:r>
        <w:rPr>
          <w:rFonts w:ascii="Times New Roman" w:hAnsi="Times New Roman"/>
          <w:szCs w:val="21"/>
        </w:rPr>
        <w:t>进行保护，孔口保护装置结构图见附录G</w:t>
      </w:r>
      <w:r>
        <w:rPr>
          <w:rFonts w:ascii="Times New Roman" w:hAnsi="Times New Roman"/>
          <w:kern w:val="0"/>
          <w:szCs w:val="21"/>
        </w:rPr>
        <w:t>之</w:t>
      </w:r>
      <w:r>
        <w:rPr>
          <w:rFonts w:ascii="Times New Roman" w:hAnsi="Times New Roman"/>
          <w:szCs w:val="21"/>
        </w:rPr>
        <w:t>G.4。</w:t>
      </w:r>
    </w:p>
    <w:p>
      <w:pPr>
        <w:pStyle w:val="4"/>
        <w:spacing w:before="120" w:after="120"/>
      </w:pPr>
      <w:r>
        <w:rPr>
          <w:rFonts w:hint="eastAsia"/>
        </w:rPr>
        <w:t>7.3.2  自动化附属设施建设</w:t>
      </w: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szCs w:val="21"/>
        </w:rPr>
        <w:t>a</w:t>
      </w:r>
      <w:r>
        <w:rPr>
          <w:rFonts w:ascii="Times New Roman" w:hAnsi="Times New Roman"/>
          <w:kern w:val="0"/>
          <w:szCs w:val="21"/>
        </w:rPr>
        <w:t>)  附属建设主要指自动化监测的一体化附属设施建设。包括供电模组、防雷模组、设备箱（含数据通讯模组、供电配件等）、天线罩、一体化站杆等安装，一体化附属建设</w:t>
      </w:r>
      <w:r>
        <w:rPr>
          <w:rFonts w:ascii="Times New Roman" w:hAnsi="Times New Roman"/>
          <w:szCs w:val="21"/>
        </w:rPr>
        <w:t>结构参见附录G表G.9。</w:t>
      </w:r>
      <w:r>
        <w:rPr>
          <w:rFonts w:ascii="Times New Roman" w:hAnsi="Times New Roman"/>
          <w:kern w:val="0"/>
          <w:szCs w:val="21"/>
        </w:rPr>
        <w:t>安装时应充分考虑防盗、防雷、防潮的要求。</w:t>
      </w:r>
    </w:p>
    <w:p>
      <w:pPr>
        <w:spacing w:line="360" w:lineRule="auto"/>
        <w:ind w:left="840" w:leftChars="200" w:hanging="420" w:hangingChars="200"/>
        <w:rPr>
          <w:rFonts w:ascii="Times New Roman" w:hAnsi="Times New Roman"/>
          <w:szCs w:val="21"/>
        </w:rPr>
      </w:pPr>
      <w:r>
        <w:rPr>
          <w:rFonts w:ascii="Times New Roman" w:hAnsi="Times New Roman"/>
          <w:szCs w:val="21"/>
        </w:rPr>
        <w:t>b)  一体化附属建设总高度视现场地形而定，一般安装立柱不低于2.5 m。</w:t>
      </w:r>
    </w:p>
    <w:p>
      <w:pPr>
        <w:spacing w:line="360" w:lineRule="auto"/>
        <w:ind w:left="840" w:leftChars="200" w:hanging="420" w:hangingChars="200"/>
        <w:rPr>
          <w:rFonts w:ascii="Times New Roman" w:hAnsi="Times New Roman"/>
          <w:szCs w:val="21"/>
        </w:rPr>
      </w:pPr>
      <w:r>
        <w:rPr>
          <w:rFonts w:ascii="Times New Roman" w:hAnsi="Times New Roman"/>
          <w:szCs w:val="21"/>
        </w:rPr>
        <w:t>c)  为保证测点的稳固性，安装立柱底部宜设有法兰；基座尺寸一般不小于800 mm×800 mm，基座埋设深度视总安装高度而定，一般不小于500 mm；基座浇筑所用混凝土标准抗压强度等级不低于C20。可参见附录G表G.9。</w:t>
      </w:r>
    </w:p>
    <w:p>
      <w:pPr>
        <w:spacing w:line="360" w:lineRule="auto"/>
        <w:ind w:left="840" w:leftChars="200" w:hanging="420" w:hangingChars="200"/>
        <w:rPr>
          <w:rFonts w:ascii="Times New Roman" w:hAnsi="Times New Roman"/>
          <w:szCs w:val="21"/>
        </w:rPr>
      </w:pPr>
      <w:r>
        <w:rPr>
          <w:rFonts w:ascii="Times New Roman" w:hAnsi="Times New Roman"/>
          <w:szCs w:val="21"/>
        </w:rPr>
        <w:t>d)  监测设备主要部件应装入配电箱并上锁，配电箱可与基座浇筑于内，亦可挂于立柱上。</w:t>
      </w:r>
    </w:p>
    <w:p>
      <w:pPr>
        <w:spacing w:line="360" w:lineRule="auto"/>
        <w:ind w:left="840" w:leftChars="200" w:hanging="420" w:hangingChars="200"/>
        <w:rPr>
          <w:rFonts w:ascii="宋体" w:hAnsi="宋体"/>
          <w:szCs w:val="21"/>
        </w:rPr>
      </w:pPr>
      <w:r>
        <w:rPr>
          <w:rFonts w:ascii="Times New Roman" w:hAnsi="Times New Roman"/>
          <w:szCs w:val="21"/>
        </w:rPr>
        <w:t>e)  一体化附属建设安装完毕后，应在立柱的朝南侧注明项目名称、设备名称、相关单位和警示语</w:t>
      </w:r>
      <w:r>
        <w:rPr>
          <w:rFonts w:hint="eastAsia" w:ascii="宋体" w:hAnsi="宋体"/>
          <w:szCs w:val="21"/>
        </w:rPr>
        <w:t>等标识。标识内容及格式参见附</w:t>
      </w:r>
      <w:r>
        <w:rPr>
          <w:rFonts w:ascii="Times New Roman" w:hAnsi="Times New Roman"/>
          <w:szCs w:val="21"/>
        </w:rPr>
        <w:t>录G</w:t>
      </w:r>
      <w:r>
        <w:rPr>
          <w:rFonts w:ascii="Times New Roman" w:hAnsi="Times New Roman"/>
          <w:kern w:val="0"/>
          <w:szCs w:val="21"/>
        </w:rPr>
        <w:t>之</w:t>
      </w:r>
      <w:r>
        <w:rPr>
          <w:rFonts w:ascii="Times New Roman" w:hAnsi="Times New Roman"/>
          <w:szCs w:val="21"/>
        </w:rPr>
        <w:t>G.10</w:t>
      </w:r>
      <w:r>
        <w:rPr>
          <w:rFonts w:hint="eastAsia" w:ascii="宋体" w:hAnsi="宋体"/>
          <w:szCs w:val="21"/>
        </w:rPr>
        <w:t>。</w:t>
      </w:r>
    </w:p>
    <w:p>
      <w:pPr>
        <w:pStyle w:val="4"/>
        <w:spacing w:before="120" w:after="120"/>
      </w:pPr>
      <w:r>
        <w:rPr>
          <w:rFonts w:hint="eastAsia"/>
        </w:rPr>
        <w:t>7.3.3  人工监测墩墩标建设</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a</w:t>
      </w:r>
      <w:r>
        <w:rPr>
          <w:rFonts w:ascii="Times New Roman" w:hAnsi="Times New Roman"/>
          <w:kern w:val="0"/>
          <w:szCs w:val="21"/>
        </w:rPr>
        <w:t xml:space="preserve">)  </w:t>
      </w:r>
      <w:r>
        <w:rPr>
          <w:rFonts w:ascii="Times New Roman" w:hAnsi="Times New Roman"/>
          <w:szCs w:val="21"/>
        </w:rPr>
        <w:t>各种监测基准点、控制点、工作基点、形变监测点等应根据实际设置观测墩，高程基准点埋石可参照GB/T 12897执行。</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b</w:t>
      </w:r>
      <w:r>
        <w:rPr>
          <w:rFonts w:ascii="Times New Roman" w:hAnsi="Times New Roman"/>
          <w:kern w:val="0"/>
          <w:szCs w:val="21"/>
        </w:rPr>
        <w:t xml:space="preserve">)  </w:t>
      </w:r>
      <w:r>
        <w:rPr>
          <w:rFonts w:ascii="Times New Roman" w:hAnsi="Times New Roman"/>
          <w:szCs w:val="21"/>
        </w:rPr>
        <w:t>平面监测网点的观测墩，其照准标志宜采用强制对中装置的觇牌，强制归心时对中误差不得大于±0.2 mm。</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c</w:t>
      </w:r>
      <w:r>
        <w:rPr>
          <w:rFonts w:ascii="Times New Roman" w:hAnsi="Times New Roman"/>
          <w:kern w:val="0"/>
          <w:szCs w:val="21"/>
        </w:rPr>
        <w:t xml:space="preserve">)  </w:t>
      </w:r>
      <w:r>
        <w:rPr>
          <w:rFonts w:ascii="Times New Roman" w:hAnsi="Times New Roman"/>
          <w:szCs w:val="21"/>
        </w:rPr>
        <w:t>平面控制网点可设立观测墩或是埋设单标志的三角(导线)点标石。不设置观测墩的应按三角点(导线点)的形式埋设两层标志，两层标志中心垂直投影偏差不得大于3 mm。</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d</w:t>
      </w:r>
      <w:r>
        <w:rPr>
          <w:rFonts w:ascii="Times New Roman" w:hAnsi="Times New Roman"/>
          <w:kern w:val="0"/>
          <w:szCs w:val="21"/>
        </w:rPr>
        <w:t xml:space="preserve">)  </w:t>
      </w:r>
      <w:r>
        <w:rPr>
          <w:rFonts w:ascii="Times New Roman" w:hAnsi="Times New Roman"/>
          <w:szCs w:val="21"/>
        </w:rPr>
        <w:t>地表位移观测墩及基准墩建设的环境条件应符合GB/T 18314或GB 50026的水平通视、对空通视等规定。</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e</w:t>
      </w:r>
      <w:r>
        <w:rPr>
          <w:rFonts w:ascii="Times New Roman" w:hAnsi="Times New Roman"/>
          <w:kern w:val="0"/>
          <w:szCs w:val="21"/>
        </w:rPr>
        <w:t xml:space="preserve">)  </w:t>
      </w:r>
      <w:r>
        <w:rPr>
          <w:rFonts w:ascii="Times New Roman" w:hAnsi="Times New Roman"/>
          <w:szCs w:val="21"/>
        </w:rPr>
        <w:t>全站仪、卫星定位系统等地表位移观测墩，应和岩土体稳固结合并宜设立强制归心装置，其制作和埋设应符合GB/T 50026中10.2.3的要求,观测墩结构图参见附录G</w:t>
      </w:r>
      <w:r>
        <w:rPr>
          <w:rFonts w:ascii="Times New Roman" w:hAnsi="Times New Roman"/>
          <w:kern w:val="0"/>
          <w:szCs w:val="21"/>
        </w:rPr>
        <w:t>之</w:t>
      </w:r>
      <w:r>
        <w:rPr>
          <w:rFonts w:ascii="Times New Roman" w:hAnsi="Times New Roman"/>
          <w:szCs w:val="21"/>
        </w:rPr>
        <w:t>G.5。GNSS地表位移的基墩建设要求参见附录G</w:t>
      </w:r>
      <w:r>
        <w:rPr>
          <w:rFonts w:ascii="Times New Roman" w:hAnsi="Times New Roman"/>
          <w:kern w:val="0"/>
          <w:szCs w:val="21"/>
        </w:rPr>
        <w:t>之</w:t>
      </w:r>
      <w:r>
        <w:rPr>
          <w:rFonts w:ascii="Times New Roman" w:hAnsi="Times New Roman"/>
          <w:szCs w:val="21"/>
        </w:rPr>
        <w:t>G.6。</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f</w:t>
      </w:r>
      <w:r>
        <w:rPr>
          <w:rFonts w:ascii="Times New Roman" w:hAnsi="Times New Roman"/>
          <w:kern w:val="0"/>
          <w:szCs w:val="21"/>
        </w:rPr>
        <w:t xml:space="preserve">)  </w:t>
      </w:r>
      <w:r>
        <w:rPr>
          <w:rFonts w:ascii="Times New Roman" w:hAnsi="Times New Roman"/>
          <w:szCs w:val="21"/>
        </w:rPr>
        <w:t>监测裂缝相对位移时，应在裂缝两侧固定埋设单向、双向或三向观测墩。观测墩应和裂缝两侧岩土体稳固结合，观测墩悬臂不宜大于1 m。其观测墩建设要求参见附录G</w:t>
      </w:r>
      <w:r>
        <w:rPr>
          <w:rFonts w:ascii="Times New Roman" w:hAnsi="Times New Roman"/>
          <w:kern w:val="0"/>
          <w:szCs w:val="21"/>
        </w:rPr>
        <w:t>之</w:t>
      </w:r>
      <w:r>
        <w:rPr>
          <w:rFonts w:ascii="Times New Roman" w:hAnsi="Times New Roman"/>
          <w:szCs w:val="21"/>
        </w:rPr>
        <w:t>G.7。</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g</w:t>
      </w:r>
      <w:r>
        <w:rPr>
          <w:rFonts w:ascii="Times New Roman" w:hAnsi="Times New Roman"/>
          <w:kern w:val="0"/>
          <w:szCs w:val="21"/>
        </w:rPr>
        <w:t xml:space="preserve">)  </w:t>
      </w:r>
      <w:r>
        <w:rPr>
          <w:rFonts w:ascii="Times New Roman" w:hAnsi="Times New Roman"/>
          <w:szCs w:val="21"/>
        </w:rPr>
        <w:t>地面倾斜监测应埋设观测墩，观测墩应和岩土体稳固结合。其观测墩建设要求参见附录G</w:t>
      </w:r>
      <w:r>
        <w:rPr>
          <w:rFonts w:ascii="Times New Roman" w:hAnsi="Times New Roman"/>
          <w:kern w:val="0"/>
          <w:szCs w:val="21"/>
        </w:rPr>
        <w:t>之</w:t>
      </w:r>
      <w:r>
        <w:rPr>
          <w:rFonts w:ascii="Times New Roman" w:hAnsi="Times New Roman"/>
          <w:szCs w:val="21"/>
        </w:rPr>
        <w:t>G.8。</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h</w:t>
      </w:r>
      <w:r>
        <w:rPr>
          <w:rFonts w:ascii="Times New Roman" w:hAnsi="Times New Roman"/>
          <w:kern w:val="0"/>
          <w:szCs w:val="21"/>
        </w:rPr>
        <w:t xml:space="preserve">)  </w:t>
      </w:r>
      <w:r>
        <w:rPr>
          <w:rFonts w:ascii="Times New Roman" w:hAnsi="Times New Roman"/>
          <w:szCs w:val="21"/>
        </w:rPr>
        <w:t>平面控制网可采用三角测量、导线测量、GNSS测量及电磁波测边网等方法测量。</w:t>
      </w:r>
    </w:p>
    <w:p>
      <w:pPr>
        <w:pStyle w:val="3"/>
        <w:spacing w:before="120" w:after="120"/>
      </w:pPr>
      <w:bookmarkStart w:id="66" w:name="_Toc33177691"/>
      <w:r>
        <w:rPr>
          <w:rFonts w:hint="eastAsia"/>
        </w:rPr>
        <w:t>7.4  仪器设备安装</w:t>
      </w:r>
      <w:bookmarkEnd w:id="66"/>
    </w:p>
    <w:p>
      <w:pPr>
        <w:pStyle w:val="4"/>
        <w:spacing w:before="120" w:after="120"/>
      </w:pPr>
      <w:r>
        <w:rPr>
          <w:rFonts w:hint="eastAsia"/>
        </w:rPr>
        <w:t>7.4.1  自动化监测设备安装</w:t>
      </w:r>
    </w:p>
    <w:p>
      <w:pPr>
        <w:spacing w:line="360" w:lineRule="auto"/>
        <w:ind w:firstLine="420" w:firstLineChars="200"/>
        <w:rPr>
          <w:rFonts w:ascii="Times New Roman" w:hAnsi="Times New Roman"/>
          <w:szCs w:val="21"/>
        </w:rPr>
      </w:pPr>
      <w:r>
        <w:rPr>
          <w:rFonts w:ascii="Times New Roman" w:hAnsi="Times New Roman"/>
          <w:szCs w:val="21"/>
        </w:rPr>
        <w:t>目前比较常用的地质灾害自动化监测仪器、设备及适用性见表</w:t>
      </w:r>
      <w:r>
        <w:rPr>
          <w:rFonts w:hint="eastAsia" w:ascii="Times New Roman" w:hAnsi="Times New Roman"/>
          <w:szCs w:val="21"/>
        </w:rPr>
        <w:t>12</w:t>
      </w:r>
      <w:r>
        <w:rPr>
          <w:rFonts w:ascii="Times New Roman" w:hAnsi="Times New Roman"/>
          <w:szCs w:val="21"/>
        </w:rPr>
        <w:t>，表中各自动化监测基础建设及设备安装见附录H。</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表12  地质灾害自动化监测设备安装目录表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045"/>
        <w:gridCol w:w="1939"/>
        <w:gridCol w:w="2538"/>
        <w:gridCol w:w="2088"/>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序号</w:t>
            </w:r>
          </w:p>
        </w:tc>
        <w:tc>
          <w:tcPr>
            <w:tcW w:w="546" w:type="pct"/>
            <w:vAlign w:val="center"/>
          </w:tcPr>
          <w:p>
            <w:pPr>
              <w:jc w:val="center"/>
              <w:rPr>
                <w:rFonts w:ascii="Times New Roman" w:hAnsi="Times New Roman"/>
                <w:sz w:val="18"/>
                <w:szCs w:val="18"/>
              </w:rPr>
            </w:pPr>
            <w:r>
              <w:rPr>
                <w:rFonts w:ascii="Times New Roman" w:hAnsi="Times New Roman"/>
                <w:sz w:val="18"/>
                <w:szCs w:val="18"/>
              </w:rPr>
              <w:t>监测分类</w:t>
            </w:r>
          </w:p>
        </w:tc>
        <w:tc>
          <w:tcPr>
            <w:tcW w:w="1013" w:type="pct"/>
            <w:vAlign w:val="center"/>
          </w:tcPr>
          <w:p>
            <w:pPr>
              <w:jc w:val="center"/>
              <w:rPr>
                <w:rFonts w:ascii="Times New Roman" w:hAnsi="Times New Roman"/>
                <w:sz w:val="18"/>
                <w:szCs w:val="18"/>
              </w:rPr>
            </w:pPr>
            <w:r>
              <w:rPr>
                <w:rFonts w:ascii="Times New Roman" w:hAnsi="Times New Roman"/>
                <w:sz w:val="18"/>
                <w:szCs w:val="18"/>
              </w:rPr>
              <w:t>监测方法</w:t>
            </w:r>
          </w:p>
        </w:tc>
        <w:tc>
          <w:tcPr>
            <w:tcW w:w="1326" w:type="pct"/>
            <w:vAlign w:val="center"/>
          </w:tcPr>
          <w:p>
            <w:pPr>
              <w:widowControl/>
              <w:jc w:val="center"/>
              <w:rPr>
                <w:rFonts w:ascii="Times New Roman" w:hAnsi="Times New Roman"/>
                <w:sz w:val="18"/>
                <w:szCs w:val="18"/>
              </w:rPr>
            </w:pPr>
            <w:r>
              <w:rPr>
                <w:rFonts w:ascii="Times New Roman" w:hAnsi="Times New Roman"/>
                <w:sz w:val="18"/>
                <w:szCs w:val="18"/>
              </w:rPr>
              <w:t>常用仪器及设备</w:t>
            </w:r>
          </w:p>
        </w:tc>
        <w:tc>
          <w:tcPr>
            <w:tcW w:w="1091" w:type="pct"/>
            <w:vAlign w:val="center"/>
          </w:tcPr>
          <w:p>
            <w:pPr>
              <w:widowControl/>
              <w:jc w:val="center"/>
              <w:rPr>
                <w:rFonts w:ascii="Times New Roman" w:hAnsi="Times New Roman"/>
                <w:sz w:val="18"/>
                <w:szCs w:val="18"/>
              </w:rPr>
            </w:pPr>
            <w:r>
              <w:rPr>
                <w:rFonts w:ascii="Times New Roman" w:hAnsi="Times New Roman"/>
                <w:sz w:val="18"/>
                <w:szCs w:val="18"/>
              </w:rPr>
              <w:t>适用灾种</w:t>
            </w:r>
          </w:p>
        </w:tc>
        <w:tc>
          <w:tcPr>
            <w:tcW w:w="712" w:type="pct"/>
            <w:vAlign w:val="center"/>
          </w:tcPr>
          <w:p>
            <w:pPr>
              <w:widowControl/>
              <w:jc w:val="center"/>
              <w:rPr>
                <w:rFonts w:ascii="Times New Roman" w:hAnsi="Times New Roman"/>
                <w:sz w:val="18"/>
                <w:szCs w:val="18"/>
              </w:rPr>
            </w:pPr>
            <w:r>
              <w:rPr>
                <w:rFonts w:ascii="Times New Roman" w:hAnsi="Times New Roman"/>
                <w:sz w:val="18"/>
                <w:szCs w:val="18"/>
              </w:rPr>
              <w:t>设备安装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1</w:t>
            </w:r>
          </w:p>
        </w:tc>
        <w:tc>
          <w:tcPr>
            <w:tcW w:w="546" w:type="pct"/>
            <w:vMerge w:val="restart"/>
            <w:vAlign w:val="center"/>
          </w:tcPr>
          <w:p>
            <w:pPr>
              <w:jc w:val="center"/>
              <w:rPr>
                <w:rFonts w:ascii="Times New Roman" w:hAnsi="Times New Roman"/>
                <w:sz w:val="18"/>
                <w:szCs w:val="18"/>
              </w:rPr>
            </w:pPr>
            <w:r>
              <w:rPr>
                <w:rFonts w:ascii="Times New Roman" w:hAnsi="Times New Roman"/>
                <w:sz w:val="18"/>
                <w:szCs w:val="18"/>
              </w:rPr>
              <w:t>位移</w:t>
            </w:r>
          </w:p>
          <w:p>
            <w:pPr>
              <w:jc w:val="center"/>
              <w:rPr>
                <w:rFonts w:ascii="Times New Roman" w:hAnsi="Times New Roman"/>
                <w:sz w:val="18"/>
                <w:szCs w:val="18"/>
              </w:rPr>
            </w:pPr>
            <w:r>
              <w:rPr>
                <w:rFonts w:ascii="Times New Roman" w:hAnsi="Times New Roman"/>
                <w:sz w:val="18"/>
                <w:szCs w:val="18"/>
              </w:rPr>
              <w:t>监测</w:t>
            </w:r>
          </w:p>
        </w:tc>
        <w:tc>
          <w:tcPr>
            <w:tcW w:w="1013" w:type="pct"/>
            <w:vAlign w:val="center"/>
          </w:tcPr>
          <w:p>
            <w:pPr>
              <w:jc w:val="center"/>
              <w:rPr>
                <w:rFonts w:ascii="Times New Roman" w:hAnsi="Times New Roman"/>
                <w:sz w:val="18"/>
                <w:szCs w:val="18"/>
              </w:rPr>
            </w:pPr>
            <w:r>
              <w:rPr>
                <w:rFonts w:ascii="Times New Roman" w:hAnsi="Times New Roman"/>
                <w:sz w:val="18"/>
                <w:szCs w:val="18"/>
              </w:rPr>
              <w:t>地表位移监测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GNSS（GPS、北斗）、监测机器人（角度方位监测设备）</w:t>
            </w:r>
          </w:p>
        </w:tc>
        <w:tc>
          <w:tcPr>
            <w:tcW w:w="1091" w:type="pct"/>
            <w:vAlign w:val="center"/>
          </w:tcPr>
          <w:p>
            <w:pPr>
              <w:rPr>
                <w:rFonts w:ascii="Times New Roman" w:hAnsi="Times New Roman"/>
                <w:sz w:val="18"/>
                <w:szCs w:val="18"/>
              </w:rPr>
            </w:pPr>
            <w:r>
              <w:rPr>
                <w:rFonts w:ascii="Times New Roman" w:hAnsi="Times New Roman"/>
                <w:sz w:val="18"/>
                <w:szCs w:val="18"/>
              </w:rPr>
              <w:t>滑坡、崩塌、地面塌陷</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2</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地表裂缝监测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 xml:space="preserve">  裂缝监测仪、裂缝位移计</w:t>
            </w:r>
          </w:p>
        </w:tc>
        <w:tc>
          <w:tcPr>
            <w:tcW w:w="1091" w:type="pct"/>
            <w:vAlign w:val="center"/>
          </w:tcPr>
          <w:p>
            <w:pPr>
              <w:rPr>
                <w:rFonts w:ascii="Times New Roman" w:hAnsi="Times New Roman"/>
                <w:sz w:val="18"/>
                <w:szCs w:val="18"/>
              </w:rPr>
            </w:pPr>
            <w:r>
              <w:rPr>
                <w:rFonts w:ascii="Times New Roman" w:hAnsi="Times New Roman"/>
                <w:sz w:val="18"/>
                <w:szCs w:val="18"/>
              </w:rPr>
              <w:t>滑坡、崩塌、地面塌陷、泥石流</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附录H.2、表H.3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3</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激光位移监测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激光测距式相对位移监测仪</w:t>
            </w:r>
          </w:p>
        </w:tc>
        <w:tc>
          <w:tcPr>
            <w:tcW w:w="1091" w:type="pct"/>
            <w:vAlign w:val="center"/>
          </w:tcPr>
          <w:p>
            <w:pPr>
              <w:rPr>
                <w:rFonts w:ascii="Times New Roman" w:hAnsi="Times New Roman"/>
                <w:sz w:val="18"/>
                <w:szCs w:val="18"/>
              </w:rPr>
            </w:pPr>
            <w:r>
              <w:rPr>
                <w:rFonts w:ascii="Times New Roman" w:hAnsi="Times New Roman"/>
                <w:sz w:val="18"/>
                <w:szCs w:val="18"/>
              </w:rPr>
              <w:t>滑坡、崩塌、地面塌陷</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4</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深部测斜监测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复合式深部位移监测仪</w:t>
            </w:r>
          </w:p>
        </w:tc>
        <w:tc>
          <w:tcPr>
            <w:tcW w:w="1091" w:type="pct"/>
            <w:vAlign w:val="center"/>
          </w:tcPr>
          <w:p>
            <w:pPr>
              <w:rPr>
                <w:rFonts w:ascii="Times New Roman" w:hAnsi="Times New Roman"/>
                <w:sz w:val="18"/>
                <w:szCs w:val="18"/>
              </w:rPr>
            </w:pPr>
            <w:r>
              <w:rPr>
                <w:rFonts w:ascii="Times New Roman" w:hAnsi="Times New Roman"/>
                <w:sz w:val="18"/>
                <w:szCs w:val="18"/>
              </w:rPr>
              <w:t>滑坡</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5</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危岩位移倾斜监测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倾斜计、倾角计</w:t>
            </w:r>
          </w:p>
        </w:tc>
        <w:tc>
          <w:tcPr>
            <w:tcW w:w="1091" w:type="pct"/>
            <w:vAlign w:val="center"/>
          </w:tcPr>
          <w:p>
            <w:pPr>
              <w:rPr>
                <w:rFonts w:ascii="Times New Roman" w:hAnsi="Times New Roman"/>
                <w:sz w:val="18"/>
                <w:szCs w:val="18"/>
              </w:rPr>
            </w:pPr>
            <w:r>
              <w:rPr>
                <w:rFonts w:ascii="Times New Roman" w:hAnsi="Times New Roman"/>
                <w:sz w:val="18"/>
                <w:szCs w:val="18"/>
              </w:rPr>
              <w:t>滑坡、崩塌</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6</w:t>
            </w:r>
          </w:p>
        </w:tc>
        <w:tc>
          <w:tcPr>
            <w:tcW w:w="546" w:type="pct"/>
            <w:vMerge w:val="restart"/>
            <w:vAlign w:val="center"/>
          </w:tcPr>
          <w:p>
            <w:pPr>
              <w:jc w:val="center"/>
              <w:rPr>
                <w:rFonts w:ascii="Times New Roman" w:hAnsi="Times New Roman"/>
                <w:sz w:val="18"/>
                <w:szCs w:val="18"/>
              </w:rPr>
            </w:pPr>
            <w:r>
              <w:rPr>
                <w:rFonts w:ascii="Times New Roman" w:hAnsi="Times New Roman"/>
                <w:sz w:val="18"/>
                <w:szCs w:val="18"/>
              </w:rPr>
              <w:t>应力</w:t>
            </w:r>
          </w:p>
          <w:p>
            <w:pPr>
              <w:jc w:val="center"/>
              <w:rPr>
                <w:rFonts w:ascii="Times New Roman" w:hAnsi="Times New Roman"/>
                <w:sz w:val="18"/>
                <w:szCs w:val="18"/>
              </w:rPr>
            </w:pPr>
            <w:r>
              <w:rPr>
                <w:rFonts w:ascii="Times New Roman" w:hAnsi="Times New Roman"/>
                <w:sz w:val="18"/>
                <w:szCs w:val="18"/>
              </w:rPr>
              <w:t>监测</w:t>
            </w:r>
          </w:p>
        </w:tc>
        <w:tc>
          <w:tcPr>
            <w:tcW w:w="1013" w:type="pct"/>
            <w:vAlign w:val="center"/>
          </w:tcPr>
          <w:p>
            <w:pPr>
              <w:jc w:val="center"/>
              <w:rPr>
                <w:rFonts w:ascii="Times New Roman" w:hAnsi="Times New Roman"/>
                <w:sz w:val="18"/>
                <w:szCs w:val="18"/>
              </w:rPr>
            </w:pPr>
            <w:r>
              <w:rPr>
                <w:rFonts w:ascii="Times New Roman" w:hAnsi="Times New Roman"/>
                <w:sz w:val="18"/>
                <w:szCs w:val="18"/>
              </w:rPr>
              <w:t>压力监测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土体、岩体压力计</w:t>
            </w:r>
          </w:p>
        </w:tc>
        <w:tc>
          <w:tcPr>
            <w:tcW w:w="1091" w:type="pct"/>
            <w:vAlign w:val="center"/>
          </w:tcPr>
          <w:p>
            <w:pPr>
              <w:rPr>
                <w:rFonts w:ascii="Times New Roman" w:hAnsi="Times New Roman"/>
                <w:sz w:val="18"/>
                <w:szCs w:val="18"/>
              </w:rPr>
            </w:pPr>
            <w:r>
              <w:rPr>
                <w:rFonts w:ascii="Times New Roman" w:hAnsi="Times New Roman"/>
                <w:sz w:val="18"/>
                <w:szCs w:val="18"/>
              </w:rPr>
              <w:t>滑坡、崩塌、地面塌陷、</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7</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推力监测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滑坡推力监测仪</w:t>
            </w:r>
          </w:p>
        </w:tc>
        <w:tc>
          <w:tcPr>
            <w:tcW w:w="1091" w:type="pct"/>
            <w:vAlign w:val="center"/>
          </w:tcPr>
          <w:p>
            <w:pPr>
              <w:rPr>
                <w:rFonts w:ascii="Times New Roman" w:hAnsi="Times New Roman"/>
                <w:sz w:val="18"/>
                <w:szCs w:val="18"/>
              </w:rPr>
            </w:pPr>
            <w:r>
              <w:rPr>
                <w:rFonts w:ascii="Times New Roman" w:hAnsi="Times New Roman"/>
                <w:sz w:val="18"/>
                <w:szCs w:val="18"/>
              </w:rPr>
              <w:t>滑坡</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8</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孔隙水渗压监测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复合式深部监测仪/孔隙水压力计</w:t>
            </w:r>
          </w:p>
        </w:tc>
        <w:tc>
          <w:tcPr>
            <w:tcW w:w="1091" w:type="pct"/>
            <w:vAlign w:val="center"/>
          </w:tcPr>
          <w:p>
            <w:pPr>
              <w:rPr>
                <w:rFonts w:ascii="Times New Roman" w:hAnsi="Times New Roman"/>
                <w:sz w:val="18"/>
                <w:szCs w:val="18"/>
              </w:rPr>
            </w:pPr>
            <w:r>
              <w:rPr>
                <w:rFonts w:ascii="Times New Roman" w:hAnsi="Times New Roman"/>
                <w:sz w:val="18"/>
                <w:szCs w:val="18"/>
              </w:rPr>
              <w:t>滑坡、泥石流、地面塌陷</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9</w:t>
            </w:r>
          </w:p>
        </w:tc>
        <w:tc>
          <w:tcPr>
            <w:tcW w:w="546" w:type="pct"/>
            <w:vMerge w:val="restart"/>
            <w:vAlign w:val="center"/>
          </w:tcPr>
          <w:p>
            <w:pPr>
              <w:jc w:val="center"/>
              <w:rPr>
                <w:rFonts w:ascii="Times New Roman" w:hAnsi="Times New Roman"/>
                <w:sz w:val="18"/>
                <w:szCs w:val="18"/>
              </w:rPr>
            </w:pPr>
            <w:r>
              <w:rPr>
                <w:rFonts w:ascii="Times New Roman" w:hAnsi="Times New Roman"/>
                <w:sz w:val="18"/>
                <w:szCs w:val="18"/>
              </w:rPr>
              <w:t>诱发</w:t>
            </w:r>
          </w:p>
          <w:p>
            <w:pPr>
              <w:jc w:val="center"/>
              <w:rPr>
                <w:rFonts w:ascii="Times New Roman" w:hAnsi="Times New Roman"/>
                <w:sz w:val="18"/>
                <w:szCs w:val="18"/>
              </w:rPr>
            </w:pPr>
            <w:r>
              <w:rPr>
                <w:rFonts w:ascii="Times New Roman" w:hAnsi="Times New Roman"/>
                <w:sz w:val="18"/>
                <w:szCs w:val="18"/>
              </w:rPr>
              <w:t>因素</w:t>
            </w:r>
          </w:p>
          <w:p>
            <w:pPr>
              <w:jc w:val="center"/>
              <w:rPr>
                <w:rFonts w:ascii="Times New Roman" w:hAnsi="Times New Roman"/>
                <w:sz w:val="18"/>
                <w:szCs w:val="18"/>
              </w:rPr>
            </w:pPr>
            <w:r>
              <w:rPr>
                <w:rFonts w:ascii="Times New Roman" w:hAnsi="Times New Roman"/>
                <w:sz w:val="18"/>
                <w:szCs w:val="18"/>
              </w:rPr>
              <w:t>监测</w:t>
            </w:r>
          </w:p>
        </w:tc>
        <w:tc>
          <w:tcPr>
            <w:tcW w:w="1013" w:type="pct"/>
            <w:vAlign w:val="center"/>
          </w:tcPr>
          <w:p>
            <w:pPr>
              <w:jc w:val="center"/>
              <w:rPr>
                <w:rFonts w:ascii="Times New Roman" w:hAnsi="Times New Roman"/>
                <w:sz w:val="18"/>
                <w:szCs w:val="18"/>
              </w:rPr>
            </w:pPr>
            <w:r>
              <w:rPr>
                <w:rFonts w:ascii="Times New Roman" w:hAnsi="Times New Roman"/>
                <w:sz w:val="18"/>
                <w:szCs w:val="18"/>
              </w:rPr>
              <w:t>雨量自动监测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自动雨量计</w:t>
            </w:r>
          </w:p>
        </w:tc>
        <w:tc>
          <w:tcPr>
            <w:tcW w:w="1091" w:type="pct"/>
            <w:vAlign w:val="center"/>
          </w:tcPr>
          <w:p>
            <w:pPr>
              <w:rPr>
                <w:rFonts w:ascii="Times New Roman" w:hAnsi="Times New Roman"/>
                <w:sz w:val="18"/>
                <w:szCs w:val="18"/>
              </w:rPr>
            </w:pPr>
            <w:r>
              <w:rPr>
                <w:rFonts w:ascii="Times New Roman" w:hAnsi="Times New Roman"/>
                <w:sz w:val="18"/>
                <w:szCs w:val="18"/>
              </w:rPr>
              <w:t>滑坡、崩塌、地面塌陷、泥石流</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10</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地下水监测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地下水水位计</w:t>
            </w:r>
          </w:p>
        </w:tc>
        <w:tc>
          <w:tcPr>
            <w:tcW w:w="1091" w:type="pct"/>
            <w:vAlign w:val="center"/>
          </w:tcPr>
          <w:p>
            <w:pPr>
              <w:rPr>
                <w:rFonts w:ascii="Times New Roman" w:hAnsi="Times New Roman"/>
                <w:sz w:val="18"/>
                <w:szCs w:val="18"/>
              </w:rPr>
            </w:pPr>
            <w:r>
              <w:rPr>
                <w:rFonts w:ascii="Times New Roman" w:hAnsi="Times New Roman"/>
                <w:sz w:val="18"/>
                <w:szCs w:val="18"/>
              </w:rPr>
              <w:t>滑坡、崩塌、地面塌陷、泥石流</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11</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含水率监测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含水率监测仪</w:t>
            </w:r>
          </w:p>
        </w:tc>
        <w:tc>
          <w:tcPr>
            <w:tcW w:w="1091" w:type="pct"/>
            <w:vAlign w:val="center"/>
          </w:tcPr>
          <w:p>
            <w:pPr>
              <w:rPr>
                <w:rFonts w:ascii="Times New Roman" w:hAnsi="Times New Roman"/>
                <w:sz w:val="18"/>
                <w:szCs w:val="18"/>
              </w:rPr>
            </w:pPr>
            <w:r>
              <w:rPr>
                <w:rFonts w:ascii="Times New Roman" w:hAnsi="Times New Roman"/>
                <w:sz w:val="18"/>
                <w:szCs w:val="18"/>
              </w:rPr>
              <w:t>滑坡、崩塌、地面塌陷、泥石流</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12</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泥水位监测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泥水位监测仪</w:t>
            </w:r>
          </w:p>
        </w:tc>
        <w:tc>
          <w:tcPr>
            <w:tcW w:w="1091" w:type="pct"/>
            <w:vAlign w:val="center"/>
          </w:tcPr>
          <w:p>
            <w:pPr>
              <w:rPr>
                <w:rFonts w:ascii="Times New Roman" w:hAnsi="Times New Roman"/>
                <w:sz w:val="18"/>
                <w:szCs w:val="18"/>
              </w:rPr>
            </w:pPr>
            <w:r>
              <w:rPr>
                <w:rFonts w:ascii="Times New Roman" w:hAnsi="Times New Roman"/>
                <w:sz w:val="18"/>
                <w:szCs w:val="18"/>
              </w:rPr>
              <w:t>泥石流</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13</w:t>
            </w:r>
          </w:p>
        </w:tc>
        <w:tc>
          <w:tcPr>
            <w:tcW w:w="546" w:type="pct"/>
            <w:vMerge w:val="restart"/>
            <w:vAlign w:val="center"/>
          </w:tcPr>
          <w:p>
            <w:pPr>
              <w:jc w:val="center"/>
              <w:rPr>
                <w:rFonts w:ascii="Times New Roman" w:hAnsi="Times New Roman"/>
                <w:sz w:val="18"/>
                <w:szCs w:val="18"/>
              </w:rPr>
            </w:pPr>
            <w:r>
              <w:rPr>
                <w:rFonts w:ascii="Times New Roman" w:hAnsi="Times New Roman"/>
                <w:sz w:val="18"/>
                <w:szCs w:val="18"/>
              </w:rPr>
              <w:t>其它监测</w:t>
            </w:r>
          </w:p>
        </w:tc>
        <w:tc>
          <w:tcPr>
            <w:tcW w:w="1013" w:type="pct"/>
            <w:vAlign w:val="center"/>
          </w:tcPr>
          <w:p>
            <w:pPr>
              <w:jc w:val="center"/>
              <w:rPr>
                <w:rFonts w:ascii="Times New Roman" w:hAnsi="Times New Roman"/>
                <w:sz w:val="18"/>
                <w:szCs w:val="18"/>
              </w:rPr>
            </w:pPr>
            <w:r>
              <w:rPr>
                <w:rFonts w:ascii="Times New Roman" w:hAnsi="Times New Roman"/>
                <w:sz w:val="18"/>
                <w:szCs w:val="18"/>
              </w:rPr>
              <w:t>视频</w:t>
            </w:r>
          </w:p>
        </w:tc>
        <w:tc>
          <w:tcPr>
            <w:tcW w:w="1326" w:type="pct"/>
            <w:vAlign w:val="center"/>
          </w:tcPr>
          <w:p>
            <w:pPr>
              <w:jc w:val="center"/>
              <w:rPr>
                <w:rFonts w:ascii="Times New Roman" w:hAnsi="Times New Roman"/>
                <w:sz w:val="18"/>
                <w:szCs w:val="18"/>
              </w:rPr>
            </w:pPr>
            <w:r>
              <w:rPr>
                <w:rFonts w:ascii="Times New Roman" w:hAnsi="Times New Roman"/>
                <w:sz w:val="18"/>
                <w:szCs w:val="18"/>
              </w:rPr>
              <w:t>视频监控系统</w:t>
            </w:r>
          </w:p>
        </w:tc>
        <w:tc>
          <w:tcPr>
            <w:tcW w:w="1091" w:type="pct"/>
            <w:vAlign w:val="center"/>
          </w:tcPr>
          <w:p>
            <w:pPr>
              <w:rPr>
                <w:rFonts w:ascii="Times New Roman" w:hAnsi="Times New Roman"/>
                <w:sz w:val="18"/>
                <w:szCs w:val="18"/>
              </w:rPr>
            </w:pPr>
            <w:r>
              <w:rPr>
                <w:rFonts w:ascii="Times New Roman" w:hAnsi="Times New Roman"/>
                <w:sz w:val="18"/>
                <w:szCs w:val="18"/>
              </w:rPr>
              <w:t>滑坡、崩塌、地面塌陷、泥石流</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 w:type="pct"/>
            <w:vAlign w:val="center"/>
          </w:tcPr>
          <w:p>
            <w:pPr>
              <w:jc w:val="center"/>
              <w:rPr>
                <w:rFonts w:ascii="Times New Roman" w:hAnsi="Times New Roman"/>
                <w:sz w:val="18"/>
                <w:szCs w:val="18"/>
              </w:rPr>
            </w:pPr>
            <w:r>
              <w:rPr>
                <w:rFonts w:ascii="Times New Roman" w:hAnsi="Times New Roman"/>
                <w:sz w:val="18"/>
                <w:szCs w:val="18"/>
              </w:rPr>
              <w:t>14</w:t>
            </w:r>
          </w:p>
        </w:tc>
        <w:tc>
          <w:tcPr>
            <w:tcW w:w="546" w:type="pct"/>
            <w:vMerge w:val="continue"/>
            <w:vAlign w:val="center"/>
          </w:tcPr>
          <w:p>
            <w:pPr>
              <w:jc w:val="center"/>
              <w:rPr>
                <w:rFonts w:ascii="Times New Roman" w:hAnsi="Times New Roman"/>
                <w:sz w:val="18"/>
                <w:szCs w:val="18"/>
              </w:rPr>
            </w:pPr>
          </w:p>
        </w:tc>
        <w:tc>
          <w:tcPr>
            <w:tcW w:w="1013" w:type="pct"/>
            <w:vAlign w:val="center"/>
          </w:tcPr>
          <w:p>
            <w:pPr>
              <w:jc w:val="center"/>
              <w:rPr>
                <w:rFonts w:ascii="Times New Roman" w:hAnsi="Times New Roman"/>
                <w:sz w:val="18"/>
                <w:szCs w:val="18"/>
              </w:rPr>
            </w:pPr>
            <w:r>
              <w:rPr>
                <w:rFonts w:ascii="Times New Roman" w:hAnsi="Times New Roman"/>
                <w:sz w:val="18"/>
                <w:szCs w:val="18"/>
              </w:rPr>
              <w:t>地声（次声）地震动</w:t>
            </w:r>
          </w:p>
          <w:p>
            <w:pPr>
              <w:jc w:val="center"/>
              <w:rPr>
                <w:rFonts w:ascii="Times New Roman" w:hAnsi="Times New Roman"/>
                <w:sz w:val="18"/>
                <w:szCs w:val="18"/>
              </w:rPr>
            </w:pPr>
            <w:r>
              <w:rPr>
                <w:rFonts w:ascii="Times New Roman" w:hAnsi="Times New Roman"/>
                <w:sz w:val="18"/>
                <w:szCs w:val="18"/>
              </w:rPr>
              <w:t>监测</w:t>
            </w:r>
          </w:p>
        </w:tc>
        <w:tc>
          <w:tcPr>
            <w:tcW w:w="1326" w:type="pct"/>
            <w:vAlign w:val="center"/>
          </w:tcPr>
          <w:p>
            <w:pPr>
              <w:jc w:val="center"/>
              <w:rPr>
                <w:rFonts w:ascii="Times New Roman" w:hAnsi="Times New Roman"/>
                <w:sz w:val="18"/>
                <w:szCs w:val="18"/>
              </w:rPr>
            </w:pPr>
            <w:r>
              <w:rPr>
                <w:rFonts w:ascii="Times New Roman" w:hAnsi="Times New Roman"/>
                <w:sz w:val="18"/>
                <w:szCs w:val="18"/>
              </w:rPr>
              <w:t>地声发射仪、地音探测仪，地震仪、地电仪</w:t>
            </w:r>
          </w:p>
        </w:tc>
        <w:tc>
          <w:tcPr>
            <w:tcW w:w="1091" w:type="pct"/>
            <w:vAlign w:val="center"/>
          </w:tcPr>
          <w:p>
            <w:pPr>
              <w:rPr>
                <w:rFonts w:ascii="Times New Roman" w:hAnsi="Times New Roman"/>
                <w:sz w:val="18"/>
                <w:szCs w:val="18"/>
              </w:rPr>
            </w:pPr>
            <w:r>
              <w:rPr>
                <w:rFonts w:ascii="Times New Roman" w:hAnsi="Times New Roman"/>
                <w:sz w:val="18"/>
                <w:szCs w:val="18"/>
              </w:rPr>
              <w:t>岩质滑坡、崩塌、泥石流、地面塌陷</w:t>
            </w:r>
          </w:p>
        </w:tc>
        <w:tc>
          <w:tcPr>
            <w:tcW w:w="712" w:type="pct"/>
            <w:vAlign w:val="center"/>
          </w:tcPr>
          <w:p>
            <w:pPr>
              <w:jc w:val="center"/>
              <w:rPr>
                <w:rFonts w:ascii="Times New Roman" w:hAnsi="Times New Roman"/>
                <w:sz w:val="18"/>
                <w:szCs w:val="18"/>
              </w:rPr>
            </w:pPr>
            <w:r>
              <w:rPr>
                <w:rFonts w:ascii="Times New Roman" w:hAnsi="Times New Roman"/>
                <w:sz w:val="18"/>
                <w:szCs w:val="18"/>
              </w:rPr>
              <w:t>附录H.15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pPr>
              <w:jc w:val="left"/>
              <w:rPr>
                <w:rFonts w:ascii="Times New Roman" w:hAnsi="Times New Roman"/>
                <w:sz w:val="18"/>
                <w:szCs w:val="18"/>
              </w:rPr>
            </w:pPr>
            <w:r>
              <w:rPr>
                <w:rFonts w:ascii="黑体" w:hAnsi="黑体" w:eastAsia="黑体"/>
                <w:sz w:val="18"/>
                <w:szCs w:val="18"/>
              </w:rPr>
              <w:t>注：</w:t>
            </w:r>
            <w:r>
              <w:rPr>
                <w:rFonts w:ascii="Times New Roman" w:hAnsi="Times New Roman"/>
                <w:sz w:val="18"/>
                <w:szCs w:val="18"/>
              </w:rPr>
              <w:t>本表列出了目前常用的自动化监测设备，随着信息化及传感器等技术的快速发展，本表仅做推荐性参考。</w:t>
            </w:r>
          </w:p>
        </w:tc>
      </w:tr>
    </w:tbl>
    <w:p>
      <w:bookmarkStart w:id="67" w:name="_Toc21966373"/>
      <w:bookmarkStart w:id="68" w:name="_Toc534577749"/>
    </w:p>
    <w:p>
      <w:pPr>
        <w:pStyle w:val="4"/>
        <w:spacing w:before="120" w:after="120"/>
      </w:pPr>
      <w:r>
        <w:rPr>
          <w:rFonts w:hint="eastAsia"/>
        </w:rPr>
        <w:t>7.4.2  人工监测设备安装</w:t>
      </w:r>
    </w:p>
    <w:p>
      <w:pPr>
        <w:spacing w:line="360" w:lineRule="auto"/>
        <w:ind w:firstLine="420" w:firstLineChars="200"/>
        <w:rPr>
          <w:rFonts w:ascii="宋体" w:hAnsi="宋体"/>
          <w:szCs w:val="21"/>
        </w:rPr>
      </w:pPr>
      <w:r>
        <w:rPr>
          <w:rFonts w:hint="eastAsia" w:ascii="宋体" w:hAnsi="宋体"/>
          <w:szCs w:val="21"/>
        </w:rPr>
        <w:t>人工监测仪器与设备的安装按照《崩塌、滑坡、泥石流监测规范》</w:t>
      </w:r>
      <w:r>
        <w:rPr>
          <w:rFonts w:ascii="Times New Roman" w:hAnsi="Times New Roman"/>
          <w:szCs w:val="21"/>
        </w:rPr>
        <w:t>（DZ/T 0221</w:t>
      </w:r>
      <w:r>
        <w:rPr>
          <w:rFonts w:hint="eastAsia" w:ascii="宋体" w:hAnsi="宋体"/>
          <w:szCs w:val="21"/>
        </w:rPr>
        <w:t>―</w:t>
      </w:r>
      <w:r>
        <w:rPr>
          <w:rFonts w:ascii="Times New Roman" w:hAnsi="Times New Roman"/>
          <w:szCs w:val="21"/>
        </w:rPr>
        <w:t>2006）</w:t>
      </w:r>
      <w:r>
        <w:rPr>
          <w:rFonts w:hint="eastAsia" w:ascii="宋体" w:hAnsi="宋体"/>
          <w:szCs w:val="21"/>
        </w:rPr>
        <w:t>等规范的相应要求执行。</w:t>
      </w:r>
    </w:p>
    <w:p>
      <w:pPr>
        <w:pStyle w:val="3"/>
        <w:spacing w:before="120" w:after="120"/>
      </w:pPr>
      <w:bookmarkStart w:id="69" w:name="_Toc21966371"/>
      <w:bookmarkStart w:id="70" w:name="_Toc534577747"/>
      <w:bookmarkStart w:id="71" w:name="_Toc33177692"/>
      <w:r>
        <w:rPr>
          <w:rFonts w:hint="eastAsia"/>
        </w:rPr>
        <w:t xml:space="preserve">7.5  </w:t>
      </w:r>
      <w:r>
        <w:t>监测系统调试</w:t>
      </w:r>
      <w:bookmarkEnd w:id="69"/>
      <w:bookmarkEnd w:id="70"/>
      <w:bookmarkEnd w:id="71"/>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5</w:t>
      </w:r>
      <w:r>
        <w:rPr>
          <w:rFonts w:ascii="黑体" w:hAnsi="黑体" w:eastAsia="黑体"/>
          <w:kern w:val="0"/>
          <w:szCs w:val="21"/>
        </w:rPr>
        <w:t>.1</w:t>
      </w:r>
      <w:r>
        <w:rPr>
          <w:rFonts w:hint="eastAsia" w:ascii="宋体" w:hAnsi="宋体"/>
          <w:kern w:val="0"/>
          <w:szCs w:val="21"/>
        </w:rPr>
        <w:t xml:space="preserve">  系统调试在监测系统安装过程中完成并出具调试说明书。</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5</w:t>
      </w:r>
      <w:r>
        <w:rPr>
          <w:rFonts w:ascii="黑体" w:hAnsi="黑体" w:eastAsia="黑体"/>
          <w:kern w:val="0"/>
          <w:szCs w:val="21"/>
        </w:rPr>
        <w:t>.</w:t>
      </w:r>
      <w:r>
        <w:rPr>
          <w:rFonts w:hint="eastAsia" w:ascii="黑体" w:hAnsi="黑体" w:eastAsia="黑体"/>
          <w:kern w:val="0"/>
          <w:szCs w:val="21"/>
        </w:rPr>
        <w:t>2</w:t>
      </w:r>
      <w:r>
        <w:rPr>
          <w:rFonts w:hint="eastAsia" w:ascii="宋体" w:hAnsi="宋体"/>
          <w:kern w:val="0"/>
          <w:szCs w:val="21"/>
        </w:rPr>
        <w:t xml:space="preserve">  监测系统调试负责人及调试技术人员必须熟练掌握所调试设备的各项性能，并携带调试所需经过鉴定合格的检测设备。</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5</w:t>
      </w:r>
      <w:r>
        <w:rPr>
          <w:rFonts w:ascii="黑体" w:hAnsi="黑体" w:eastAsia="黑体"/>
          <w:kern w:val="0"/>
          <w:szCs w:val="21"/>
        </w:rPr>
        <w:t>.</w:t>
      </w:r>
      <w:r>
        <w:rPr>
          <w:rFonts w:hint="eastAsia" w:ascii="黑体" w:hAnsi="黑体" w:eastAsia="黑体"/>
          <w:kern w:val="0"/>
          <w:szCs w:val="21"/>
        </w:rPr>
        <w:t>3</w:t>
      </w:r>
      <w:r>
        <w:rPr>
          <w:rFonts w:hint="eastAsia" w:ascii="宋体" w:hAnsi="宋体"/>
          <w:kern w:val="0"/>
          <w:szCs w:val="21"/>
        </w:rPr>
        <w:t xml:space="preserve">  监测系统调试应包括监测设备正常运行、信息信号联通、监测数据各种信道记录传送、预警设置演练、软件演练及数据分析等。</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5</w:t>
      </w:r>
      <w:r>
        <w:rPr>
          <w:rFonts w:ascii="黑体" w:hAnsi="黑体" w:eastAsia="黑体"/>
          <w:kern w:val="0"/>
          <w:szCs w:val="21"/>
        </w:rPr>
        <w:t>.</w:t>
      </w:r>
      <w:r>
        <w:rPr>
          <w:rFonts w:hint="eastAsia" w:ascii="黑体" w:hAnsi="黑体" w:eastAsia="黑体"/>
          <w:kern w:val="0"/>
          <w:szCs w:val="21"/>
        </w:rPr>
        <w:t>4</w:t>
      </w:r>
      <w:r>
        <w:rPr>
          <w:rFonts w:hint="eastAsia" w:ascii="宋体" w:hAnsi="宋体"/>
          <w:kern w:val="0"/>
          <w:szCs w:val="21"/>
        </w:rPr>
        <w:t xml:space="preserve">  按监测目的和预警要求，合理设置各类设备数据采集的各项指标。</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5</w:t>
      </w:r>
      <w:r>
        <w:rPr>
          <w:rFonts w:ascii="黑体" w:hAnsi="黑体" w:eastAsia="黑体"/>
          <w:kern w:val="0"/>
          <w:szCs w:val="21"/>
        </w:rPr>
        <w:t>.</w:t>
      </w:r>
      <w:r>
        <w:rPr>
          <w:rFonts w:hint="eastAsia" w:ascii="黑体" w:hAnsi="黑体" w:eastAsia="黑体"/>
          <w:kern w:val="0"/>
          <w:szCs w:val="21"/>
        </w:rPr>
        <w:t>5</w:t>
      </w:r>
      <w:r>
        <w:rPr>
          <w:rFonts w:hint="eastAsia" w:ascii="宋体" w:hAnsi="宋体"/>
          <w:kern w:val="0"/>
          <w:szCs w:val="21"/>
        </w:rPr>
        <w:t xml:space="preserve">  系统各项指标要求达到设计要求后，系统可连续运</w:t>
      </w:r>
      <w:r>
        <w:rPr>
          <w:rFonts w:ascii="Times New Roman" w:hAnsi="Times New Roman"/>
          <w:kern w:val="0"/>
          <w:szCs w:val="21"/>
        </w:rPr>
        <w:t>行72小</w:t>
      </w:r>
      <w:r>
        <w:rPr>
          <w:rFonts w:hint="eastAsia" w:ascii="宋体" w:hAnsi="宋体"/>
          <w:kern w:val="0"/>
          <w:szCs w:val="21"/>
        </w:rPr>
        <w:t>时，无异常情况后调试完成。</w:t>
      </w:r>
    </w:p>
    <w:p>
      <w:pPr>
        <w:spacing w:line="360" w:lineRule="auto"/>
      </w:pPr>
      <w:r>
        <w:rPr>
          <w:rFonts w:hint="eastAsia" w:ascii="黑体" w:hAnsi="黑体" w:eastAsia="黑体"/>
        </w:rPr>
        <w:t>7.5.6</w:t>
      </w:r>
      <w:r>
        <w:rPr>
          <w:rFonts w:hint="eastAsia" w:ascii="宋体" w:hAnsi="宋体"/>
        </w:rPr>
        <w:t xml:space="preserve">  </w:t>
      </w:r>
      <w:r>
        <w:rPr>
          <w:rFonts w:hint="eastAsia"/>
        </w:rPr>
        <w:t>仪器安装首测要求</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监测工程建设完成后，应待混凝土、水泥等凝固稳定后方可进行首测。</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  GNSS地表位移监测建网首测按B级网要求执行，后期正常监测按C级网要求执行。首测值的确定在GNSS监测标墩浇筑完成一周后进行。</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c)  钻孔人工倾斜仪首测值的确定在钻孔灌浆完成一周后进行，首测取3次连续观测读数的平均值。</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d)  深部位移（测斜）若要安装固定式探头传感器进行自动化监测，应先采取周期不少于1个月的人工倾斜仪监测，根据监测数据确定滑带埋深后，再安装固定式探头行进自动监测。</w:t>
      </w:r>
    </w:p>
    <w:p>
      <w:pPr>
        <w:pStyle w:val="3"/>
        <w:spacing w:before="120" w:after="120"/>
      </w:pPr>
      <w:bookmarkStart w:id="72" w:name="_Toc534577748"/>
      <w:bookmarkStart w:id="73" w:name="_Toc33177693"/>
      <w:bookmarkStart w:id="74" w:name="_Toc21966372"/>
      <w:r>
        <w:rPr>
          <w:rFonts w:hint="eastAsia"/>
        </w:rPr>
        <w:t>7.6  监测系统试运行</w:t>
      </w:r>
      <w:bookmarkEnd w:id="72"/>
      <w:bookmarkEnd w:id="73"/>
      <w:bookmarkEnd w:id="74"/>
    </w:p>
    <w:p>
      <w:pPr>
        <w:widowControl/>
        <w:tabs>
          <w:tab w:val="center" w:pos="4201"/>
          <w:tab w:val="right" w:leader="dot" w:pos="9298"/>
        </w:tabs>
        <w:autoSpaceDE w:val="0"/>
        <w:autoSpaceDN w:val="0"/>
        <w:spacing w:line="360" w:lineRule="auto"/>
        <w:rPr>
          <w:rFonts w:ascii="宋体" w:hAnsi="宋体"/>
          <w:bCs/>
          <w:szCs w:val="21"/>
        </w:rPr>
      </w:pPr>
      <w:r>
        <w:rPr>
          <w:rFonts w:hint="eastAsia" w:ascii="黑体" w:hAnsi="黑体" w:eastAsia="黑体"/>
          <w:kern w:val="0"/>
          <w:szCs w:val="21"/>
        </w:rPr>
        <w:t xml:space="preserve">7.6.1  </w:t>
      </w:r>
      <w:r>
        <w:rPr>
          <w:rFonts w:hint="eastAsia" w:ascii="宋体" w:hAnsi="宋体"/>
          <w:bCs/>
          <w:szCs w:val="21"/>
        </w:rPr>
        <w:t>监测系统试运行是由建设单位委托监测单位或监测建设单位按照正常运行的要求，开展监测预警工作，对运行过程中所发现的问题及时反馈给建设单位，进行检查、调试和整改。</w:t>
      </w:r>
    </w:p>
    <w:p>
      <w:pPr>
        <w:widowControl/>
        <w:tabs>
          <w:tab w:val="center" w:pos="4201"/>
          <w:tab w:val="right" w:leader="dot" w:pos="9298"/>
        </w:tabs>
        <w:autoSpaceDE w:val="0"/>
        <w:autoSpaceDN w:val="0"/>
        <w:spacing w:line="360" w:lineRule="auto"/>
        <w:rPr>
          <w:rFonts w:ascii="宋体" w:hAnsi="宋体"/>
          <w:bCs/>
          <w:szCs w:val="21"/>
        </w:rPr>
      </w:pPr>
      <w:r>
        <w:rPr>
          <w:rFonts w:hint="eastAsia" w:ascii="黑体" w:hAnsi="黑体" w:eastAsia="黑体"/>
          <w:bCs/>
          <w:szCs w:val="21"/>
        </w:rPr>
        <w:t>7.6.2</w:t>
      </w:r>
      <w:r>
        <w:rPr>
          <w:rFonts w:hint="eastAsia" w:ascii="宋体" w:hAnsi="宋体"/>
          <w:bCs/>
          <w:szCs w:val="21"/>
        </w:rPr>
        <w:t xml:space="preserve">  监测实施单位应与建设单位明确试运行周期。</w:t>
      </w:r>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7.6.3</w:t>
      </w:r>
      <w:r>
        <w:rPr>
          <w:rFonts w:hint="eastAsia" w:ascii="宋体" w:hAnsi="宋体"/>
          <w:kern w:val="0"/>
          <w:szCs w:val="21"/>
        </w:rPr>
        <w:t xml:space="preserve">  通过一定周期的试运行，应将试运行过程中所发生和发现的问题逐一解决，故障率逐渐下降，最终达到设计要求。</w:t>
      </w:r>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7.6.4</w:t>
      </w:r>
      <w:r>
        <w:rPr>
          <w:rFonts w:hint="eastAsia" w:ascii="宋体" w:hAnsi="宋体"/>
          <w:kern w:val="0"/>
          <w:szCs w:val="21"/>
        </w:rPr>
        <w:t xml:space="preserve">  试运行期间应定期对仪器设备进行野外巡检和外观巡视。保证仪器设备正常运营。</w:t>
      </w:r>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7.6.5</w:t>
      </w:r>
      <w:r>
        <w:rPr>
          <w:rFonts w:hint="eastAsia" w:ascii="宋体" w:hAnsi="宋体"/>
          <w:kern w:val="0"/>
          <w:szCs w:val="21"/>
        </w:rPr>
        <w:t xml:space="preserve">  定期对照终端实时的异常数据，进行现场调查、校核与检查分析，保证（设备硬件这方面）原始数据采集真实、准确。</w:t>
      </w:r>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7.6.6</w:t>
      </w:r>
      <w:r>
        <w:rPr>
          <w:rFonts w:hint="eastAsia" w:ascii="宋体" w:hAnsi="宋体"/>
          <w:kern w:val="0"/>
          <w:szCs w:val="21"/>
        </w:rPr>
        <w:t xml:space="preserve">  定期与仪器设备商家进行技术交流、沟通，提高工程质量的把控能力。</w:t>
      </w:r>
    </w:p>
    <w:p>
      <w:pPr>
        <w:pStyle w:val="3"/>
        <w:spacing w:before="120" w:after="120"/>
      </w:pPr>
      <w:bookmarkStart w:id="75" w:name="_Toc33177694"/>
      <w:r>
        <w:rPr>
          <w:rFonts w:hint="eastAsia"/>
        </w:rPr>
        <w:t xml:space="preserve">7.7  </w:t>
      </w:r>
      <w:bookmarkEnd w:id="67"/>
      <w:bookmarkEnd w:id="68"/>
      <w:r>
        <w:rPr>
          <w:rFonts w:hint="eastAsia"/>
        </w:rPr>
        <w:t>监测系统运行与维护</w:t>
      </w:r>
      <w:bookmarkEnd w:id="75"/>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1</w:t>
      </w:r>
      <w:r>
        <w:rPr>
          <w:rFonts w:hint="eastAsia" w:ascii="宋体" w:hAnsi="宋体"/>
          <w:kern w:val="0"/>
          <w:szCs w:val="21"/>
        </w:rPr>
        <w:t xml:space="preserve">  所有仪器设备（包括电缆）和设施应予保护，制作醒目的保护标志牌，明确保护单位和保护人。</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2</w:t>
      </w:r>
      <w:r>
        <w:rPr>
          <w:rFonts w:hint="eastAsia" w:ascii="宋体" w:hAnsi="宋体"/>
          <w:kern w:val="0"/>
          <w:szCs w:val="21"/>
        </w:rPr>
        <w:t xml:space="preserve">  硬件设施的维护包括仪器各模块的测试、校正、标定、更新、供电设施维护及周边环境维护。</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3</w:t>
      </w:r>
      <w:r>
        <w:rPr>
          <w:rFonts w:hint="eastAsia" w:ascii="宋体" w:hAnsi="宋体"/>
          <w:kern w:val="0"/>
          <w:szCs w:val="21"/>
        </w:rPr>
        <w:t xml:space="preserve">  软件维护包括参数设置、显示、承储、传输、系统升级、漏洞修复、更新等。</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4</w:t>
      </w:r>
      <w:r>
        <w:rPr>
          <w:rFonts w:hint="eastAsia" w:ascii="宋体" w:hAnsi="宋体"/>
          <w:kern w:val="0"/>
          <w:szCs w:val="21"/>
        </w:rPr>
        <w:t xml:space="preserve">  定期开展监测设备运转的现场巡视检查。每年定期（不少</w:t>
      </w:r>
      <w:r>
        <w:rPr>
          <w:rFonts w:ascii="Times New Roman" w:hAnsi="Times New Roman"/>
          <w:kern w:val="0"/>
          <w:szCs w:val="21"/>
        </w:rPr>
        <w:t>于2</w:t>
      </w:r>
      <w:r>
        <w:rPr>
          <w:rFonts w:hint="eastAsia" w:ascii="宋体" w:hAnsi="宋体"/>
          <w:kern w:val="0"/>
          <w:szCs w:val="21"/>
        </w:rPr>
        <w:t>次）开展现场设备的维护维修。</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5</w:t>
      </w:r>
      <w:r>
        <w:rPr>
          <w:rFonts w:hint="eastAsia" w:ascii="宋体" w:hAnsi="宋体"/>
          <w:kern w:val="0"/>
          <w:szCs w:val="21"/>
        </w:rPr>
        <w:t xml:space="preserve">  应具备设备运行状态实时检测功能。软件系统中必须具有实时反馈设备运行状态的功能，一旦监测数据中断系统能及时反馈给工作人员，并在不超过</w:t>
      </w:r>
      <w:r>
        <w:rPr>
          <w:rFonts w:ascii="Times New Roman" w:hAnsi="Times New Roman"/>
          <w:kern w:val="0"/>
          <w:szCs w:val="21"/>
        </w:rPr>
        <w:t>2</w:t>
      </w:r>
      <w:r>
        <w:rPr>
          <w:rFonts w:hint="eastAsia" w:ascii="宋体" w:hAnsi="宋体"/>
          <w:kern w:val="0"/>
          <w:szCs w:val="21"/>
        </w:rPr>
        <w:t>周的时间内使仪器设备恢复正常运行。</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6</w:t>
      </w:r>
      <w:r>
        <w:rPr>
          <w:rFonts w:hint="eastAsia" w:ascii="宋体" w:hAnsi="宋体"/>
          <w:kern w:val="0"/>
          <w:szCs w:val="21"/>
        </w:rPr>
        <w:t xml:space="preserve">  每月应至少开展一次设备运行状态检测。</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7</w:t>
      </w:r>
      <w:r>
        <w:rPr>
          <w:rFonts w:ascii="黑体" w:hAnsi="黑体" w:eastAsia="黑体"/>
          <w:kern w:val="0"/>
          <w:szCs w:val="21"/>
        </w:rPr>
        <w:t>.</w:t>
      </w:r>
      <w:r>
        <w:rPr>
          <w:rFonts w:hint="eastAsia" w:ascii="黑体" w:hAnsi="黑体" w:eastAsia="黑体"/>
          <w:kern w:val="0"/>
          <w:szCs w:val="21"/>
        </w:rPr>
        <w:t>7</w:t>
      </w:r>
      <w:r>
        <w:rPr>
          <w:rFonts w:hint="eastAsia" w:ascii="宋体" w:hAnsi="宋体"/>
          <w:kern w:val="0"/>
          <w:szCs w:val="21"/>
        </w:rPr>
        <w:t xml:space="preserve">  每年应至少开展一次设备（硬件和软件）全面检测，每年按规定对设备进行检定。</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szCs w:val="21"/>
        </w:rPr>
        <w:t>7</w:t>
      </w:r>
      <w:r>
        <w:rPr>
          <w:rFonts w:ascii="黑体" w:hAnsi="黑体" w:eastAsia="黑体"/>
          <w:szCs w:val="21"/>
        </w:rPr>
        <w:t>.</w:t>
      </w:r>
      <w:r>
        <w:rPr>
          <w:rFonts w:hint="eastAsia" w:ascii="黑体" w:hAnsi="黑体" w:eastAsia="黑体"/>
          <w:szCs w:val="21"/>
        </w:rPr>
        <w:t>7</w:t>
      </w:r>
      <w:r>
        <w:rPr>
          <w:rFonts w:ascii="黑体" w:hAnsi="黑体" w:eastAsia="黑体"/>
          <w:szCs w:val="21"/>
        </w:rPr>
        <w:t>.</w:t>
      </w:r>
      <w:r>
        <w:rPr>
          <w:rFonts w:hint="eastAsia" w:ascii="黑体" w:hAnsi="黑体" w:eastAsia="黑体"/>
          <w:szCs w:val="21"/>
        </w:rPr>
        <w:t>8</w:t>
      </w:r>
      <w:r>
        <w:rPr>
          <w:rFonts w:hint="eastAsia" w:ascii="Times New Roman" w:hAnsi="宋体"/>
          <w:szCs w:val="21"/>
        </w:rPr>
        <w:t xml:space="preserve">  </w:t>
      </w:r>
      <w:r>
        <w:rPr>
          <w:rFonts w:hint="eastAsia" w:ascii="宋体" w:hAnsi="宋体"/>
          <w:kern w:val="0"/>
          <w:szCs w:val="21"/>
        </w:rPr>
        <w:t>每三年应对监测基准点进行一次复测，每半年或一年应对监测工作基点进行一次复测。</w:t>
      </w:r>
    </w:p>
    <w:p>
      <w:pPr>
        <w:spacing w:line="360" w:lineRule="auto"/>
        <w:rPr>
          <w:rFonts w:ascii="Times New Roman" w:hAnsi="宋体"/>
          <w:szCs w:val="21"/>
        </w:rPr>
      </w:pPr>
      <w:r>
        <w:rPr>
          <w:rFonts w:hint="eastAsia" w:ascii="黑体" w:hAnsi="黑体" w:eastAsia="黑体"/>
          <w:szCs w:val="21"/>
        </w:rPr>
        <w:t>7</w:t>
      </w:r>
      <w:r>
        <w:rPr>
          <w:rFonts w:ascii="黑体" w:hAnsi="黑体" w:eastAsia="黑体"/>
          <w:szCs w:val="21"/>
        </w:rPr>
        <w:t>.</w:t>
      </w:r>
      <w:r>
        <w:rPr>
          <w:rFonts w:hint="eastAsia" w:ascii="黑体" w:hAnsi="黑体" w:eastAsia="黑体"/>
          <w:szCs w:val="21"/>
        </w:rPr>
        <w:t>7</w:t>
      </w:r>
      <w:r>
        <w:rPr>
          <w:rFonts w:ascii="黑体" w:hAnsi="黑体" w:eastAsia="黑体"/>
          <w:szCs w:val="21"/>
        </w:rPr>
        <w:t>.</w:t>
      </w:r>
      <w:r>
        <w:rPr>
          <w:rFonts w:hint="eastAsia" w:ascii="黑体" w:hAnsi="黑体" w:eastAsia="黑体"/>
          <w:szCs w:val="21"/>
        </w:rPr>
        <w:t>9</w:t>
      </w:r>
      <w:r>
        <w:rPr>
          <w:rFonts w:hint="eastAsia" w:ascii="Times New Roman" w:hAnsi="宋体"/>
          <w:szCs w:val="21"/>
        </w:rPr>
        <w:t xml:space="preserve">  应经常对监测区域内的基准点、控制点、工作基点、形变监测点的地形地貌变化进行巡视检查，发现异常应采取必要的补救措施和对策。</w:t>
      </w:r>
    </w:p>
    <w:p>
      <w:pPr>
        <w:spacing w:line="360" w:lineRule="auto"/>
        <w:rPr>
          <w:rFonts w:ascii="Times New Roman" w:hAnsi="宋体"/>
          <w:szCs w:val="21"/>
        </w:rPr>
      </w:pPr>
      <w:r>
        <w:rPr>
          <w:rFonts w:hint="eastAsia" w:ascii="黑体" w:hAnsi="黑体" w:eastAsia="黑体"/>
          <w:szCs w:val="21"/>
        </w:rPr>
        <w:t>7</w:t>
      </w:r>
      <w:r>
        <w:rPr>
          <w:rFonts w:ascii="黑体" w:hAnsi="黑体" w:eastAsia="黑体"/>
          <w:szCs w:val="21"/>
        </w:rPr>
        <w:t>.</w:t>
      </w:r>
      <w:r>
        <w:rPr>
          <w:rFonts w:hint="eastAsia" w:ascii="黑体" w:hAnsi="黑体" w:eastAsia="黑体"/>
          <w:szCs w:val="21"/>
        </w:rPr>
        <w:t>7</w:t>
      </w:r>
      <w:r>
        <w:rPr>
          <w:rFonts w:ascii="黑体" w:hAnsi="黑体" w:eastAsia="黑体"/>
          <w:szCs w:val="21"/>
        </w:rPr>
        <w:t>.</w:t>
      </w:r>
      <w:r>
        <w:rPr>
          <w:rFonts w:hint="eastAsia" w:ascii="黑体" w:hAnsi="黑体" w:eastAsia="黑体"/>
          <w:szCs w:val="21"/>
        </w:rPr>
        <w:t>10</w:t>
      </w:r>
      <w:r>
        <w:rPr>
          <w:rFonts w:hint="eastAsia" w:ascii="Times New Roman" w:hAnsi="宋体"/>
          <w:szCs w:val="21"/>
        </w:rPr>
        <w:t xml:space="preserve">  湖北省地质环境综合信息平台的运维管理、更新升级按照相关的信息化安全运行管理制度和要求执行。</w:t>
      </w:r>
    </w:p>
    <w:p>
      <w:pPr>
        <w:pStyle w:val="3"/>
        <w:spacing w:before="120" w:after="120"/>
      </w:pPr>
      <w:bookmarkStart w:id="76" w:name="_Toc21966361"/>
      <w:bookmarkStart w:id="77" w:name="_Toc33177695"/>
      <w:r>
        <w:rPr>
          <w:rFonts w:hint="eastAsia"/>
        </w:rPr>
        <w:t>7.8  工程建设竣工验收</w:t>
      </w:r>
      <w:bookmarkEnd w:id="76"/>
      <w:bookmarkEnd w:id="77"/>
    </w:p>
    <w:p>
      <w:pPr>
        <w:pStyle w:val="4"/>
        <w:spacing w:before="120" w:after="120"/>
      </w:pPr>
      <w:r>
        <w:rPr>
          <w:rFonts w:hint="eastAsia"/>
        </w:rPr>
        <w:t>7.8.1  专业监测预警工程竣工验收内容</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根据甲、乙双方签定的地质调（勘）查、设计、施工、监理、等符合国家经济合同法规定的合同书，检查是否已完成工程设计和合同约定的各项内容。</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  施工单位在工程完工之后，对工程质量进行自检，确认工程质量符合有关法律、法规和工程建设标准，符合设计文件及合同要求，并提交工程施工竣工报告。工程施工竣工报告应经项目经理和施工单位法人审核签字。</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c)  监理单位对工程进行了质量评价，具有完整的监理资料，并提交包括工程质量评价内容的施工监理总结报告。工程监理总结报告应经总监理工程师和监理单位法人审核签字。</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d)  勘（调）查、设计单位对勘（调）查、设计文件及施工过程中有关勘（调）查、设计的变更通知书进行了检查认定，并提出了包括质量检查内容的勘（调）查、设计总结报告。勘（调）查、设计总结报告应经该项目勘（调）查、设计负责人和勘（调）查、设计单位法人审核签字。</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e)  监测试运行检验检测单位进行了监测运行检验检测，完成了初始值的监测，编制了监测检验检测报告。</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f)  工程使用的主要建筑材料、建筑配件和监测设备的合格证及进场复验报告齐全合格。</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g)  有完整的技术档案和施工管理资料。</w:t>
      </w:r>
    </w:p>
    <w:p>
      <w:pPr>
        <w:pStyle w:val="4"/>
        <w:spacing w:before="120" w:after="120"/>
      </w:pPr>
      <w:r>
        <w:rPr>
          <w:rFonts w:hint="eastAsia"/>
        </w:rPr>
        <w:t>7.8.2  竣工验收比例</w:t>
      </w:r>
    </w:p>
    <w:p>
      <w:pPr>
        <w:spacing w:line="360" w:lineRule="auto"/>
        <w:ind w:firstLine="420" w:firstLineChars="200"/>
        <w:rPr>
          <w:rFonts w:ascii="宋体" w:hAnsi="宋体"/>
          <w:szCs w:val="21"/>
        </w:rPr>
      </w:pPr>
      <w:r>
        <w:rPr>
          <w:rFonts w:hint="eastAsia" w:ascii="宋体" w:hAnsi="宋体"/>
          <w:szCs w:val="21"/>
        </w:rPr>
        <w:t>竣工验收比例为</w:t>
      </w:r>
      <w:r>
        <w:rPr>
          <w:rFonts w:ascii="Times New Roman" w:hAnsi="Times New Roman"/>
          <w:szCs w:val="21"/>
        </w:rPr>
        <w:t>100%，</w:t>
      </w:r>
      <w:r>
        <w:rPr>
          <w:rFonts w:hint="eastAsia" w:ascii="宋体" w:hAnsi="宋体"/>
          <w:szCs w:val="21"/>
        </w:rPr>
        <w:t>对所有专业监测工程全部进行竣工验收。</w:t>
      </w:r>
    </w:p>
    <w:p>
      <w:pPr>
        <w:pStyle w:val="4"/>
        <w:spacing w:before="120" w:after="120"/>
      </w:pPr>
      <w:r>
        <w:rPr>
          <w:rFonts w:hint="eastAsia"/>
        </w:rPr>
        <w:t>7.8.3  竣工验收程序</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勘（调）查、设计、监理、施工单位分别汇报监测工程合同履约情况和在监测工程建设各个环节执行法律、法规和各类建设标准的情况。</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  监测试运行检验检测单位汇报对工程监测试运行的检验检测情况、监测初始值及存在问题。</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c)  现场实地查验监测工程数量、外观、工程质量、监测试运行检验情况，逐点填写《湖北省地质灾害综合防治体系建设专业监测预警工程竣工现场验收检查表》。</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d)  审阅建设、勘（调）查、设计、施工、监理单位的监测工程档案及有关资料文件。</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e)  验收组进行讨论，按《湖北省地质灾害综合防治体系建设项目质量评定标准（试行）》进行工程质量评定，对监测工程设计、施工、建设管理、监理、监测检验、工程资料等方面做出全面评价，形成经验收组签署的专业监测预警工程竣工验收鉴定书。</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f)  对于验收达不到合格标准的工程，不予验收，责令其整改，整改完成后再进行竣工验收。</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g)  建设单位完成竣工验收、资料归档和录入后，向省</w:t>
      </w:r>
      <w:r>
        <w:rPr>
          <w:rFonts w:hint="eastAsia" w:ascii="Times New Roman" w:hAnsi="Times New Roman"/>
          <w:kern w:val="0"/>
          <w:szCs w:val="21"/>
        </w:rPr>
        <w:t>、</w:t>
      </w:r>
      <w:r>
        <w:rPr>
          <w:rFonts w:ascii="Times New Roman" w:hAnsi="Times New Roman"/>
          <w:kern w:val="0"/>
          <w:szCs w:val="21"/>
        </w:rPr>
        <w:t>市自然资源主管部门提出竣工验收申请书，申请竣工验收。申请书应附建设单位完成的竣工验收报告和相应的竣工验收成果</w:t>
      </w:r>
      <w:r>
        <w:rPr>
          <w:rFonts w:hint="eastAsia" w:ascii="Times New Roman" w:hAnsi="Times New Roman"/>
          <w:kern w:val="0"/>
          <w:szCs w:val="21"/>
        </w:rPr>
        <w:t>。</w:t>
      </w:r>
    </w:p>
    <w:p>
      <w:pPr>
        <w:pStyle w:val="4"/>
        <w:spacing w:before="120" w:after="120"/>
      </w:pPr>
      <w:r>
        <w:rPr>
          <w:rFonts w:hint="eastAsia"/>
        </w:rPr>
        <w:t>7.8.4  竣工验收应提交的成果</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 xml:space="preserve">a)  </w:t>
      </w:r>
      <w:r>
        <w:rPr>
          <w:rFonts w:ascii="Times New Roman" w:hAnsi="Times New Roman"/>
          <w:szCs w:val="24"/>
        </w:rPr>
        <w:t>**</w:t>
      </w:r>
      <w:r>
        <w:rPr>
          <w:rFonts w:ascii="Times New Roman" w:hAnsi="Times New Roman"/>
          <w:kern w:val="0"/>
          <w:szCs w:val="21"/>
        </w:rPr>
        <w:t>省（市）</w:t>
      </w:r>
      <w:r>
        <w:rPr>
          <w:rFonts w:ascii="Times New Roman" w:hAnsi="Times New Roman"/>
          <w:szCs w:val="24"/>
        </w:rPr>
        <w:t>**</w:t>
      </w:r>
      <w:r>
        <w:rPr>
          <w:rFonts w:ascii="Times New Roman" w:hAnsi="Times New Roman"/>
          <w:kern w:val="0"/>
          <w:szCs w:val="21"/>
        </w:rPr>
        <w:t>区（县）</w:t>
      </w:r>
      <w:r>
        <w:rPr>
          <w:rFonts w:ascii="Times New Roman" w:hAnsi="Times New Roman"/>
          <w:szCs w:val="24"/>
        </w:rPr>
        <w:t>**</w:t>
      </w:r>
      <w:r>
        <w:rPr>
          <w:rFonts w:ascii="Times New Roman" w:hAnsi="Times New Roman"/>
          <w:kern w:val="0"/>
          <w:szCs w:val="21"/>
        </w:rPr>
        <w:t>地质灾害专业监测预警工程竣工现场验收检查表。</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 xml:space="preserve">b)  </w:t>
      </w:r>
      <w:r>
        <w:rPr>
          <w:rFonts w:ascii="Times New Roman" w:hAnsi="Times New Roman"/>
          <w:szCs w:val="24"/>
        </w:rPr>
        <w:t>**</w:t>
      </w:r>
      <w:r>
        <w:rPr>
          <w:rFonts w:ascii="Times New Roman" w:hAnsi="Times New Roman"/>
          <w:kern w:val="0"/>
          <w:szCs w:val="21"/>
        </w:rPr>
        <w:t>省（市）</w:t>
      </w:r>
      <w:r>
        <w:rPr>
          <w:rFonts w:ascii="Times New Roman" w:hAnsi="Times New Roman"/>
          <w:szCs w:val="24"/>
        </w:rPr>
        <w:t>**</w:t>
      </w:r>
      <w:r>
        <w:rPr>
          <w:rFonts w:ascii="Times New Roman" w:hAnsi="Times New Roman"/>
          <w:kern w:val="0"/>
          <w:szCs w:val="21"/>
        </w:rPr>
        <w:t>区（县）</w:t>
      </w:r>
      <w:r>
        <w:rPr>
          <w:rFonts w:ascii="Times New Roman" w:hAnsi="Times New Roman"/>
          <w:szCs w:val="24"/>
        </w:rPr>
        <w:t>**</w:t>
      </w:r>
      <w:r>
        <w:rPr>
          <w:rFonts w:ascii="Times New Roman" w:hAnsi="Times New Roman"/>
          <w:kern w:val="0"/>
          <w:szCs w:val="21"/>
        </w:rPr>
        <w:t>地质灾害专业监测预警工程竣工验收鉴定书。</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c)  施工单位提交：</w:t>
      </w:r>
      <w:r>
        <w:rPr>
          <w:rFonts w:ascii="Times New Roman" w:hAnsi="Times New Roman"/>
          <w:szCs w:val="24"/>
        </w:rPr>
        <w:t>**</w:t>
      </w:r>
      <w:r>
        <w:rPr>
          <w:rFonts w:ascii="Times New Roman" w:hAnsi="Times New Roman"/>
          <w:kern w:val="0"/>
          <w:szCs w:val="21"/>
        </w:rPr>
        <w:t>省（市）</w:t>
      </w:r>
      <w:r>
        <w:rPr>
          <w:rFonts w:ascii="Times New Roman" w:hAnsi="Times New Roman"/>
          <w:szCs w:val="24"/>
        </w:rPr>
        <w:t>**</w:t>
      </w:r>
      <w:r>
        <w:rPr>
          <w:rFonts w:ascii="Times New Roman" w:hAnsi="Times New Roman"/>
          <w:kern w:val="0"/>
          <w:szCs w:val="21"/>
        </w:rPr>
        <w:t>区（县）</w:t>
      </w:r>
      <w:r>
        <w:rPr>
          <w:rFonts w:ascii="Times New Roman" w:hAnsi="Times New Roman"/>
          <w:szCs w:val="24"/>
        </w:rPr>
        <w:t>**</w:t>
      </w:r>
      <w:r>
        <w:rPr>
          <w:rFonts w:ascii="Times New Roman" w:hAnsi="Times New Roman"/>
          <w:kern w:val="0"/>
          <w:szCs w:val="21"/>
        </w:rPr>
        <w:t>地质灾害专业监测预警工程施工竣工报告。</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d)  监理单位提交：</w:t>
      </w:r>
      <w:r>
        <w:rPr>
          <w:rFonts w:ascii="Times New Roman" w:hAnsi="Times New Roman"/>
          <w:szCs w:val="24"/>
        </w:rPr>
        <w:t>**</w:t>
      </w:r>
      <w:r>
        <w:rPr>
          <w:rFonts w:ascii="Times New Roman" w:hAnsi="Times New Roman"/>
          <w:kern w:val="0"/>
          <w:szCs w:val="21"/>
        </w:rPr>
        <w:t>省（市）</w:t>
      </w:r>
      <w:r>
        <w:rPr>
          <w:rFonts w:ascii="Times New Roman" w:hAnsi="Times New Roman"/>
          <w:szCs w:val="24"/>
        </w:rPr>
        <w:t>**</w:t>
      </w:r>
      <w:r>
        <w:rPr>
          <w:rFonts w:ascii="Times New Roman" w:hAnsi="Times New Roman"/>
          <w:kern w:val="0"/>
          <w:szCs w:val="21"/>
        </w:rPr>
        <w:t>区（县）</w:t>
      </w:r>
      <w:r>
        <w:rPr>
          <w:rFonts w:ascii="Times New Roman" w:hAnsi="Times New Roman"/>
          <w:szCs w:val="24"/>
        </w:rPr>
        <w:t>**</w:t>
      </w:r>
      <w:r>
        <w:rPr>
          <w:rFonts w:ascii="Times New Roman" w:hAnsi="Times New Roman"/>
          <w:kern w:val="0"/>
          <w:szCs w:val="21"/>
        </w:rPr>
        <w:t>地质灾害专业监测预警工程监理总结报告。</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e)  监测试运行检验检测单位提交：</w:t>
      </w:r>
      <w:r>
        <w:rPr>
          <w:rFonts w:ascii="Times New Roman" w:hAnsi="Times New Roman"/>
          <w:szCs w:val="24"/>
        </w:rPr>
        <w:t>**</w:t>
      </w:r>
      <w:r>
        <w:rPr>
          <w:rFonts w:ascii="Times New Roman" w:hAnsi="Times New Roman"/>
          <w:kern w:val="0"/>
          <w:szCs w:val="21"/>
        </w:rPr>
        <w:t>省（市）</w:t>
      </w:r>
      <w:r>
        <w:rPr>
          <w:rFonts w:ascii="Times New Roman" w:hAnsi="Times New Roman"/>
          <w:szCs w:val="24"/>
        </w:rPr>
        <w:t>**</w:t>
      </w:r>
      <w:r>
        <w:rPr>
          <w:rFonts w:ascii="Times New Roman" w:hAnsi="Times New Roman"/>
          <w:kern w:val="0"/>
          <w:szCs w:val="21"/>
        </w:rPr>
        <w:t>区（县）</w:t>
      </w:r>
      <w:r>
        <w:rPr>
          <w:rFonts w:ascii="Times New Roman" w:hAnsi="Times New Roman"/>
          <w:szCs w:val="24"/>
        </w:rPr>
        <w:t>**</w:t>
      </w:r>
      <w:r>
        <w:rPr>
          <w:rFonts w:ascii="Times New Roman" w:hAnsi="Times New Roman"/>
          <w:kern w:val="0"/>
          <w:szCs w:val="21"/>
        </w:rPr>
        <w:t>地质灾害专业监测预警工程监测试运行检验检测报告。</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f)  勘（调）查单位提交：</w:t>
      </w:r>
      <w:r>
        <w:rPr>
          <w:rFonts w:ascii="Times New Roman" w:hAnsi="Times New Roman"/>
          <w:szCs w:val="24"/>
        </w:rPr>
        <w:t>**</w:t>
      </w:r>
      <w:r>
        <w:rPr>
          <w:rFonts w:ascii="Times New Roman" w:hAnsi="Times New Roman"/>
          <w:kern w:val="0"/>
          <w:szCs w:val="21"/>
        </w:rPr>
        <w:t>省（市）</w:t>
      </w:r>
      <w:r>
        <w:rPr>
          <w:rFonts w:ascii="Times New Roman" w:hAnsi="Times New Roman"/>
          <w:szCs w:val="24"/>
        </w:rPr>
        <w:t>**</w:t>
      </w:r>
      <w:r>
        <w:rPr>
          <w:rFonts w:ascii="Times New Roman" w:hAnsi="Times New Roman"/>
          <w:kern w:val="0"/>
          <w:szCs w:val="21"/>
        </w:rPr>
        <w:t>区（县）</w:t>
      </w:r>
      <w:r>
        <w:rPr>
          <w:rFonts w:ascii="Times New Roman" w:hAnsi="Times New Roman"/>
          <w:szCs w:val="24"/>
        </w:rPr>
        <w:t>**</w:t>
      </w:r>
      <w:r>
        <w:rPr>
          <w:rFonts w:ascii="Times New Roman" w:hAnsi="Times New Roman"/>
          <w:kern w:val="0"/>
          <w:szCs w:val="21"/>
        </w:rPr>
        <w:t>地质灾害专业监测预警工程勘（调）查总结报告。</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g)  设计单位提交：</w:t>
      </w:r>
      <w:r>
        <w:rPr>
          <w:rFonts w:ascii="Times New Roman" w:hAnsi="Times New Roman"/>
          <w:szCs w:val="24"/>
        </w:rPr>
        <w:t>**</w:t>
      </w:r>
      <w:r>
        <w:rPr>
          <w:rFonts w:ascii="Times New Roman" w:hAnsi="Times New Roman"/>
          <w:kern w:val="0"/>
          <w:szCs w:val="21"/>
        </w:rPr>
        <w:t>省（市）</w:t>
      </w:r>
      <w:r>
        <w:rPr>
          <w:rFonts w:ascii="Times New Roman" w:hAnsi="Times New Roman"/>
          <w:szCs w:val="24"/>
        </w:rPr>
        <w:t>**</w:t>
      </w:r>
      <w:r>
        <w:rPr>
          <w:rFonts w:ascii="Times New Roman" w:hAnsi="Times New Roman"/>
          <w:kern w:val="0"/>
          <w:szCs w:val="21"/>
        </w:rPr>
        <w:t>区（县）</w:t>
      </w:r>
      <w:r>
        <w:rPr>
          <w:rFonts w:ascii="Times New Roman" w:hAnsi="Times New Roman"/>
          <w:szCs w:val="24"/>
        </w:rPr>
        <w:t>**</w:t>
      </w:r>
      <w:r>
        <w:rPr>
          <w:rFonts w:ascii="Times New Roman" w:hAnsi="Times New Roman"/>
          <w:kern w:val="0"/>
          <w:szCs w:val="21"/>
        </w:rPr>
        <w:t>地质灾害专业监测预警工程设计总结报告。</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h)  建设单位提交：</w:t>
      </w:r>
      <w:r>
        <w:rPr>
          <w:rFonts w:ascii="Times New Roman" w:hAnsi="Times New Roman"/>
          <w:szCs w:val="24"/>
        </w:rPr>
        <w:t>**</w:t>
      </w:r>
      <w:r>
        <w:rPr>
          <w:rFonts w:ascii="Times New Roman" w:hAnsi="Times New Roman"/>
          <w:kern w:val="0"/>
          <w:szCs w:val="21"/>
        </w:rPr>
        <w:t>省（市）</w:t>
      </w:r>
      <w:r>
        <w:rPr>
          <w:rFonts w:ascii="Times New Roman" w:hAnsi="Times New Roman"/>
          <w:szCs w:val="24"/>
        </w:rPr>
        <w:t>**</w:t>
      </w:r>
      <w:r>
        <w:rPr>
          <w:rFonts w:ascii="Times New Roman" w:hAnsi="Times New Roman"/>
          <w:kern w:val="0"/>
          <w:szCs w:val="21"/>
        </w:rPr>
        <w:t>区（县）</w:t>
      </w:r>
      <w:r>
        <w:rPr>
          <w:rFonts w:ascii="Times New Roman" w:hAnsi="Times New Roman"/>
          <w:szCs w:val="24"/>
        </w:rPr>
        <w:t>**</w:t>
      </w:r>
      <w:r>
        <w:rPr>
          <w:rFonts w:ascii="Times New Roman" w:hAnsi="Times New Roman"/>
          <w:kern w:val="0"/>
          <w:szCs w:val="21"/>
        </w:rPr>
        <w:t>地质灾害专业监测预警工程建设管理报告。</w:t>
      </w:r>
    </w:p>
    <w:p>
      <w:pPr>
        <w:widowControl/>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i)</w:t>
      </w:r>
      <w:r>
        <w:rPr>
          <w:rFonts w:hint="eastAsia" w:ascii="宋体" w:hAnsi="宋体"/>
          <w:kern w:val="0"/>
          <w:szCs w:val="21"/>
        </w:rPr>
        <w:t xml:space="preserve">  建设单位提交：</w:t>
      </w:r>
      <w:r>
        <w:rPr>
          <w:rFonts w:ascii="Times New Roman" w:hAnsi="Times New Roman"/>
          <w:szCs w:val="24"/>
        </w:rPr>
        <w:t>**</w:t>
      </w:r>
      <w:r>
        <w:rPr>
          <w:rFonts w:hint="eastAsia" w:ascii="Times New Roman" w:hAnsi="Times New Roman"/>
          <w:kern w:val="0"/>
          <w:szCs w:val="21"/>
        </w:rPr>
        <w:t>省（市）</w:t>
      </w:r>
      <w:r>
        <w:rPr>
          <w:rFonts w:ascii="Times New Roman" w:hAnsi="Times New Roman"/>
          <w:szCs w:val="24"/>
        </w:rPr>
        <w:t>**</w:t>
      </w:r>
      <w:r>
        <w:rPr>
          <w:rFonts w:hint="eastAsia" w:ascii="Times New Roman" w:hAnsi="Times New Roman"/>
          <w:kern w:val="0"/>
          <w:szCs w:val="21"/>
        </w:rPr>
        <w:t>区（县）</w:t>
      </w:r>
      <w:r>
        <w:rPr>
          <w:rFonts w:ascii="Times New Roman" w:hAnsi="Times New Roman"/>
          <w:szCs w:val="24"/>
        </w:rPr>
        <w:t>**</w:t>
      </w:r>
      <w:r>
        <w:rPr>
          <w:rFonts w:hint="eastAsia" w:ascii="宋体" w:hAnsi="宋体"/>
          <w:kern w:val="0"/>
          <w:szCs w:val="21"/>
        </w:rPr>
        <w:t>地质灾害专业监测预警工程竣工验收报告。</w:t>
      </w:r>
      <w:bookmarkStart w:id="78" w:name="_Toc534577739"/>
      <w:bookmarkStart w:id="79" w:name="_Toc21966362"/>
    </w:p>
    <w:bookmarkEnd w:id="78"/>
    <w:p>
      <w:pPr>
        <w:pStyle w:val="2"/>
        <w:spacing w:before="240" w:after="240"/>
      </w:pPr>
      <w:bookmarkStart w:id="80" w:name="_Toc33177696"/>
      <w:r>
        <w:rPr>
          <w:rFonts w:hint="eastAsia"/>
        </w:rPr>
        <w:t>8  监测预警信息化建设</w:t>
      </w:r>
      <w:bookmarkEnd w:id="79"/>
      <w:bookmarkEnd w:id="80"/>
    </w:p>
    <w:p>
      <w:pPr>
        <w:pStyle w:val="3"/>
        <w:spacing w:before="120" w:after="120"/>
      </w:pPr>
      <w:bookmarkStart w:id="81" w:name="_Toc21966363"/>
      <w:bookmarkStart w:id="82" w:name="_Toc33177697"/>
      <w:r>
        <w:rPr>
          <w:rFonts w:hint="eastAsia"/>
        </w:rPr>
        <w:t>8.1  一般规定</w:t>
      </w:r>
      <w:bookmarkEnd w:id="81"/>
      <w:bookmarkEnd w:id="82"/>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8.1.1</w:t>
      </w:r>
      <w:r>
        <w:rPr>
          <w:rFonts w:hint="eastAsia" w:ascii="宋体" w:hAnsi="Times New Roman"/>
          <w:kern w:val="0"/>
          <w:szCs w:val="20"/>
        </w:rPr>
        <w:t xml:space="preserve">  </w:t>
      </w:r>
      <w:r>
        <w:rPr>
          <w:rFonts w:hint="eastAsia" w:ascii="宋体" w:hAnsi="宋体"/>
          <w:kern w:val="0"/>
          <w:szCs w:val="21"/>
        </w:rPr>
        <w:t>湖北省地质环境综合信息平台（以下简称平台）是全省专业监测工作信息化的主体支撑工具，为</w:t>
      </w:r>
      <w:r>
        <w:rPr>
          <w:rFonts w:ascii="宋体" w:hAnsi="宋体"/>
          <w:kern w:val="0"/>
          <w:szCs w:val="21"/>
        </w:rPr>
        <w:t>实现省内专业监测</w:t>
      </w:r>
      <w:r>
        <w:rPr>
          <w:rFonts w:hint="eastAsia" w:ascii="宋体" w:hAnsi="宋体"/>
          <w:kern w:val="0"/>
          <w:szCs w:val="21"/>
        </w:rPr>
        <w:t>信息化</w:t>
      </w:r>
      <w:r>
        <w:rPr>
          <w:rFonts w:ascii="宋体" w:hAnsi="宋体"/>
          <w:kern w:val="0"/>
          <w:szCs w:val="21"/>
        </w:rPr>
        <w:t>的统一管理</w:t>
      </w:r>
      <w:r>
        <w:rPr>
          <w:rFonts w:hint="eastAsia" w:ascii="宋体" w:hAnsi="宋体"/>
          <w:kern w:val="0"/>
          <w:szCs w:val="21"/>
        </w:rPr>
        <w:t>，保证各监测网点的基本信息、监测数据能够接入或纳入平台系统，在此专门提出平台信息采集与数据对接技术要求。</w:t>
      </w:r>
    </w:p>
    <w:p>
      <w:pPr>
        <w:spacing w:line="360" w:lineRule="auto"/>
        <w:rPr>
          <w:rFonts w:ascii="宋体" w:hAnsi="宋体"/>
          <w:szCs w:val="21"/>
        </w:rPr>
      </w:pPr>
      <w:r>
        <w:rPr>
          <w:rFonts w:hint="eastAsia" w:ascii="黑体" w:hAnsi="黑体" w:eastAsia="黑体"/>
          <w:kern w:val="0"/>
          <w:szCs w:val="21"/>
        </w:rPr>
        <w:t>8.1.2</w:t>
      </w:r>
      <w:r>
        <w:rPr>
          <w:rFonts w:hint="eastAsia" w:ascii="宋体" w:hAnsi="宋体"/>
          <w:szCs w:val="21"/>
        </w:rPr>
        <w:t xml:space="preserve">  设备</w:t>
      </w:r>
      <w:r>
        <w:rPr>
          <w:rFonts w:hint="eastAsia" w:ascii="宋体" w:hAnsi="宋体"/>
          <w:szCs w:val="21"/>
          <w:lang w:val="en-US" w:eastAsia="zh-CN"/>
        </w:rPr>
        <w:t>通讯</w:t>
      </w:r>
      <w:bookmarkStart w:id="375" w:name="_GoBack"/>
      <w:bookmarkEnd w:id="375"/>
      <w:r>
        <w:rPr>
          <w:rFonts w:hint="eastAsia" w:ascii="宋体" w:hAnsi="宋体"/>
          <w:szCs w:val="21"/>
        </w:rPr>
        <w:t>技术要求如下：</w:t>
      </w:r>
    </w:p>
    <w:p>
      <w:pPr>
        <w:spacing w:line="360" w:lineRule="auto"/>
        <w:ind w:left="840" w:leftChars="200" w:hanging="420" w:hangingChars="200"/>
        <w:rPr>
          <w:rFonts w:ascii="Times New Roman" w:hAnsi="Times New Roman"/>
          <w:szCs w:val="21"/>
        </w:rPr>
      </w:pPr>
      <w:r>
        <w:rPr>
          <w:rFonts w:ascii="Times New Roman" w:hAnsi="Times New Roman"/>
          <w:szCs w:val="21"/>
        </w:rPr>
        <w:t>a)  数据通讯协议：监测设备宜采用HTTP、MQTT、TCP、UDP等数据传输协议，同时支持北斗短报文数据通讯。</w:t>
      </w:r>
    </w:p>
    <w:p>
      <w:pPr>
        <w:spacing w:line="360" w:lineRule="auto"/>
        <w:ind w:left="840" w:leftChars="200" w:hanging="420" w:hangingChars="200"/>
        <w:rPr>
          <w:rFonts w:ascii="Times New Roman" w:hAnsi="Times New Roman"/>
          <w:szCs w:val="21"/>
        </w:rPr>
      </w:pPr>
      <w:r>
        <w:rPr>
          <w:rFonts w:ascii="Times New Roman" w:hAnsi="Times New Roman"/>
          <w:szCs w:val="21"/>
        </w:rPr>
        <w:t>b)  监测数据传输带宽应不小于4 Kb。</w:t>
      </w:r>
    </w:p>
    <w:p>
      <w:pPr>
        <w:spacing w:line="360" w:lineRule="auto"/>
        <w:ind w:left="840" w:leftChars="200" w:hanging="420" w:hangingChars="200"/>
        <w:rPr>
          <w:rFonts w:ascii="Times New Roman" w:hAnsi="Times New Roman"/>
          <w:szCs w:val="21"/>
        </w:rPr>
      </w:pPr>
      <w:r>
        <w:rPr>
          <w:rFonts w:ascii="Times New Roman" w:hAnsi="Times New Roman"/>
          <w:szCs w:val="21"/>
        </w:rPr>
        <w:t>c)  设备通讯组网应综合考虑技术可行性以及经济合理性，但至少具备下列方式中的一种：</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1)  现场组网方式：支持多台设备现场组网，通过搭载的无线网桥模块实现多种网络传输模式。</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2)  点对多方式：现场仅有一台设备具有远程无线传输模块，其他设备通过无线网桥一对多连接通信，从单一位置到多个位置提供多个信道，实现一个设备连接多个设备目的。</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3)  单点传输方式：指现场所有设备均搭载有远程无线传输模块，每台设备可实现数据的自主无线远程上传和通信。</w:t>
      </w:r>
    </w:p>
    <w:p>
      <w:pPr>
        <w:spacing w:line="360" w:lineRule="auto"/>
        <w:ind w:left="840" w:leftChars="200" w:hanging="420" w:hangingChars="200"/>
        <w:rPr>
          <w:rFonts w:ascii="Times New Roman" w:hAnsi="Times New Roman"/>
          <w:szCs w:val="21"/>
        </w:rPr>
      </w:pPr>
      <w:r>
        <w:rPr>
          <w:rFonts w:ascii="Times New Roman" w:hAnsi="Times New Roman"/>
          <w:szCs w:val="21"/>
        </w:rPr>
        <w:t>d)  数据通讯模块：设备应具备无线网桥通信模块，支持国内三家运营商2 G-4 G的网络接入技术。</w:t>
      </w:r>
    </w:p>
    <w:p>
      <w:pPr>
        <w:spacing w:line="360" w:lineRule="auto"/>
        <w:ind w:left="840" w:leftChars="200" w:hanging="420" w:hangingChars="200"/>
        <w:rPr>
          <w:rFonts w:ascii="Times New Roman" w:hAnsi="Times New Roman"/>
          <w:szCs w:val="21"/>
        </w:rPr>
      </w:pPr>
      <w:r>
        <w:rPr>
          <w:rFonts w:ascii="Times New Roman" w:hAnsi="Times New Roman"/>
          <w:szCs w:val="21"/>
        </w:rPr>
        <w:t>e)  设备应具备节能休眠技术，在未收到平台控制指令，相邻数据变化小时自动进入节能模式，并在收到平台指令或相邻数据变化大时自动唤醒。</w:t>
      </w:r>
    </w:p>
    <w:p>
      <w:pPr>
        <w:spacing w:line="360" w:lineRule="auto"/>
        <w:ind w:left="840" w:leftChars="200" w:hanging="420" w:hangingChars="200"/>
        <w:rPr>
          <w:rFonts w:ascii="Times New Roman" w:hAnsi="Times New Roman"/>
          <w:szCs w:val="21"/>
        </w:rPr>
      </w:pPr>
      <w:r>
        <w:rPr>
          <w:rFonts w:ascii="Times New Roman" w:hAnsi="Times New Roman"/>
          <w:szCs w:val="21"/>
        </w:rPr>
        <w:t>f)  设备应具备满足远程配置、远程更新升级固件的能力，能够主动反馈设备状态、数据流量，以及进行自我故障判断。</w:t>
      </w:r>
    </w:p>
    <w:p>
      <w:pPr>
        <w:spacing w:line="360" w:lineRule="auto"/>
        <w:ind w:firstLine="420" w:firstLineChars="200"/>
        <w:rPr>
          <w:rFonts w:ascii="Times New Roman" w:hAnsi="Times New Roman"/>
          <w:szCs w:val="21"/>
        </w:rPr>
      </w:pPr>
      <w:r>
        <w:rPr>
          <w:rFonts w:ascii="Times New Roman" w:hAnsi="Times New Roman"/>
          <w:szCs w:val="21"/>
        </w:rPr>
        <w:t>g)  设备宜支持未来5 G网络技术，具有LoRa、NB-IoT窄带传输技术通讯模块。</w:t>
      </w:r>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8.1.3</w:t>
      </w:r>
      <w:r>
        <w:rPr>
          <w:rFonts w:hint="eastAsia" w:ascii="宋体" w:hAnsi="宋体"/>
          <w:kern w:val="0"/>
          <w:szCs w:val="21"/>
        </w:rPr>
        <w:t xml:space="preserve">  设备提供商应保障监测数据的真实性和准确性，对提供的监测数据负责。</w:t>
      </w:r>
    </w:p>
    <w:p>
      <w:pPr>
        <w:pStyle w:val="3"/>
        <w:spacing w:before="120" w:after="120"/>
      </w:pPr>
      <w:bookmarkStart w:id="83" w:name="_Toc534577740"/>
      <w:bookmarkStart w:id="84" w:name="_Toc21966364"/>
      <w:bookmarkStart w:id="85" w:name="_Toc33177698"/>
      <w:r>
        <w:rPr>
          <w:rFonts w:hint="eastAsia"/>
        </w:rPr>
        <w:t>8.2  对接流程</w:t>
      </w:r>
      <w:bookmarkEnd w:id="83"/>
      <w:bookmarkEnd w:id="84"/>
      <w:bookmarkEnd w:id="85"/>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各专业监测网点与平台的对接流程主要为：信息采集与录入―监测设备与平台的对接―平台监测信息展示―平台信息分析―平台信息预警。</w:t>
      </w:r>
    </w:p>
    <w:p>
      <w:pPr>
        <w:pStyle w:val="3"/>
        <w:spacing w:before="120" w:after="120"/>
      </w:pPr>
      <w:bookmarkStart w:id="86" w:name="_Toc534577741"/>
      <w:bookmarkStart w:id="87" w:name="_Toc21966365"/>
      <w:bookmarkStart w:id="88" w:name="_Toc33177699"/>
      <w:r>
        <w:rPr>
          <w:rFonts w:hint="eastAsia"/>
        </w:rPr>
        <w:t>8.3</w:t>
      </w:r>
      <w:bookmarkEnd w:id="86"/>
      <w:r>
        <w:rPr>
          <w:rFonts w:hint="eastAsia"/>
        </w:rPr>
        <w:t xml:space="preserve">  信息采集与录入</w:t>
      </w:r>
      <w:bookmarkEnd w:id="87"/>
      <w:bookmarkEnd w:id="88"/>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监测实施单位需将监测工程建设过程中的勘查、设计、施工、监理、验收、监测设备编号清单、监测设备通讯端口清单，相关文件及照片等内容形</w:t>
      </w:r>
      <w:r>
        <w:rPr>
          <w:rFonts w:ascii="Times New Roman" w:hAnsi="Times New Roman"/>
          <w:kern w:val="0"/>
          <w:szCs w:val="21"/>
        </w:rPr>
        <w:t>成word或PDF文</w:t>
      </w:r>
      <w:r>
        <w:rPr>
          <w:rFonts w:hint="eastAsia" w:ascii="宋体" w:hAnsi="宋体"/>
          <w:kern w:val="0"/>
          <w:szCs w:val="21"/>
        </w:rPr>
        <w:t>件，分类整理并汇总。</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信息化资料整理完成后，监测实施单位需通过登录湖北省地质环境业务平台，在“地质灾害监测”应用功能中将监测工程信息化资料进行采集与录入。</w:t>
      </w:r>
    </w:p>
    <w:p>
      <w:pPr>
        <w:pStyle w:val="3"/>
        <w:spacing w:before="120" w:after="120"/>
      </w:pPr>
      <w:bookmarkStart w:id="89" w:name="_Toc534577743"/>
      <w:bookmarkStart w:id="90" w:name="_Toc33177700"/>
      <w:bookmarkStart w:id="91" w:name="_Toc21966366"/>
      <w:r>
        <w:rPr>
          <w:rFonts w:hint="eastAsia"/>
        </w:rPr>
        <w:t>8.4  监测设备对接</w:t>
      </w:r>
      <w:bookmarkEnd w:id="89"/>
      <w:bookmarkEnd w:id="90"/>
      <w:bookmarkEnd w:id="91"/>
    </w:p>
    <w:p>
      <w:pPr>
        <w:pStyle w:val="4"/>
        <w:spacing w:before="120" w:after="120"/>
      </w:pPr>
      <w:r>
        <w:rPr>
          <w:rFonts w:hint="eastAsia"/>
        </w:rPr>
        <w:t>8.4.1  设备登记</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在监测设备安装布设前，设备供应商必须在“湖北省地质灾害监测物联网平台”中完成设备数量、类型、参数等相关信息登记，便于监测设备管理。</w:t>
      </w:r>
    </w:p>
    <w:p>
      <w:pPr>
        <w:pStyle w:val="4"/>
        <w:spacing w:before="120" w:after="120"/>
      </w:pPr>
      <w:r>
        <w:rPr>
          <w:rFonts w:hint="eastAsia"/>
        </w:rPr>
        <w:t>8.4.2  通讯协议对接</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在监测设备安装布设前，设备供应商必须按照中国地质环境监测院下发的《地质灾害监测通讯协议》（征求意见稿）完成通讯协议对接。</w:t>
      </w:r>
    </w:p>
    <w:p>
      <w:pPr>
        <w:pStyle w:val="4"/>
        <w:spacing w:before="120" w:after="120"/>
      </w:pPr>
      <w:r>
        <w:rPr>
          <w:rFonts w:hint="eastAsia"/>
        </w:rPr>
        <w:t>8.4.3  自动化监测设备对接</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监测实施单位通过“地质灾害监测”应用功能中的“网点录入”</w:t>
      </w:r>
      <w:r>
        <w:rPr>
          <w:rFonts w:ascii="Times New Roman" w:hAnsi="Times New Roman"/>
          <w:kern w:val="0"/>
          <w:szCs w:val="21"/>
        </w:rPr>
        <w:t>APP</w:t>
      </w:r>
      <w:r>
        <w:rPr>
          <w:rFonts w:hint="eastAsia" w:ascii="宋体" w:hAnsi="宋体"/>
          <w:kern w:val="0"/>
          <w:szCs w:val="21"/>
        </w:rPr>
        <w:t>进行自动化监测设备的相关参数配置，配置完成后实现监测数据自动传输。</w:t>
      </w:r>
    </w:p>
    <w:p>
      <w:pPr>
        <w:pStyle w:val="4"/>
        <w:spacing w:before="120" w:after="120"/>
      </w:pPr>
      <w:r>
        <w:rPr>
          <w:rFonts w:hint="eastAsia"/>
        </w:rPr>
        <w:t>8.4.4  人工监测设备对接</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监测实施单位通过“地质灾害监测”应用功能中的“人工采集”</w:t>
      </w:r>
      <w:r>
        <w:rPr>
          <w:rFonts w:hint="eastAsia" w:ascii="Times New Roman" w:hAnsi="Times New Roman"/>
          <w:kern w:val="0"/>
          <w:szCs w:val="21"/>
        </w:rPr>
        <w:t>APP进</w:t>
      </w:r>
      <w:r>
        <w:rPr>
          <w:rFonts w:hint="eastAsia" w:ascii="宋体" w:hAnsi="宋体"/>
          <w:kern w:val="0"/>
          <w:szCs w:val="21"/>
        </w:rPr>
        <w:t>行监测数据采集与录入。人工监测设备对接要求参照《湖北省地质灾害监测采集应用服务集》。</w:t>
      </w:r>
    </w:p>
    <w:p>
      <w:pPr>
        <w:pStyle w:val="3"/>
        <w:spacing w:before="120" w:after="120"/>
      </w:pPr>
      <w:bookmarkStart w:id="92" w:name="_Toc534577744"/>
      <w:bookmarkStart w:id="93" w:name="_Toc33177701"/>
      <w:bookmarkStart w:id="94" w:name="_Toc21966367"/>
      <w:r>
        <w:rPr>
          <w:rFonts w:hint="eastAsia"/>
        </w:rPr>
        <w:t>8.5  平台监测信息展示</w:t>
      </w:r>
      <w:bookmarkEnd w:id="92"/>
      <w:bookmarkEnd w:id="93"/>
      <w:bookmarkEnd w:id="94"/>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监测信息展示分为三个方面。一是信息采集及设备对接完成后，可在平台中的“应急值班、一张图”功能模块中进行查看；二是可在平台中的“监测管理”功能模块进行管理；三是可在“智慧防灾”微信公众号中进行查看。</w:t>
      </w:r>
    </w:p>
    <w:p>
      <w:pPr>
        <w:pStyle w:val="3"/>
        <w:spacing w:before="120" w:after="120"/>
      </w:pPr>
      <w:bookmarkStart w:id="95" w:name="_Toc21966368"/>
      <w:bookmarkStart w:id="96" w:name="_Toc33177702"/>
      <w:r>
        <w:rPr>
          <w:rFonts w:hint="eastAsia"/>
        </w:rPr>
        <w:t>8.6  平台信息分析</w:t>
      </w:r>
      <w:bookmarkEnd w:id="95"/>
      <w:bookmarkEnd w:id="96"/>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利用信息平台汇总的数据，基于平台大数据、云计算技术制定不同灾害点的综合分析预警等级。当监测数据达到阈值后，系统平台将会自动提示，并将触发因素进行信息反馈。</w:t>
      </w:r>
    </w:p>
    <w:p>
      <w:pPr>
        <w:keepNext/>
        <w:keepLines/>
        <w:spacing w:before="120" w:beforeLines="50" w:after="120" w:afterLines="50"/>
        <w:jc w:val="left"/>
        <w:outlineLvl w:val="1"/>
        <w:rPr>
          <w:rFonts w:ascii="黑体" w:hAnsi="黑体" w:eastAsia="黑体"/>
          <w:bCs/>
          <w:szCs w:val="21"/>
        </w:rPr>
      </w:pPr>
      <w:bookmarkStart w:id="97" w:name="_Toc21966369"/>
      <w:bookmarkStart w:id="98" w:name="_Toc33177703"/>
      <w:r>
        <w:rPr>
          <w:rStyle w:val="21"/>
          <w:rFonts w:hint="eastAsia"/>
        </w:rPr>
        <w:t>8.7  平台信息预警</w:t>
      </w:r>
      <w:bookmarkEnd w:id="97"/>
      <w:r>
        <w:rPr>
          <w:rFonts w:hint="eastAsia" w:ascii="黑体" w:hAnsi="黑体" w:eastAsia="黑体"/>
          <w:bCs/>
          <w:szCs w:val="21"/>
        </w:rPr>
        <w:t>信息反馈</w:t>
      </w:r>
      <w:bookmarkEnd w:id="98"/>
    </w:p>
    <w:p>
      <w:pPr>
        <w:spacing w:line="360" w:lineRule="auto"/>
        <w:ind w:firstLine="420" w:firstLineChars="200"/>
        <w:rPr>
          <w:rFonts w:ascii="宋体" w:hAnsi="宋体"/>
        </w:rPr>
      </w:pPr>
      <w:r>
        <w:rPr>
          <w:rFonts w:hint="eastAsia" w:ascii="Times New Roman" w:hAnsi="宋体"/>
          <w:szCs w:val="21"/>
        </w:rPr>
        <w:t>主</w:t>
      </w:r>
      <w:r>
        <w:rPr>
          <w:rFonts w:hint="eastAsia" w:asciiTheme="minorEastAsia" w:hAnsiTheme="minorEastAsia" w:eastAsiaTheme="minorEastAsia"/>
          <w:szCs w:val="21"/>
        </w:rPr>
        <w:t>要分为两个部分。一是以信息平台为基础，通过监测数据汇总，形成监测曲线图，开展分析评价工作，通过</w:t>
      </w:r>
      <w:r>
        <w:rPr>
          <w:rFonts w:ascii="Times New Roman" w:hAnsi="Times New Roman" w:eastAsiaTheme="minorEastAsia"/>
          <w:szCs w:val="21"/>
        </w:rPr>
        <w:t>PC及手机APP</w:t>
      </w:r>
      <w:r>
        <w:rPr>
          <w:rFonts w:hint="eastAsia" w:asciiTheme="minorEastAsia" w:hAnsiTheme="minorEastAsia" w:eastAsiaTheme="minorEastAsia"/>
          <w:szCs w:val="21"/>
        </w:rPr>
        <w:t>、公众号等信息化工具进行预警信息发布。二是根据信息平台发布的预警信息，职能部门利用信息平台中“值班值守”</w:t>
      </w:r>
      <w:r>
        <w:rPr>
          <w:rFonts w:hint="eastAsia" w:ascii="Times New Roman" w:hAnsi="宋体"/>
          <w:szCs w:val="21"/>
        </w:rPr>
        <w:t>安排巡排查、应急调查、应急监测等工作；网格化管理人员与技术支撑人员利用“智慧防灾”公众号开展巡排查、应急调查等工作；根据预警级别，相关技术支撑部门开展应急监测工作。</w:t>
      </w:r>
    </w:p>
    <w:p>
      <w:pPr>
        <w:pStyle w:val="2"/>
        <w:spacing w:before="240" w:after="240"/>
      </w:pPr>
      <w:bookmarkStart w:id="99" w:name="_Toc21966374"/>
      <w:bookmarkStart w:id="100" w:name="_Toc33177704"/>
      <w:r>
        <w:rPr>
          <w:rFonts w:hint="eastAsia"/>
        </w:rPr>
        <w:t>9  监测数据分析与预警</w:t>
      </w:r>
      <w:bookmarkEnd w:id="99"/>
      <w:r>
        <w:rPr>
          <w:rFonts w:hint="eastAsia"/>
        </w:rPr>
        <w:t>预报</w:t>
      </w:r>
      <w:bookmarkEnd w:id="100"/>
    </w:p>
    <w:p>
      <w:pPr>
        <w:pStyle w:val="3"/>
        <w:spacing w:before="120" w:after="120"/>
      </w:pPr>
      <w:bookmarkStart w:id="101" w:name="_Toc534577751"/>
      <w:bookmarkStart w:id="102" w:name="_Toc21966375"/>
      <w:bookmarkStart w:id="103" w:name="_Toc33177705"/>
      <w:r>
        <w:rPr>
          <w:rFonts w:hint="eastAsia"/>
        </w:rPr>
        <w:t xml:space="preserve">9.1  </w:t>
      </w:r>
      <w:r>
        <w:t>一般规定</w:t>
      </w:r>
      <w:bookmarkEnd w:id="101"/>
      <w:bookmarkEnd w:id="102"/>
      <w:bookmarkEnd w:id="103"/>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9</w:t>
      </w:r>
      <w:r>
        <w:rPr>
          <w:rFonts w:ascii="黑体" w:hAnsi="黑体" w:eastAsia="黑体"/>
          <w:kern w:val="0"/>
          <w:szCs w:val="21"/>
        </w:rPr>
        <w:t>.1.1</w:t>
      </w:r>
      <w:r>
        <w:rPr>
          <w:rFonts w:hint="eastAsia" w:ascii="宋体" w:hAnsi="宋体"/>
          <w:kern w:val="0"/>
          <w:szCs w:val="21"/>
        </w:rPr>
        <w:t xml:space="preserve">  </w:t>
      </w:r>
      <w:r>
        <w:rPr>
          <w:rFonts w:ascii="宋体" w:hAnsi="宋体"/>
          <w:kern w:val="0"/>
          <w:szCs w:val="21"/>
        </w:rPr>
        <w:t>地质灾害专业监测数据</w:t>
      </w:r>
      <w:r>
        <w:rPr>
          <w:rFonts w:hint="eastAsia" w:ascii="宋体" w:hAnsi="宋体"/>
          <w:kern w:val="0"/>
          <w:szCs w:val="21"/>
        </w:rPr>
        <w:t>整理与</w:t>
      </w:r>
      <w:r>
        <w:rPr>
          <w:rFonts w:ascii="宋体" w:hAnsi="宋体"/>
          <w:kern w:val="0"/>
          <w:szCs w:val="21"/>
        </w:rPr>
        <w:t>分析一般流程如图</w:t>
      </w:r>
      <w:r>
        <w:rPr>
          <w:rFonts w:hint="eastAsia" w:ascii="Times New Roman" w:hAnsi="Times New Roman"/>
          <w:kern w:val="0"/>
          <w:szCs w:val="21"/>
        </w:rPr>
        <w:t>2</w:t>
      </w:r>
      <w:r>
        <w:rPr>
          <w:rFonts w:ascii="宋体" w:hAnsi="宋体"/>
          <w:kern w:val="0"/>
          <w:szCs w:val="21"/>
        </w:rPr>
        <w:t>所示。</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9</w:t>
      </w:r>
      <w:r>
        <w:rPr>
          <w:rFonts w:ascii="黑体" w:hAnsi="黑体" w:eastAsia="黑体"/>
          <w:kern w:val="0"/>
          <w:szCs w:val="21"/>
        </w:rPr>
        <w:t>.1.</w:t>
      </w:r>
      <w:r>
        <w:rPr>
          <w:rFonts w:hint="eastAsia" w:ascii="黑体" w:hAnsi="黑体" w:eastAsia="黑体"/>
          <w:kern w:val="0"/>
          <w:szCs w:val="21"/>
        </w:rPr>
        <w:t>2</w:t>
      </w:r>
      <w:r>
        <w:rPr>
          <w:rFonts w:hint="eastAsia" w:ascii="宋体" w:hAnsi="宋体"/>
          <w:kern w:val="0"/>
          <w:szCs w:val="21"/>
        </w:rPr>
        <w:t xml:space="preserve">  </w:t>
      </w:r>
      <w:r>
        <w:rPr>
          <w:rFonts w:ascii="宋体" w:hAnsi="宋体"/>
          <w:kern w:val="0"/>
          <w:szCs w:val="21"/>
        </w:rPr>
        <w:t>监测人员</w:t>
      </w:r>
      <w:r>
        <w:rPr>
          <w:rFonts w:hint="eastAsia" w:ascii="宋体" w:hAnsi="宋体"/>
          <w:kern w:val="0"/>
          <w:szCs w:val="21"/>
        </w:rPr>
        <w:t>应</w:t>
      </w:r>
      <w:r>
        <w:rPr>
          <w:rFonts w:ascii="宋体" w:hAnsi="宋体"/>
          <w:kern w:val="0"/>
          <w:szCs w:val="21"/>
        </w:rPr>
        <w:t>对监测数据进行整理与检核（含粗差剔除），利用可靠监测数据绘制单点变形过程线</w:t>
      </w:r>
      <w:r>
        <w:rPr>
          <w:rFonts w:hint="eastAsia" w:ascii="宋体" w:hAnsi="宋体"/>
          <w:kern w:val="0"/>
          <w:szCs w:val="21"/>
        </w:rPr>
        <w:t>，及时掌握灾害体变形基本情况。</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9</w:t>
      </w:r>
      <w:r>
        <w:rPr>
          <w:rFonts w:ascii="黑体" w:hAnsi="黑体" w:eastAsia="黑体"/>
          <w:kern w:val="0"/>
          <w:szCs w:val="21"/>
        </w:rPr>
        <w:t>.1.</w:t>
      </w:r>
      <w:r>
        <w:rPr>
          <w:rFonts w:hint="eastAsia" w:ascii="黑体" w:hAnsi="黑体" w:eastAsia="黑体"/>
          <w:kern w:val="0"/>
          <w:szCs w:val="21"/>
        </w:rPr>
        <w:t>3</w:t>
      </w:r>
      <w:r>
        <w:rPr>
          <w:rFonts w:hint="eastAsia" w:ascii="宋体" w:hAnsi="宋体"/>
          <w:kern w:val="0"/>
          <w:szCs w:val="21"/>
        </w:rPr>
        <w:t xml:space="preserve">  </w:t>
      </w:r>
      <w:r>
        <w:rPr>
          <w:rFonts w:ascii="宋体" w:hAnsi="宋体"/>
          <w:kern w:val="0"/>
          <w:szCs w:val="21"/>
        </w:rPr>
        <w:t>综合分析</w:t>
      </w:r>
      <w:r>
        <w:rPr>
          <w:rFonts w:hint="eastAsia" w:ascii="宋体" w:hAnsi="宋体"/>
          <w:kern w:val="0"/>
          <w:szCs w:val="21"/>
        </w:rPr>
        <w:t>应联合</w:t>
      </w:r>
      <w:r>
        <w:rPr>
          <w:rFonts w:ascii="宋体" w:hAnsi="宋体"/>
          <w:kern w:val="0"/>
          <w:szCs w:val="21"/>
        </w:rPr>
        <w:t>各</w:t>
      </w:r>
      <w:r>
        <w:rPr>
          <w:rFonts w:hint="eastAsia" w:ascii="宋体" w:hAnsi="宋体"/>
          <w:kern w:val="0"/>
          <w:szCs w:val="21"/>
        </w:rPr>
        <w:t>种</w:t>
      </w:r>
      <w:r>
        <w:rPr>
          <w:rFonts w:ascii="宋体" w:hAnsi="宋体"/>
          <w:kern w:val="0"/>
          <w:szCs w:val="21"/>
        </w:rPr>
        <w:t>监</w:t>
      </w:r>
      <w:r>
        <w:rPr>
          <w:rFonts w:hint="eastAsia" w:ascii="宋体" w:hAnsi="宋体"/>
          <w:kern w:val="0"/>
          <w:szCs w:val="21"/>
        </w:rPr>
        <w:t>测</w:t>
      </w:r>
      <w:r>
        <w:rPr>
          <w:rFonts w:ascii="宋体" w:hAnsi="宋体"/>
          <w:kern w:val="0"/>
          <w:szCs w:val="21"/>
        </w:rPr>
        <w:t>数据</w:t>
      </w:r>
      <w:r>
        <w:rPr>
          <w:rFonts w:hint="eastAsia" w:ascii="宋体" w:hAnsi="宋体"/>
          <w:kern w:val="0"/>
          <w:szCs w:val="21"/>
        </w:rPr>
        <w:t>、结合孕灾环境条件</w:t>
      </w:r>
      <w:r>
        <w:rPr>
          <w:rFonts w:ascii="宋体" w:hAnsi="宋体"/>
          <w:kern w:val="0"/>
          <w:szCs w:val="21"/>
        </w:rPr>
        <w:t>进行</w:t>
      </w:r>
      <w:r>
        <w:rPr>
          <w:rFonts w:hint="eastAsia" w:ascii="宋体" w:hAnsi="宋体"/>
          <w:kern w:val="0"/>
          <w:szCs w:val="21"/>
        </w:rPr>
        <w:t>。分为三个层面：一是测线上同类监测内容的联合分析，二是所有</w:t>
      </w:r>
      <w:r>
        <w:rPr>
          <w:rFonts w:ascii="宋体" w:hAnsi="宋体"/>
          <w:kern w:val="0"/>
          <w:szCs w:val="21"/>
        </w:rPr>
        <w:t>同类监测内容联合分析</w:t>
      </w:r>
      <w:r>
        <w:rPr>
          <w:rFonts w:hint="eastAsia" w:ascii="宋体" w:hAnsi="宋体"/>
          <w:kern w:val="0"/>
          <w:szCs w:val="21"/>
        </w:rPr>
        <w:t>，三是灾害体不同监测内容联合分析。得到各监测内容、数据之间的相关性。</w:t>
      </w:r>
    </w:p>
    <w:p>
      <w:pPr>
        <w:tabs>
          <w:tab w:val="center" w:pos="4201"/>
          <w:tab w:val="right" w:leader="dot" w:pos="9298"/>
        </w:tabs>
        <w:autoSpaceDE w:val="0"/>
        <w:autoSpaceDN w:val="0"/>
        <w:ind w:firstLine="420" w:firstLineChars="200"/>
        <w:rPr>
          <w:rFonts w:ascii="Times New Roman" w:hAnsi="Times New Roman" w:eastAsia="仿宋"/>
          <w:kern w:val="0"/>
          <w:sz w:val="28"/>
          <w:szCs w:val="28"/>
        </w:rPr>
      </w:pPr>
      <w:r>
        <w:pict>
          <v:group id="Group 336" o:spid="_x0000_s1052" o:spt="203" style="position:absolute;left:0pt;margin-left:11.05pt;margin-top:1.15pt;height:255pt;width:435.85pt;z-index:251694080;mso-width-relative:page;mso-height-relative:page;" coordorigin="1497,3029" coordsize="8717,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zazZQgAAOhSAAAOAAAAZHJzL2Uyb0RvYy54bWzsXM1u5EQQviPxDpbv2fFP+1c7WS2TZIW0&#10;wEq7PIDj8cxYzNhD28kkIK5w48gFBAIBEtLCaa+Ip9ksj0FVd7vtsWeSTZZxFtI5JJ74Z7qrP39V&#10;9VXZ9x+cLebaaUKLNM+GunnP0LUki/Nxmk2H+sfPjvZ8XSvKKBtH8zxLhvp5UugP9t995/5qGSZW&#10;Psvn44RqcJGsCFfLoT4ry2U4GBTxLFlExb18mWSwc5LTRVTCRzodjGm0gqsv5gPLMNzBKqfjJc3j&#10;pCjgvwd8p77Prj+ZJHH50WRSJKU2H+owtpL9puz3Mf4e7N+PwimNlrM0FsOIbjCKRZRm8KXyUgdR&#10;GWknNO1capHGNC/ySXkvzheDfDJJ44TNAWZjGq3ZPKL5yZLNZRqupktpJjBty043vmz84ekTqqXj&#10;oe6anq5l0QIWiX2vZtsumme1nIZw1CO6fLp8QvkcYfNxHn9SwO5Bez9+nvKDtePVB/kYLhidlDkz&#10;z9mELvASMHHtjK3CuVyF5KzUYvin49iOFTi6FsM+27J9xxDrFM9gMfE8kwQwWNxtWAFfw3h2KM73&#10;PZwJnuyY/MxBFPIvZoMVg+MzYx/kJKUpALVNU1iOs2tTbJhSZRDbMk0+IcvxrWq6HVOYPhtkFNam&#10;6J651RRw+xU1woo3Q9jTWbRMGHALxI40a1CZ9eKbry6+e37x45eayQ3LjkOAaeXZezkuMcNLwXGm&#10;ZfloFmXT5CGl+WqWRGMYIDsTVlSeistYhAVe5CrgmYHjcgABgrhFK2tbpmdxaxPLx13SZFG4pEX5&#10;KMkXGm4MdQr0woYZnT4uSn5odQiivMjn6fgonc/ZBzo9Hs2pdhoBFR2xH3H1tcPmmbaCm9F2DG6A&#10;rZcw2M+mSyzSEjh1ni6Gui8PikI022E2hmFGYRmlc74Ns5tn7DbmpuNGLM+OzxgrWHJ9jvPxOViW&#10;5pxDgfNhY5bTz3RtBfw51ItPTyKa6Nr8/QxWJzAJQcJlH4jjWfCBNvccN/dEWQyXGuqlrvHNUclJ&#10;+mRJ0+kMvonjIcsfApVMUmZsXG0+KjF+QDAf/u6hjNPhDFFDmQGpgceeoOyZNoMysdw2lF0F5bCG&#10;slwfBeUmK8Mt3oGyjbzSP5RdG6iXOW6fjSAKJSsH4IKZUyfc499tVpbro6C8BmWAD2flV9++uPj6&#10;l1d//P7y5xd///U9bj//VSMNWI8yHs3GZ5mIZmWUwcKXZ+dLiFzXggx+ymsHGRBacDjbni0i2ArO&#10;4D1YgAp4vzTCKEoaof8b5VkGwUZOuRvcEm9kOQYbzMHzMCJwLOfGYQQkHyJa2BA5aCUzT4TxGAQA&#10;Q32RjMH1J5AE4hafFAYW7BaG6Ehs8aTo88AIDv1Dn+yB0zrcI8bBwd7DoxHZc49MzzmwD0ajA/ML&#10;HLlJwlk6HicZzqxK0EzyeuGpSBV5aiVTNGmlwfrVWaQHC1T9ZYNm8SWGlJwO+e2Gs0MU9BlvgI+/&#10;DNkiP2GxcI/IJm6wGdkkYBS1naUVshWymexgEYnsH357+edPmlAdGmkdZFK7ygOlkCCz54qiL8md&#10;r50ISsrBZAvZ8o2I+Sb53dtHw2tZb/E6yfGN+XrHSWtc0jdPW2tpCj2NkND4ZkNBAXcu3ADX6CyQ&#10;McAbtTU41CH/LY3OtYjQ2kzCvqwRlNs23LwYyJi+zyIlFJ+EMFWfJyWWWpiyOmdKT1EbonK6PWTz&#10;Uu+rs3mTObbecyBIgWAwKG3afsu1KmUKYq46nZfBvMqB1nKgTSKrVPGAS/pTWSWWiUEEPVTetYll&#10;puDL+//azvX6jqTywm+PyirDd4XlJpZRDmqrrKaU8W4Jy52UR2F5jZdl/K6wvIblOoPneQ7I9ix0&#10;6yXR2RCNSSreHotdm4s7iU7vFKsSHexz2E11rsdEBxMLzvxVM8LuK/BVIc0xLA9vzTrRcVxXtBTY&#10;ZlUvlomO2T2vTnS6Z8pA5zYSHVvmj1wgr6VxNmOR7fQoIDou9Das2VpI48RkfkRaq0NF8zTDFoMo&#10;vH0xHMYP41RqN2vZulYr0pZGEeg8WlO7a5iyjoz+Yep2KIHYDuTpqH2wLF3hFIopd64qY4NXaFZl&#10;apyynLY3nHqoFbHCeQengk6hE07hlHWZ3kmcSn0T26cY6WpW0C+XOib2gwFfdrlUYNS1VM1QVcPX&#10;+rm3xQebNM5mBNufxgnMC6kKwtqFls21SNZS7XdNvV6uj9KFmroQsmIzhmj3LJm3RNOe4bFvrrNg&#10;RdOqaYmONz2osoWmoegjoN0oqzYj4x5pmkD8izTteUZLcLBJIKrYquF/qPNnHjBzUTS9RtObSlHS&#10;pfVaipKCYzfkMG0PpBNUJRSWAcuSaxSW17Bcl6I2tkl3Qg4Ia5ERsA/2ykerbMOH6BwDYr/dG+qZ&#10;oof/CilC9Ya+9b2hdfHisnY10qniiKad3T1S6hJkQISfabcdPchkol2NuKKVTVZxNpxXV3Gggb91&#10;ptR7a0P0165GZBXnMRRBNNuQ7SPgh3ZfvIEbW6S8dvsOFylC4F5xh6viTesR8P/RowrQJSqifoFO&#10;2RDSDzolAfheS5BxDVHFVei8s1I4NjM35Za6ZMPV595qNg0W9VgeUQstBAhdlRbv9gNfRJZs2p0a&#10;8MCMiMf74VPp7Tt8aoNCqHB6x3EqSzEdnN5SVOrhuzPWCjEKp+oBWsBER4u2mpFpf1q0ZwVCIemk&#10;qFZQSSRKv8O3O1WeTul3Tf3O2VBX4S2rInrtE8v4ihmUW7rl74DALqVF8xcpcTFK1VWqt8qAkswe&#10;/3ZkXeUZPpAA7/7S7Ft6xMezBJY902WVgzojsxSWG60c/K0l/yUs1yote3UHe50ia9oWr37E9zU2&#10;P7Oj6hdU7v8DAAD//wMAUEsDBBQABgAIAAAAIQB9R8th3gAAAAgBAAAPAAAAZHJzL2Rvd25yZXYu&#10;eG1sTI9BS8NAEIXvgv9hGcGb3WxCpcZsSinqqQi2gnibZqdJaHY3ZLdJ+u8dT3oaZt7jzfeK9Ww7&#10;MdIQWu80qEUCglzlTetqDZ+H14cViBDRGey8Iw1XCrAub28KzI2f3AeN+1gLDnEhRw1NjH0uZaga&#10;shgWvifH2skPFiOvQy3NgBOH206mSfIoLbaOPzTY07ah6ry/WA1vE06bTL2Mu/Npe/0+LN+/doq0&#10;vr+bN88gIs3xzwy/+IwOJTMd/cWZIDoNaarYyTMDwfLqKeMmRw1LxRdZFvJ/gfIHAAD//wMAUEsB&#10;Ai0AFAAGAAgAAAAhALaDOJL+AAAA4QEAABMAAAAAAAAAAAAAAAAAAAAAAFtDb250ZW50X1R5cGVz&#10;XS54bWxQSwECLQAUAAYACAAAACEAOP0h/9YAAACUAQAACwAAAAAAAAAAAAAAAAAvAQAAX3JlbHMv&#10;LnJlbHNQSwECLQAUAAYACAAAACEAg4s2s2UIAADoUgAADgAAAAAAAAAAAAAAAAAuAgAAZHJzL2Uy&#10;b0RvYy54bWxQSwECLQAUAAYACAAAACEAfUfLYd4AAAAIAQAADwAAAAAAAAAAAAAAAAC/CgAAZHJz&#10;L2Rvd25yZXYueG1sUEsFBgAAAAAEAAQA8wAAAMoLAAAAAA==&#10;">
            <o:lock v:ext="edit"/>
            <v:group id="Group 255" o:spid="_x0000_s1053" o:spt="203" style="position:absolute;left:1497;top:3029;height:2582;width:3211;" coordorigin="1497,3185" coordsize="3211,2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MHN4sIAAADcAAAADwAAAGRycy9kb3ducmV2LnhtbERPy4rCMBTdC/5DuII7&#10;TTuDIh1TERkHFyKoA8PsLs3tA5ub0sS2/r1ZCC4P573eDKYWHbWusqwgnkcgiDOrKy4U/F73sxUI&#10;55E11pZJwYMcbNLxaI2Jtj2fqbv4QoQQdgkqKL1vEildVpJBN7cNceBy2xr0AbaF1C32IdzU8iOK&#10;ltJgxaGhxIZ2JWW3y90o+Omx337G393xlu8e/9fF6e8Yk1LTybD9AuFp8G/xy33QCp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DBzeLCAAAA3AAAAA8A&#10;AAAAAAAAAAAAAAAAqgIAAGRycy9kb3ducmV2LnhtbFBLBQYAAAAABAAEAPoAAACZAwAAAAA=&#10;">
              <o:lock v:ext="edit"/>
              <v:shape id="文本框 1" o:spid="_x0000_s1054" o:spt="202" type="#_x0000_t202" style="position:absolute;left:1956;top:3302;height:428;width:2172;"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PjnsAA&#10;AADcAAAADwAAAGRycy9kb3ducmV2LnhtbESPQYvCMBSE74L/ITzBm6YqFK1G0YUF2Zvai7dH82yL&#10;zUtJoq3/fiMIHoeZ+YbZ7HrTiCc5X1tWMJsmIIgLq2suFeSX38kShA/IGhvLpOBFHnbb4WCDmbYd&#10;n+h5DqWIEPYZKqhCaDMpfVGRQT+1LXH0btYZDFG6UmqHXYSbRs6TJJUGa44LFbb0U1FxPz+MgmN6&#10;CFfK9Z9ezBe2y2Xhbo1Xajzq92sQgfrwDX/aR60gna3gfSYeAbn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rPjnsAAAADcAAAADwAAAAAAAAAAAAAAAACYAgAAZHJzL2Rvd25y&#10;ZXYueG1sUEsFBgAAAAAEAAQA9QAAAIUDA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监测数据整理、检核</w:t>
                      </w:r>
                    </w:p>
                  </w:txbxContent>
                </v:textbox>
              </v:shape>
              <v:shape id="文本框 2" o:spid="_x0000_s1055" o:spt="202" type="#_x0000_t202" style="position:absolute;left:1713;top:4262;height:428;width:2672;"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WAvr0A&#10;AADcAAAADwAAAGRycy9kb3ducmV2LnhtbERPTYvCMBC9C/6HMII3m26FItUou4Ig3tRevA3N2JZt&#10;JiWJtv57cxA8Pt73ZjeaTjzJ+daygp8kBUFcWd1yraC8HhYrED4ga+wsk4IXedhtp5MNFtoOfKbn&#10;JdQihrAvUEETQl9I6auGDPrE9sSRu1tnMEToaqkdDjHcdDJL01wabDk2NNjTvqHq//IwCo75X7hR&#10;qU96mS3tUMrK3Tuv1Hw2/q5BBBrDV/xxH7WCPIvz45l4BOT2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eWAvr0AAADcAAAADwAAAAAAAAAAAAAAAACYAgAAZHJzL2Rvd25yZXYu&#10;eG1sUEsFBgAAAAAEAAQA9QAAAIIDA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绘制单点原始变形过程线</w:t>
                      </w:r>
                    </w:p>
                  </w:txbxContent>
                </v:textbox>
              </v:shape>
              <v:shape id="文本框 3" o:spid="_x0000_s1056" o:spt="202" type="#_x0000_t202" style="position:absolute;left:1632;top:5183;height:429;width:2955;"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klJcEA&#10;AADcAAAADwAAAGRycy9kb3ducmV2LnhtbESPQYvCMBSE7wv+h/AEb2vaCmXpGosKgnhbt5e9PZpn&#10;W2xeShJt/fdmQfA4zMw3zLqcTC/u5HxnWUG6TEAQ11Z33Ciofg+fXyB8QNbYWyYFD/JQbmYfayy0&#10;HfmH7ufQiAhhX6CCNoShkNLXLRn0SzsQR+9incEQpWukdjhGuOllliS5NNhxXGhxoH1L9fV8MwqO&#10;+S78UaVPepWt7FjJ2l16r9RiPm2/QQSawjv8ah+1gjxL4f9MPAJ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pJSXBAAAA3AAAAA8AAAAAAAAAAAAAAAAAmAIAAGRycy9kb3du&#10;cmV2LnhtbFBLBQYAAAAABAAEAPUAAACGAw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绘制单点分析后变形过程线</w:t>
                      </w:r>
                    </w:p>
                  </w:txbxContent>
                </v:textbox>
              </v:shape>
              <v:shape id="直接箭头连接符 4" o:spid="_x0000_s1057" o:spt="32" type="#_x0000_t32" style="position:absolute;left:3022;top:3730;height:532;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5qsQAAADcAAAADwAAAGRycy9kb3ducmV2LnhtbESPT2sCMRTE74V+h/AKXkrNGqktW6MU&#10;oSr05B/o9bF5u1ncvCybdF2/vREEj8PM/IaZLwfXiJ66UHvWMBlnIIgLb2quNBwPP2+fIEJENth4&#10;Jg0XCrBcPD/NMTf+zDvq97ESCcIhRw02xjaXMhSWHIaxb4mTV/rOYUyyq6Tp8JzgrpEqy2bSYc1p&#10;wWJLK0vFaf/vNJTK0OT19Gc3H+9Yrn6nqu+btdajl+H7C0SkIT7C9/bWaJgpBbcz6QjIx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6fmqxAAAANwAAAAPAAAAAAAAAAAA&#10;AAAAAKECAABkcnMvZG93bnJldi54bWxQSwUGAAAAAAQABAD5AAAAkgMAAAAA&#10;">
                <v:path arrowok="t"/>
                <v:fill on="f" focussize="0,0"/>
                <v:stroke weight="0.5pt" endarrow="open"/>
                <v:imagedata o:title=""/>
                <o:lock v:ext="edit"/>
              </v:shape>
              <v:shape id="直接箭头连接符 5" o:spid="_x0000_s1058" o:spt="32" type="#_x0000_t32" style="position:absolute;left:3022;top:4690;height:493;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VcMcQAAADcAAAADwAAAGRycy9kb3ducmV2LnhtbESPQWvCQBSE74L/YXlCL1I3RtSSZhUR&#10;agueaoVeH9mXbEj2bciuMf77bqHQ4zAz3zD5frStGKj3tWMFy0UCgrhwuuZKwfXr7fkFhA/IGlvH&#10;pOBBHva76STHTLs7f9JwCZWIEPYZKjAhdJmUvjBk0S9cRxy90vUWQ5R9JXWP9wi3rUyTZCMt1hwX&#10;DHZ0NFQ0l5tVUKaalvPm27xv11gez6t0GNqTUk+z8fAKItAY/sN/7Q+tYJOu4PdMPAJy9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VwxxAAAANwAAAAPAAAAAAAAAAAA&#10;AAAAAKECAABkcnMvZG93bnJldi54bWxQSwUGAAAAAAQABAD5AAAAkgMAAAAA&#10;">
                <v:path arrowok="t"/>
                <v:fill on="f" focussize="0,0"/>
                <v:stroke weight="0.5pt" endarrow="open"/>
                <v:imagedata o:title=""/>
                <o:lock v:ext="edit"/>
              </v:shape>
              <v:rect id="矩形 6" o:spid="_x0000_s1059" o:spt="1" style="position:absolute;left:1497;top:3185;height:2582;width:3211;v-text-anchor:middle;" fill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M7M8cA&#10;AADcAAAADwAAAGRycy9kb3ducmV2LnhtbESPT2vCQBTE70K/w/IKvemmxj8ldRNKoFDQg9qi9PbI&#10;viah2bdpdqvJt3cFweMwM79hVllvGnGiztWWFTxPIhDEhdU1lwq+Pt/HLyCcR9bYWCYFAznI0ofR&#10;ChNtz7yj096XIkDYJaig8r5NpHRFRQbdxLbEwfuxnUEfZFdK3eE5wE0jp1G0kAZrDgsVtpRXVPzu&#10;/42Ceoi335v8uMzXf4fY2eHg4rlR6umxf3sF4an39/Ct/aEVLKYzuJ4JR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jOzPHAAAA3AAAAA8AAAAAAAAAAAAAAAAAmAIAAGRy&#10;cy9kb3ducmV2LnhtbFBLBQYAAAAABAAEAPUAAACMAwAAAAA=&#10;">
                <v:path/>
                <v:fill on="f" focussize="0,0"/>
                <v:stroke/>
                <v:imagedata o:title=""/>
                <o:lock v:ext="edit"/>
              </v:rect>
            </v:group>
            <v:group id="Group 256" o:spid="_x0000_s1060" o:spt="203" style="position:absolute;left:6247;top:3146;height:1881;width:2334;" coordorigin="6247,3302" coordsize="2334,18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KyowcYAAADcAAAADwAAAGRycy9kb3ducmV2LnhtbESPQWuDQBSE74X+h+UV&#10;cmtWU5RisxEJbckhFGIKpbeH+6IS9624WzX/Phso5DjMzDfMOp9NJ0YaXGtZQbyMQBBXVrdcK/g+&#10;fjy/gnAeWWNnmRRcyEG+eXxYY6btxAcaS1+LAGGXoYLG+z6T0lUNGXRL2xMH72QHgz7IoZZ6wCnA&#10;TSdXUZRKgy2HhQZ72jZUncs/o+Bzwql4id/H/fm0vfwek6+ffUxKLZ7m4g2Ep9nfw//tnVaQrh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rKjBxgAAANwA&#10;AAAPAAAAAAAAAAAAAAAAAKoCAABkcnMvZG93bnJldi54bWxQSwUGAAAAAAQABAD6AAAAnQMAAAAA&#10;">
              <o:lock v:ext="edit"/>
              <v:shape id="文本框 10" o:spid="_x0000_s1061" o:spt="202" type="#_x0000_t202" style="position:absolute;left:6328;top:3380;height:428;width:2172;" fillcolor="#FFFFFF" filled="t"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OMuL0A&#10;AADcAAAADwAAAGRycy9kb3ducmV2LnhtbERPTYvCMBC9C/6HMII3m26FItUou4Ig3tRevA3N2JZt&#10;JiWJtv57cxA8Pt73ZjeaTjzJ+daygp8kBUFcWd1yraC8HhYrED4ga+wsk4IXedhtp5MNFtoOfKbn&#10;JdQihrAvUEETQl9I6auGDPrE9sSRu1tnMEToaqkdDjHcdDJL01wabDk2NNjTvqHq//IwCo75X7hR&#10;qU96mS3tUMrK3Tuv1Hw2/q5BBBrDV/xxH7WCPItr45l4BOT2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5OMuL0AAADcAAAADwAAAAAAAAAAAAAAAACYAgAAZHJzL2Rvd25yZXYu&#10;eG1sUEsFBgAAAAAEAAQA9QAAAIIDAAAAAA==&#10;">
                <v:path/>
                <v:fill on="t" focussize="0,0"/>
                <v:stroke weight="0.5pt" joinstyle="miter"/>
                <v:imagedata o:title=""/>
                <o:lock v:ext="edit"/>
                <v:textbox>
                  <w:txbxContent>
                    <w:p>
                      <w:pPr>
                        <w:jc w:val="center"/>
                        <w:rPr>
                          <w:sz w:val="15"/>
                          <w:szCs w:val="15"/>
                        </w:rPr>
                      </w:pPr>
                      <w:r>
                        <w:rPr>
                          <w:rFonts w:hint="eastAsia"/>
                          <w:sz w:val="15"/>
                          <w:szCs w:val="15"/>
                        </w:rPr>
                        <w:t>地质环境条件</w:t>
                      </w:r>
                    </w:p>
                  </w:txbxContent>
                </v:textbox>
              </v:shape>
              <v:shape id="文本框 11" o:spid="_x0000_s1062" o:spt="202" type="#_x0000_t202" style="position:absolute;left:6328;top:4041;height:429;width:2172;"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8pI8EA&#10;AADcAAAADwAAAGRycy9kb3ducmV2LnhtbESPQYvCMBSE74L/ITzBm6ZWKG41igqC7E3tZW+P5tkW&#10;m5eSRFv//WZhweMwM98wm91gWvEi5xvLChbzBARxaXXDlYLidpqtQPiArLG1TAre5GG3HY82mGvb&#10;84Ve11CJCGGfo4I6hC6X0pc1GfRz2xFH726dwRClq6R22Ee4aWWaJJk02HBcqLGjY03l4/o0Cs7Z&#10;IfxQob/1Ml3avpClu7deqelk2K9BBBrCJ/zfPmsFWfoFf2fiEZ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fKSPBAAAA3AAAAA8AAAAAAAAAAAAAAAAAmAIAAGRycy9kb3du&#10;cmV2LnhtbFBLBQYAAAAABAAEAPUAAACGAwAAAAA=&#10;">
                <v:path/>
                <v:fill focussize="0,0"/>
                <v:stroke weight="0.5pt" joinstyle="miter"/>
                <v:imagedata o:title=""/>
                <o:lock v:ext="edit"/>
                <v:textbox>
                  <w:txbxContent>
                    <w:p>
                      <w:pPr>
                        <w:jc w:val="center"/>
                        <w:rPr>
                          <w:rFonts w:ascii="宋体" w:hAnsi="宋体"/>
                          <w:sz w:val="15"/>
                          <w:szCs w:val="15"/>
                        </w:rPr>
                      </w:pPr>
                      <w:r>
                        <w:rPr>
                          <w:rFonts w:hint="eastAsia" w:ascii="宋体" w:hAnsi="宋体"/>
                          <w:sz w:val="15"/>
                          <w:szCs w:val="15"/>
                        </w:rPr>
                        <w:t>气象条件</w:t>
                      </w:r>
                    </w:p>
                  </w:txbxContent>
                </v:textbox>
              </v:shape>
              <v:shape id="文本框 12" o:spid="_x0000_s1063" o:spt="202" type="#_x0000_t202" style="position:absolute;left:6328;top:4690;height:429;width:2172;"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Itj8EA&#10;AADcAAAADwAAAGRycy9kb3ducmV2LnhtbESPQYvCMBSE78L+h/CEvdnUFop0jaILguxN7cXbo3m2&#10;ZZuXkkTb/fcbQfA4zMw3zHo7mV48yPnOsoJlkoIgrq3uuFFQXQ6LFQgfkDX2lknBH3nYbj5mayy1&#10;HflEj3NoRISwL1FBG8JQSunrlgz6xA7E0btZZzBE6RqpHY4RbnqZpWkhDXYcF1oc6Lul+vd8NwqO&#10;xT5cqdI/Os9yO1aydrfeK/U5n3ZfIAJN4R1+tY9aQZFn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iLY/BAAAA3AAAAA8AAAAAAAAAAAAAAAAAmAIAAGRycy9kb3du&#10;cmV2LnhtbFBLBQYAAAAABAAEAPUAAACGAwAAAAA=&#10;">
                <v:path/>
                <v:fill focussize="0,0"/>
                <v:stroke weight="0.5pt" joinstyle="miter"/>
                <v:imagedata o:title=""/>
                <o:lock v:ext="edit"/>
                <v:textbox>
                  <w:txbxContent>
                    <w:p>
                      <w:pPr>
                        <w:jc w:val="center"/>
                        <w:rPr>
                          <w:sz w:val="15"/>
                          <w:szCs w:val="15"/>
                        </w:rPr>
                      </w:pPr>
                      <w:r>
                        <w:rPr>
                          <w:sz w:val="15"/>
                          <w:szCs w:val="15"/>
                        </w:rPr>
                        <w:t>监测其他条件</w:t>
                      </w:r>
                    </w:p>
                  </w:txbxContent>
                </v:textbox>
              </v:shape>
              <v:rect id="矩形 13" o:spid="_x0000_s1064" o:spt="1" style="position:absolute;left:6247;top:3302;height:1881;width:2334;v-text-anchor:middle;" fill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5ncb8A&#10;AADcAAAADwAAAGRycy9kb3ducmV2LnhtbESPzQrCMBCE74LvEFbwpqkK/lSjqKB4Eqw+wNKsbbHZ&#10;lCZq9emNIHgcZuYbZrFqTCkeVLvCsoJBPwJBnFpdcKbgct71piCcR9ZYWiYFL3KwWrZbC4y1ffKJ&#10;HonPRICwi1FB7n0VS+nSnAy6vq2Ig3e1tUEfZJ1JXeMzwE0ph1E0lgYLDgs5VrTNKb0ld6PAHN+F&#10;Pt8ndPQHu5/ozcychlqpbqdZz0F4avw//GsftILxaATfM+EIyO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HmdxvwAAANwAAAAPAAAAAAAAAAAAAAAAAJgCAABkcnMvZG93bnJl&#10;di54bWxQSwUGAAAAAAQABAD1AAAAhAMAAAAA&#10;">
                <v:path/>
                <v:fill on="f" focussize="0,0"/>
                <v:stroke weight="0.5pt"/>
                <v:imagedata o:title=""/>
                <o:lock v:ext="edit"/>
              </v:rect>
            </v:group>
            <v:group id="Group 335" o:spid="_x0000_s1065" o:spt="203" style="position:absolute;left:1713;top:5027;height:3102;width:5667;" coordorigin="1713,5027" coordsize="5667,3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bh8YAAADcAAAADwAAAGRycy9kb3ducmV2LnhtbESPQWvCQBSE7wX/w/IK&#10;3ppNtA2SZhWRKh5CoSqU3h7ZZxLMvg3ZbRL/fbdQ6HGYmW+YfDOZVgzUu8aygiSKQRCXVjdcKbic&#10;908rEM4ja2wtk4I7OdisZw85ZtqO/EHDyVciQNhlqKD2vsukdGVNBl1kO+LgXW1v0AfZV1L3OAa4&#10;aeUijlNpsOGwUGNHu5rK2+nbKDiMOG6XydtQ3K67+9f55f2zSEip+eO0fQXhafL/4b/2UStIl8/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OZuHxgAAANwA&#10;AAAPAAAAAAAAAAAAAAAAAKoCAABkcnMvZG93bnJldi54bWxQSwUGAAAAAAQABAD6AAAAnQMAAAAA&#10;">
              <o:lock v:ext="edit"/>
              <v:line id="直接连接符 7" o:spid="_x0000_s1066" o:spt="20" style="position:absolute;left:3022;top:5611;height:416;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iknscAAADcAAAADwAAAGRycy9kb3ducmV2LnhtbESPT2vCQBTE74LfYXlCb7qx0iCpq4il&#10;oD2U+gfa4zP7mkSzb8PuNkm/fbcgeBxm5jfMYtWbWrTkfGVZwXSSgCDOra64UHA6vo7nIHxA1lhb&#10;JgW/5GG1HA4WmGnb8Z7aQyhEhLDPUEEZQpNJ6fOSDPqJbYij922dwRClK6R22EW4qeVjkqTSYMVx&#10;ocSGNiXl18OPUfA++0jb9e5t23/u0nP+sj9/XTqn1MOoXz+DCNSHe/jW3moF6ew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SKSexwAAANwAAAAPAAAAAAAA&#10;AAAAAAAAAKECAABkcnMvZG93bnJldi54bWxQSwUGAAAAAAQABAD5AAAAlQMAAAAA&#10;">
                <v:path arrowok="t"/>
                <v:fill focussize="0,0"/>
                <v:stroke/>
                <v:imagedata o:title=""/>
                <o:lock v:ext="edit"/>
              </v:line>
              <v:line id="直接连接符 8" o:spid="_x0000_s1067" o:spt="20" style="position:absolute;left:3022;top:6027;height:0;width:4358;"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o66cYAAADcAAAADwAAAGRycy9kb3ducmV2LnhtbESPQWsCMRSE74L/ITyhN81aIZTVKKIU&#10;tIdSbaEen5vX3a2blyVJd7f/vikUehxm5htmtRlsIzryoXasYT7LQBAXztRcanh7fZw+gAgR2WDj&#10;mDR8U4DNejxaYW5czyfqzrEUCcIhRw1VjG0uZSgqshhmriVO3ofzFmOSvpTGY5/gtpH3WaakxZrT&#10;QoUt7Soqbucvq+F58aK67fHpMLwf1bXYn66Xz95rfTcZtksQkYb4H/5rH4wGtVDweyYdAb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aOunGAAAA3AAAAA8AAAAAAAAA&#10;AAAAAAAAoQIAAGRycy9kb3ducmV2LnhtbFBLBQYAAAAABAAEAPkAAACUAwAAAAA=&#10;">
                <v:path arrowok="t"/>
                <v:fill focussize="0,0"/>
                <v:stroke/>
                <v:imagedata o:title=""/>
                <o:lock v:ext="edit"/>
              </v:line>
              <v:line id="直接连接符 9" o:spid="_x0000_s1068" o:spt="20" style="position:absolute;left:7380;top:5027;height:1000;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afcscAAADcAAAADwAAAGRycy9kb3ducmV2LnhtbESPT2vCQBTE74LfYXlCb7qxQiqpq4il&#10;oD2U+gfa4zP7mkSzb8PuNkm/fbcgeBxm5jfMYtWbWrTkfGVZwXSSgCDOra64UHA6vo7nIHxA1lhb&#10;JgW/5GG1HA4WmGnb8Z7aQyhEhLDPUEEZQpNJ6fOSDPqJbYij922dwRClK6R22EW4qeVjkqTSYMVx&#10;ocSGNiXl18OPUfA++0jb9e5t23/u0nP+sj9/XTqn1MOoXz+DCNSHe/jW3moF6ew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1p9yxwAAANwAAAAPAAAAAAAA&#10;AAAAAAAAAKECAABkcnMvZG93bnJldi54bWxQSwUGAAAAAAQABAD5AAAAlQMAAAAA&#10;">
                <v:path arrowok="t"/>
                <v:fill focussize="0,0"/>
                <v:stroke/>
                <v:imagedata o:title=""/>
                <o:lock v:ext="edit"/>
              </v:line>
              <v:shape id="AutoShape 298" o:spid="_x0000_s1069" o:spt="32" type="#_x0000_t32" style="position:absolute;left:5140;top:6027;height:623;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hYncEAAADcAAAADwAAAGRycy9kb3ducmV2LnhtbERPy4rCMBTdC/5DuMJsRFMrPqhGEWFm&#10;BFc6A24vzW1TbG5Kk6n1781iwOXhvLf73taio9ZXjhXMpgkI4tzpiksFvz+fkzUIH5A11o5JwZM8&#10;7HfDwRYz7R58oe4aShFD2GeowITQZFL63JBFP3UNceQK11oMEbal1C0+YritZZokS2mx4thgsKGj&#10;ofx+/bMKilTTbHy/me/VAovjeZ52Xf2l1MeoP2xABOrDW/zvPmkFy3lcG8/EIyB3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2FidwQAAANwAAAAPAAAAAAAAAAAAAAAA&#10;AKECAABkcnMvZG93bnJldi54bWxQSwUGAAAAAAQABAD5AAAAjwMAAAAA&#10;">
                <v:path arrowok="t"/>
                <v:fill on="f" focussize="0,0"/>
                <v:stroke weight="0.5pt" endarrow="open"/>
                <v:imagedata o:title=""/>
                <o:lock v:ext="edit"/>
              </v:shape>
              <v:shape id="文本框 17" o:spid="_x0000_s1070" o:spt="202" type="#_x0000_t202" style="position:absolute;left:3804;top:6650;height:428;width:2672;"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a//sEA&#10;AADcAAAADwAAAGRycy9kb3ducmV2LnhtbESPQYvCMBSE74L/ITzBm6ZaKFqNogsLsje1F2+P5tkW&#10;m5eSRFv//WZhweMwM98w2/1gWvEi5xvLChbzBARxaXXDlYLi+j1bgfABWWNrmRS8ycN+Nx5tMde2&#10;5zO9LqESEcI+RwV1CF0upS9rMujntiOO3t06gyFKV0ntsI9w08plkmTSYMNxocaOvmoqH5enUXDK&#10;juFGhf7R6TK1fSFLd2+9UtPJcNiACDSET/i/fdIKsnQNf2fiEZ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Gv/7BAAAA3AAAAA8AAAAAAAAAAAAAAAAAmAIAAGRycy9kb3du&#10;cmV2LnhtbFBLBQYAAAAABAAEAPUAAACGAwAAAAA=&#10;">
                <v:path/>
                <v:fill focussize="0,0"/>
                <v:stroke weight="0.5pt" joinstyle="miter"/>
                <v:imagedata o:title=""/>
                <o:lock v:ext="edit"/>
                <v:textbox>
                  <w:txbxContent>
                    <w:p>
                      <w:pPr>
                        <w:jc w:val="center"/>
                        <w:rPr>
                          <w:rFonts w:ascii="仿宋" w:hAnsi="仿宋" w:eastAsia="仿宋"/>
                          <w:szCs w:val="21"/>
                        </w:rPr>
                      </w:pPr>
                      <w:r>
                        <w:rPr>
                          <w:rFonts w:hint="eastAsia" w:ascii="宋体" w:hAnsi="宋体"/>
                          <w:sz w:val="15"/>
                          <w:szCs w:val="15"/>
                        </w:rPr>
                        <w:t>各监测内容综合分析</w:t>
                      </w:r>
                    </w:p>
                  </w:txbxContent>
                </v:textbox>
              </v:shape>
              <v:shape id="直接箭头连接符 18" o:spid="_x0000_s1071" o:spt="32" type="#_x0000_t32" style="position:absolute;left:5140;top:7078;height:623;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gn5sIAAADcAAAADwAAAGRycy9kb3ducmV2LnhtbERPy2rCQBTdF/yH4QpuSp0Y64PoKCLU&#10;FlyZFrq9ZG4ywcydkBlj+vedheDycN7b/WAb0VPna8cKZtMEBHHhdM2Vgp/vj7c1CB+QNTaOScEf&#10;edjvRi9bzLS784X6PFQihrDPUIEJoc2k9IUhi37qWuLIla6zGCLsKqk7vMdw28g0SZbSYs2xwWBL&#10;R0PFNb9ZBWWqafZ6/TWfqwWWx/M87fvmpNRkPBw2IAIN4Sl+uL+0guV7nB/PxCMg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gn5sIAAADcAAAADwAAAAAAAAAAAAAA&#10;AAChAgAAZHJzL2Rvd25yZXYueG1sUEsFBgAAAAAEAAQA+QAAAJADAAAAAA==&#10;">
                <v:path arrowok="t"/>
                <v:fill on="f" focussize="0,0"/>
                <v:stroke weight="0.5pt" endarrow="open"/>
                <v:imagedata o:title=""/>
                <o:lock v:ext="edit"/>
              </v:shape>
              <v:shape id="文本框 19" o:spid="_x0000_s1072" o:spt="202" type="#_x0000_t202" style="position:absolute;left:3400;top:7701;height:428;width:3494;"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bAhcIA&#10;AADcAAAADwAAAGRycy9kb3ducmV2LnhtbESPQWuDQBSE74X+h+UVemtWTZBiXSUNBEJvSb3k9nBf&#10;VOK+ld2t2n/fLRR6HGbmG6asVzOKmZwfLCtINwkI4tbqgTsFzefx5RWED8gaR8uk4Js81NXjQ4mF&#10;tgufab6ETkQI+wIV9CFMhZS+7cmg39iJOHo36wyGKF0ntcMlws0osyTJpcGB40KPEx16au+XL6Pg&#10;lL+HKzX6Q2+zrV0a2brb6JV6flr3byACreE//Nc+aQX5LoXfM/EIy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dsCFwgAAANwAAAAPAAAAAAAAAAAAAAAAAJgCAABkcnMvZG93&#10;bnJldi54bWxQSwUGAAAAAAQABAD1AAAAhwMAAAAA&#10;">
                <v:path/>
                <v:fill focussize="0,0"/>
                <v:stroke weight="0.5pt" joinstyle="miter"/>
                <v:imagedata o:title=""/>
                <o:lock v:ext="edit"/>
                <v:textbox>
                  <w:txbxContent>
                    <w:p>
                      <w:pPr>
                        <w:jc w:val="center"/>
                        <w:rPr>
                          <w:rFonts w:ascii="仿宋" w:hAnsi="仿宋" w:eastAsia="仿宋"/>
                          <w:szCs w:val="21"/>
                        </w:rPr>
                      </w:pPr>
                      <w:r>
                        <w:rPr>
                          <w:rFonts w:hint="eastAsia" w:ascii="宋体" w:hAnsi="宋体"/>
                          <w:sz w:val="15"/>
                          <w:szCs w:val="15"/>
                        </w:rPr>
                        <w:t>地质灾害点稳定性现状、变形发展趋势</w:t>
                      </w:r>
                    </w:p>
                  </w:txbxContent>
                </v:textbox>
              </v:shape>
              <v:shape id="文本框 17" o:spid="_x0000_s1073" o:spt="202" type="#_x0000_t202" style="position:absolute;left:1713;top:6650;height:428;width:1376;"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Re8sEA&#10;AADcAAAADwAAAGRycy9kb3ducmV2LnhtbESPQYvCMBSE74L/ITzBm6ZWKUs1ii4siDe1l709mmdb&#10;bF5KEm3992ZhweMwM98wm91gWvEk5xvLChbzBARxaXXDlYLi+jP7AuEDssbWMil4kYfddjzaYK5t&#10;z2d6XkIlIoR9jgrqELpcSl/WZNDPbUccvZt1BkOUrpLaYR/hppVpkmTSYMNxocaOvmsq75eHUXDM&#10;DuGXCn3Sy3Rp+0KW7tZ6paaTYb8GEWgIn/B/+6gVZKsU/s7EIyC3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XvLBAAAA3AAAAA8AAAAAAAAAAAAAAAAAmAIAAGRycy9kb3du&#10;cmV2LnhtbFBLBQYAAAAABAAEAPUAAACGAwAAAAA=&#10;">
                <v:path/>
                <v:fill focussize="0,0"/>
                <v:stroke weight="0.5pt" joinstyle="miter"/>
                <v:imagedata o:title=""/>
                <o:lock v:ext="edit"/>
                <v:textbox>
                  <w:txbxContent>
                    <w:p>
                      <w:pPr>
                        <w:jc w:val="center"/>
                        <w:rPr>
                          <w:rFonts w:ascii="仿宋" w:hAnsi="仿宋" w:eastAsia="仿宋"/>
                          <w:szCs w:val="21"/>
                        </w:rPr>
                      </w:pPr>
                      <w:r>
                        <w:rPr>
                          <w:rFonts w:hint="eastAsia" w:ascii="宋体" w:hAnsi="宋体"/>
                          <w:sz w:val="15"/>
                          <w:szCs w:val="15"/>
                        </w:rPr>
                        <w:t>宏观地质巡查</w:t>
                      </w:r>
                    </w:p>
                  </w:txbxContent>
                </v:textbox>
              </v:shape>
              <v:shape id="直接箭头连接符 18" o:spid="_x0000_s1074" o:spt="32" type="#_x0000_t32" style="position:absolute;left:3089;top:6890;height:0;width:715;"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q5kcQAAADcAAAADwAAAGRycy9kb3ducmV2LnhtbESPQWvCQBSE74X+h+UJvRTdGFuV6CpF&#10;UAueqoLXR/YlG8y+DdltjP/eFQo9DjPzDbNc97YWHbW+cqxgPEpAEOdOV1wqOJ+2wzkIH5A11o5J&#10;wZ08rFevL0vMtLvxD3XHUIoIYZ+hAhNCk0npc0MW/cg1xNErXGsxRNmWUrd4i3BbyzRJptJixXHB&#10;YEMbQ/n1+GsVFKmm8fv1YvazTyw2h0nadfVOqbdB/7UAEagP/+G/9rdWMP2YwPNMPAJy9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ermRxAAAANwAAAAPAAAAAAAAAAAA&#10;AAAAAKECAABkcnMvZG93bnJldi54bWxQSwUGAAAAAAQABAD5AAAAkgMAAAAA&#10;">
                <v:path arrowok="t"/>
                <v:fill on="f" focussize="0,0"/>
                <v:stroke weight="0.5pt" endarrow="open"/>
                <v:imagedata o:title=""/>
                <o:lock v:ext="edit"/>
              </v:shape>
            </v:group>
            <v:group id="Group 334" o:spid="_x0000_s1075" o:spt="203" style="position:absolute;left:6476;top:6131;height:1466;width:3738;" coordorigin="6476,6131" coordsize="3738,1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o+sYAAADcAAAADwAAAGRycy9kb3ducmV2LnhtbESPT2vCQBTE7wW/w/IK&#10;3uommoqkriJSpQcpNBFKb4/sMwlm34bsNn++fbdQ6HGYmd8w2/1oGtFT52rLCuJFBIK4sLrmUsE1&#10;Pz1tQDiPrLGxTAomcrDfzR62mGo78Af1mS9FgLBLUUHlfZtK6YqKDLqFbYmDd7OdQR9kV0rd4RDg&#10;ppHLKFpLgzWHhQpbOlZU3LNvo+A84HBYxa/95X47Tl/58/vnJSal5o/j4QWEp9H/h//ab1rBOkn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P+j6xgAAANwA&#10;AAAPAAAAAAAAAAAAAAAAAKoCAABkcnMvZG93bnJldi54bWxQSwUGAAAAAAQABAD6AAAAnQMAAAAA&#10;">
              <o:lock v:ext="edit"/>
              <v:line id="Line 305" o:spid="_x0000_s1076" o:spt="20" style="position:absolute;left:6894;top:6390;height:960;width:0;"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7X48cAAADcAAAADwAAAGRycy9kb3ducmV2LnhtbESPQWvCQBSE74L/YXlCb7ppq6GkriIt&#10;Be1B1Bba4zP7mkSzb8PumqT/3hUKPQ4z8w0zX/amFi05X1lWcD9JQBDnVldcKPj8eBs/gfABWWNt&#10;mRT8koflYjiYY6Ztx3tqD6EQEcI+QwVlCE0mpc9LMugntiGO3o91BkOUrpDaYRfhppYPSZJKgxXH&#10;hRIbeikpPx8uRsH2cZe2q837uv/apMf8dX/8PnVOqbtRv3oGEagP/+G/9lorSKcz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TtfjxwAAANwAAAAPAAAAAAAA&#10;AAAAAAAAAKECAABkcnMvZG93bnJldi54bWxQSwUGAAAAAAQABAD5AAAAlQMAAAAA&#10;">
                <v:path arrowok="t"/>
                <v:fill focussize="0,0"/>
                <v:stroke/>
                <v:imagedata o:title=""/>
                <o:lock v:ext="edit"/>
              </v:line>
              <v:line id="Line 306" o:spid="_x0000_s1077" o:spt="20" style="position:absolute;left:6476;top:6870;height:0;width:607;"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xJlMcAAADcAAAADwAAAGRycy9kb3ducmV2LnhtbESPT2sCMRTE74V+h/AKvdVs/xDKahRp&#10;KagHUVuox+fmdXfbzcuSxN3ttzeC4HGYmd8wk9lgG9GRD7VjDY+jDARx4UzNpYavz4+HVxAhIhts&#10;HJOGfwowm97eTDA3ructdbtYigThkKOGKsY2lzIUFVkMI9cSJ+/HeYsxSV9K47FPcNvIpyxT0mLN&#10;aaHClt4qKv52R6th/bxR3Xy5WgzfS3Uo3reH/W/vtb6/G+ZjEJGGeA1f2gujQb0oOJ9JR0BOT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nEmUxwAAANwAAAAPAAAAAAAA&#10;AAAAAAAAAKECAABkcnMvZG93bnJldi54bWxQSwUGAAAAAAQABAD5AAAAlQMAAAAA&#10;">
                <v:path arrowok="t"/>
                <v:fill focussize="0,0"/>
                <v:stroke/>
                <v:imagedata o:title=""/>
                <o:lock v:ext="edit"/>
              </v:line>
              <v:line id="直接连接符 23" o:spid="_x0000_s1078" o:spt="20" style="position:absolute;left:6894;top:6377;height:0;width:405;"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DsD8cAAADcAAAADwAAAGRycy9kb3ducmV2LnhtbESPQWvCQBSE74L/YXlCb7ppK2lJXUVa&#10;CtqDqC20x2f2NYlm34bdNUn/vSsIPQ4z8w0zW/SmFi05X1lWcD9JQBDnVldcKPj6fB8/g/ABWWNt&#10;mRT8kYfFfDiYYaZtxztq96EQEcI+QwVlCE0mpc9LMugntiGO3q91BkOUrpDaYRfhppYPSZJKgxXH&#10;hRIbei0pP+3PRsHmcZu2y/XHqv9ep4f8bXf4OXZOqbtRv3wBEagP/+Fbe6UVpNM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0OwPxwAAANwAAAAPAAAAAAAA&#10;AAAAAAAAAKECAABkcnMvZG93bnJldi54bWxQSwUGAAAAAAQABAD5AAAAlQMAAAAA&#10;">
                <v:path arrowok="t"/>
                <v:fill focussize="0,0"/>
                <v:stroke/>
                <v:imagedata o:title=""/>
                <o:lock v:ext="edit"/>
              </v:line>
              <v:line id="直接连接符 24" o:spid="_x0000_s1079" o:spt="20" style="position:absolute;left:6894;top:6870;height:0;width:378;"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94fcQAAADcAAAADwAAAGRycy9kb3ducmV2LnhtbERPy2rCQBTdF/yH4Qru6sRagkRHkZaC&#10;dlHqA3R5zVyTaOZOmJkm6d93FgWXh/NerHpTi5acrywrmIwTEMS51RUXCo6Hj+cZCB+QNdaWScEv&#10;eVgtB08LzLTteEftPhQihrDPUEEZQpNJ6fOSDPqxbYgjd7XOYIjQFVI77GK4qeVLkqTSYMWxocSG&#10;3krK7/sfo+Br+p226+3npj9t00v+vrucb51TajTs13MQgfrwEP+7N1pB+hrXxj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3h9xAAAANwAAAAPAAAAAAAAAAAA&#10;AAAAAKECAABkcnMvZG93bnJldi54bWxQSwUGAAAAAAQABAD5AAAAkgMAAAAA&#10;">
                <v:path arrowok="t"/>
                <v:fill focussize="0,0"/>
                <v:stroke/>
                <v:imagedata o:title=""/>
                <o:lock v:ext="edit"/>
              </v:line>
              <v:line id="直接连接符 25" o:spid="_x0000_s1080" o:spt="20" style="position:absolute;left:6894;top:7350;height:0;width:378;" o:connectortype="straigh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Pd5scAAADcAAAADwAAAGRycy9kb3ducmV2LnhtbESPQWvCQBSE74L/YXlCb7ppK6FNXUVa&#10;CtqDqC20x2f2NYlm34bdNUn/vSsIPQ4z8w0zW/SmFi05X1lWcD9JQBDnVldcKPj6fB8/gfABWWNt&#10;mRT8kYfFfDiYYaZtxztq96EQEcI+QwVlCE0mpc9LMugntiGO3q91BkOUrpDaYRfhppYPSZJKgxXH&#10;hRIbei0pP+3PRsHmcZu2y/XHqv9ep4f8bXf4OXZOqbtRv3wBEagP/+Fbe6UVpNN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A93mxwAAANwAAAAPAAAAAAAA&#10;AAAAAAAAAKECAABkcnMvZG93bnJldi54bWxQSwUGAAAAAAQABAD5AAAAlQMAAAAA&#10;">
                <v:path arrowok="t"/>
                <v:fill focussize="0,0"/>
                <v:stroke/>
                <v:imagedata o:title=""/>
                <o:lock v:ext="edit"/>
              </v:line>
              <v:shape id="文本框 26" o:spid="_x0000_s1081" o:spt="202" type="#_x0000_t202" style="position:absolute;left:7299;top:6131;height:428;width:2915;"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Pzw74A&#10;AADcAAAADwAAAGRycy9kb3ducmV2LnhtbERPTYvCMBC9C/6HMMLebKpikWqUVRDEm9qLt6EZ27LN&#10;pCTR1n+/OQgeH+97sxtMK17kfGNZwSxJQRCXVjdcKShux+kKhA/IGlvLpOBNHnbb8WiDubY9X+h1&#10;DZWIIexzVFCH0OVS+rImgz6xHXHkHtYZDBG6SmqHfQw3rZynaSYNNhwbauzoUFP5d30aBadsH+5U&#10;6LNezBe2L2TpHq1X6mcy/K5BBBrCV/xxn7SCbBnnxzPxCMjt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Xj88O+AAAA3AAAAA8AAAAAAAAAAAAAAAAAmAIAAGRycy9kb3ducmV2&#10;LnhtbFBLBQYAAAAABAAEAPUAAACDAwAAAAA=&#10;">
                <v:path/>
                <v:fill focussize="0,0"/>
                <v:stroke weight="0.5pt" joinstyle="miter"/>
                <v:imagedata o:title=""/>
                <o:lock v:ext="edit"/>
                <v:textbox>
                  <w:txbxContent>
                    <w:p>
                      <w:pPr>
                        <w:ind w:firstLine="375" w:firstLineChars="250"/>
                        <w:rPr>
                          <w:rFonts w:ascii="宋体" w:hAnsi="宋体"/>
                          <w:sz w:val="15"/>
                          <w:szCs w:val="15"/>
                        </w:rPr>
                      </w:pPr>
                      <w:r>
                        <w:rPr>
                          <w:rFonts w:hint="eastAsia" w:ascii="宋体" w:hAnsi="宋体"/>
                          <w:sz w:val="15"/>
                          <w:szCs w:val="15"/>
                        </w:rPr>
                        <w:t>单点不同监测内容联合分析</w:t>
                      </w:r>
                    </w:p>
                  </w:txbxContent>
                </v:textbox>
              </v:shape>
              <v:shape id="文本框 27" o:spid="_x0000_s1082" o:spt="202" type="#_x0000_t202" style="position:absolute;left:7272;top:6650;height:428;width:2942;"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9WWMIA&#10;AADcAAAADwAAAGRycy9kb3ducmV2LnhtbESPQWuDQBSE74X+h+UVemtWDZFiXSUNBEJvSb3k9nBf&#10;VOK+ld2t2n/fLRR6HGbmG6asVzOKmZwfLCtINwkI4tbqgTsFzefx5RWED8gaR8uk4Js81NXjQ4mF&#10;tgufab6ETkQI+wIV9CFMhZS+7cmg39iJOHo36wyGKF0ntcMlws0osyTJpcGB40KPEx16au+XL6Pg&#10;lL+HKzX6Q2+zrV0a2brb6JV6flr3byACreE//Nc+aQX5LoXfM/EIy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r1ZYwgAAANwAAAAPAAAAAAAAAAAAAAAAAJgCAABkcnMvZG93&#10;bnJldi54bWxQSwUGAAAAAAQABAD1AAAAhwMAAAAA&#10;">
                <v:path/>
                <v:fill focussize="0,0"/>
                <v:stroke weight="0.5pt" joinstyle="miter"/>
                <v:imagedata o:title=""/>
                <o:lock v:ext="edit"/>
                <v:textbox>
                  <w:txbxContent>
                    <w:p>
                      <w:pPr>
                        <w:ind w:firstLine="225" w:firstLineChars="150"/>
                        <w:rPr>
                          <w:rFonts w:ascii="宋体" w:hAnsi="宋体"/>
                          <w:sz w:val="15"/>
                          <w:szCs w:val="15"/>
                        </w:rPr>
                      </w:pPr>
                      <w:r>
                        <w:rPr>
                          <w:rFonts w:hint="eastAsia" w:ascii="宋体" w:hAnsi="宋体"/>
                          <w:sz w:val="15"/>
                          <w:szCs w:val="15"/>
                        </w:rPr>
                        <w:t>监测剖面同类监测内容联合分析</w:t>
                      </w:r>
                    </w:p>
                  </w:txbxContent>
                </v:textbox>
              </v:shape>
              <v:shape id="Text Box 312" o:spid="_x0000_s1083" o:spt="202" type="#_x0000_t202" style="position:absolute;left:7272;top:7169;height:428;width:2942;"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IL8EA&#10;AADcAAAADwAAAGRycy9kb3ducmV2LnhtbESPQYvCMBSE74L/ITzBm6ZWLEs1ii4siDe1l709mmdb&#10;bF5KEm3992ZhweMwM98wm91gWvEk5xvLChbzBARxaXXDlYLi+jP7AuEDssbWMil4kYfddjzaYK5t&#10;z2d6XkIlIoR9jgrqELpcSl/WZNDPbUccvZt1BkOUrpLaYR/hppVpkmTSYMNxocaOvmsq75eHUXDM&#10;DuGXCn3Sy3Rp+0KW7tZ6paaTYb8GEWgIn/B/+6gVZKsU/s7EIyC3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9yC/BAAAA3AAAAA8AAAAAAAAAAAAAAAAAmAIAAGRycy9kb3du&#10;cmV2LnhtbFBLBQYAAAAABAAEAPUAAACGAwAAAAA=&#10;">
                <v:path/>
                <v:fill focussize="0,0"/>
                <v:stroke weight="0.5pt" joinstyle="miter"/>
                <v:imagedata o:title=""/>
                <o:lock v:ext="edit"/>
                <v:textbox>
                  <w:txbxContent>
                    <w:p>
                      <w:pPr>
                        <w:ind w:firstLine="225" w:firstLineChars="150"/>
                        <w:rPr>
                          <w:rFonts w:ascii="宋体" w:hAnsi="宋体"/>
                          <w:sz w:val="15"/>
                          <w:szCs w:val="15"/>
                        </w:rPr>
                      </w:pPr>
                      <w:r>
                        <w:rPr>
                          <w:rFonts w:hint="eastAsia" w:ascii="宋体" w:hAnsi="宋体"/>
                          <w:sz w:val="15"/>
                          <w:szCs w:val="15"/>
                        </w:rPr>
                        <w:t>监测剖面不同监测内容联合分析</w:t>
                      </w:r>
                    </w:p>
                  </w:txbxContent>
                </v:textbox>
              </v:shape>
            </v:group>
          </v:group>
        </w:pict>
      </w:r>
    </w:p>
    <w:p>
      <w:pPr>
        <w:tabs>
          <w:tab w:val="center" w:pos="4201"/>
          <w:tab w:val="right" w:leader="dot" w:pos="9298"/>
        </w:tabs>
        <w:autoSpaceDE w:val="0"/>
        <w:autoSpaceDN w:val="0"/>
        <w:ind w:firstLine="560" w:firstLineChars="200"/>
        <w:rPr>
          <w:rFonts w:ascii="Times New Roman" w:hAnsi="Times New Roman" w:eastAsia="仿宋"/>
          <w:kern w:val="0"/>
          <w:sz w:val="28"/>
          <w:szCs w:val="28"/>
        </w:rPr>
      </w:pPr>
    </w:p>
    <w:p>
      <w:pPr>
        <w:tabs>
          <w:tab w:val="center" w:pos="4201"/>
          <w:tab w:val="right" w:leader="dot" w:pos="9298"/>
        </w:tabs>
        <w:autoSpaceDE w:val="0"/>
        <w:autoSpaceDN w:val="0"/>
        <w:ind w:firstLine="560" w:firstLineChars="200"/>
        <w:rPr>
          <w:rFonts w:ascii="Times New Roman" w:hAnsi="Times New Roman" w:eastAsia="仿宋"/>
          <w:kern w:val="0"/>
          <w:sz w:val="28"/>
          <w:szCs w:val="28"/>
        </w:rPr>
      </w:pPr>
    </w:p>
    <w:p>
      <w:pPr>
        <w:tabs>
          <w:tab w:val="center" w:pos="4201"/>
          <w:tab w:val="right" w:leader="dot" w:pos="9298"/>
        </w:tabs>
        <w:autoSpaceDE w:val="0"/>
        <w:autoSpaceDN w:val="0"/>
        <w:ind w:firstLine="560" w:firstLineChars="200"/>
        <w:rPr>
          <w:rFonts w:ascii="Times New Roman" w:hAnsi="Times New Roman" w:eastAsia="仿宋"/>
          <w:kern w:val="0"/>
          <w:sz w:val="28"/>
          <w:szCs w:val="28"/>
        </w:rPr>
      </w:pPr>
    </w:p>
    <w:p>
      <w:pPr>
        <w:tabs>
          <w:tab w:val="center" w:pos="4201"/>
          <w:tab w:val="right" w:leader="dot" w:pos="9298"/>
        </w:tabs>
        <w:autoSpaceDE w:val="0"/>
        <w:autoSpaceDN w:val="0"/>
        <w:ind w:firstLine="560" w:firstLineChars="200"/>
        <w:rPr>
          <w:rFonts w:ascii="Times New Roman" w:hAnsi="Times New Roman" w:eastAsia="仿宋"/>
          <w:kern w:val="0"/>
          <w:sz w:val="28"/>
          <w:szCs w:val="28"/>
        </w:rPr>
      </w:pPr>
    </w:p>
    <w:p>
      <w:pPr>
        <w:tabs>
          <w:tab w:val="center" w:pos="4201"/>
          <w:tab w:val="right" w:leader="dot" w:pos="9298"/>
        </w:tabs>
        <w:autoSpaceDE w:val="0"/>
        <w:autoSpaceDN w:val="0"/>
        <w:ind w:firstLine="560" w:firstLineChars="200"/>
        <w:rPr>
          <w:rFonts w:ascii="Times New Roman" w:hAnsi="Times New Roman" w:eastAsia="仿宋"/>
          <w:kern w:val="0"/>
          <w:sz w:val="28"/>
          <w:szCs w:val="28"/>
        </w:rPr>
      </w:pPr>
    </w:p>
    <w:p>
      <w:pPr>
        <w:tabs>
          <w:tab w:val="center" w:pos="4201"/>
          <w:tab w:val="right" w:leader="dot" w:pos="9298"/>
        </w:tabs>
        <w:autoSpaceDE w:val="0"/>
        <w:autoSpaceDN w:val="0"/>
        <w:ind w:firstLine="560" w:firstLineChars="200"/>
        <w:rPr>
          <w:rFonts w:ascii="Times New Roman" w:hAnsi="Times New Roman" w:eastAsia="仿宋"/>
          <w:kern w:val="0"/>
          <w:sz w:val="28"/>
          <w:szCs w:val="28"/>
        </w:rPr>
      </w:pPr>
    </w:p>
    <w:p>
      <w:pPr>
        <w:tabs>
          <w:tab w:val="center" w:pos="4201"/>
          <w:tab w:val="right" w:leader="dot" w:pos="9298"/>
        </w:tabs>
        <w:autoSpaceDE w:val="0"/>
        <w:autoSpaceDN w:val="0"/>
        <w:ind w:firstLine="560" w:firstLineChars="200"/>
        <w:rPr>
          <w:rFonts w:ascii="Times New Roman" w:hAnsi="Times New Roman" w:eastAsia="仿宋"/>
          <w:kern w:val="0"/>
          <w:sz w:val="28"/>
          <w:szCs w:val="28"/>
        </w:rPr>
      </w:pPr>
    </w:p>
    <w:p>
      <w:pPr>
        <w:tabs>
          <w:tab w:val="center" w:pos="4201"/>
          <w:tab w:val="right" w:leader="dot" w:pos="9298"/>
        </w:tabs>
        <w:autoSpaceDE w:val="0"/>
        <w:autoSpaceDN w:val="0"/>
        <w:rPr>
          <w:rFonts w:ascii="宋体" w:hAnsi="Times New Roman"/>
          <w:b/>
          <w:kern w:val="0"/>
          <w:sz w:val="24"/>
          <w:szCs w:val="20"/>
        </w:rPr>
      </w:pPr>
    </w:p>
    <w:p>
      <w:pPr>
        <w:tabs>
          <w:tab w:val="center" w:pos="4201"/>
          <w:tab w:val="right" w:leader="dot" w:pos="9298"/>
        </w:tabs>
        <w:autoSpaceDE w:val="0"/>
        <w:autoSpaceDN w:val="0"/>
        <w:rPr>
          <w:rFonts w:ascii="宋体" w:hAnsi="Times New Roman"/>
          <w:b/>
          <w:kern w:val="0"/>
          <w:sz w:val="24"/>
          <w:szCs w:val="20"/>
        </w:rPr>
      </w:pPr>
    </w:p>
    <w:p>
      <w:pPr>
        <w:tabs>
          <w:tab w:val="center" w:pos="4201"/>
          <w:tab w:val="right" w:leader="dot" w:pos="9298"/>
        </w:tabs>
        <w:autoSpaceDE w:val="0"/>
        <w:autoSpaceDN w:val="0"/>
        <w:rPr>
          <w:rFonts w:ascii="宋体" w:hAnsi="Times New Roman"/>
          <w:b/>
          <w:kern w:val="0"/>
          <w:sz w:val="24"/>
          <w:szCs w:val="20"/>
        </w:rPr>
      </w:pPr>
    </w:p>
    <w:p>
      <w:pPr>
        <w:tabs>
          <w:tab w:val="center" w:pos="4201"/>
          <w:tab w:val="right" w:leader="dot" w:pos="9298"/>
        </w:tabs>
        <w:autoSpaceDE w:val="0"/>
        <w:autoSpaceDN w:val="0"/>
        <w:rPr>
          <w:rFonts w:ascii="宋体" w:hAnsi="Times New Roman"/>
          <w:b/>
          <w:kern w:val="0"/>
          <w:sz w:val="24"/>
          <w:szCs w:val="20"/>
        </w:rPr>
      </w:pPr>
    </w:p>
    <w:p>
      <w:pPr>
        <w:tabs>
          <w:tab w:val="center" w:pos="4201"/>
          <w:tab w:val="right" w:leader="dot" w:pos="9298"/>
        </w:tabs>
        <w:autoSpaceDE w:val="0"/>
        <w:autoSpaceDN w:val="0"/>
        <w:rPr>
          <w:rFonts w:ascii="宋体" w:hAnsi="Times New Roman"/>
          <w:b/>
          <w:kern w:val="0"/>
          <w:sz w:val="24"/>
          <w:szCs w:val="20"/>
        </w:rPr>
      </w:pPr>
    </w:p>
    <w:p>
      <w:pPr>
        <w:tabs>
          <w:tab w:val="center" w:pos="4201"/>
          <w:tab w:val="right" w:leader="dot" w:pos="9298"/>
        </w:tabs>
        <w:autoSpaceDE w:val="0"/>
        <w:autoSpaceDN w:val="0"/>
        <w:rPr>
          <w:rFonts w:ascii="宋体" w:hAnsi="Times New Roman"/>
          <w:b/>
          <w:kern w:val="0"/>
          <w:sz w:val="24"/>
          <w:szCs w:val="20"/>
        </w:rPr>
      </w:pPr>
    </w:p>
    <w:p>
      <w:pPr>
        <w:tabs>
          <w:tab w:val="center" w:pos="4201"/>
          <w:tab w:val="right" w:leader="dot" w:pos="9298"/>
        </w:tabs>
        <w:autoSpaceDE w:val="0"/>
        <w:autoSpaceDN w:val="0"/>
        <w:rPr>
          <w:rFonts w:ascii="宋体" w:hAnsi="Times New Roman"/>
          <w:b/>
          <w:kern w:val="0"/>
          <w:sz w:val="24"/>
          <w:szCs w:val="20"/>
        </w:rPr>
      </w:pPr>
    </w:p>
    <w:p>
      <w:pPr>
        <w:tabs>
          <w:tab w:val="center" w:pos="4201"/>
          <w:tab w:val="right" w:leader="dot" w:pos="9298"/>
        </w:tabs>
        <w:autoSpaceDE w:val="0"/>
        <w:autoSpaceDN w:val="0"/>
        <w:rPr>
          <w:rFonts w:ascii="宋体" w:hAnsi="Times New Roman"/>
          <w:b/>
          <w:kern w:val="0"/>
          <w:sz w:val="24"/>
          <w:szCs w:val="20"/>
        </w:rPr>
      </w:pPr>
    </w:p>
    <w:p>
      <w:pPr>
        <w:tabs>
          <w:tab w:val="center" w:pos="4201"/>
          <w:tab w:val="right" w:leader="dot" w:pos="9298"/>
        </w:tabs>
        <w:autoSpaceDE w:val="0"/>
        <w:autoSpaceDN w:val="0"/>
        <w:rPr>
          <w:rFonts w:ascii="宋体" w:hAnsi="Times New Roman"/>
          <w:b/>
          <w:kern w:val="0"/>
          <w:sz w:val="24"/>
          <w:szCs w:val="20"/>
        </w:rPr>
      </w:pPr>
    </w:p>
    <w:p>
      <w:pPr>
        <w:widowControl/>
        <w:tabs>
          <w:tab w:val="left" w:pos="360"/>
        </w:tabs>
        <w:spacing w:before="120" w:beforeLines="50" w:after="120" w:afterLines="50"/>
        <w:contextualSpacing/>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 xml:space="preserve">2  </w:t>
      </w:r>
      <w:r>
        <w:rPr>
          <w:rFonts w:ascii="黑体" w:hAnsi="黑体" w:eastAsia="黑体"/>
          <w:kern w:val="0"/>
          <w:szCs w:val="21"/>
        </w:rPr>
        <w:t>监测</w:t>
      </w:r>
      <w:r>
        <w:rPr>
          <w:rFonts w:hint="eastAsia" w:ascii="黑体" w:hAnsi="黑体" w:eastAsia="黑体"/>
          <w:kern w:val="0"/>
          <w:szCs w:val="21"/>
        </w:rPr>
        <w:t>数据整理与分析</w:t>
      </w:r>
      <w:r>
        <w:rPr>
          <w:rFonts w:ascii="黑体" w:hAnsi="黑体" w:eastAsia="黑体"/>
          <w:kern w:val="0"/>
          <w:szCs w:val="21"/>
        </w:rPr>
        <w:t>流程</w:t>
      </w:r>
      <w:r>
        <w:rPr>
          <w:rFonts w:hint="eastAsia" w:ascii="黑体" w:hAnsi="黑体" w:eastAsia="黑体"/>
          <w:kern w:val="0"/>
          <w:szCs w:val="21"/>
        </w:rPr>
        <w:t>图</w:t>
      </w:r>
    </w:p>
    <w:p>
      <w:pPr>
        <w:widowControl/>
        <w:tabs>
          <w:tab w:val="left" w:pos="360"/>
        </w:tabs>
        <w:jc w:val="center"/>
        <w:rPr>
          <w:rFonts w:ascii="黑体" w:hAnsi="黑体" w:eastAsia="黑体"/>
          <w:kern w:val="0"/>
          <w:szCs w:val="21"/>
        </w:rPr>
      </w:pP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9</w:t>
      </w:r>
      <w:r>
        <w:rPr>
          <w:rFonts w:ascii="黑体" w:hAnsi="黑体" w:eastAsia="黑体"/>
          <w:kern w:val="0"/>
          <w:szCs w:val="21"/>
        </w:rPr>
        <w:t>.1.</w:t>
      </w:r>
      <w:r>
        <w:rPr>
          <w:rFonts w:hint="eastAsia" w:ascii="黑体" w:hAnsi="黑体" w:eastAsia="黑体"/>
          <w:kern w:val="0"/>
          <w:szCs w:val="21"/>
        </w:rPr>
        <w:t>4</w:t>
      </w:r>
      <w:r>
        <w:rPr>
          <w:rFonts w:hint="eastAsia" w:ascii="宋体" w:hAnsi="宋体"/>
          <w:kern w:val="0"/>
          <w:szCs w:val="21"/>
        </w:rPr>
        <w:t xml:space="preserve">  综合分析过程中，对监测数据曲线可以采用一些数学手段，如平滑滤波、去噪、等间隔化处理等，消除外界因素干扰成分，突出灾害体发展演化的宏观趋势和总体规律。</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9</w:t>
      </w:r>
      <w:r>
        <w:rPr>
          <w:rFonts w:ascii="黑体" w:hAnsi="黑体" w:eastAsia="黑体"/>
          <w:kern w:val="0"/>
          <w:szCs w:val="21"/>
        </w:rPr>
        <w:t>.1.</w:t>
      </w:r>
      <w:r>
        <w:rPr>
          <w:rFonts w:hint="eastAsia" w:ascii="黑体" w:hAnsi="黑体" w:eastAsia="黑体"/>
          <w:kern w:val="0"/>
          <w:szCs w:val="21"/>
        </w:rPr>
        <w:t>5</w:t>
      </w:r>
      <w:r>
        <w:rPr>
          <w:rFonts w:hint="eastAsia" w:ascii="宋体" w:hAnsi="宋体"/>
          <w:kern w:val="0"/>
          <w:szCs w:val="21"/>
        </w:rPr>
        <w:t xml:space="preserve">  基于监测数据分析的预测模型经验算后方可采用，预测模型外推数据不得大于</w:t>
      </w:r>
      <w:r>
        <w:rPr>
          <w:rFonts w:ascii="Times New Roman" w:hAnsi="Times New Roman"/>
          <w:kern w:val="0"/>
          <w:szCs w:val="21"/>
        </w:rPr>
        <w:t>2</w:t>
      </w:r>
      <w:r>
        <w:rPr>
          <w:rFonts w:hint="eastAsia" w:ascii="宋体" w:hAnsi="宋体"/>
          <w:kern w:val="0"/>
          <w:szCs w:val="21"/>
        </w:rPr>
        <w:t>期。</w:t>
      </w:r>
    </w:p>
    <w:p>
      <w:pPr>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9</w:t>
      </w:r>
      <w:r>
        <w:rPr>
          <w:rFonts w:ascii="黑体" w:hAnsi="黑体" w:eastAsia="黑体"/>
          <w:kern w:val="0"/>
          <w:szCs w:val="21"/>
        </w:rPr>
        <w:t>.1.</w:t>
      </w:r>
      <w:r>
        <w:rPr>
          <w:rFonts w:hint="eastAsia" w:ascii="黑体" w:hAnsi="黑体" w:eastAsia="黑体"/>
          <w:kern w:val="0"/>
          <w:szCs w:val="21"/>
        </w:rPr>
        <w:t>6</w:t>
      </w:r>
      <w:r>
        <w:rPr>
          <w:rFonts w:hint="eastAsia" w:ascii="宋体" w:hAnsi="宋体"/>
          <w:kern w:val="0"/>
          <w:szCs w:val="21"/>
        </w:rPr>
        <w:t xml:space="preserve">  </w:t>
      </w:r>
      <w:r>
        <w:rPr>
          <w:rFonts w:ascii="宋体" w:hAnsi="宋体"/>
          <w:kern w:val="0"/>
          <w:szCs w:val="21"/>
        </w:rPr>
        <w:t>监测单位</w:t>
      </w:r>
      <w:r>
        <w:rPr>
          <w:rFonts w:hint="eastAsia" w:ascii="宋体" w:hAnsi="宋体"/>
          <w:kern w:val="0"/>
          <w:szCs w:val="21"/>
        </w:rPr>
        <w:t>应</w:t>
      </w:r>
      <w:r>
        <w:rPr>
          <w:rFonts w:ascii="宋体" w:hAnsi="宋体"/>
          <w:kern w:val="0"/>
          <w:szCs w:val="21"/>
        </w:rPr>
        <w:t>将监测数据及时汇总，经资料整理</w:t>
      </w:r>
      <w:r>
        <w:rPr>
          <w:rFonts w:hint="eastAsia" w:ascii="宋体" w:hAnsi="宋体"/>
          <w:kern w:val="0"/>
          <w:szCs w:val="21"/>
        </w:rPr>
        <w:t>与</w:t>
      </w:r>
      <w:r>
        <w:rPr>
          <w:rFonts w:ascii="宋体" w:hAnsi="宋体"/>
          <w:kern w:val="0"/>
          <w:szCs w:val="21"/>
        </w:rPr>
        <w:t>分析后，报表中应含明确、可靠的结论，</w:t>
      </w:r>
      <w:r>
        <w:rPr>
          <w:rFonts w:hint="eastAsia" w:ascii="宋体" w:hAnsi="宋体"/>
          <w:kern w:val="0"/>
          <w:szCs w:val="21"/>
        </w:rPr>
        <w:t>为</w:t>
      </w:r>
      <w:r>
        <w:rPr>
          <w:rFonts w:ascii="宋体" w:hAnsi="宋体"/>
          <w:kern w:val="0"/>
          <w:szCs w:val="21"/>
        </w:rPr>
        <w:t>主管</w:t>
      </w:r>
      <w:r>
        <w:rPr>
          <w:rFonts w:hint="eastAsia" w:ascii="宋体" w:hAnsi="宋体"/>
          <w:kern w:val="0"/>
          <w:szCs w:val="21"/>
        </w:rPr>
        <w:t>部门或</w:t>
      </w:r>
      <w:r>
        <w:rPr>
          <w:rFonts w:ascii="宋体" w:hAnsi="宋体"/>
          <w:kern w:val="0"/>
          <w:szCs w:val="21"/>
        </w:rPr>
        <w:t>建设单位</w:t>
      </w:r>
      <w:r>
        <w:rPr>
          <w:rFonts w:hint="eastAsia" w:ascii="宋体" w:hAnsi="宋体"/>
          <w:kern w:val="0"/>
          <w:szCs w:val="21"/>
        </w:rPr>
        <w:t>防灾、</w:t>
      </w:r>
      <w:r>
        <w:rPr>
          <w:rFonts w:ascii="宋体" w:hAnsi="宋体"/>
          <w:kern w:val="0"/>
          <w:szCs w:val="21"/>
        </w:rPr>
        <w:t>预警</w:t>
      </w:r>
      <w:r>
        <w:rPr>
          <w:rFonts w:hint="eastAsia" w:ascii="宋体" w:hAnsi="宋体"/>
          <w:kern w:val="0"/>
          <w:szCs w:val="21"/>
        </w:rPr>
        <w:t>决策提供技术支撑</w:t>
      </w:r>
      <w:r>
        <w:rPr>
          <w:rFonts w:ascii="宋体" w:hAnsi="宋体"/>
          <w:kern w:val="0"/>
          <w:szCs w:val="21"/>
        </w:rPr>
        <w:t>。</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w:t>
      </w:r>
      <w:r>
        <w:rPr>
          <w:rFonts w:ascii="Times New Roman" w:hAnsi="Times New Roman"/>
          <w:szCs w:val="21"/>
        </w:rPr>
        <w:t xml:space="preserve">)  </w:t>
      </w:r>
      <w:r>
        <w:rPr>
          <w:rFonts w:ascii="Times New Roman" w:hAnsi="Times New Roman"/>
          <w:kern w:val="0"/>
          <w:szCs w:val="21"/>
        </w:rPr>
        <w:t>专业监测实施期间，监测单位应根据监测设计的预报警方案，及时判定灾害体稳定性现状，预测其变形发展趋势。</w:t>
      </w: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w:t>
      </w:r>
      <w:r>
        <w:rPr>
          <w:rFonts w:ascii="Times New Roman" w:hAnsi="Times New Roman"/>
          <w:szCs w:val="21"/>
        </w:rPr>
        <w:t xml:space="preserve">)  </w:t>
      </w:r>
      <w:r>
        <w:rPr>
          <w:rFonts w:ascii="Times New Roman" w:hAnsi="Times New Roman"/>
          <w:kern w:val="0"/>
          <w:szCs w:val="21"/>
        </w:rPr>
        <w:t>专业监测实施期间，当监测数据超过注意阈值或出现黄色及其以上预警状态时，监测单位须立即向相关主管部门汇报并提交预警报告；同时，监测单位须有针对性地对当前监测方案进行调整。</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c</w:t>
      </w:r>
      <w:r>
        <w:rPr>
          <w:rFonts w:ascii="Times New Roman" w:hAnsi="Times New Roman"/>
          <w:szCs w:val="21"/>
        </w:rPr>
        <w:t>)</w:t>
      </w:r>
      <w:r>
        <w:rPr>
          <w:rFonts w:hint="eastAsia" w:ascii="宋体" w:hAnsi="宋体"/>
          <w:szCs w:val="21"/>
        </w:rPr>
        <w:t xml:space="preserve">  </w:t>
      </w:r>
      <w:r>
        <w:rPr>
          <w:rFonts w:ascii="宋体" w:hAnsi="宋体"/>
          <w:kern w:val="0"/>
          <w:szCs w:val="21"/>
        </w:rPr>
        <w:t>凡进入预警级别的，监测单位应及时编制《湖北省</w:t>
      </w:r>
      <w:r>
        <w:rPr>
          <w:rFonts w:ascii="Times New Roman" w:hAnsi="Times New Roman"/>
          <w:szCs w:val="24"/>
        </w:rPr>
        <w:t>**</w:t>
      </w:r>
      <w:r>
        <w:rPr>
          <w:rFonts w:ascii="宋体" w:hAnsi="宋体"/>
          <w:kern w:val="0"/>
          <w:szCs w:val="21"/>
        </w:rPr>
        <w:t>市（县）</w:t>
      </w:r>
      <w:r>
        <w:rPr>
          <w:rFonts w:ascii="Times New Roman" w:hAnsi="Times New Roman"/>
          <w:szCs w:val="24"/>
        </w:rPr>
        <w:t>**</w:t>
      </w:r>
      <w:r>
        <w:rPr>
          <w:rFonts w:ascii="宋体" w:hAnsi="宋体"/>
          <w:kern w:val="0"/>
          <w:szCs w:val="21"/>
        </w:rPr>
        <w:t>滑坡（或崩塌等）进入</w:t>
      </w:r>
      <w:r>
        <w:rPr>
          <w:rFonts w:ascii="Times New Roman" w:hAnsi="Times New Roman"/>
          <w:szCs w:val="24"/>
        </w:rPr>
        <w:t>*</w:t>
      </w:r>
      <w:r>
        <w:rPr>
          <w:rFonts w:ascii="宋体" w:hAnsi="宋体"/>
          <w:kern w:val="0"/>
          <w:szCs w:val="21"/>
        </w:rPr>
        <w:t>色预警阶段的报告》上报。预警级别的降低和蓝色预警的解除，监测单位应及时编制《湖北省</w:t>
      </w:r>
      <w:r>
        <w:rPr>
          <w:rFonts w:ascii="Times New Roman" w:hAnsi="Times New Roman"/>
          <w:szCs w:val="24"/>
        </w:rPr>
        <w:t>**</w:t>
      </w:r>
      <w:r>
        <w:rPr>
          <w:rFonts w:ascii="宋体" w:hAnsi="宋体"/>
          <w:kern w:val="0"/>
          <w:szCs w:val="21"/>
        </w:rPr>
        <w:t>市（县）</w:t>
      </w:r>
      <w:r>
        <w:rPr>
          <w:rFonts w:ascii="Times New Roman" w:hAnsi="Times New Roman"/>
          <w:szCs w:val="24"/>
        </w:rPr>
        <w:t>**</w:t>
      </w:r>
      <w:r>
        <w:rPr>
          <w:rFonts w:ascii="宋体" w:hAnsi="宋体"/>
          <w:kern w:val="0"/>
          <w:szCs w:val="21"/>
        </w:rPr>
        <w:t>滑坡（或崩塌等）调整预警级别的报告》</w:t>
      </w:r>
      <w:r>
        <w:rPr>
          <w:rFonts w:hint="eastAsia" w:ascii="宋体" w:hAnsi="宋体"/>
          <w:kern w:val="0"/>
          <w:szCs w:val="21"/>
        </w:rPr>
        <w:t>。</w:t>
      </w:r>
      <w:r>
        <w:rPr>
          <w:rFonts w:ascii="宋体" w:hAnsi="宋体"/>
          <w:kern w:val="0"/>
          <w:szCs w:val="21"/>
        </w:rPr>
        <w:t>预警专题报告主要内容提纲及图件</w:t>
      </w:r>
      <w:r>
        <w:rPr>
          <w:rFonts w:hint="eastAsia" w:ascii="宋体" w:hAnsi="宋体"/>
          <w:kern w:val="0"/>
          <w:szCs w:val="21"/>
        </w:rPr>
        <w:t>要求见附录</w:t>
      </w:r>
      <w:r>
        <w:rPr>
          <w:rFonts w:ascii="Times New Roman" w:hAnsi="Times New Roman"/>
          <w:kern w:val="0"/>
          <w:szCs w:val="21"/>
        </w:rPr>
        <w:t>I</w:t>
      </w:r>
      <w:r>
        <w:rPr>
          <w:rFonts w:hint="eastAsia" w:ascii="宋体" w:hAnsi="宋体"/>
          <w:kern w:val="0"/>
          <w:szCs w:val="21"/>
        </w:rPr>
        <w:t>。</w:t>
      </w:r>
    </w:p>
    <w:p>
      <w:pPr>
        <w:pStyle w:val="3"/>
        <w:spacing w:before="120" w:after="120"/>
      </w:pPr>
      <w:bookmarkStart w:id="104" w:name="_Toc21966376"/>
      <w:bookmarkStart w:id="105" w:name="_Toc534577752"/>
      <w:bookmarkStart w:id="106" w:name="_Toc33177706"/>
      <w:r>
        <w:rPr>
          <w:rFonts w:hint="eastAsia"/>
        </w:rPr>
        <w:t>9.2  区域监测</w:t>
      </w:r>
      <w:bookmarkEnd w:id="104"/>
      <w:bookmarkEnd w:id="105"/>
      <w:bookmarkEnd w:id="106"/>
    </w:p>
    <w:p>
      <w:pPr>
        <w:pStyle w:val="4"/>
        <w:spacing w:before="120" w:after="120"/>
      </w:pPr>
      <w:r>
        <w:rPr>
          <w:rFonts w:hint="eastAsia"/>
        </w:rPr>
        <w:t>9.2.1  监测数据整理</w:t>
      </w:r>
    </w:p>
    <w:p>
      <w:pPr>
        <w:pStyle w:val="5"/>
        <w:spacing w:before="120" w:after="120"/>
      </w:pPr>
      <w:r>
        <w:rPr>
          <w:rFonts w:hint="eastAsia"/>
        </w:rPr>
        <w:t>9.2.1.1  数据采集</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区域</w:t>
      </w:r>
      <w:r>
        <w:rPr>
          <w:rFonts w:ascii="Times New Roman" w:hAnsi="Times New Roman"/>
          <w:kern w:val="0"/>
          <w:szCs w:val="21"/>
        </w:rPr>
        <w:t>InSAR</w:t>
      </w:r>
      <w:r>
        <w:rPr>
          <w:rFonts w:hint="eastAsia" w:ascii="宋体" w:hAnsi="宋体"/>
          <w:kern w:val="0"/>
          <w:szCs w:val="21"/>
        </w:rPr>
        <w:t>及遥感数据采集应选取高质量、针对性强、具时效性的数据。</w:t>
      </w:r>
    </w:p>
    <w:p>
      <w:pPr>
        <w:pStyle w:val="5"/>
        <w:spacing w:before="120" w:after="120"/>
      </w:pPr>
      <w:r>
        <w:rPr>
          <w:rFonts w:hint="eastAsia"/>
        </w:rPr>
        <w:t>9.2.1.2  数据误差消除与处理</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w:t>
      </w:r>
      <w:r>
        <w:rPr>
          <w:rFonts w:ascii="Times New Roman" w:hAnsi="Times New Roman"/>
          <w:szCs w:val="21"/>
        </w:rPr>
        <w:t xml:space="preserve">)  </w:t>
      </w:r>
      <w:r>
        <w:rPr>
          <w:rFonts w:ascii="Times New Roman" w:hAnsi="Times New Roman"/>
          <w:kern w:val="0"/>
          <w:szCs w:val="21"/>
        </w:rPr>
        <w:t>粗差剔除。对所记录的数据进行分析，剔除粗差。</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w:t>
      </w:r>
      <w:r>
        <w:rPr>
          <w:rFonts w:ascii="Times New Roman" w:hAnsi="Times New Roman"/>
          <w:szCs w:val="21"/>
        </w:rPr>
        <w:t xml:space="preserve">)  </w:t>
      </w:r>
      <w:r>
        <w:rPr>
          <w:rFonts w:ascii="Times New Roman" w:hAnsi="Times New Roman"/>
          <w:kern w:val="0"/>
          <w:szCs w:val="21"/>
        </w:rPr>
        <w:t>监测误差消除。检查数据，对合格监测误差进行合理分配，当误差超出限差时应按要求进行重新采集。</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c</w:t>
      </w:r>
      <w:r>
        <w:rPr>
          <w:rFonts w:ascii="Times New Roman" w:hAnsi="Times New Roman"/>
          <w:szCs w:val="21"/>
        </w:rPr>
        <w:t xml:space="preserve">)  </w:t>
      </w:r>
      <w:r>
        <w:rPr>
          <w:rFonts w:ascii="Times New Roman" w:hAnsi="Times New Roman"/>
          <w:kern w:val="0"/>
          <w:szCs w:val="21"/>
        </w:rPr>
        <w:t>设备误差消除。观测时宜选用相同技术人员和设备，定期进行设备鉴定。</w:t>
      </w: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d</w:t>
      </w:r>
      <w:r>
        <w:rPr>
          <w:rFonts w:ascii="Times New Roman" w:hAnsi="Times New Roman"/>
          <w:szCs w:val="21"/>
        </w:rPr>
        <w:t xml:space="preserve">)  </w:t>
      </w:r>
      <w:r>
        <w:rPr>
          <w:rFonts w:ascii="Times New Roman" w:hAnsi="Times New Roman"/>
          <w:kern w:val="0"/>
          <w:szCs w:val="21"/>
        </w:rPr>
        <w:t>对监测数据进行分类，按照科学方法进行处理，建立相应的地理信息库并绘制相应的曲线进行时序分析。</w:t>
      </w:r>
    </w:p>
    <w:p>
      <w:pPr>
        <w:pStyle w:val="5"/>
        <w:spacing w:before="120" w:after="120"/>
      </w:pPr>
      <w:r>
        <w:rPr>
          <w:rFonts w:hint="eastAsia"/>
        </w:rPr>
        <w:t>9.2.1.3  数据处理结果的验证</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ascii="Times New Roman" w:hAnsi="Times New Roman"/>
          <w:kern w:val="0"/>
          <w:szCs w:val="21"/>
        </w:rPr>
        <w:t>InSAR</w:t>
      </w:r>
      <w:r>
        <w:rPr>
          <w:rFonts w:hint="eastAsia" w:ascii="宋体" w:hAnsi="宋体"/>
          <w:kern w:val="0"/>
          <w:szCs w:val="21"/>
        </w:rPr>
        <w:t>数据处理结果的验证，对区域各灾种所采用的验证方式各有不同。</w:t>
      </w:r>
      <w:r>
        <w:rPr>
          <w:rFonts w:ascii="宋体" w:hAnsi="宋体"/>
          <w:kern w:val="0"/>
          <w:szCs w:val="21"/>
        </w:rPr>
        <w:t>具体参照《地质灾害</w:t>
      </w:r>
      <w:r>
        <w:rPr>
          <w:rFonts w:ascii="Times New Roman" w:hAnsi="Times New Roman"/>
          <w:kern w:val="0"/>
          <w:szCs w:val="21"/>
        </w:rPr>
        <w:t>InSAR</w:t>
      </w:r>
      <w:r>
        <w:rPr>
          <w:rFonts w:ascii="宋体" w:hAnsi="宋体"/>
          <w:kern w:val="0"/>
          <w:szCs w:val="21"/>
        </w:rPr>
        <w:t>监测技术指南》</w:t>
      </w:r>
      <w:r>
        <w:rPr>
          <w:rFonts w:ascii="Times New Roman" w:hAnsi="Times New Roman"/>
          <w:kern w:val="0"/>
          <w:szCs w:val="21"/>
        </w:rPr>
        <w:t>（T/CAGHP 013</w:t>
      </w:r>
      <w:r>
        <w:rPr>
          <w:rFonts w:hint="eastAsia" w:ascii="宋体" w:hAnsi="宋体"/>
          <w:kern w:val="0"/>
          <w:szCs w:val="21"/>
        </w:rPr>
        <w:t>―</w:t>
      </w:r>
      <w:r>
        <w:rPr>
          <w:rFonts w:ascii="Times New Roman" w:hAnsi="Times New Roman"/>
          <w:kern w:val="0"/>
          <w:szCs w:val="21"/>
        </w:rPr>
        <w:t>2017）</w:t>
      </w:r>
      <w:r>
        <w:rPr>
          <w:rFonts w:ascii="宋体" w:hAnsi="宋体"/>
          <w:kern w:val="0"/>
          <w:szCs w:val="21"/>
        </w:rPr>
        <w:t>执行。</w:t>
      </w:r>
    </w:p>
    <w:p>
      <w:pPr>
        <w:pStyle w:val="5"/>
        <w:spacing w:before="120" w:after="120"/>
      </w:pPr>
      <w:r>
        <w:rPr>
          <w:rFonts w:hint="eastAsia"/>
        </w:rPr>
        <w:t>9.2.1.4  数据整理</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包括影像源数据、解译标志、实地验证调查记录表、各种比例尺解译图等，均应进行整理整饰，并检查、分析实测资料的完整性和准确性。重点检查范围、内容、比例尺、测量精度、图件整饰等是否完整、准确并符合测量规范与设计要求，各类现场记录表内容是否与实际情况吻合。</w:t>
      </w:r>
    </w:p>
    <w:p>
      <w:pPr>
        <w:pStyle w:val="4"/>
        <w:spacing w:before="120" w:after="120"/>
      </w:pPr>
      <w:r>
        <w:rPr>
          <w:rFonts w:hint="eastAsia"/>
        </w:rPr>
        <w:t>9.2.2  监测资料整编内容</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区域监测资料整编内容及相关要求参见</w:t>
      </w:r>
      <w:r>
        <w:rPr>
          <w:rFonts w:ascii="Times New Roman" w:hAnsi="Times New Roman"/>
          <w:kern w:val="0"/>
          <w:szCs w:val="21"/>
        </w:rPr>
        <w:t>附录J之J.1。</w:t>
      </w:r>
    </w:p>
    <w:p>
      <w:pPr>
        <w:pStyle w:val="4"/>
        <w:spacing w:before="120" w:after="120"/>
      </w:pPr>
      <w:r>
        <w:rPr>
          <w:rFonts w:hint="eastAsia"/>
        </w:rPr>
        <w:t>9.2.3  监测资料综合分析</w:t>
      </w:r>
    </w:p>
    <w:p>
      <w:pPr>
        <w:spacing w:line="360" w:lineRule="auto"/>
        <w:ind w:firstLine="411" w:firstLineChars="196"/>
        <w:rPr>
          <w:rFonts w:ascii="Times New Roman" w:hAnsi="Times New Roman"/>
          <w:kern w:val="0"/>
          <w:szCs w:val="21"/>
        </w:rPr>
      </w:pPr>
      <w:r>
        <w:rPr>
          <w:rFonts w:hint="eastAsia" w:ascii="宋体" w:hAnsi="宋体"/>
          <w:szCs w:val="21"/>
        </w:rPr>
        <w:t>依据地质灾害地表形变监测和现场核验，评价地质灾害危险性，警示地质灾害风险，具体评价方法，可参照其他相关标准规范执行</w:t>
      </w:r>
      <w:r>
        <w:rPr>
          <w:rFonts w:ascii="宋体" w:hAnsi="宋体"/>
          <w:szCs w:val="21"/>
        </w:rPr>
        <w:t>。</w:t>
      </w:r>
      <w:r>
        <w:rPr>
          <w:rFonts w:hint="eastAsia" w:ascii="宋体" w:hAnsi="宋体"/>
          <w:kern w:val="0"/>
          <w:szCs w:val="21"/>
        </w:rPr>
        <w:t>区域监测资料综合分析的主要内容见表</w:t>
      </w:r>
      <w:r>
        <w:rPr>
          <w:rFonts w:hint="eastAsia" w:ascii="Times New Roman" w:hAnsi="Times New Roman"/>
          <w:kern w:val="0"/>
          <w:szCs w:val="21"/>
        </w:rPr>
        <w:t>13</w:t>
      </w:r>
      <w:r>
        <w:rPr>
          <w:rFonts w:ascii="Times New Roman" w:hAnsi="Times New Roman"/>
          <w:kern w:val="0"/>
          <w:szCs w:val="21"/>
        </w:rPr>
        <w:t>。</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表13  区域监测综合分析主要内容汇总表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4"/>
        <w:gridCol w:w="2236"/>
        <w:gridCol w:w="5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9" w:type="pct"/>
            <w:shd w:val="clear" w:color="auto" w:fill="auto"/>
            <w:vAlign w:val="center"/>
          </w:tcPr>
          <w:p>
            <w:pPr>
              <w:widowControl/>
              <w:tabs>
                <w:tab w:val="center" w:pos="4201"/>
                <w:tab w:val="right" w:leader="dot" w:pos="9298"/>
              </w:tabs>
              <w:autoSpaceDE w:val="0"/>
              <w:autoSpaceDN w:val="0"/>
              <w:jc w:val="center"/>
              <w:rPr>
                <w:rFonts w:ascii="宋体" w:hAnsi="宋体"/>
                <w:kern w:val="0"/>
                <w:sz w:val="18"/>
                <w:szCs w:val="18"/>
              </w:rPr>
            </w:pPr>
            <w:r>
              <w:rPr>
                <w:rFonts w:hint="eastAsia" w:ascii="宋体" w:hAnsi="宋体"/>
                <w:kern w:val="0"/>
                <w:sz w:val="18"/>
                <w:szCs w:val="18"/>
              </w:rPr>
              <w:t>区域灾种</w:t>
            </w:r>
          </w:p>
        </w:tc>
        <w:tc>
          <w:tcPr>
            <w:tcW w:w="1168" w:type="pct"/>
            <w:shd w:val="clear" w:color="auto" w:fill="auto"/>
            <w:vAlign w:val="center"/>
          </w:tcPr>
          <w:p>
            <w:pPr>
              <w:widowControl/>
              <w:tabs>
                <w:tab w:val="center" w:pos="4201"/>
                <w:tab w:val="right" w:leader="dot" w:pos="9298"/>
              </w:tabs>
              <w:autoSpaceDE w:val="0"/>
              <w:autoSpaceDN w:val="0"/>
              <w:jc w:val="center"/>
              <w:rPr>
                <w:rFonts w:ascii="宋体" w:hAnsi="宋体"/>
                <w:kern w:val="0"/>
                <w:sz w:val="18"/>
                <w:szCs w:val="18"/>
              </w:rPr>
            </w:pPr>
            <w:r>
              <w:rPr>
                <w:rFonts w:hint="eastAsia" w:ascii="宋体" w:hAnsi="宋体"/>
                <w:kern w:val="0"/>
                <w:sz w:val="18"/>
                <w:szCs w:val="18"/>
              </w:rPr>
              <w:t>综合识别</w:t>
            </w:r>
          </w:p>
        </w:tc>
        <w:tc>
          <w:tcPr>
            <w:tcW w:w="2973" w:type="pct"/>
            <w:shd w:val="clear" w:color="auto" w:fill="auto"/>
            <w:vAlign w:val="center"/>
          </w:tcPr>
          <w:p>
            <w:pPr>
              <w:widowControl/>
              <w:tabs>
                <w:tab w:val="center" w:pos="4201"/>
                <w:tab w:val="right" w:leader="dot" w:pos="9298"/>
              </w:tabs>
              <w:autoSpaceDE w:val="0"/>
              <w:autoSpaceDN w:val="0"/>
              <w:jc w:val="center"/>
              <w:rPr>
                <w:rFonts w:ascii="宋体" w:hAnsi="宋体"/>
                <w:kern w:val="0"/>
                <w:sz w:val="18"/>
                <w:szCs w:val="18"/>
              </w:rPr>
            </w:pPr>
            <w:r>
              <w:rPr>
                <w:rFonts w:hint="eastAsia" w:ascii="宋体" w:hAnsi="宋体"/>
                <w:kern w:val="0"/>
                <w:sz w:val="18"/>
                <w:szCs w:val="18"/>
              </w:rPr>
              <w:t>综合分析内容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9" w:type="pct"/>
            <w:shd w:val="clear" w:color="auto" w:fill="auto"/>
            <w:vAlign w:val="center"/>
          </w:tcPr>
          <w:p>
            <w:pPr>
              <w:widowControl/>
              <w:tabs>
                <w:tab w:val="center" w:pos="4201"/>
                <w:tab w:val="right" w:leader="dot" w:pos="9298"/>
              </w:tabs>
              <w:autoSpaceDE w:val="0"/>
              <w:autoSpaceDN w:val="0"/>
              <w:jc w:val="center"/>
              <w:rPr>
                <w:rFonts w:ascii="宋体" w:hAnsi="宋体"/>
                <w:kern w:val="0"/>
                <w:sz w:val="18"/>
                <w:szCs w:val="18"/>
              </w:rPr>
            </w:pPr>
            <w:r>
              <w:rPr>
                <w:rFonts w:hint="eastAsia" w:ascii="宋体" w:hAnsi="宋体"/>
                <w:kern w:val="0"/>
                <w:sz w:val="18"/>
                <w:szCs w:val="18"/>
              </w:rPr>
              <w:t>区域内滑坡</w:t>
            </w:r>
          </w:p>
        </w:tc>
        <w:tc>
          <w:tcPr>
            <w:tcW w:w="1168" w:type="pct"/>
            <w:shd w:val="clear" w:color="auto" w:fill="auto"/>
            <w:vAlign w:val="center"/>
          </w:tcPr>
          <w:p>
            <w:pPr>
              <w:widowControl/>
              <w:tabs>
                <w:tab w:val="center" w:pos="4201"/>
                <w:tab w:val="right" w:leader="dot" w:pos="9298"/>
              </w:tabs>
              <w:autoSpaceDE w:val="0"/>
              <w:autoSpaceDN w:val="0"/>
              <w:jc w:val="left"/>
              <w:rPr>
                <w:rFonts w:ascii="宋体" w:hAnsi="宋体"/>
                <w:kern w:val="0"/>
                <w:sz w:val="18"/>
                <w:szCs w:val="18"/>
              </w:rPr>
            </w:pPr>
            <w:r>
              <w:rPr>
                <w:rFonts w:hint="eastAsia" w:ascii="宋体" w:hAnsi="宋体"/>
                <w:kern w:val="0"/>
                <w:sz w:val="18"/>
                <w:szCs w:val="18"/>
              </w:rPr>
              <w:t>以变形的空间分布和量值为主要依据，辅助坡体形态、高程、坡度、植被、岩土体性质、居民点分布，采用层次分析法综合识别划分出变形滑坡。</w:t>
            </w:r>
          </w:p>
        </w:tc>
        <w:tc>
          <w:tcPr>
            <w:tcW w:w="2973" w:type="pct"/>
            <w:shd w:val="clear" w:color="auto" w:fill="auto"/>
            <w:vAlign w:val="center"/>
          </w:tcPr>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1.对于区域降雨诱发型滑坡，根据重点部位变形速率和时程曲线，结合滑坡地质特征，分析变形趋势判断其危险性。</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2.对于受同一因素诱发的滑坡，危险性预测应结合已有滑坡案例和区域统计特征分析其危险性。</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3.监测结果与相关地质、地理和地物要素分布进行空间分析，与地质调查、勘查等资料对比，验证监测结果的可靠性。</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4.应开展TS-InSAR滑坡变形时程曲线中的大变形时间段与雨季、地震、人类工程活动时间相干性的分析。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9" w:type="pct"/>
            <w:shd w:val="clear" w:color="auto" w:fill="auto"/>
            <w:vAlign w:val="center"/>
          </w:tcPr>
          <w:p>
            <w:pPr>
              <w:widowControl/>
              <w:tabs>
                <w:tab w:val="center" w:pos="4201"/>
                <w:tab w:val="right" w:leader="dot" w:pos="9298"/>
              </w:tabs>
              <w:autoSpaceDE w:val="0"/>
              <w:autoSpaceDN w:val="0"/>
              <w:jc w:val="center"/>
              <w:rPr>
                <w:rFonts w:ascii="宋体" w:hAnsi="宋体"/>
                <w:kern w:val="0"/>
                <w:sz w:val="18"/>
                <w:szCs w:val="18"/>
              </w:rPr>
            </w:pPr>
            <w:r>
              <w:rPr>
                <w:rFonts w:hint="eastAsia" w:ascii="宋体" w:hAnsi="宋体"/>
                <w:kern w:val="0"/>
                <w:sz w:val="18"/>
                <w:szCs w:val="18"/>
              </w:rPr>
              <w:t>区域内崩塌</w:t>
            </w:r>
          </w:p>
        </w:tc>
        <w:tc>
          <w:tcPr>
            <w:tcW w:w="1168" w:type="pct"/>
            <w:shd w:val="clear" w:color="auto" w:fill="auto"/>
            <w:vAlign w:val="center"/>
          </w:tcPr>
          <w:p>
            <w:pPr>
              <w:widowControl/>
              <w:tabs>
                <w:tab w:val="center" w:pos="4201"/>
                <w:tab w:val="right" w:leader="dot" w:pos="9298"/>
              </w:tabs>
              <w:autoSpaceDE w:val="0"/>
              <w:autoSpaceDN w:val="0"/>
              <w:jc w:val="left"/>
              <w:rPr>
                <w:rFonts w:ascii="宋体" w:hAnsi="宋体"/>
                <w:kern w:val="0"/>
                <w:sz w:val="18"/>
                <w:szCs w:val="18"/>
              </w:rPr>
            </w:pPr>
            <w:r>
              <w:rPr>
                <w:rFonts w:hint="eastAsia" w:ascii="宋体" w:hAnsi="宋体"/>
                <w:kern w:val="0"/>
                <w:sz w:val="18"/>
                <w:szCs w:val="18"/>
              </w:rPr>
              <w:t>对于区域崩塌</w:t>
            </w:r>
            <w:r>
              <w:rPr>
                <w:rFonts w:ascii="Times New Roman" w:hAnsi="Times New Roman"/>
                <w:kern w:val="0"/>
                <w:sz w:val="18"/>
                <w:szCs w:val="18"/>
              </w:rPr>
              <w:t>InSAR</w:t>
            </w:r>
            <w:r>
              <w:rPr>
                <w:rFonts w:hint="eastAsia" w:ascii="宋体" w:hAnsi="宋体"/>
                <w:kern w:val="0"/>
                <w:sz w:val="18"/>
                <w:szCs w:val="18"/>
              </w:rPr>
              <w:t>识别结果，应生成或更新崩塌（危岩体）编目图。</w:t>
            </w:r>
          </w:p>
        </w:tc>
        <w:tc>
          <w:tcPr>
            <w:tcW w:w="2973" w:type="pct"/>
            <w:shd w:val="clear" w:color="auto" w:fill="auto"/>
            <w:vAlign w:val="center"/>
          </w:tcPr>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1.区域内崩塌（危岩体）分布应与地形、地质、构造活动和人类活动进行相关性分析。</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2.区域内崩塌（危岩体）时空变形特征分析；异常变形与区域地震活动、降水以及人类活动等相关性分析。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9" w:type="pct"/>
            <w:shd w:val="clear" w:color="auto" w:fill="auto"/>
            <w:vAlign w:val="center"/>
          </w:tcPr>
          <w:p>
            <w:pPr>
              <w:widowControl/>
              <w:tabs>
                <w:tab w:val="center" w:pos="4201"/>
                <w:tab w:val="right" w:leader="dot" w:pos="9298"/>
              </w:tabs>
              <w:autoSpaceDE w:val="0"/>
              <w:autoSpaceDN w:val="0"/>
              <w:jc w:val="center"/>
              <w:rPr>
                <w:rFonts w:ascii="宋体" w:hAnsi="宋体"/>
                <w:kern w:val="0"/>
                <w:sz w:val="18"/>
                <w:szCs w:val="18"/>
              </w:rPr>
            </w:pPr>
            <w:r>
              <w:rPr>
                <w:rFonts w:hint="eastAsia" w:ascii="宋体" w:hAnsi="宋体"/>
                <w:kern w:val="0"/>
                <w:sz w:val="18"/>
                <w:szCs w:val="18"/>
              </w:rPr>
              <w:t>区域内泥石流</w:t>
            </w:r>
          </w:p>
        </w:tc>
        <w:tc>
          <w:tcPr>
            <w:tcW w:w="1168" w:type="pct"/>
            <w:shd w:val="clear" w:color="auto" w:fill="auto"/>
            <w:vAlign w:val="center"/>
          </w:tcPr>
          <w:p>
            <w:pPr>
              <w:widowControl/>
              <w:tabs>
                <w:tab w:val="center" w:pos="4201"/>
                <w:tab w:val="right" w:leader="dot" w:pos="9298"/>
              </w:tabs>
              <w:autoSpaceDE w:val="0"/>
              <w:autoSpaceDN w:val="0"/>
              <w:jc w:val="left"/>
              <w:rPr>
                <w:rFonts w:ascii="宋体" w:hAnsi="宋体"/>
                <w:kern w:val="0"/>
                <w:sz w:val="18"/>
                <w:szCs w:val="18"/>
              </w:rPr>
            </w:pPr>
            <w:r>
              <w:rPr>
                <w:rFonts w:hint="eastAsia" w:ascii="宋体" w:hAnsi="宋体"/>
                <w:kern w:val="0"/>
                <w:sz w:val="18"/>
                <w:szCs w:val="18"/>
              </w:rPr>
              <w:t>以变形的空间分布和量值为主要依据，辅助流域、主沟坡降、高程、坡度、植被、岩土体性质等综合识别划分出区域内泥石流位置和分布范围。</w:t>
            </w:r>
          </w:p>
        </w:tc>
        <w:tc>
          <w:tcPr>
            <w:tcW w:w="2973" w:type="pct"/>
            <w:shd w:val="clear" w:color="auto" w:fill="auto"/>
            <w:vAlign w:val="center"/>
          </w:tcPr>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1.对于降雨型泥石流，根据物源区的空间变形分布，重点部位变形的时程曲线，结合主沟坡降和流域面积，分析变形趋势、判断其活动性。</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2.应结合相关地质、地理和地物要素的分布特征进行空间分析。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9" w:type="pct"/>
            <w:shd w:val="clear" w:color="auto" w:fill="auto"/>
            <w:vAlign w:val="center"/>
          </w:tcPr>
          <w:p>
            <w:pPr>
              <w:widowControl/>
              <w:tabs>
                <w:tab w:val="center" w:pos="4201"/>
                <w:tab w:val="right" w:leader="dot" w:pos="9298"/>
              </w:tabs>
              <w:autoSpaceDE w:val="0"/>
              <w:autoSpaceDN w:val="0"/>
              <w:jc w:val="center"/>
              <w:rPr>
                <w:rFonts w:ascii="宋体" w:hAnsi="宋体"/>
                <w:kern w:val="0"/>
                <w:sz w:val="18"/>
                <w:szCs w:val="18"/>
              </w:rPr>
            </w:pPr>
            <w:r>
              <w:rPr>
                <w:rFonts w:hint="eastAsia" w:ascii="宋体" w:hAnsi="宋体"/>
                <w:kern w:val="0"/>
                <w:sz w:val="18"/>
                <w:szCs w:val="18"/>
              </w:rPr>
              <w:t>区域内</w:t>
            </w:r>
          </w:p>
          <w:p>
            <w:pPr>
              <w:widowControl/>
              <w:tabs>
                <w:tab w:val="center" w:pos="4201"/>
                <w:tab w:val="right" w:leader="dot" w:pos="9298"/>
              </w:tabs>
              <w:autoSpaceDE w:val="0"/>
              <w:autoSpaceDN w:val="0"/>
              <w:jc w:val="center"/>
              <w:rPr>
                <w:rFonts w:ascii="宋体" w:hAnsi="宋体"/>
                <w:kern w:val="0"/>
                <w:sz w:val="18"/>
                <w:szCs w:val="18"/>
              </w:rPr>
            </w:pPr>
            <w:r>
              <w:rPr>
                <w:rFonts w:hint="eastAsia" w:ascii="宋体" w:hAnsi="宋体"/>
                <w:kern w:val="0"/>
                <w:sz w:val="18"/>
                <w:szCs w:val="18"/>
              </w:rPr>
              <w:t>地面塌陷</w:t>
            </w:r>
          </w:p>
        </w:tc>
        <w:tc>
          <w:tcPr>
            <w:tcW w:w="4141" w:type="pct"/>
            <w:gridSpan w:val="2"/>
            <w:shd w:val="clear" w:color="auto" w:fill="auto"/>
            <w:vAlign w:val="center"/>
          </w:tcPr>
          <w:p>
            <w:pPr>
              <w:widowControl/>
              <w:tabs>
                <w:tab w:val="center" w:pos="4201"/>
                <w:tab w:val="right" w:leader="dot" w:pos="9298"/>
              </w:tabs>
              <w:autoSpaceDE w:val="0"/>
              <w:autoSpaceDN w:val="0"/>
              <w:rPr>
                <w:rFonts w:ascii="宋体" w:hAnsi="宋体"/>
                <w:kern w:val="0"/>
                <w:sz w:val="18"/>
                <w:szCs w:val="18"/>
              </w:rPr>
            </w:pPr>
            <w:r>
              <w:rPr>
                <w:rFonts w:hint="eastAsia" w:ascii="宋体" w:hAnsi="宋体"/>
                <w:kern w:val="0"/>
                <w:sz w:val="18"/>
                <w:szCs w:val="18"/>
              </w:rPr>
              <w:t>应结合相关地质、地理和地物要素分布进行空间分析，对比分析应包括下列要素：地层岩性的分布；地下水资源和开采情况的分布；矿产资源的分布；地下采矿活动的分布；地下工程的分布；地面塌陷野外特征。</w:t>
            </w:r>
          </w:p>
        </w:tc>
      </w:tr>
    </w:tbl>
    <w:p>
      <w:pPr>
        <w:pStyle w:val="4"/>
        <w:spacing w:before="120" w:after="120"/>
      </w:pPr>
      <w:r>
        <w:rPr>
          <w:rStyle w:val="22"/>
          <w:rFonts w:hint="eastAsia"/>
          <w:bCs w:val="0"/>
        </w:rPr>
        <w:t>9.2.4  区域预警</w:t>
      </w:r>
      <w:r>
        <w:rPr>
          <w:rFonts w:hint="eastAsia"/>
        </w:rPr>
        <w:t>预测</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主要以气象风险预报为基础，借助区域监测手段，通过湖北省地质环境综合信息平台进行区域综合叠加与耦合分析、预测评估和专家会商，再按预警预报信息发布基本程序审批，利用互联网、区域电视、短信、微信、主播等多媒体方式，向特定区域发布预警预报信息，指导防灾减灾工作。</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区域预警预报分为数据准备、预警分析会商、信息发布签批与响应审核、预警预报信息发布四个环节。数据是预警分析的基础，首先准备区域气象降水数据、监测数据、模型数据以及灾害信息数据，在数据准确且完善的情况下进行预警分析，以确保预警结果准确且针对性强，之后进行预警结果编辑，制作预报词等，将最终的预警成果和拟启动应急响应的方案按规定程序签批，之后通过多媒体向所在区域公众和部门进行信息发布，组织防灾避险。</w:t>
      </w:r>
    </w:p>
    <w:p>
      <w:pPr>
        <w:pStyle w:val="3"/>
        <w:spacing w:before="120" w:after="120"/>
      </w:pPr>
      <w:bookmarkStart w:id="107" w:name="_Toc21966377"/>
      <w:bookmarkStart w:id="108" w:name="_Toc534577753"/>
      <w:bookmarkStart w:id="109" w:name="_Toc33177707"/>
      <w:r>
        <w:rPr>
          <w:rFonts w:hint="eastAsia"/>
        </w:rPr>
        <w:t>9.3  隐患点监测</w:t>
      </w:r>
      <w:bookmarkEnd w:id="107"/>
      <w:bookmarkEnd w:id="108"/>
      <w:bookmarkEnd w:id="109"/>
    </w:p>
    <w:p>
      <w:pPr>
        <w:pStyle w:val="4"/>
        <w:spacing w:before="120" w:after="120"/>
      </w:pPr>
      <w:r>
        <w:rPr>
          <w:rFonts w:hint="eastAsia"/>
        </w:rPr>
        <w:t>9.3.1  监测数据整理</w:t>
      </w:r>
    </w:p>
    <w:p>
      <w:pPr>
        <w:pStyle w:val="5"/>
        <w:spacing w:before="120" w:after="120"/>
      </w:pPr>
      <w:r>
        <w:rPr>
          <w:rFonts w:hint="eastAsia"/>
        </w:rPr>
        <w:t>9.3.1.1  数据采集</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数据采集应注重两个方面：一是按时（及时），按监测频率或预报需要及时采集数据；二是全面，每次都应收集与监测灾害体有关的所有数据。</w:t>
      </w:r>
    </w:p>
    <w:p>
      <w:pPr>
        <w:pStyle w:val="5"/>
        <w:spacing w:before="120" w:after="120"/>
      </w:pPr>
      <w:r>
        <w:rPr>
          <w:rFonts w:hint="eastAsia"/>
        </w:rPr>
        <w:t>9.3.1.2  数据误差消除</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w:t>
      </w:r>
      <w:r>
        <w:rPr>
          <w:rFonts w:ascii="Times New Roman" w:hAnsi="Times New Roman"/>
          <w:szCs w:val="21"/>
        </w:rPr>
        <w:t xml:space="preserve">)  </w:t>
      </w:r>
      <w:r>
        <w:rPr>
          <w:rFonts w:ascii="Times New Roman" w:hAnsi="Times New Roman"/>
          <w:kern w:val="0"/>
          <w:szCs w:val="21"/>
        </w:rPr>
        <w:t>应详细检查数据，校正明显的错误，对有问题的数据重新采集或量测，以消除错误，并尽可能地消除人为和机械误差。</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w:t>
      </w:r>
      <w:r>
        <w:rPr>
          <w:rFonts w:ascii="Times New Roman" w:hAnsi="Times New Roman"/>
          <w:szCs w:val="21"/>
        </w:rPr>
        <w:t xml:space="preserve">)  </w:t>
      </w:r>
      <w:r>
        <w:rPr>
          <w:rFonts w:ascii="Times New Roman" w:hAnsi="Times New Roman"/>
          <w:kern w:val="0"/>
          <w:szCs w:val="21"/>
        </w:rPr>
        <w:t>自动记录系统有可能会产生附加的错误源。应对数据逐一进行筛选，检查和误差解释，消除明显的错误。</w:t>
      </w:r>
    </w:p>
    <w:p>
      <w:pPr>
        <w:pStyle w:val="5"/>
        <w:spacing w:before="120" w:after="120"/>
      </w:pPr>
      <w:r>
        <w:rPr>
          <w:rFonts w:hint="eastAsia"/>
        </w:rPr>
        <w:t>9.3.1.3  数据整理</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w:t>
      </w:r>
      <w:r>
        <w:rPr>
          <w:rFonts w:ascii="Times New Roman" w:hAnsi="Times New Roman"/>
          <w:szCs w:val="21"/>
        </w:rPr>
        <w:t xml:space="preserve">)  </w:t>
      </w:r>
      <w:r>
        <w:rPr>
          <w:rFonts w:ascii="Times New Roman" w:hAnsi="Times New Roman"/>
          <w:kern w:val="0"/>
          <w:szCs w:val="21"/>
        </w:rPr>
        <w:t>建立监测数据库。包括地质条件、灾害体特征等数据库和监测数据库。</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w:t>
      </w:r>
      <w:r>
        <w:rPr>
          <w:rFonts w:ascii="Times New Roman" w:hAnsi="Times New Roman"/>
          <w:szCs w:val="21"/>
        </w:rPr>
        <w:t xml:space="preserve">)  </w:t>
      </w:r>
      <w:r>
        <w:rPr>
          <w:rFonts w:ascii="Times New Roman" w:hAnsi="Times New Roman"/>
          <w:kern w:val="0"/>
          <w:szCs w:val="21"/>
        </w:rPr>
        <w:t>建立数据分析处理系统。可采用相应的数据处理软件包，也可以手工进行数据处理：误差消除</w:t>
      </w:r>
      <w:r>
        <w:rPr>
          <w:rFonts w:hint="eastAsia" w:ascii="宋体" w:hAnsi="宋体"/>
          <w:kern w:val="0"/>
          <w:szCs w:val="21"/>
        </w:rPr>
        <w:t>―</w:t>
      </w:r>
      <w:r>
        <w:rPr>
          <w:rFonts w:ascii="Times New Roman" w:hAnsi="Times New Roman"/>
          <w:kern w:val="0"/>
          <w:szCs w:val="21"/>
        </w:rPr>
        <w:t>统计分析</w:t>
      </w:r>
      <w:r>
        <w:rPr>
          <w:rFonts w:hint="eastAsia" w:ascii="宋体" w:hAnsi="宋体"/>
          <w:kern w:val="0"/>
          <w:szCs w:val="21"/>
        </w:rPr>
        <w:t>―</w:t>
      </w:r>
      <w:r>
        <w:rPr>
          <w:rFonts w:ascii="Times New Roman" w:hAnsi="Times New Roman"/>
          <w:kern w:val="0"/>
          <w:szCs w:val="21"/>
        </w:rPr>
        <w:t>曲线绘制（拟合、平滑、滤波）等。</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c</w:t>
      </w:r>
      <w:r>
        <w:rPr>
          <w:rFonts w:ascii="Times New Roman" w:hAnsi="Times New Roman"/>
          <w:szCs w:val="21"/>
        </w:rPr>
        <w:t xml:space="preserve">)  </w:t>
      </w:r>
      <w:r>
        <w:rPr>
          <w:rFonts w:ascii="Times New Roman" w:hAnsi="Times New Roman"/>
          <w:kern w:val="0"/>
          <w:szCs w:val="21"/>
        </w:rPr>
        <w:t>根据预警预报的需要，按小时、日、旬、月、季、半年或年，分门别类地绘制各类监测曲线，编制图件，以供分析。</w:t>
      </w:r>
    </w:p>
    <w:p>
      <w:pPr>
        <w:pStyle w:val="4"/>
        <w:spacing w:before="120" w:after="120"/>
      </w:pPr>
      <w:r>
        <w:rPr>
          <w:rFonts w:hint="eastAsia"/>
        </w:rPr>
        <w:t>9.3.2  监测资料整编内容</w:t>
      </w: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w:t>
      </w:r>
      <w:r>
        <w:rPr>
          <w:rFonts w:ascii="Times New Roman" w:hAnsi="Times New Roman"/>
          <w:szCs w:val="21"/>
        </w:rPr>
        <w:t>)</w:t>
      </w:r>
      <w:r>
        <w:rPr>
          <w:rFonts w:hint="eastAsia" w:ascii="宋体" w:hAnsi="宋体"/>
          <w:szCs w:val="21"/>
        </w:rPr>
        <w:t xml:space="preserve">  </w:t>
      </w:r>
      <w:r>
        <w:rPr>
          <w:rFonts w:hint="eastAsia" w:ascii="宋体" w:hAnsi="宋体"/>
          <w:kern w:val="0"/>
          <w:szCs w:val="21"/>
        </w:rPr>
        <w:t>各隐患点监测资料整编的分类、内容及相关要求见表</w:t>
      </w:r>
      <w:r>
        <w:rPr>
          <w:rFonts w:hint="eastAsia" w:ascii="Times New Roman" w:hAnsi="Times New Roman"/>
          <w:kern w:val="0"/>
          <w:szCs w:val="21"/>
        </w:rPr>
        <w:t>14</w:t>
      </w:r>
      <w:r>
        <w:rPr>
          <w:rFonts w:ascii="Times New Roman" w:hAnsi="Times New Roman"/>
          <w:kern w:val="0"/>
          <w:szCs w:val="21"/>
        </w:rPr>
        <w:t>。监测资料整编表格式参见附录J之J.2，图格式参见附录J之J.3。</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b)</w:t>
      </w:r>
      <w:r>
        <w:rPr>
          <w:rFonts w:hint="eastAsia" w:ascii="宋体" w:hAnsi="宋体"/>
          <w:kern w:val="0"/>
          <w:szCs w:val="21"/>
        </w:rPr>
        <w:t xml:space="preserve">  巡视检查内容应及时填报地质灾害巡检记录表，格式见附录</w:t>
      </w:r>
      <w:r>
        <w:rPr>
          <w:rFonts w:ascii="Times New Roman" w:hAnsi="Times New Roman"/>
          <w:kern w:val="0"/>
          <w:szCs w:val="21"/>
        </w:rPr>
        <w:t>J。</w:t>
      </w:r>
      <w:r>
        <w:rPr>
          <w:rFonts w:hint="eastAsia" w:ascii="宋体" w:hAnsi="宋体"/>
          <w:kern w:val="0"/>
          <w:szCs w:val="21"/>
        </w:rPr>
        <w:t>巡检过程中发现的异常问题及其原因分析应做完整编录，必要时可附素描和照片。</w:t>
      </w: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p>
    <w:p>
      <w:pPr>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表14  隐患点监测资料整编内容汇总表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3910"/>
        <w:gridCol w:w="702"/>
        <w:gridCol w:w="699"/>
        <w:gridCol w:w="695"/>
        <w:gridCol w:w="697"/>
        <w:gridCol w:w="2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shd w:val="clear" w:color="auto" w:fill="auto"/>
            <w:vAlign w:val="center"/>
          </w:tcPr>
          <w:p>
            <w:pPr>
              <w:jc w:val="center"/>
              <w:rPr>
                <w:rFonts w:ascii="宋体" w:hAnsi="宋体"/>
                <w:sz w:val="18"/>
                <w:szCs w:val="18"/>
              </w:rPr>
            </w:pPr>
            <w:r>
              <w:rPr>
                <w:rFonts w:ascii="宋体" w:hAnsi="宋体"/>
                <w:sz w:val="18"/>
                <w:szCs w:val="18"/>
              </w:rPr>
              <w:t>整编分类</w:t>
            </w:r>
          </w:p>
        </w:tc>
        <w:tc>
          <w:tcPr>
            <w:tcW w:w="2043" w:type="pct"/>
            <w:shd w:val="clear" w:color="auto" w:fill="auto"/>
            <w:vAlign w:val="center"/>
          </w:tcPr>
          <w:p>
            <w:pPr>
              <w:jc w:val="center"/>
              <w:rPr>
                <w:rFonts w:ascii="宋体" w:hAnsi="宋体"/>
                <w:sz w:val="18"/>
                <w:szCs w:val="18"/>
              </w:rPr>
            </w:pPr>
            <w:r>
              <w:rPr>
                <w:rFonts w:ascii="宋体" w:hAnsi="宋体"/>
                <w:sz w:val="18"/>
                <w:szCs w:val="18"/>
              </w:rPr>
              <w:t>整编图、表内容</w:t>
            </w:r>
          </w:p>
        </w:tc>
        <w:tc>
          <w:tcPr>
            <w:tcW w:w="367" w:type="pct"/>
            <w:shd w:val="clear" w:color="auto" w:fill="auto"/>
            <w:vAlign w:val="center"/>
          </w:tcPr>
          <w:p>
            <w:pPr>
              <w:jc w:val="center"/>
              <w:rPr>
                <w:rFonts w:ascii="宋体" w:hAnsi="宋体"/>
                <w:sz w:val="18"/>
                <w:szCs w:val="18"/>
              </w:rPr>
            </w:pPr>
            <w:r>
              <w:rPr>
                <w:rFonts w:ascii="宋体" w:hAnsi="宋体"/>
                <w:sz w:val="18"/>
                <w:szCs w:val="18"/>
              </w:rPr>
              <w:t>滑坡</w:t>
            </w:r>
          </w:p>
        </w:tc>
        <w:tc>
          <w:tcPr>
            <w:tcW w:w="365" w:type="pct"/>
            <w:shd w:val="clear" w:color="auto" w:fill="auto"/>
            <w:vAlign w:val="center"/>
          </w:tcPr>
          <w:p>
            <w:pPr>
              <w:jc w:val="center"/>
              <w:rPr>
                <w:rFonts w:ascii="宋体" w:hAnsi="宋体"/>
                <w:sz w:val="18"/>
                <w:szCs w:val="18"/>
              </w:rPr>
            </w:pPr>
            <w:r>
              <w:rPr>
                <w:rFonts w:ascii="宋体" w:hAnsi="宋体"/>
                <w:sz w:val="18"/>
                <w:szCs w:val="18"/>
              </w:rPr>
              <w:t>崩塌</w:t>
            </w:r>
          </w:p>
        </w:tc>
        <w:tc>
          <w:tcPr>
            <w:tcW w:w="363" w:type="pct"/>
            <w:shd w:val="clear" w:color="auto" w:fill="auto"/>
            <w:vAlign w:val="center"/>
          </w:tcPr>
          <w:p>
            <w:pPr>
              <w:jc w:val="center"/>
              <w:rPr>
                <w:rFonts w:ascii="宋体" w:hAnsi="宋体"/>
                <w:sz w:val="18"/>
                <w:szCs w:val="18"/>
              </w:rPr>
            </w:pPr>
            <w:r>
              <w:rPr>
                <w:rFonts w:ascii="宋体" w:hAnsi="宋体"/>
                <w:sz w:val="18"/>
                <w:szCs w:val="18"/>
              </w:rPr>
              <w:t>泥石流</w:t>
            </w:r>
          </w:p>
        </w:tc>
        <w:tc>
          <w:tcPr>
            <w:tcW w:w="364" w:type="pct"/>
            <w:shd w:val="clear" w:color="auto" w:fill="auto"/>
            <w:vAlign w:val="center"/>
          </w:tcPr>
          <w:p>
            <w:pPr>
              <w:jc w:val="center"/>
              <w:rPr>
                <w:rFonts w:ascii="宋体" w:hAnsi="宋体"/>
                <w:sz w:val="18"/>
                <w:szCs w:val="18"/>
              </w:rPr>
            </w:pPr>
            <w:r>
              <w:rPr>
                <w:rFonts w:ascii="宋体" w:hAnsi="宋体"/>
                <w:sz w:val="18"/>
                <w:szCs w:val="18"/>
              </w:rPr>
              <w:t>地面</w:t>
            </w:r>
          </w:p>
          <w:p>
            <w:pPr>
              <w:jc w:val="center"/>
              <w:rPr>
                <w:rFonts w:ascii="宋体" w:hAnsi="宋体"/>
                <w:sz w:val="18"/>
                <w:szCs w:val="18"/>
              </w:rPr>
            </w:pPr>
            <w:r>
              <w:rPr>
                <w:rFonts w:ascii="宋体" w:hAnsi="宋体"/>
                <w:sz w:val="18"/>
                <w:szCs w:val="18"/>
              </w:rPr>
              <w:t>塌陷</w:t>
            </w:r>
          </w:p>
        </w:tc>
        <w:tc>
          <w:tcPr>
            <w:tcW w:w="1150" w:type="pct"/>
            <w:shd w:val="clear" w:color="auto" w:fill="auto"/>
            <w:vAlign w:val="center"/>
          </w:tcPr>
          <w:p>
            <w:pPr>
              <w:jc w:val="center"/>
              <w:rPr>
                <w:rFonts w:ascii="宋体" w:hAnsi="宋体"/>
                <w:sz w:val="18"/>
                <w:szCs w:val="18"/>
              </w:rPr>
            </w:pPr>
            <w:r>
              <w:rPr>
                <w:rFonts w:ascii="宋体" w:hAnsi="宋体"/>
                <w:sz w:val="18"/>
                <w:szCs w:val="18"/>
              </w:rPr>
              <w:t>整编图、表格式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restart"/>
            <w:shd w:val="clear" w:color="auto" w:fill="auto"/>
            <w:vAlign w:val="center"/>
          </w:tcPr>
          <w:p>
            <w:pPr>
              <w:jc w:val="center"/>
              <w:rPr>
                <w:rFonts w:ascii="宋体" w:hAnsi="宋体"/>
                <w:sz w:val="18"/>
                <w:szCs w:val="18"/>
              </w:rPr>
            </w:pPr>
            <w:r>
              <w:rPr>
                <w:rFonts w:ascii="宋体" w:hAnsi="宋体"/>
                <w:sz w:val="18"/>
                <w:szCs w:val="18"/>
              </w:rPr>
              <w:t>位移监测</w:t>
            </w:r>
          </w:p>
        </w:tc>
        <w:tc>
          <w:tcPr>
            <w:tcW w:w="2043" w:type="pct"/>
            <w:shd w:val="clear" w:color="auto" w:fill="auto"/>
            <w:vAlign w:val="center"/>
          </w:tcPr>
          <w:p>
            <w:pPr>
              <w:jc w:val="center"/>
              <w:rPr>
                <w:rFonts w:ascii="宋体" w:hAnsi="宋体"/>
                <w:sz w:val="18"/>
                <w:szCs w:val="18"/>
              </w:rPr>
            </w:pPr>
            <w:r>
              <w:rPr>
                <w:rFonts w:ascii="宋体" w:hAnsi="宋体"/>
                <w:sz w:val="18"/>
                <w:szCs w:val="18"/>
              </w:rPr>
              <w:t>地表位移监测数据统计报表</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附录J表J-1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裂缝统计表</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附录J表J-2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裂缝监测记录报表</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附录J表J-3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水平位移-时间过程曲线</w:t>
            </w:r>
            <w:r>
              <w:rPr>
                <w:rFonts w:hint="eastAsia" w:ascii="宋体" w:hAnsi="宋体"/>
                <w:sz w:val="18"/>
                <w:szCs w:val="18"/>
              </w:rPr>
              <w:t>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垂直位移-时间过程曲线图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合位移速率-时间过程曲线图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位移加速度-时间过程曲线图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位移倾角-时间过程曲线图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位移方向-时间过程曲线图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裂缝张开度-时间过程曲线图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hint="eastAsia" w:ascii="宋体" w:hAnsi="宋体"/>
                <w:sz w:val="18"/>
                <w:szCs w:val="18"/>
              </w:rPr>
              <w:t>深部位移</w:t>
            </w:r>
            <w:r>
              <w:rPr>
                <w:rFonts w:ascii="宋体" w:hAnsi="宋体"/>
                <w:sz w:val="18"/>
                <w:szCs w:val="18"/>
              </w:rPr>
              <w:t>-时间过程曲线图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重力加速度-时间过程曲线图</w:t>
            </w:r>
          </w:p>
        </w:tc>
        <w:tc>
          <w:tcPr>
            <w:tcW w:w="367" w:type="pct"/>
            <w:shd w:val="clear" w:color="auto" w:fill="auto"/>
            <w:vAlign w:val="center"/>
          </w:tcPr>
          <w:p>
            <w:pPr>
              <w:jc w:val="center"/>
              <w:rPr>
                <w:rFonts w:ascii="Times New Roman" w:hAnsi="Times New Roman"/>
                <w:sz w:val="18"/>
                <w:szCs w:val="18"/>
              </w:rPr>
            </w:pPr>
          </w:p>
        </w:tc>
        <w:tc>
          <w:tcPr>
            <w:tcW w:w="365" w:type="pct"/>
            <w:shd w:val="clear" w:color="auto" w:fill="auto"/>
            <w:vAlign w:val="center"/>
          </w:tcPr>
          <w:p>
            <w:pPr>
              <w:jc w:val="center"/>
              <w:rPr>
                <w:rFonts w:ascii="Times New Roman" w:hAnsi="Times New Roman"/>
                <w:sz w:val="18"/>
                <w:szCs w:val="18"/>
              </w:rPr>
            </w:pP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裂缝平面分布图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地表位移矢量平面图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restart"/>
            <w:shd w:val="clear" w:color="auto" w:fill="auto"/>
            <w:vAlign w:val="center"/>
          </w:tcPr>
          <w:p>
            <w:pPr>
              <w:jc w:val="center"/>
              <w:rPr>
                <w:rFonts w:ascii="宋体" w:hAnsi="宋体"/>
                <w:sz w:val="18"/>
                <w:szCs w:val="18"/>
              </w:rPr>
            </w:pPr>
            <w:r>
              <w:rPr>
                <w:rFonts w:ascii="宋体" w:hAnsi="宋体"/>
                <w:sz w:val="18"/>
                <w:szCs w:val="18"/>
              </w:rPr>
              <w:t>应力监测</w:t>
            </w:r>
          </w:p>
        </w:tc>
        <w:tc>
          <w:tcPr>
            <w:tcW w:w="2043" w:type="pct"/>
            <w:shd w:val="clear" w:color="auto" w:fill="auto"/>
            <w:vAlign w:val="center"/>
          </w:tcPr>
          <w:p>
            <w:pPr>
              <w:jc w:val="center"/>
              <w:rPr>
                <w:rFonts w:ascii="宋体" w:hAnsi="宋体"/>
                <w:sz w:val="18"/>
                <w:szCs w:val="18"/>
              </w:rPr>
            </w:pPr>
            <w:r>
              <w:rPr>
                <w:rFonts w:hint="eastAsia" w:ascii="宋体" w:hAnsi="宋体"/>
                <w:sz w:val="18"/>
                <w:szCs w:val="18"/>
              </w:rPr>
              <w:t>滑坡推力</w:t>
            </w:r>
            <w:r>
              <w:rPr>
                <w:rFonts w:ascii="宋体" w:hAnsi="宋体"/>
                <w:sz w:val="18"/>
                <w:szCs w:val="18"/>
              </w:rPr>
              <w:t>-时间过程曲线图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p>
        </w:tc>
        <w:tc>
          <w:tcPr>
            <w:tcW w:w="363" w:type="pct"/>
            <w:shd w:val="clear" w:color="auto" w:fill="auto"/>
            <w:vAlign w:val="center"/>
          </w:tcPr>
          <w:p>
            <w:pPr>
              <w:jc w:val="center"/>
              <w:rPr>
                <w:rFonts w:ascii="Times New Roman" w:hAnsi="Times New Roman"/>
                <w:sz w:val="18"/>
                <w:szCs w:val="18"/>
              </w:rPr>
            </w:pPr>
          </w:p>
        </w:tc>
        <w:tc>
          <w:tcPr>
            <w:tcW w:w="364" w:type="pct"/>
            <w:shd w:val="clear" w:color="auto" w:fill="auto"/>
            <w:vAlign w:val="center"/>
          </w:tcPr>
          <w:p>
            <w:pPr>
              <w:jc w:val="center"/>
              <w:rPr>
                <w:rFonts w:ascii="Times New Roman" w:hAnsi="Times New Roman"/>
                <w:sz w:val="18"/>
                <w:szCs w:val="18"/>
              </w:rPr>
            </w:pP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土体孔隙水压力-时间过程曲线图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restart"/>
            <w:shd w:val="clear" w:color="auto" w:fill="auto"/>
            <w:vAlign w:val="center"/>
          </w:tcPr>
          <w:p>
            <w:pPr>
              <w:jc w:val="center"/>
              <w:rPr>
                <w:rFonts w:ascii="宋体" w:hAnsi="宋体"/>
                <w:sz w:val="18"/>
                <w:szCs w:val="18"/>
              </w:rPr>
            </w:pPr>
            <w:r>
              <w:rPr>
                <w:rFonts w:ascii="宋体" w:hAnsi="宋体"/>
                <w:sz w:val="18"/>
                <w:szCs w:val="18"/>
              </w:rPr>
              <w:t>孕灾环境监测</w:t>
            </w:r>
          </w:p>
        </w:tc>
        <w:tc>
          <w:tcPr>
            <w:tcW w:w="2043" w:type="pct"/>
            <w:shd w:val="clear" w:color="auto" w:fill="auto"/>
            <w:vAlign w:val="center"/>
          </w:tcPr>
          <w:p>
            <w:pPr>
              <w:jc w:val="center"/>
              <w:rPr>
                <w:rFonts w:ascii="宋体" w:hAnsi="宋体"/>
                <w:sz w:val="18"/>
                <w:szCs w:val="18"/>
              </w:rPr>
            </w:pPr>
            <w:r>
              <w:rPr>
                <w:rFonts w:ascii="宋体" w:hAnsi="宋体"/>
                <w:sz w:val="18"/>
                <w:szCs w:val="18"/>
              </w:rPr>
              <w:t>气象、水文监测记录报表</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日降雨量-时间过程曲线图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泥</w:t>
            </w:r>
            <w:r>
              <w:rPr>
                <w:rFonts w:hint="eastAsia" w:ascii="宋体" w:hAnsi="宋体"/>
                <w:sz w:val="18"/>
                <w:szCs w:val="18"/>
              </w:rPr>
              <w:t>/水</w:t>
            </w:r>
            <w:r>
              <w:rPr>
                <w:rFonts w:ascii="宋体" w:hAnsi="宋体"/>
                <w:sz w:val="18"/>
                <w:szCs w:val="18"/>
              </w:rPr>
              <w:t>位-时间过程曲线图</w:t>
            </w:r>
          </w:p>
        </w:tc>
        <w:tc>
          <w:tcPr>
            <w:tcW w:w="367" w:type="pct"/>
            <w:shd w:val="clear" w:color="auto" w:fill="auto"/>
            <w:vAlign w:val="center"/>
          </w:tcPr>
          <w:p>
            <w:pPr>
              <w:jc w:val="center"/>
              <w:rPr>
                <w:rFonts w:ascii="Times New Roman" w:hAnsi="Times New Roman"/>
                <w:sz w:val="18"/>
                <w:szCs w:val="18"/>
              </w:rPr>
            </w:pPr>
          </w:p>
        </w:tc>
        <w:tc>
          <w:tcPr>
            <w:tcW w:w="365" w:type="pct"/>
            <w:shd w:val="clear" w:color="auto" w:fill="auto"/>
            <w:vAlign w:val="center"/>
          </w:tcPr>
          <w:p>
            <w:pPr>
              <w:jc w:val="center"/>
              <w:rPr>
                <w:rFonts w:ascii="Times New Roman" w:hAnsi="Times New Roman"/>
                <w:sz w:val="18"/>
                <w:szCs w:val="18"/>
              </w:rPr>
            </w:pP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小时降雨量-时间过程曲线图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土体含水率-时间过程曲线图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地下水位高程-降雨量关系图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vMerge w:val="continue"/>
            <w:shd w:val="clear" w:color="auto" w:fill="auto"/>
            <w:vAlign w:val="center"/>
          </w:tcPr>
          <w:p>
            <w:pPr>
              <w:jc w:val="center"/>
              <w:rPr>
                <w:rFonts w:ascii="宋体" w:hAnsi="宋体"/>
                <w:sz w:val="18"/>
                <w:szCs w:val="18"/>
              </w:rPr>
            </w:pPr>
          </w:p>
        </w:tc>
        <w:tc>
          <w:tcPr>
            <w:tcW w:w="2043" w:type="pct"/>
            <w:shd w:val="clear" w:color="auto" w:fill="auto"/>
            <w:vAlign w:val="center"/>
          </w:tcPr>
          <w:p>
            <w:pPr>
              <w:jc w:val="center"/>
              <w:rPr>
                <w:rFonts w:ascii="宋体" w:hAnsi="宋体"/>
                <w:sz w:val="18"/>
                <w:szCs w:val="18"/>
              </w:rPr>
            </w:pPr>
            <w:r>
              <w:rPr>
                <w:rFonts w:ascii="宋体" w:hAnsi="宋体"/>
                <w:sz w:val="18"/>
                <w:szCs w:val="18"/>
              </w:rPr>
              <w:t>降雨量-泉流量关系图</w:t>
            </w:r>
          </w:p>
        </w:tc>
        <w:tc>
          <w:tcPr>
            <w:tcW w:w="367"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5" w:type="pct"/>
            <w:shd w:val="clear" w:color="auto" w:fill="auto"/>
            <w:vAlign w:val="center"/>
          </w:tcPr>
          <w:p>
            <w:pPr>
              <w:jc w:val="center"/>
              <w:rPr>
                <w:rFonts w:ascii="Times New Roman" w:hAnsi="Times New Roman"/>
                <w:sz w:val="18"/>
                <w:szCs w:val="18"/>
              </w:rPr>
            </w:pPr>
          </w:p>
        </w:tc>
        <w:tc>
          <w:tcPr>
            <w:tcW w:w="363"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364" w:type="pct"/>
            <w:shd w:val="clear" w:color="auto" w:fill="auto"/>
            <w:vAlign w:val="center"/>
          </w:tcPr>
          <w:p>
            <w:pPr>
              <w:jc w:val="center"/>
              <w:rPr>
                <w:rFonts w:ascii="Times New Roman" w:hAnsi="Times New Roman"/>
                <w:sz w:val="18"/>
                <w:szCs w:val="18"/>
              </w:rPr>
            </w:pPr>
          </w:p>
        </w:tc>
        <w:tc>
          <w:tcPr>
            <w:tcW w:w="1150" w:type="pct"/>
            <w:shd w:val="clear" w:color="auto" w:fill="auto"/>
            <w:vAlign w:val="center"/>
          </w:tcPr>
          <w:p>
            <w:pPr>
              <w:jc w:val="center"/>
              <w:rPr>
                <w:rFonts w:ascii="Times New Roman" w:hAnsi="Times New Roman"/>
                <w:sz w:val="18"/>
                <w:szCs w:val="18"/>
              </w:rPr>
            </w:pPr>
            <w:r>
              <w:rPr>
                <w:rFonts w:ascii="Times New Roman" w:hAnsi="Times New Roman"/>
                <w:sz w:val="18"/>
                <w:szCs w:val="18"/>
              </w:rPr>
              <w:t>附录J图J-15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7"/>
            <w:shd w:val="clear" w:color="auto" w:fill="auto"/>
            <w:vAlign w:val="center"/>
          </w:tcPr>
          <w:p>
            <w:pPr>
              <w:rPr>
                <w:rFonts w:ascii="Times New Roman" w:hAnsi="Times New Roman"/>
                <w:sz w:val="18"/>
                <w:szCs w:val="18"/>
              </w:rPr>
            </w:pPr>
            <w:r>
              <w:rPr>
                <w:rFonts w:ascii="黑体" w:hAnsi="黑体" w:eastAsia="黑体"/>
                <w:sz w:val="18"/>
                <w:szCs w:val="18"/>
              </w:rPr>
              <w:t>注1：</w:t>
            </w:r>
            <w:r>
              <w:rPr>
                <w:rFonts w:ascii="Times New Roman" w:hAnsi="Times New Roman"/>
                <w:sz w:val="18"/>
                <w:szCs w:val="18"/>
              </w:rPr>
              <w:t>打</w:t>
            </w:r>
            <w:r>
              <w:rPr>
                <w:rFonts w:asciiTheme="minorEastAsia" w:hAnsiTheme="minorEastAsia" w:eastAsiaTheme="minorEastAsia"/>
                <w:sz w:val="18"/>
                <w:szCs w:val="18"/>
              </w:rPr>
              <w:t>“</w:t>
            </w:r>
            <w:r>
              <w:rPr>
                <w:rFonts w:ascii="Times New Roman" w:hAnsi="Times New Roman" w:eastAsiaTheme="minorEastAsia"/>
                <w:sz w:val="18"/>
                <w:szCs w:val="18"/>
              </w:rPr>
              <w:t>√</w:t>
            </w:r>
            <w:r>
              <w:rPr>
                <w:rFonts w:asciiTheme="minorEastAsia" w:hAnsiTheme="minorEastAsia" w:eastAsiaTheme="minorEastAsia"/>
                <w:sz w:val="18"/>
                <w:szCs w:val="18"/>
              </w:rPr>
              <w:t>”</w:t>
            </w:r>
            <w:r>
              <w:rPr>
                <w:rFonts w:ascii="Times New Roman" w:hAnsi="Times New Roman"/>
                <w:sz w:val="18"/>
                <w:szCs w:val="18"/>
              </w:rPr>
              <w:t>为可选。</w:t>
            </w:r>
          </w:p>
          <w:p>
            <w:pPr>
              <w:rPr>
                <w:rFonts w:ascii="Times New Roman" w:hAnsi="Times New Roman"/>
                <w:sz w:val="18"/>
                <w:szCs w:val="18"/>
              </w:rPr>
            </w:pPr>
            <w:r>
              <w:rPr>
                <w:rFonts w:ascii="黑体" w:hAnsi="黑体" w:eastAsia="黑体"/>
                <w:sz w:val="18"/>
                <w:szCs w:val="18"/>
              </w:rPr>
              <w:t>注2：</w:t>
            </w:r>
            <w:r>
              <w:rPr>
                <w:rFonts w:ascii="Times New Roman" w:hAnsi="Times New Roman"/>
                <w:sz w:val="18"/>
                <w:szCs w:val="18"/>
              </w:rPr>
              <w:t>泥石流物源来自崩滑体的，可在滑坡、崩塌资料整编图表内容中增选。</w:t>
            </w:r>
          </w:p>
          <w:p>
            <w:pPr>
              <w:ind w:left="540" w:hanging="540" w:hangingChars="300"/>
              <w:rPr>
                <w:rFonts w:ascii="Times New Roman" w:hAnsi="Times New Roman"/>
                <w:sz w:val="18"/>
                <w:szCs w:val="18"/>
              </w:rPr>
            </w:pPr>
            <w:r>
              <w:rPr>
                <w:rFonts w:ascii="黑体" w:hAnsi="黑体" w:eastAsia="黑体"/>
                <w:sz w:val="18"/>
                <w:szCs w:val="18"/>
              </w:rPr>
              <w:t>注</w:t>
            </w:r>
            <w:r>
              <w:rPr>
                <w:rFonts w:hint="eastAsia" w:ascii="黑体" w:hAnsi="黑体" w:eastAsia="黑体"/>
                <w:sz w:val="18"/>
                <w:szCs w:val="18"/>
              </w:rPr>
              <w:t>3</w:t>
            </w:r>
            <w:r>
              <w:rPr>
                <w:rFonts w:ascii="黑体" w:hAnsi="黑体" w:eastAsia="黑体"/>
                <w:sz w:val="18"/>
                <w:szCs w:val="18"/>
              </w:rPr>
              <w:t>：</w:t>
            </w:r>
            <w:r>
              <w:rPr>
                <w:rFonts w:ascii="Times New Roman" w:hAnsi="Times New Roman"/>
                <w:sz w:val="18"/>
                <w:szCs w:val="18"/>
              </w:rPr>
              <w:t>本表列出的为一般、常见监测物理量变化过程曲线图。绘制特征影响因素量（如降雨量）与各监测物理量相关的</w:t>
            </w:r>
          </w:p>
          <w:p>
            <w:pPr>
              <w:ind w:left="542" w:leftChars="258"/>
              <w:rPr>
                <w:rFonts w:ascii="Times New Roman" w:hAnsi="Times New Roman"/>
                <w:sz w:val="18"/>
                <w:szCs w:val="18"/>
              </w:rPr>
            </w:pPr>
            <w:r>
              <w:rPr>
                <w:rFonts w:ascii="Times New Roman" w:hAnsi="Times New Roman"/>
                <w:sz w:val="18"/>
                <w:szCs w:val="18"/>
              </w:rPr>
              <w:t>过程曲线图、多因素叠加与监测物理量的综合分析曲线图等，可根据灾害体预警预报、变形机理分析的实际需要整编。</w:t>
            </w:r>
          </w:p>
        </w:tc>
      </w:tr>
    </w:tbl>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p>
    <w:p>
      <w:pPr>
        <w:pStyle w:val="4"/>
        <w:spacing w:before="120" w:after="120"/>
      </w:pPr>
      <w:r>
        <w:rPr>
          <w:rFonts w:hint="eastAsia"/>
        </w:rPr>
        <w:t>9.3.3  综合分析与趋势预测</w:t>
      </w:r>
    </w:p>
    <w:p>
      <w:pPr>
        <w:tabs>
          <w:tab w:val="center" w:pos="4201"/>
          <w:tab w:val="right" w:leader="dot" w:pos="9298"/>
        </w:tabs>
        <w:autoSpaceDE w:val="0"/>
        <w:autoSpaceDN w:val="0"/>
        <w:spacing w:line="360" w:lineRule="auto"/>
        <w:ind w:firstLine="420" w:firstLineChars="200"/>
        <w:jc w:val="left"/>
        <w:rPr>
          <w:rFonts w:ascii="宋体" w:hAnsi="宋体"/>
          <w:kern w:val="0"/>
          <w:szCs w:val="21"/>
        </w:rPr>
      </w:pPr>
      <w:r>
        <w:rPr>
          <w:rFonts w:hint="eastAsia" w:ascii="宋体" w:hAnsi="宋体"/>
          <w:kern w:val="0"/>
          <w:szCs w:val="21"/>
        </w:rPr>
        <w:t>监测资料可采用比较法、作图法、特征值统计法等进行统计分析；可采用移动平均法、指数平滑法等趋势预测方法，结合宏观地质现象等预测地质灾害体短期变形发展趋势。隐患点监测综合分析与趋势预测的主要内容见表</w:t>
      </w:r>
      <w:r>
        <w:rPr>
          <w:rFonts w:ascii="Times New Roman" w:hAnsi="Times New Roman"/>
          <w:kern w:val="0"/>
          <w:szCs w:val="21"/>
        </w:rPr>
        <w:t>15</w:t>
      </w:r>
      <w:r>
        <w:rPr>
          <w:rFonts w:hint="eastAsia" w:ascii="宋体" w:hAnsi="宋体"/>
          <w:kern w:val="0"/>
          <w:szCs w:val="21"/>
        </w:rPr>
        <w:t>。</w:t>
      </w:r>
    </w:p>
    <w:p>
      <w:pPr>
        <w:tabs>
          <w:tab w:val="center" w:pos="4201"/>
          <w:tab w:val="right" w:leader="dot" w:pos="9298"/>
        </w:tabs>
        <w:autoSpaceDE w:val="0"/>
        <w:autoSpaceDN w:val="0"/>
        <w:spacing w:line="360" w:lineRule="auto"/>
        <w:ind w:firstLine="420" w:firstLineChars="200"/>
        <w:jc w:val="left"/>
        <w:rPr>
          <w:rFonts w:ascii="宋体" w:hAnsi="Times New Roman"/>
          <w:kern w:val="0"/>
          <w:szCs w:val="21"/>
        </w:rPr>
      </w:pPr>
    </w:p>
    <w:p>
      <w:pPr>
        <w:tabs>
          <w:tab w:val="center" w:pos="4201"/>
          <w:tab w:val="right" w:leader="dot" w:pos="9298"/>
        </w:tabs>
        <w:autoSpaceDE w:val="0"/>
        <w:autoSpaceDN w:val="0"/>
        <w:spacing w:line="360" w:lineRule="auto"/>
        <w:ind w:firstLine="420" w:firstLineChars="200"/>
        <w:jc w:val="left"/>
        <w:rPr>
          <w:rFonts w:ascii="宋体" w:hAnsi="Times New Roman"/>
          <w:kern w:val="0"/>
          <w:szCs w:val="21"/>
        </w:rPr>
      </w:pPr>
    </w:p>
    <w:p>
      <w:pPr>
        <w:tabs>
          <w:tab w:val="center" w:pos="4201"/>
          <w:tab w:val="right" w:leader="dot" w:pos="9298"/>
        </w:tabs>
        <w:autoSpaceDE w:val="0"/>
        <w:autoSpaceDN w:val="0"/>
        <w:spacing w:line="360" w:lineRule="auto"/>
        <w:ind w:firstLine="420" w:firstLineChars="200"/>
        <w:jc w:val="left"/>
        <w:rPr>
          <w:rFonts w:ascii="宋体" w:hAnsi="Times New Roman"/>
          <w:kern w:val="0"/>
          <w:szCs w:val="21"/>
        </w:rPr>
      </w:pPr>
    </w:p>
    <w:p>
      <w:pPr>
        <w:tabs>
          <w:tab w:val="center" w:pos="4201"/>
          <w:tab w:val="right" w:leader="dot" w:pos="9298"/>
        </w:tabs>
        <w:autoSpaceDE w:val="0"/>
        <w:autoSpaceDN w:val="0"/>
        <w:spacing w:line="360" w:lineRule="auto"/>
        <w:ind w:firstLine="420" w:firstLineChars="200"/>
        <w:jc w:val="left"/>
        <w:rPr>
          <w:rFonts w:ascii="宋体" w:hAnsi="Times New Roman"/>
          <w:kern w:val="0"/>
          <w:szCs w:val="21"/>
        </w:rPr>
      </w:pP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表15  隐患点监测综合分析、趋势预测主要内容汇总表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8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86"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灾种</w:t>
            </w:r>
          </w:p>
        </w:tc>
        <w:tc>
          <w:tcPr>
            <w:tcW w:w="4214"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综合分析与趋势预测内容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6"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滑坡</w:t>
            </w:r>
          </w:p>
        </w:tc>
        <w:tc>
          <w:tcPr>
            <w:tcW w:w="4214" w:type="pct"/>
            <w:shd w:val="clear" w:color="auto" w:fill="auto"/>
            <w:vAlign w:val="center"/>
          </w:tcPr>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1.变形范围：地表位移监测手段可控制范围应较大，通过一段时间的监测来确定周边岩土体是否受到影响。</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2.变形分区：通过地表变形统计分析结合滑坡空间位移矢量大小，对滑坡进行变形分区，并应综合分析各区之间差异的原因。分析各区的变形方向、变形时间顺序、变形速率差，并结合宏观变形特征来判断各区之间的力学联系。</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3.变形机理分析：a)从滑坡灾害相同时段内不同区域空间位移矢量大小、方向的差异进行初步判断滑坡的变形机理。b)将变形监测资料结合影响因素监测资料比较分析，提取其中对滑坡变形影响最大的因素，为滑坡预测提供依据。</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4</w:t>
            </w:r>
            <w:r>
              <w:rPr>
                <w:rFonts w:hint="eastAsia" w:ascii="Times New Roman" w:hAnsi="Times New Roman"/>
                <w:kern w:val="0"/>
                <w:sz w:val="18"/>
                <w:szCs w:val="18"/>
              </w:rPr>
              <w:t>.</w:t>
            </w:r>
            <w:r>
              <w:rPr>
                <w:rFonts w:ascii="Times New Roman" w:hAnsi="Times New Roman"/>
                <w:kern w:val="0"/>
                <w:sz w:val="18"/>
                <w:szCs w:val="18"/>
              </w:rPr>
              <w:t>变形发展阶段判断：判据分为定量判据、定性判据，参考附录J。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6"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崩塌</w:t>
            </w:r>
          </w:p>
        </w:tc>
        <w:tc>
          <w:tcPr>
            <w:tcW w:w="4214" w:type="pct"/>
            <w:shd w:val="clear" w:color="auto" w:fill="auto"/>
            <w:vAlign w:val="center"/>
          </w:tcPr>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1.各监测要素随时间变化的趋势性，分析变形动态、应力状态等发展趋势。</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2.各监测要素特征值变化的规律性，分析变形总量、速率及环境因素影响。</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3.不同监测要素之间相关关系变化的规律性。</w:t>
            </w:r>
          </w:p>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4.一般情况下，各类监测信息发生明显变化时，均应进行预警预报。此外，下列情况可做到分析预测：</w:t>
            </w:r>
          </w:p>
          <w:p>
            <w:pPr>
              <w:widowControl/>
              <w:tabs>
                <w:tab w:val="center" w:pos="4201"/>
                <w:tab w:val="right" w:leader="dot" w:pos="9298"/>
              </w:tabs>
              <w:autoSpaceDE w:val="0"/>
              <w:autoSpaceDN w:val="0"/>
              <w:ind w:left="181" w:leftChars="86"/>
              <w:rPr>
                <w:rFonts w:ascii="Times New Roman" w:hAnsi="Times New Roman"/>
                <w:kern w:val="0"/>
                <w:sz w:val="18"/>
                <w:szCs w:val="18"/>
              </w:rPr>
            </w:pPr>
            <w:r>
              <w:rPr>
                <w:rFonts w:ascii="Times New Roman" w:hAnsi="Times New Roman"/>
                <w:kern w:val="0"/>
                <w:sz w:val="18"/>
                <w:szCs w:val="18"/>
              </w:rPr>
              <w:t>a)稳定性受裂隙充水程度控制的崩塌体，降雨期间应实时分析水位上升速率，预测到达预警水位的时间。b)对倾倒型崩塌体应着重分析预测岩体的外倾程度与速度，预测其重心偏移至坡面外的时间。c)对滑移型崩塌体应着重分析监测点的位移速率变化，及时捕捉加速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6"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泥石流</w:t>
            </w:r>
          </w:p>
        </w:tc>
        <w:tc>
          <w:tcPr>
            <w:tcW w:w="4214" w:type="pct"/>
            <w:shd w:val="clear" w:color="auto" w:fill="auto"/>
            <w:vAlign w:val="center"/>
          </w:tcPr>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1.降雨量：a)前期雨量分析。间接前期降雨和直接前期降雨在影响泥石流形成的降雨指标中贡献最大，应重视前期降雨指标，避免只强调短历时激发雨量指标的不足。b)在分析临界雨量的时候需充分考虑区域背景条件的影响。</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2.泥位：需充分考虑监测断面底床变化对泥位、断面面积的影响，无论是底床冲刷或者淤积都会影响泥位监测数据和流量计算。</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3.土体孔隙水压力和含水率：考虑前期降雨和区域环境的影响。一般干旱少雨区监测数据较湿润区数据上升较多。</w:t>
            </w:r>
          </w:p>
          <w:p>
            <w:pPr>
              <w:widowControl/>
              <w:tabs>
                <w:tab w:val="center" w:pos="4201"/>
                <w:tab w:val="right" w:leader="dot" w:pos="9298"/>
              </w:tabs>
              <w:autoSpaceDE w:val="0"/>
              <w:autoSpaceDN w:val="0"/>
              <w:ind w:left="180" w:hanging="180" w:hangingChars="100"/>
              <w:rPr>
                <w:rFonts w:ascii="Times New Roman" w:hAnsi="Times New Roman"/>
                <w:kern w:val="0"/>
                <w:sz w:val="18"/>
                <w:szCs w:val="18"/>
              </w:rPr>
            </w:pPr>
            <w:r>
              <w:rPr>
                <w:rFonts w:ascii="Times New Roman" w:hAnsi="Times New Roman"/>
                <w:kern w:val="0"/>
                <w:sz w:val="18"/>
                <w:szCs w:val="18"/>
              </w:rPr>
              <w:t>4.振动、次声：需考虑车辆等其他振动干扰，可构建环境背景噪声特征库，运用多通道信号互相关分析法，可根据泥石流次声的三点定位原理结合次声主要特征，判定是否有泥石流发生。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6" w:type="pct"/>
            <w:shd w:val="clear" w:color="auto" w:fill="auto"/>
            <w:vAlign w:val="center"/>
          </w:tcPr>
          <w:p>
            <w:pPr>
              <w:widowControl/>
              <w:tabs>
                <w:tab w:val="center" w:pos="4201"/>
                <w:tab w:val="right" w:leader="dot" w:pos="9298"/>
              </w:tabs>
              <w:autoSpaceDE w:val="0"/>
              <w:autoSpaceDN w:val="0"/>
              <w:jc w:val="center"/>
              <w:rPr>
                <w:rFonts w:ascii="Times New Roman" w:hAnsi="Times New Roman"/>
                <w:kern w:val="0"/>
                <w:sz w:val="18"/>
                <w:szCs w:val="18"/>
              </w:rPr>
            </w:pPr>
            <w:r>
              <w:rPr>
                <w:rFonts w:ascii="Times New Roman" w:hAnsi="Times New Roman"/>
                <w:kern w:val="0"/>
                <w:sz w:val="18"/>
                <w:szCs w:val="18"/>
              </w:rPr>
              <w:t>地面塌陷</w:t>
            </w:r>
          </w:p>
        </w:tc>
        <w:tc>
          <w:tcPr>
            <w:tcW w:w="4214" w:type="pct"/>
            <w:shd w:val="clear" w:color="auto" w:fill="auto"/>
            <w:vAlign w:val="center"/>
          </w:tcPr>
          <w:p>
            <w:pPr>
              <w:widowControl/>
              <w:tabs>
                <w:tab w:val="center" w:pos="4201"/>
                <w:tab w:val="right" w:leader="dot" w:pos="9298"/>
              </w:tabs>
              <w:autoSpaceDE w:val="0"/>
              <w:autoSpaceDN w:val="0"/>
              <w:rPr>
                <w:rFonts w:ascii="Times New Roman" w:hAnsi="Times New Roman"/>
                <w:kern w:val="0"/>
                <w:sz w:val="18"/>
                <w:szCs w:val="18"/>
              </w:rPr>
            </w:pPr>
            <w:r>
              <w:rPr>
                <w:rFonts w:ascii="Times New Roman" w:hAnsi="Times New Roman"/>
                <w:kern w:val="0"/>
                <w:sz w:val="18"/>
                <w:szCs w:val="18"/>
              </w:rPr>
              <w:t>一般情况下，各类监测信息发生明显变化时，均应进行预警预报，无需过多地分析各类数据间的数值关系。</w:t>
            </w:r>
          </w:p>
        </w:tc>
      </w:tr>
    </w:tbl>
    <w:p/>
    <w:p>
      <w:pPr>
        <w:pStyle w:val="4"/>
        <w:spacing w:before="120" w:after="120"/>
      </w:pPr>
      <w:r>
        <w:rPr>
          <w:rFonts w:hint="eastAsia"/>
        </w:rPr>
        <w:t>9.3.4  隐患点监测预警预报</w:t>
      </w:r>
    </w:p>
    <w:p>
      <w:pPr>
        <w:pStyle w:val="5"/>
        <w:spacing w:before="120" w:after="120"/>
      </w:pPr>
      <w:r>
        <w:rPr>
          <w:rFonts w:hint="eastAsia"/>
        </w:rPr>
        <w:t>9.3.4.1  隐患点预警预报流程</w:t>
      </w:r>
    </w:p>
    <w:p>
      <w:pPr>
        <w:tabs>
          <w:tab w:val="center" w:pos="4201"/>
          <w:tab w:val="right" w:leader="dot" w:pos="9298"/>
        </w:tabs>
        <w:autoSpaceDE w:val="0"/>
        <w:autoSpaceDN w:val="0"/>
        <w:spacing w:line="360" w:lineRule="auto"/>
        <w:ind w:firstLine="420" w:firstLineChars="200"/>
        <w:jc w:val="left"/>
        <w:rPr>
          <w:rFonts w:ascii="宋体" w:hAnsi="Times New Roman"/>
          <w:kern w:val="0"/>
          <w:szCs w:val="21"/>
        </w:rPr>
      </w:pPr>
      <w:r>
        <w:rPr>
          <w:rFonts w:hint="eastAsia" w:ascii="宋体" w:hAnsi="宋体"/>
          <w:kern w:val="0"/>
          <w:szCs w:val="21"/>
        </w:rPr>
        <w:t>地质灾害隐患点专业监测预警预报流程见</w:t>
      </w:r>
      <w:r>
        <w:rPr>
          <w:rFonts w:ascii="Times New Roman" w:hAnsi="Times New Roman"/>
          <w:kern w:val="0"/>
          <w:szCs w:val="21"/>
        </w:rPr>
        <w:t>图3</w:t>
      </w:r>
      <w:r>
        <w:rPr>
          <w:rFonts w:hint="eastAsia" w:ascii="宋体" w:hAnsi="宋体"/>
          <w:kern w:val="0"/>
          <w:szCs w:val="21"/>
        </w:rPr>
        <w:t>。</w:t>
      </w:r>
    </w:p>
    <w:p>
      <w:pPr>
        <w:tabs>
          <w:tab w:val="center" w:pos="4201"/>
          <w:tab w:val="right" w:leader="dot" w:pos="9298"/>
        </w:tabs>
        <w:autoSpaceDE w:val="0"/>
        <w:autoSpaceDN w:val="0"/>
        <w:spacing w:line="360" w:lineRule="auto"/>
        <w:rPr>
          <w:rFonts w:ascii="宋体" w:hAnsi="宋体"/>
          <w:kern w:val="0"/>
          <w:szCs w:val="21"/>
        </w:rPr>
        <w:sectPr>
          <w:pgSz w:w="11906" w:h="16838"/>
          <w:pgMar w:top="1418" w:right="1134" w:bottom="1134" w:left="1418" w:header="851" w:footer="992" w:gutter="0"/>
          <w:cols w:space="425" w:num="1"/>
          <w:docGrid w:linePitch="312" w:charSpace="0"/>
        </w:sectPr>
      </w:pPr>
    </w:p>
    <w:p>
      <w:pPr>
        <w:tabs>
          <w:tab w:val="center" w:pos="4201"/>
          <w:tab w:val="right" w:leader="dot" w:pos="9298"/>
        </w:tabs>
        <w:autoSpaceDE w:val="0"/>
        <w:autoSpaceDN w:val="0"/>
        <w:spacing w:line="360" w:lineRule="auto"/>
        <w:rPr>
          <w:rFonts w:ascii="宋体" w:hAnsi="宋体"/>
          <w:kern w:val="0"/>
          <w:szCs w:val="21"/>
        </w:rPr>
      </w:pPr>
      <w:r>
        <w:pict>
          <v:shape id="AutoShape 11" o:spid="_x0000_s1143" o:spt="67" type="#_x0000_t67" style="position:absolute;left:0pt;margin-left:213.4pt;margin-top:17.65pt;height:19.85pt;width:11.35pt;z-index:2517012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KVhRgIAAJYEAAAOAAAAZHJzL2Uyb0RvYy54bWysVE1v1DAQvSPxHyzfaTZh03ajZquqpQip&#10;QKUC91nb2Rj8he3dbP89Yye7pHBD5OB4MuM3b+Z5cnV90IrshQ/SmpaWZwtKhGGWS7Nt6dcv928u&#10;KQkRDAdljWjpswj0ev361dXgGlHZ3iouPEEQE5rBtbSP0TVFEVgvNIQz64RBZ2e9hoim3xbcw4Do&#10;WhXVYnFeDNZz5y0TIeDXu9FJ1xm/6wSLn7suiEhUS5FbzKvP6yatxfoKmq0H10s20YB/YKFBGkx6&#10;grqDCGTn5V9QWjJvg+3iGbO6sF0nmcg1YDXl4o9qnnpwIteCzQnu1Kbw/2DZp/2jJ5K39Lw8p8SA&#10;RpFudtHm3KQsU4cGFxoMfHKPPtUY3INlPwIx9rYHsxU33tuhF8CRV44vXhxIRsCjZDN8tBzhAeFz&#10;sw6d1wkQ20AOWZPnkybiEAnDj+VyWS5rShi6qrparOrEqIDmeNj5EN8Lq0natJTbwWRCOQPsH0LM&#10;uvCpNuDfS0o6rVDmPShSL/CZrsEspprHvK1WF2Nh0EyISOCYOLfEKsnvpVLZ8NvNrfIE4Vt6n5+J&#10;c5iHKUOGlq7qqs5UX/jCHCIxHDli1hdhWkacHiV1Sy9PQdAkLd4Znu92BKnGPR5WBlt31GPUdWP5&#10;M2rj7TgaOMq4EfAN35QMOBgtDT934AUl6oNBhVeoSJqkbCzriwoNP/ds5h4wrLc4bwg2bm/jOH07&#10;5+W2x1xlrt7YdOk6GZO4ieHIazLw8mfNp0FN0zW3c9Tv38n6FwAAAP//AwBQSwMEFAAGAAgAAAAh&#10;AF2rWVveAAAACQEAAA8AAABkcnMvZG93bnJldi54bWxMj81OwzAQhO9IvIO1SNyoQwktCXEqQEJC&#10;3FoQP7dtvMQW8Tqy3TZ9e8wJjqMZzXzTrCY3iD2FaD0ruJwVIIg7ry33Cl5fHi9uQMSErHHwTAqO&#10;FGHVnp40WGt/4DXtN6kXuYRjjQpMSmMtZewMOYwzPxJn78sHhynL0Esd8JDL3SDnRbGQDi3nBYMj&#10;PRjqvjc7pyDcmyf7Fjv7ge/rz2fLlsx4VOr8bLq7BZFoSn9h+MXP6NBmpq3fsY5iUFDOFxk9Kbiq&#10;liByoCyraxBbBcuqBNk28v+D9gcAAP//AwBQSwECLQAUAAYACAAAACEAtoM4kv4AAADhAQAAEwAA&#10;AAAAAAAAAAAAAAAAAAAAW0NvbnRlbnRfVHlwZXNdLnhtbFBLAQItABQABgAIAAAAIQA4/SH/1gAA&#10;AJQBAAALAAAAAAAAAAAAAAAAAC8BAABfcmVscy8ucmVsc1BLAQItABQABgAIAAAAIQAzlKVhRgIA&#10;AJYEAAAOAAAAAAAAAAAAAAAAAC4CAABkcnMvZTJvRG9jLnhtbFBLAQItABQABgAIAAAAIQBdq1lb&#10;3gAAAAkBAAAPAAAAAAAAAAAAAAAAAKAEAABkcnMvZG93bnJldi54bWxQSwUGAAAAAAQABADzAAAA&#10;qwUAAAAA&#10;" adj="17528">
            <v:path/>
            <v:fill focussize="0,0"/>
            <v:stroke joinstyle="miter"/>
            <v:imagedata o:title=""/>
            <o:lock v:ext="edit"/>
            <v:textbox style="layout-flow:vertical-ideographic;"/>
          </v:shape>
        </w:pict>
      </w:r>
      <w:r>
        <w:pict>
          <v:shape id="Text Box 10" o:spid="_x0000_s1084" o:spt="202" type="#_x0000_t202" style="position:absolute;left:0pt;margin-left:173.4pt;margin-top:-2.2pt;height:19.85pt;width:87.85pt;z-index:2517002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sGbLgIAAFsEAAAOAAAAZHJzL2Uyb0RvYy54bWysVNtu2zAMfR+wfxD0vvjSJGuMOEWXLsOA&#10;7gK0+wBZlm1hsqhJSuzs60fJaZrdXob5QRBN+pA8h/T6ZuwVOQjrJOiSZrOUEqE51FK3Jf3yuHt1&#10;TYnzTNdMgRYlPQpHbzYvX6wHU4gcOlC1sARBtCsGU9LOe1MkieOd6JmbgREanQ3Ynnk0bZvUlg2I&#10;3qskT9NlMoCtjQUunMO3d5OTbiJ+0wjuPzWNE56okmJtPp42nlU4k82aFa1lppP8VAb7hyp6JjUm&#10;PUPdMc/I3srfoHrJLTho/IxDn0DTSC5iD9hNlv7SzUPHjIi9IDnOnGly/w+Wfzx8tkTWJV1mC0o0&#10;61GkRzF68gZGkkWCBuMKjHswGOlHfI9Cx2aduQf+1REN247pVtxaC0MnWI0FZoHa5OLTIIkrXACp&#10;hg9QYx629xCBxsb2gT3kgyA6CnU8ixNq4SFlli2WK6yRoy9f5CneQwpWPH1trPPvBPQkXEpqUfyI&#10;zg73zk+hTyEhmQMl651UKhq2rbbKkgPDQdnF54T+U5jSZCjpapEvJgL+CpHG508QvfQ48Ur2Jb0+&#10;B7Ei0PZW13EePZNqumN3Sp94DNRNJPqxGqNmV1chQ+C1gvqIzFqYJhw3Ei8d2O+UDDjdJXXf9swK&#10;StR7jeqssvk8rEM05ovXORr20lNdepjmCFVST8l03fpphfbGyrbDTNM8aLhFRRsZyX6u6lQ/TnCU&#10;67RtYUUu7Rj1/E/Y/AAAAP//AwBQSwMEFAAGAAgAAAAhAB4Y/PbeAAAABwEAAA8AAABkcnMvZG93&#10;bnJldi54bWxMj8FOwzAQRO9I/IO1SFxQ65C2aRviVAgJRG/QIri6yTaJsNfBdtPw9ywnOO7MaOZt&#10;sRmtEQP60DlScDtNQCBVru6oUfC2f5ysQISoqdbGESr4xgCb8vKi0HntzvSKwy42gkso5FpBG2Of&#10;SxmqFq0OU9cjsXd03urIp29k7fWZy62RaZJk0uqOeKHVPT60WH3uTlbBav48fITt7OW9yo5mHW+W&#10;w9OXV+r6ary/AxFxjH9h+MVndCiZ6eBOVAdhFMzmGaNHBfwR24s0XYA4sL5egiwL+Z+//AEAAP//&#10;AwBQSwECLQAUAAYACAAAACEAtoM4kv4AAADhAQAAEwAAAAAAAAAAAAAAAAAAAAAAW0NvbnRlbnRf&#10;VHlwZXNdLnhtbFBLAQItABQABgAIAAAAIQA4/SH/1gAAAJQBAAALAAAAAAAAAAAAAAAAAC8BAABf&#10;cmVscy8ucmVsc1BLAQItABQABgAIAAAAIQC02sGbLgIAAFsEAAAOAAAAAAAAAAAAAAAAAC4CAABk&#10;cnMvZTJvRG9jLnhtbFBLAQItABQABgAIAAAAIQAeGPz23gAAAAcBAAAPAAAAAAAAAAAAAAAAAIgE&#10;AABkcnMvZG93bnJldi54bWxQSwUGAAAAAAQABADzAAAAkwU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监测预警响应</w:t>
                  </w:r>
                </w:p>
              </w:txbxContent>
            </v:textbox>
          </v:shape>
        </w:pict>
      </w:r>
      <w:r>
        <w:pict>
          <v:shape id="Text Box 12" o:spid="_x0000_s1085" o:spt="202" type="#_x0000_t202" style="position:absolute;left:0pt;margin-left:174.1pt;margin-top:38.6pt;height:19.85pt;width:87.85pt;z-index:2517022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ZxqLgIAAFsEAAAOAAAAZHJzL2Uyb0RvYy54bWysVNtu2zAMfR+wfxD0vvjSJGuMOEWXLsOA&#10;7gK0+wBZlm1hsqhJSuzs60fJaZrdXob5QSBF6pA8JL2+GXtFDsI6Cbqk2SylRGgOtdRtSb887l5d&#10;U+I80zVToEVJj8LRm83LF+vBFCKHDlQtLEEQ7YrBlLTz3hRJ4ngneuZmYIRGYwO2Zx5V2ya1ZQOi&#10;9yrJ03SZDGBrY4EL5/D2bjLSTcRvGsH9p6ZxwhNVUszNx9PGswpnslmzorXMdJKf0mD/kEXPpMag&#10;Z6g75hnZW/kbVC+5BQeNn3HoE2gayUWsAavJ0l+qeeiYEbEWJMeZM03u/8Hyj4fPlsi6pMvsihLN&#10;emzSoxg9eQMjyfJA0GBcgX4PBj39iPfY6FisM/fAvzqiYdsx3Ypba2HoBKsxwSy8TC6eTjgugFTD&#10;B6gxDtt7iEBjY/vAHvJBEB0bdTw3J+TCQ8gsWyxXC0o42vJFnqIcQrDi6bWxzr8T0JMglNRi8yM6&#10;O9w7P7k+uYRgDpSsd1KpqNi22ipLDgwHZRe/E/pPbkqToaSrRb6YCPgrRBq/P0H00uPEK9mX9Prs&#10;xIpA21tdY5qs8EyqScbqlD7xGKibSPRjNcaeXc1DhEByBfURmbUwTThuJAod2O+UDDjdJXXf9swK&#10;StR7jd1ZZfN5WIeozBevc1TspaW6tDDNEaqknpJJ3PpphfbGyrbDSNM8aLjFjjYykv2c1Sl/nODY&#10;rtO2hRW51KPX8z9h8wMAAP//AwBQSwMEFAAGAAgAAAAhAMXw9Q7fAAAACAEAAA8AAABkcnMvZG93&#10;bnJldi54bWxMj8tOwzAQRfdI/IM1SGxQ6zQpIQlxKoQEojsoCLZuPE0i/Ai2m4a/Z1jBcnSu7j1T&#10;b2aj2YQ+DM4KWC0TYGhbpwbbCXh7fVgUwEKUVkntLAr4xgCb5vyslpVyJ/uC0y52jEpsqKSAPsax&#10;4jy0PRoZlm5ES+zgvJGRTt9x5eWJyo3maZLk3MjB0kIvR7zvsf3cHY2AYv00fYRt9vze5gddxqub&#10;6fHLC3F5Md/dAos4x78w/OqTOjTktHdHqwLTArJ1kVJUwGIFjPh1mpXA9gTKHHhT8/8PND8AAAD/&#10;/wMAUEsBAi0AFAAGAAgAAAAhALaDOJL+AAAA4QEAABMAAAAAAAAAAAAAAAAAAAAAAFtDb250ZW50&#10;X1R5cGVzXS54bWxQSwECLQAUAAYACAAAACEAOP0h/9YAAACUAQAACwAAAAAAAAAAAAAAAAAvAQAA&#10;X3JlbHMvLnJlbHNQSwECLQAUAAYACAAAACEAcPWcai4CAABbBAAADgAAAAAAAAAAAAAAAAAuAgAA&#10;ZHJzL2Uyb0RvYy54bWxQSwECLQAUAAYACAAAACEAxfD1Dt8AAAAIAQAADwAAAAAAAAAAAAAAAACI&#10;BAAAZHJzL2Rvd25yZXYueG1sUEsFBgAAAAAEAAQA8wAAAJQFA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监测信息收集</w:t>
                  </w:r>
                </w:p>
              </w:txbxContent>
            </v:textbox>
          </v:shape>
        </w:pict>
      </w:r>
      <w:r>
        <w:pict>
          <v:shape id="AutoShape 13" o:spid="_x0000_s1142" o:spt="67" type="#_x0000_t67" style="position:absolute;left:0pt;margin-left:213.4pt;margin-top:59pt;height:22.7pt;width:11.35pt;z-index:2517032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IOeRAIAAJYEAAAOAAAAZHJzL2Uyb0RvYy54bWysVE2P2jAQvVfqf7B8LyFZ2IWIsFqxpaq0&#10;bVfatvfBdohbf9U2BP79Thygob1VzcHxZMZv3szzZHF/0IrshQ/SmormozElwjDLpdlW9NvX9bsZ&#10;JSGC4aCsERU9ikDvl2/fLFpXisI2VnHhCYKYULauok2MrsyywBqhIYysEwadtfUaIpp+m3EPLaJr&#10;lRXj8W3WWs+dt0yEgF8feyddJvy6Fix+qesgIlEVRW4xrT6tm27Nlgsotx5cI9mJBvwDCw3SYNIL&#10;1CNEIDsv/4LSknkbbB1HzOrM1rVkItWA1eTjP6p5acCJVAs2J7hLm8L/g2Wf98+eSF7R23xCiQGN&#10;Ij3sok25SX7Tdah1ocTAF/fsuxqDe7LsZyDGrhowW/HgvW0bARx55V18dnWgMwIeJZv2k+UIDwif&#10;mnWove4AsQ3kkDQ5XjQRh0gYfswnk3wypYShq5jNinnSLIPyfNj5ED8Iq0m3qSi3rUmEUgbYP4WY&#10;dOGn2oD/yCmptUKZ96DIdIzP6RoMYophzE0xv+sLg/KEiATOiVNLrJJ8LZVKht9uVsoThK/oOj2p&#10;K9i5YZgypK3ofFpME9UrXxhCdAx7jpj1KkzLiNOjpK7o7BIEZafFe8PT3Y4gVb/Hw8qcxOn06HXd&#10;WH5EbbztRwNHGTcCvuObkhYHo6Lh1w68oER9NKjwHBXpJikZk+ldgYYfejZDDxjWWJw3BOu3q9hP&#10;3855uW0wV56qN7a7dLWM5+vT8zrRxcuPu6vpGtop6vfvZPkKAAD//wMAUEsDBBQABgAIAAAAIQAT&#10;XWVJ3wAAAAkBAAAPAAAAZHJzL2Rvd25yZXYueG1sTI/NTsMwEITvSLyDtUjcqE1JozbEqVD5EeoB&#10;QeEBtvGSBOJ1ZDtt+vaYExxHM5r5plxPthcH8qFzrOF6pkAQ18503Gj4eH+8WoIIEdlg75g0nCjA&#10;ujo/K7Ew7shvdNjFRqQSDgVqaGMcCilD3ZLFMHMDcfI+nbcYk/SNNB6Pqdz2cq5ULi12nBZaHGjT&#10;Uv29G62G7XT/QuNp4H7z6mOND0/PX8pqfXkx3d2CiDTFvzD84id0qBLT3o1sgug1ZPM8oUcNN6sc&#10;RApk2WoBYq9huVAgq1L+f1D9AAAA//8DAFBLAQItABQABgAIAAAAIQC2gziS/gAAAOEBAAATAAAA&#10;AAAAAAAAAAAAAAAAAABbQ29udGVudF9UeXBlc10ueG1sUEsBAi0AFAAGAAgAAAAhADj9If/WAAAA&#10;lAEAAAsAAAAAAAAAAAAAAAAALwEAAF9yZWxzLy5yZWxzUEsBAi0AFAAGAAgAAAAhACtUg55EAgAA&#10;lgQAAA4AAAAAAAAAAAAAAAAALgIAAGRycy9lMm9Eb2MueG1sUEsBAi0AFAAGAAgAAAAhABNdZUnf&#10;AAAACQEAAA8AAAAAAAAAAAAAAAAAngQAAGRycy9kb3ducmV2LnhtbFBLBQYAAAAABAAEAPMAAACq&#10;BQAAAAA=&#10;" adj="18039">
            <v:path/>
            <v:fill focussize="0,0"/>
            <v:stroke joinstyle="miter"/>
            <v:imagedata o:title=""/>
            <o:lock v:ext="edit"/>
            <v:textbox style="layout-flow:vertical-ideographic;"/>
          </v:shape>
        </w:pic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pPr>
      <w:r>
        <w:pict>
          <v:shape id="AutoShape 3" o:spid="_x0000_s1141" o:spt="87" type="#_x0000_t87" style="position:absolute;left:0pt;margin-left:291.35pt;margin-top:10.2pt;height:80.6pt;width:8.45pt;z-index:25169510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ZTdiAIAAC8FAAAOAAAAZHJzL2Uyb0RvYy54bWysVNuO2yAQfa/Uf0C8Z20cJ7ux1lltc6kq&#10;9bLSth9AAMe0GFwgcbZV/70DdrJJ96Wq6gc8eMZn5gxnuL07NArthXXS6BKTqxQjoZnhUm9L/OXz&#10;enSDkfNUc6qMFiV+Eg7fzV+/uu3aQmSmNooLiwBEu6JrS1x73xZJ4lgtGuquTCs0OCtjG+pha7cJ&#10;t7QD9EYlWZpOk85Y3lrDhHPwddk78TziV5Vg/lNVOeGRKjHU5uNq47oJazK/pcXW0raWbCiD/kMV&#10;DZUakp6gltRTtLPyBVQjmTXOVP6KmSYxVSWZiByADUn/YPNY01ZELtAc157a5P4fLPu4f7BI8hJP&#10;SYaRpg0c0v3Om5gbjUODutYVEPfYPthA0bXvDfvmwJFceMLGQQzadB8MBxgKMLEph8o24U+giw6x&#10;90+n3ouDRww+kvR6TCYYMXCRNBtPs3g4CS2Of7fW+bfCNCgYJVai8m8sZaFBtKD7987HA+ADCcq/&#10;EoyqRsF57qlCs3FGIh04pLMYIP0cM0nhCZQh7YAI1jFxgNdmLZWKqlEadSWeTbJJrMAZJXlwhjBn&#10;t5uFsggSA9P4DLAXYdbsNI9gtaB8NdieStXbkFzpgAddGviFfkVh/Zyls9XN6iYf5dl0NcrT5XJ0&#10;v17ko+maXE+W4+VisSS/QmkkL2rJudChuqPISf53IhrGrZfnSeYXLC7IruPzkmxyWUZsMXA5viO7&#10;qKcgoV5zG8OfQE7W9FMLtwwYtbE/MOpgYkvsvu+oFRipdxpGYkbyPIx43OSTaxAQsueezbmHagZQ&#10;JfYY9ebC99fCrrVyW0MmEo9VmzANlfRHvfdVDeKHqYwMhhskjP35PkY933Pz3wAAAP//AwBQSwME&#10;FAAGAAgAAAAhAOlt58fgAAAACgEAAA8AAABkcnMvZG93bnJldi54bWxMj8FOwzAMhu9IvENkJG4s&#10;3VC3tjSdJgRiN2BMnLPGa0sbp2qyreXpMSc42v+n35/z9Wg7ccbBN44UzGcRCKTSmYYqBfuP57sE&#10;hA+ajO4coYIJPayL66tcZ8Zd6B3Pu1AJLiGfaQV1CH0mpS9rtNrPXI/E2dENVgceh0qaQV+43HZy&#10;EUVLaXVDfKHWPT7WWLa7k1XwuTKvL+2x3c+/NvH09pRuJ/zeKnV7M24eQAQcwx8Mv/qsDgU7HdyJ&#10;jBedgjhZrBjlIL0HwUCcpksQB14kUQyyyOX/F4ofAAAA//8DAFBLAQItABQABgAIAAAAIQC2gziS&#10;/gAAAOEBAAATAAAAAAAAAAAAAAAAAAAAAABbQ29udGVudF9UeXBlc10ueG1sUEsBAi0AFAAGAAgA&#10;AAAhADj9If/WAAAAlAEAAAsAAAAAAAAAAAAAAAAALwEAAF9yZWxzLy5yZWxzUEsBAi0AFAAGAAgA&#10;AAAhABTdlN2IAgAALwUAAA4AAAAAAAAAAAAAAAAALgIAAGRycy9lMm9Eb2MueG1sUEsBAi0AFAAG&#10;AAgAAAAhAOlt58fgAAAACgEAAA8AAAAAAAAAAAAAAAAA4gQAAGRycy9kb3ducmV2LnhtbFBLBQYA&#10;AAAABAAEAPMAAADvBQAAAAA=&#10;" adj="2111">
            <v:path arrowok="t"/>
            <v:fill on="f" focussize="0,0"/>
            <v:stroke weight="0.5pt"/>
            <v:imagedata o:title=""/>
            <o:lock v:ext="edit"/>
          </v:shape>
        </w:pict>
      </w:r>
      <w:r>
        <w:pict>
          <v:shape id="Text Box 5" o:spid="_x0000_s1086" o:spt="202" type="#_x0000_t202" style="position:absolute;left:0pt;margin-left:309.75pt;margin-top:8.95pt;height:19.85pt;width:130.4pt;z-index:2516961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GXkLgIAAFoEAAAOAAAAZHJzL2Uyb0RvYy54bWysVNuO0zAQfUfiHyy/06ShKW3UdLV0KUJa&#10;LtIuH+A4TmLheIztNilfz9jplmqBF0QeLNszPjNzzkw2N2OvyFFYJ0GXdD5LKRGaQy11W9Kvj/tX&#10;K0qcZ7pmCrQo6Uk4erN9+WIzmEJk0IGqhSUIol0xmJJ23psiSRzvRM/cDIzQaGzA9szj0bZJbdmA&#10;6L1KsjRdJgPY2ljgwjm8vZuMdBvxm0Zw/7lpnPBElRRz83G1ca3Cmmw3rGgtM53k5zTYP2TRM6kx&#10;6AXqjnlGDlb+BtVLbsFB42cc+gSaRnIRa8Bq5umzah46ZkSsBclx5kKT+3+w/NPxiyWyLulyPqdE&#10;sx5FehSjJ29hJHngZzCuQLcHg45+xGvUOdbqzD3wb45o2HVMt+LWWhg6wWrMbx5eJldPJxwXQKrh&#10;I9QYhh08RKCxsX0gD+kgiI46nS7ahFR4CLnMl+kKTRxtWZ6l65hcwoqn18Y6/15AT8KmpBa1j+js&#10;eO98yIYVTy4hmAMl671UKh5sW+2UJUeGfbKPXyzgmZvSZCjpOs/yiYC/QqTx+xNELz02vJJ9SVcX&#10;J1YE2t7pOrajZ1JNe0xZ6TOPgbqJRD9WY5Ts9UWfCuoTMmthanAcSNx0YH9QMmBzl9R9PzArKFEf&#10;NKqzni8WYRriYZG/yfBgry3VtYVpjlAl9ZRM252fJuhgrGw7jDT1g4ZbVLSRkewg/ZTVOX9s4KjB&#10;edjChFyfo9evX8L2JwAAAP//AwBQSwMEFAAGAAgAAAAhAACIMQjfAAAACQEAAA8AAABkcnMvZG93&#10;bnJldi54bWxMj8FOwzAMhu9IvENkJC5oS8pY6UrTCSGB2A02BNesydqKxClJ1pW3x5zgZuv/9Ptz&#10;tZ6cZaMJsfcoIZsLYAYbr3tsJbztHmcFsJgUamU9GgnfJsK6Pj+rVKn9CV/NuE0toxKMpZLQpTSU&#10;nMemM07FuR8MUnbwwalEa2i5DupE5c7yayFy7lSPdKFTg3noTPO5PToJxc3z+BE3i5f3Jj/YVbq6&#10;HZ++gpSXF9P9HbBkpvQHw68+qUNNTnt/RB2ZlZBnqyWhFGQLYAQUhaBhL2GZCeB1xf9/UP8AAAD/&#10;/wMAUEsBAi0AFAAGAAgAAAAhALaDOJL+AAAA4QEAABMAAAAAAAAAAAAAAAAAAAAAAFtDb250ZW50&#10;X1R5cGVzXS54bWxQSwECLQAUAAYACAAAACEAOP0h/9YAAACUAQAACwAAAAAAAAAAAAAAAAAvAQAA&#10;X3JlbHMvLnJlbHNQSwECLQAUAAYACAAAACEAz+hl5C4CAABaBAAADgAAAAAAAAAAAAAAAAAuAgAA&#10;ZHJzL2Uyb0RvYy54bWxQSwECLQAUAAYACAAAACEAAIgxCN8AAAAJAQAADwAAAAAAAAAAAAAAAACI&#10;BAAAZHJzL2Rvd25yZXYueG1sUEsFBgAAAAAEAAQA8wAAAJQFAAAAAA==&#10;">
            <v:path/>
            <v:fill focussize="0,0"/>
            <v:stroke joinstyle="miter"/>
            <v:imagedata o:title=""/>
            <o:lock v:ext="edit"/>
            <v:textbox>
              <w:txbxContent>
                <w:p>
                  <w:pPr>
                    <w:jc w:val="center"/>
                    <w:rPr>
                      <w:sz w:val="15"/>
                      <w:szCs w:val="15"/>
                    </w:rPr>
                  </w:pPr>
                  <w:r>
                    <w:rPr>
                      <w:rFonts w:hint="eastAsia" w:ascii="宋体" w:hAnsi="宋体"/>
                      <w:sz w:val="15"/>
                      <w:szCs w:val="15"/>
                    </w:rPr>
                    <w:t>确定监测范围、周期、频</w:t>
                  </w:r>
                  <w:r>
                    <w:rPr>
                      <w:rFonts w:hint="eastAsia"/>
                      <w:sz w:val="15"/>
                      <w:szCs w:val="15"/>
                    </w:rPr>
                    <w:t>率</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Text Box 6" o:spid="_x0000_s1087" o:spt="202" type="#_x0000_t202" style="position:absolute;left:0pt;margin-left:309.75pt;margin-top:19.9pt;height:19.85pt;width:130.4pt;z-index:2516971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UBhLQIAAFoEAAAOAAAAZHJzL2Uyb0RvYy54bWysVNuO2yAQfa/Uf0C8N3bcOE2sOKtttqkq&#10;bS/Sbj8AY2yjYoYCiZ1+fQecTdPbS1U/IIYZzhzOzHhzM/aKHIV1EnRJ57OUEqE51FK3Jf38uH+x&#10;osR5pmumQIuSnoSjN9vnzzaDKUQGHahaWIIg2hWDKWnnvSmSxPFO9MzNwAiNzgZszzyatk1qywZE&#10;71WSpekyGcDWxgIXzuHp3eSk24jfNIL7j03jhCeqpMjNx9XGtQprst2worXMdJKfabB/YNEzqTHp&#10;BeqOeUYOVv4G1UtuwUHjZxz6BJpGchHfgK+Zp7+85qFjRsS3oDjOXGRy/w+Wfzh+skTWJV3OUR/N&#10;eizSoxg9eQ0jWQZ9BuMKDHswGOhHPMY6x7c6cw/8iyMadh3Trbi1FoZOsBr5zcPN5OrqhOMCSDW8&#10;hxrTsIOHCDQ2tg/ioRwE0ZHH6VKbQIWHlMt8ma7QxdGX5Vm6zmMKVjzdNtb5twJ6EjYltVj7iM6O&#10;984HNqx4CgnJHChZ76VS0bBttVOWHBn2yT5+Z/SfwpQmQ0nXeZZPAvwVIo3fnyB66bHhlexLuroE&#10;sSLI9kbXsR09k2raI2WlzzoG6SYR/ViNsWQvL/WpoD6hshamBseBxE0H9hslAzZ3Sd3XA7OCEvVO&#10;Y3XW88UiTEM0FvmrDA177amuPUxzhCqpp2Ta7vw0QQdjZdthpqkfNNxiRRsZxQ6ln1id+WMDxxqc&#10;hy1MyLUdo378ErbfAQAA//8DAFBLAwQUAAYACAAAACEABVieEuAAAAAJAQAADwAAAGRycy9kb3du&#10;cmV2LnhtbEyPwU7DMBBE70j8g7VIXBB1mkCahDgVQgLBDdoKrm68TSLsdbDdNPw95gTH1TzNvK3X&#10;s9FsQucHSwKWiwQYUmvVQJ2A3fbxugDmgyQltSUU8I0e1s35WS0rZU/0htMmdCyWkK+kgD6EseLc&#10;tz0a6Rd2RIrZwTojQzxdx5WTp1huNE+TJOdGDhQXejniQ4/t5+ZoBBQ3z9OHf8le39v8oMtwtZqe&#10;vpwQlxfz/R2wgHP4g+FXP6pDE5329kjKMy0gX5a3ERWQZSmwCBRFkgHbC1ilJfCm5v8/aH4AAAD/&#10;/wMAUEsBAi0AFAAGAAgAAAAhALaDOJL+AAAA4QEAABMAAAAAAAAAAAAAAAAAAAAAAFtDb250ZW50&#10;X1R5cGVzXS54bWxQSwECLQAUAAYACAAAACEAOP0h/9YAAACUAQAACwAAAAAAAAAAAAAAAAAvAQAA&#10;X3JlbHMvLnJlbHNQSwECLQAUAAYACAAAACEA311AYS0CAABaBAAADgAAAAAAAAAAAAAAAAAuAgAA&#10;ZHJzL2Uyb0RvYy54bWxQSwECLQAUAAYACAAAACEABVieEuAAAAAJAQAADwAAAAAAAAAAAAAAAACH&#10;BAAAZHJzL2Rvd25yZXYueG1sUEsFBgAAAAAEAAQA8wAAAJQFA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选择监测项目、设备型号</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Text Box 14" o:spid="_x0000_s1088" o:spt="202" type="#_x0000_t202" style="position:absolute;left:0pt;margin-left:155pt;margin-top:0.65pt;height:19.85pt;width:130.4pt;z-index:2517043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6LdLwIAAFsEAAAOAAAAZHJzL2Uyb0RvYy54bWysVNtu2zAMfR+wfxD0vtjx4jQx4hRdugwD&#10;ugvQ7gNkWbaFyaImKbG7rx8lp2l2exnmB4EUqUPykPTmeuwVOQrrJOiSzmcpJUJzqKVuS/rlYf9q&#10;RYnzTNdMgRYlfRSOXm9fvtgMphAZdKBqYQmCaFcMpqSd96ZIEsc70TM3AyM0GhuwPfOo2japLRsQ&#10;vVdJlqbLZABbGwtcOIe3t5ORbiN+0wjuPzWNE56okmJuPp42nlU4k+2GFa1lppP8lAb7hyx6JjUG&#10;PUPdMs/IwcrfoHrJLTho/IxDn0DTSC5iDVjNPP2lmvuOGRFrQXKcOdPk/h8s/3j8bImsS7pM15Ro&#10;1mOTHsToyRsYyXwRCBqMK9Dv3qCnH/EeGx2LdeYO+FdHNOw6pltxYy0MnWA1JjgPL5OLpxOOCyDV&#10;8AFqjMMOHiLQ2Ng+sId8EETHRj2emxNy4SHkMl+mKzRxtGV5lq7zGIIVT6+Ndf6dgJ4EoaQWmx/R&#10;2fHO+ZANK55cQjAHStZ7qVRUbFvtlCVHhoOyj98J/Sc3pclQ0nWe5RMBf4VI4/cniF56nHgl+5Ku&#10;zk6sCLS91XWcR8+kmmRMWekTj4G6iUQ/VmPs2eurECGQXEH9iMxamCYcNxKFDux3Sgac7pK6bwdm&#10;BSXqvcburOeLRViHqCzyqwwVe2mpLi1Mc4QqqadkEnd+WqGDsbLtMNI0DxpusKONjGQ/Z3XKHyc4&#10;9uC0bWFFLvXo9fxP2P4AAAD//wMAUEsDBBQABgAIAAAAIQAzR7ur3wAAAAgBAAAPAAAAZHJzL2Rv&#10;d25yZXYueG1sTI/BTsMwEETvSPyDtUhcELVLk6aEbCqEBIIbtBVc3dhNIux1sN00/D3mBMfVrGbe&#10;q9aTNWzUPvSOEOYzAUxT41RPLcJu+3i9AhaiJCWNI43wrQOs6/OzSpbKnehNj5vYslRCoZQIXYxD&#10;yXloOm1lmLlBU8oOzlsZ0+lbrrw8pXJr+I0QS25lT2mhk4N+6HTzuTlahFX2PH6El8Xre7M8mNt4&#10;VYxPXx7x8mK6vwMW9RT/nuEXP6FDnZj27kgqMIOwmIvkEhHyAljK80IklT1ClmfA64r/F6h/AAAA&#10;//8DAFBLAQItABQABgAIAAAAIQC2gziS/gAAAOEBAAATAAAAAAAAAAAAAAAAAAAAAABbQ29udGVu&#10;dF9UeXBlc10ueG1sUEsBAi0AFAAGAAgAAAAhADj9If/WAAAAlAEAAAsAAAAAAAAAAAAAAAAALwEA&#10;AF9yZWxzLy5yZWxzUEsBAi0AFAAGAAgAAAAhAO4jot0vAgAAWwQAAA4AAAAAAAAAAAAAAAAALgIA&#10;AGRycy9lMm9Eb2MueG1sUEsBAi0AFAAGAAgAAAAhADNHu6vfAAAACAEAAA8AAAAAAAAAAAAAAAAA&#10;iQQAAGRycy9kb3ducmV2LnhtbFBLBQYAAAAABAAEAPMAAACVBQ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编制监测设计或工作方案</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AutoShape 15" o:spid="_x0000_s1140" o:spt="67" type="#_x0000_t67" style="position:absolute;left:0pt;margin-left:213.4pt;margin-top:0.05pt;height:40.6pt;width:13.35pt;z-index:2517053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d25RQIAAJYEAAAOAAAAZHJzL2Uyb0RvYy54bWysVFFv0zAQfkfiP1h+Z0lKU9Zo6TRtDCEN&#10;mDTg3bWdxmD7jO023b/f2clKBm+IPDi+3Pm77+7z5eLyaDQ5SB8U2JZWZyUl0nIQyu5a+u3r7Ztz&#10;SkJkVjANVrb0UQZ6uXn96mJwjVxAD1pITxDEhmZwLe1jdE1RBN5Lw8IZOGnR2YE3LKLpd4XwbEB0&#10;o4tFWa6KAbxwHrgMAb/ejE66yfhdJ3n80nVBRqJbitxiXn1et2ktNhes2XnmesUnGuwfWBimLCY9&#10;Qd2wyMjeq7+gjOIeAnTxjIMpoOsUl7kGrKYq/6jmoWdO5lqwOcGd2hT+Hyz/fLj3RImWrkqUyjKD&#10;Il3tI+TcpKpThwYXGgx8cPc+1RjcHfCfgVi47pndySvvYeglE8irSvHFiwPJCHiUbIdPIBCeIXxu&#10;1rHzJgFiG8gxa/J40kQeI+H4sVqt62VNCUfXsirPcZ8ysOb5sPMhfpBgSNq0VMBgM6GcgR3uQsy6&#10;iKk2Jn5UlHRGo8wHpkld4jNdg1nMYh7zdrFeraa0EyISeE6cWwJaiVuldTb8bnutPUH4lt7mZzoc&#10;5mHakqGl63pRZ6ovfGEOkRiOHDHrizCjIk6PVqal56cg1iQt3luR73ZkSo97PKztJE7SY9R1C+IR&#10;tfEwjgaOMm4k+45vSgYcjJaGX3vmJSX6o0WF19VymSYpG8v63QINP/ds5x5meQ84bwg2bq/jOH17&#10;59Wux1xVrt5CunSdis/XZ+Q10cXLnzWfBjVN19zOUb9/J5snAAAA//8DAFBLAwQUAAYACAAAACEA&#10;kRGV5t8AAAAIAQAADwAAAGRycy9kb3ducmV2LnhtbEyPzU7DMBCE70i8g7VI3KjT0KY0xKlQ+VEv&#10;IDVFiKMTL0nUeB3FbhPenuUEt1nNauabbDPZTpxx8K0jBfNZBAKpcqalWsH74fnmDoQPmozuHKGC&#10;b/SwyS8vMp0aN9Iez0WoBYeQT7WCJoQ+ldJXDVrtZ65HYu/LDVYHPodamkGPHG47GUdRIq1uiRsa&#10;3eO2wepYnKwC97lqH7frl/nT23Esq+LD0G7/qtT11fRwDyLgFP6e4Ref0SFnptKdyHjRKVjECaMH&#10;FksQ7C+WtyxKBck6Bpln8v+A/AcAAP//AwBQSwECLQAUAAYACAAAACEAtoM4kv4AAADhAQAAEwAA&#10;AAAAAAAAAAAAAAAAAAAAW0NvbnRlbnRfVHlwZXNdLnhtbFBLAQItABQABgAIAAAAIQA4/SH/1gAA&#10;AJQBAAALAAAAAAAAAAAAAAAAAC8BAABfcmVscy8ucmVsc1BLAQItABQABgAIAAAAIQD8bd25RQIA&#10;AJYEAAAOAAAAAAAAAAAAAAAAAC4CAABkcnMvZTJvRG9jLnhtbFBLAQItABQABgAIAAAAIQCREZXm&#10;3wAAAAgBAAAPAAAAAAAAAAAAAAAAAJ8EAABkcnMvZG93bnJldi54bWxQSwUGAAAAAAQABADzAAAA&#10;qwUAAAAA&#10;" adj="18661">
            <v:path/>
            <v:fill focussize="0,0"/>
            <v:stroke joinstyle="miter"/>
            <v:imagedata o:title=""/>
            <o:lock v:ext="edit"/>
            <v:textbox style="layout-flow:vertical-ideographic;"/>
          </v:shape>
        </w:pict>
      </w:r>
      <w:r>
        <w:pict>
          <v:shape id="Text Box 7" o:spid="_x0000_s1089" o:spt="202" type="#_x0000_t202" style="position:absolute;left:0pt;margin-left:309.75pt;margin-top:12.4pt;height:19.85pt;width:130.4pt;z-index:2516981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zQOLgIAAFoEAAAOAAAAZHJzL2Uyb0RvYy54bWysVNtu2zAMfR+wfxD0vtjx4jQx4hRdugwD&#10;ugvQ7gNkWbaFyaImKbG7rx8lp2l2exnmB4EUqUPykPTmeuwVOQrrJOiSzmcpJUJzqKVuS/rlYf9q&#10;RYnzTNdMgRYlfRSOXm9fvtgMphAZdKBqYQmCaFcMpqSd96ZIEsc70TM3AyM0GhuwPfOo2japLRsQ&#10;vVdJlqbLZABbGwtcOIe3t5ORbiN+0wjuPzWNE56okmJuPp42nlU4k+2GFa1lppP8lAb7hyx6JjUG&#10;PUPdMs/IwcrfoHrJLTho/IxDn0DTSC5iDVjNPP2lmvuOGRFrQXKcOdPk/h8s/3j8bImsS5rlOSWa&#10;9dikBzF68gZGchX4GYwr0O3eoKMf8Rr7HGt15g74V0c07DqmW3FjLQydYDXmNw8vk4unE44LINXw&#10;AWoMww4eItDY2D6Qh3QQRMc+PZ57E1LhIeQyX6YrNHG0ZXmWrvMYghVPr411/p2AngShpBZ7H9HZ&#10;8c75kA0rnlxCMAdK1nupVFRsW+2UJUeGc7KP3wn9JzelyVDSdZ7lEwF/hUjj9yeIXnoceCX7kq7O&#10;TqwItL3VdRxHz6SaZExZ6ROPgbqJRD9WY2zZ61WIEEiuoH5EZi1MA44LiUIH9jslAw53Sd23A7OC&#10;EvVeY3fW88UibENUFvlVhoq9tFSXFqY5QpXUUzKJOz9t0MFY2XYYaZoHDTfY0UZGsp+zOuWPAxx7&#10;cFq2sCGXevR6/iVsfwAAAP//AwBQSwMEFAAGAAgAAAAhAPzmd5vfAAAACQEAAA8AAABkcnMvZG93&#10;bnJldi54bWxMj8FOwzAQRO9I/IO1SFwQddrS1AlxKoQEojcoCK5uvE0i7HWw3TT8PeYEx9U8zbyt&#10;NpM1bEQfekcS5rMMGFLjdE+thLfXh2sBLERFWhlHKOEbA2zq87NKldqd6AXHXWxZKqFQKgldjEPJ&#10;eWg6tCrM3ICUsoPzVsV0+pZrr06p3Bq+yLKcW9VTWujUgPcdNp+7o5Ugbp7Gj7BdPr83+cEU8Wo9&#10;Pn55KS8vprtbYBGn+AfDr35Shzo57d2RdGBGQj4vVglNgVgAS4AQ2RLYXsJqXQCvK/7/g/oHAAD/&#10;/wMAUEsBAi0AFAAGAAgAAAAhALaDOJL+AAAA4QEAABMAAAAAAAAAAAAAAAAAAAAAAFtDb250ZW50&#10;X1R5cGVzXS54bWxQSwECLQAUAAYACAAAACEAOP0h/9YAAACUAQAACwAAAAAAAAAAAAAAAAAvAQAA&#10;X3JlbHMvLnJlbHNQSwECLQAUAAYACAAAACEAFLc0Di4CAABaBAAADgAAAAAAAAAAAAAAAAAuAgAA&#10;ZHJzL2Uyb0RvYy54bWxQSwECLQAUAAYACAAAACEA/OZ3m98AAAAJAQAADwAAAAAAAAAAAAAAAACI&#10;BAAAZHJzL2Rvd25yZXYueG1sUEsFBgAAAAAEAAQA8wAAAJQFA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布置监测点位、剖面线位</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pPr>
      <w:r>
        <w:pict>
          <v:shape id="直接箭头连接符 65" o:spid="_x0000_s1137" o:spt="34" type="#_x0000_t34" style="position:absolute;left:0pt;margin-left:255.15pt;margin-top:9.6pt;height:0.05pt;width:55.15pt;z-index:25173913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qlhXAIAAJMEAAAOAAAAZHJzL2Uyb0RvYy54bWysVM1u1DAQviPxDpbv2yRLum2jZiuU7HIp&#10;UKnlAby2k1g4tmW7m10hXoEXQOIEnIBT7zwNlMdg7P2hhQtC5ODY8cw38818k9OzVS/RklsntCpx&#10;dpBixBXVTKi2xC+u5qNjjJwnihGpFS/xmjt8Nn344HQwBR/rTkvGLQIQ5YrBlLjz3hRJ4mjHe+IO&#10;tOEKLhtte+LhaNuEWTIAei+TcZpOkkFbZqym3Dn4Wm8u8TTiNw2n/nnTOO6RLDHk5uNq47oIazI9&#10;JUVriekE3aZB/iGLnggFQfdQNfEEXVvxB1QvqNVON/6A6j7RTSMojxyATZb+xuayI4ZHLlAcZ/Zl&#10;cv8Plj5bXlgkWInH+RgjRXpo0u3bm+9vPtx++fzt/c2Pr+/C/tNHNDkM1RqMK8CpUhc28KUrdWnO&#10;NX3pkNJVR1TLY9ZXawNAWfBI7rmEgzMQczE81QxsyLXXsXSrxvYBEoqCVrFD632H+MojCh8n+dFR&#10;Cn2ku6uEFDs/Y51/wnWPwqbEzlsi2s5XWimQgbZZjEKW586HrEixcwhBlZ4LKaMapEIDpD6OgYhs&#10;QdfU2+jstBQsGAYXZ9tFJS1akqCt+ES6cHPXzOprxSJwxwmbKYZ8rA2xVg84hOo5w0hyiBN20dQT&#10;If/KFGhIFbKBCgGx7W4jvVcn6cnseHacj/LxZDbK07oePZ5X+Wgyz44O60d1VdXZ60Asy4tOMMZV&#10;4LYbgyz/O5ltB3Ij4P0g7Aua3EePlYdkd++YdJRIUMVGXwvN1hc2NCmoBZQfjbdTGkbr7jla/fqX&#10;TH8CAAD//wMAUEsDBBQABgAIAAAAIQDgX0/C3wAAAAkBAAAPAAAAZHJzL2Rvd25yZXYueG1sTI/B&#10;TsMwEETvSPyDtUjcqJNC2xDiVAipIMqJlgq4ufGSRMTrEDtp+HsWcaDHnXmancmWo23EgJ2vHSmI&#10;JxEIpMKZmkoFL9vVRQLCB01GN45QwTd6WOanJ5lOjTvQMw6bUAoOIZ9qBVUIbSqlLyq02k9ci8Te&#10;h+usDnx2pTSdPnC4beQ0iubS6pr4Q6VbvKuw+Nz0VkG56B/p/urhaxiSp7V5f1slu9edUudn4+0N&#10;iIBj+Ifhtz5Xh5w77V1PxotGwSy+XDDKxvUUBAPzeMbC/k+QeSaPF+Q/AAAA//8DAFBLAQItABQA&#10;BgAIAAAAIQC2gziS/gAAAOEBAAATAAAAAAAAAAAAAAAAAAAAAABbQ29udGVudF9UeXBlc10ueG1s&#10;UEsBAi0AFAAGAAgAAAAhADj9If/WAAAAlAEAAAsAAAAAAAAAAAAAAAAALwEAAF9yZWxzLy5yZWxz&#10;UEsBAi0AFAAGAAgAAAAhAKviqWFcAgAAkwQAAA4AAAAAAAAAAAAAAAAALgIAAGRycy9lMm9Eb2Mu&#10;eG1sUEsBAi0AFAAGAAgAAAAhAOBfT8LfAAAACQEAAA8AAAAAAAAAAAAAAAAAtgQAAGRycy9kb3du&#10;cmV2LnhtbFBLBQYAAAAABAAEAPMAAADCBQAAAAA=&#10;" adj="10790,-96552000,-127485">
            <v:path arrowok="t"/>
            <v:fill on="f" focussize="0,0"/>
            <v:stroke weight="0.5pt" startarrow="open" endarrow="open"/>
            <v:imagedata o:title=""/>
            <o:lock v:ext="edit"/>
          </v:shape>
        </w:pict>
      </w:r>
      <w:r>
        <w:pict>
          <v:shape id="AutoShape 20" o:spid="_x0000_s1139" o:spt="34" type="#_x0000_t34" style="position:absolute;left:0pt;margin-left:-101.15pt;margin-top:138.1pt;height:0.25pt;width:257.25pt;rotation:-5898240f;z-index:25170739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p/RgIAAHkEAAAOAAAAZHJzL2Uyb0RvYy54bWysVMtu2zAQvBfoPxC8O3pYdmMhchBIdi9p&#10;GyDpB9AkZamluATJWDaK/nuXtOI27aUo6gPNx3J2dnaom9vjoMhBWteDrmh2lVIiNQfR631FPz9t&#10;Z9eUOM+0YAq0rOhJOnq7fvvmZjSlzKEDJaQlCKJdOZqKdt6bMkkc7+TA3BUYqfGwBTswj0u7T4Rl&#10;I6IPKsnTdJmMYIWxwKVzuNucD+k64ret5P5T2zrpiaoocvNxtHHchTFZ37Byb5npej7RYP/AYmC9&#10;xqQXqIZ5Rp5t/wfU0HMLDlp/xWFIoG17LmMNWE2W/lbNY8eMjLWgOM5cZHL/D5Z/PDxY0ouK5gvU&#10;R7MBm3T37CHmJnlUaDSuxMBaP9hQIz/qR3MP/KsjGuqO6b2M0U8ng5ezoGny6kpYOIN5duMHEBjD&#10;MEGU69jagVjAtmRLbCf+4jbqQo6xSadLk+TRE46b83z5Ln23oITj2TzDWcjHygAV2Bnr/HsJAwmT&#10;iu6k9jVojU4AO4/o7HDvfGyWmApm4ktGSTso7P2BKVKsVqtzHaycojHDC3K4qmHbKxXdozQZK7pa&#10;5IuI7kD1IhyGMGf3u1pZgqBYyLnAM91XYRaetYhgnWRiM80969V5jsmVDngowsQ9yBEN9m2VrjbX&#10;m+tiVuTLzaxIm2Z2t62L2XKL4jTzpq6b7HuglhVl1wshdWD3Yvas+DszTc/ubNOL3S8yJK/RY0eQ&#10;4st/JB1NEXwQXqcrdyBODzaoEVbo7xg8vcXwgH5dx6ifX4z1DwAAAP//AwBQSwMEFAAGAAgAAAAh&#10;AC57GsnfAAAACAEAAA8AAABkcnMvZG93bnJldi54bWxMj8FOwzAQRO9I/IO1SFxQ69AQWkKcCiEh&#10;xKFCpHyAYy9J2ngdYrcNfD3LCU6j3RnNvi3Wk+vFEcfQeVJwPU9AIBlvO2oUvG+fZisQIWqyuveE&#10;Cr4wwLo8Pyt0bv2J3vBYxUZwCYVcK2hjHHIpg2nR6TD3AxJ7H350OvI4NtKO+sTlrpeLJLmVTnfE&#10;F1o94GOLZl8dnILn+vszdfvNLqtpl16ZVzO9VCulLi+mh3sQEaf4F4ZffEaHkplqfyAbRK8gu1ly&#10;kvd3CxDsZxlrzZqmS5BlIf8/UP4AAAD//wMAUEsBAi0AFAAGAAgAAAAhALaDOJL+AAAA4QEAABMA&#10;AAAAAAAAAAAAAAAAAAAAAFtDb250ZW50X1R5cGVzXS54bWxQSwECLQAUAAYACAAAACEAOP0h/9YA&#10;AACUAQAACwAAAAAAAAAAAAAAAAAvAQAAX3JlbHMvLnJlbHNQSwECLQAUAAYACAAAACEARXZ6f0YC&#10;AAB5BAAADgAAAAAAAAAAAAAAAAAuAgAAZHJzL2Uyb0RvYy54bWxQSwECLQAUAAYACAAAACEALnsa&#10;yd8AAAAIAQAADwAAAAAAAAAAAAAAAACgBAAAZHJzL2Rvd25yZXYueG1sUEsFBgAAAAAEAAQA8wAA&#10;AKwFAAAAAA==&#10;" adj="10798">
            <v:path arrowok="t"/>
            <v:fill on="f" focussize="0,0"/>
            <v:stroke joinstyle="round"/>
            <v:imagedata o:title=""/>
            <o:lock v:ext="edit"/>
          </v:shape>
        </w:pict>
      </w:r>
      <w:r>
        <w:pict>
          <v:shape id="AutoShape 21" o:spid="_x0000_s1138" o:spt="32" type="#_x0000_t32" style="position:absolute;left:0pt;margin-left:27.55pt;margin-top:9.6pt;height:0pt;width:159pt;z-index:25170841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ckTNQIAAGAEAAAOAAAAZHJzL2Uyb0RvYy54bWysVE2P2yAQvVfqf0DcE9uJs02sOKuVnfSy&#10;7Uba7Q8ggG1UDAhInKjqf+9APtq0l6qqD3gwM29m3jy8fDz2Eh24dUKrEmfjFCOuqGZCtSX+8rYZ&#10;zTFynihGpFa8xCfu8OPq/bvlYAo+0Z2WjFsEIMoVgylx570pksTRjvfEjbXhCg4bbXviYWvbhFky&#10;AHovk0maPiSDtsxYTblz8LU+H+JVxG8aTv1L0zjukSwx1ObjauO6C2uyWpKitcR0gl7KIP9QRU+E&#10;gqQ3qJp4gvZW/AHVC2q1040fU90numkE5bEH6CZLf+vmtSOGx16AHGduNLn/B0s/H7YWCVbiST7F&#10;SJEehvS09zrmRpMsMDQYV4BjpbY29EiP6tU8a/rVIaWrjqiWR++3k4HgGJHchYSNM5BnN3zSDHwI&#10;JIh0HRvbB0ggAh3jVE63qfCjRxQ+AjGLaQrDo9ezhBTXQGOd/8h1j4JRYuctEW3nK60UzF7bLKYh&#10;h2fnoREIvAaErEpvhJRRAlKhocSL2WQWA5yWgoXD4OZsu6ukRQcSRBSfwAqA3blZvVcsgnWcsPXF&#10;9kRIsJGP5HgrgC7JccjWc4aR5HBvgnVGlCpkhNah4It11tG3RbpYz9fzfJRPHtajPK3r0dOmykcP&#10;m+zDrJ7WVVVn30PxWV50gjGuQv1XTWf532nmcrvOaryp+kZUco8eSYBir+9YdJx9GPdZODvNTlsb&#10;ugsyABlH58uVC/fk1330+vljWP0AAAD//wMAUEsDBBQABgAIAAAAIQABv+4E3gAAAAgBAAAPAAAA&#10;ZHJzL2Rvd25yZXYueG1sTI/BTsMwEETvSPyDtUjcqNNWDW2IUwEVIpci0VaIoxsvcUS8jmK3Tfl6&#10;FnGA474Zzc7ky8G14oh9aDwpGI8SEEiVNw3VCnbbp5s5iBA1Gd16QgVnDLAsLi9ynRl/olc8bmIt&#10;OIRCphXYGLtMylBZdDqMfIfE2ofvnY589rU0vT5xuGvlJElS6XRD/MHqDh8tVp+bg1MQV+9nm75V&#10;D4vmZfu8TpuvsixXSl1fDfd3ICIO8c8MP/W5OhTcae8PZIJoFcxmY3YyX0xAsD69nTLY/wJZ5PL/&#10;gOIbAAD//wMAUEsBAi0AFAAGAAgAAAAhALaDOJL+AAAA4QEAABMAAAAAAAAAAAAAAAAAAAAAAFtD&#10;b250ZW50X1R5cGVzXS54bWxQSwECLQAUAAYACAAAACEAOP0h/9YAAACUAQAACwAAAAAAAAAAAAAA&#10;AAAvAQAAX3JlbHMvLnJlbHNQSwECLQAUAAYACAAAACEAdKXJEzUCAABgBAAADgAAAAAAAAAAAAAA&#10;AAAuAgAAZHJzL2Uyb0RvYy54bWxQSwECLQAUAAYACAAAACEAAb/uBN4AAAAIAQAADwAAAAAAAAAA&#10;AAAAAACPBAAAZHJzL2Rvd25yZXYueG1sUEsFBgAAAAAEAAQA8wAAAJoFAAAAAA==&#10;">
            <v:path arrowok="t"/>
            <v:fill on="f" focussize="0,0"/>
            <v:stroke weight="0.5pt" endarrow="block"/>
            <v:imagedata o:title=""/>
            <o:lock v:ext="edit"/>
          </v:shape>
        </w:pict>
      </w:r>
      <w:r>
        <w:pict>
          <v:shape id="Text Box 16" o:spid="_x0000_s1090" o:spt="202" type="#_x0000_t202" style="position:absolute;left:0pt;margin-left:186.55pt;margin-top:0.6pt;height:19.85pt;width:68.05pt;z-index:2517053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q8MLgIAAFoEAAAOAAAAZHJzL2Uyb0RvYy54bWysVNtu2zAMfR+wfxD0vthx46wx4hRdugwD&#10;ugvQ7gNkWbaFyaImKbGzrx8lp2l2exnmB0EUqcPDQ8rrm7FX5CCsk6BLOp+llAjNoZa6LemXx92r&#10;a0qcZ7pmCrQo6VE4erN5+WI9mEJk0IGqhSUIol0xmJJ23psiSRzvRM/cDIzQ6GzA9syjaduktmxA&#10;9F4lWZoukwFsbSxw4Rye3k1Ouon4TSO4/9Q0TniiSorcfFxtXKuwJps1K1rLTCf5iQb7BxY9kxqT&#10;nqHumGdkb+VvUL3kFhw0fsahT6BpJBexBqxmnv5SzUPHjIi1oDjOnGVy/w+Wfzx8tkTWJc0WqI9m&#10;PTbpUYyevIGRzJdBoMG4AuMeDEb6Ec+x0bFYZ+6Bf3VEw7ZjuhW31sLQCVYjwXm4mVxcnXBcAKmG&#10;D1BjHrb3EIHGxvZBPdSDIDoSOZ6bE7hwPLxeLrKrnBKOrizP0lUeM7Di6bKxzr8T0JOwKanF3kdw&#10;drh3PpBhxVNIyOVAyXonlYqGbautsuTAcE528Tuh/xSmNBlKusqzfKr/rxBp/P4E0UuPA69kjxWd&#10;g1gRVHur6ziOnkk17ZGy0icZg3KThn6sxtiyq1XIEDSuoD6isBamAccHiZsO7HdKBhzukrpve2YF&#10;Jeq9xuas5ovQbR+NRf46Q8NeeqpLD9McoUrqKZm2Wz+9oL2xsu0w0zQOGm6xoY2MYj+zOvHHAY49&#10;OD228EIu7Rj1/EvY/AAAAP//AwBQSwMEFAAGAAgAAAAhAJlictPfAAAACAEAAA8AAABkcnMvZG93&#10;bnJldi54bWxMj8FOwzAMhu9IvENkJC5oS7aObS1NJ4QEYjfYEFyzJmsrEqckWVfeHnOCm63v1+/P&#10;5WZ0lg0mxM6jhNlUADNYe91hI+Ft/zhZA4tJoVbWo5HwbSJsqsuLUhXan/HVDLvUMCrBWCgJbUp9&#10;wXmsW+NUnPreILGjD04lWkPDdVBnKneWz4VYcqc6pAut6s1Da+rP3clJWC+eh4+4zV7e6+XR5ulm&#10;NTx9BSmvr8b7O2DJjOkvDL/6pA4VOR38CXVkVkK2ymYUJTAHRvxW5DQcJCxEDrwq+f8Hqh8AAAD/&#10;/wMAUEsBAi0AFAAGAAgAAAAhALaDOJL+AAAA4QEAABMAAAAAAAAAAAAAAAAAAAAAAFtDb250ZW50&#10;X1R5cGVzXS54bWxQSwECLQAUAAYACAAAACEAOP0h/9YAAACUAQAACwAAAAAAAAAAAAAAAAAvAQAA&#10;X3JlbHMvLnJlbHNQSwECLQAUAAYACAAAACEAYgavDC4CAABaBAAADgAAAAAAAAAAAAAAAAAuAgAA&#10;ZHJzL2Uyb0RvYy54bWxQSwECLQAUAAYACAAAACEAmWJy098AAAAIAQAADwAAAAAAAAAAAAAAAACI&#10;BAAAZHJzL2Rvd25yZXYueG1sUEsFBgAAAAAEAAQA8wAAAJQFA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实施监测</w:t>
                  </w:r>
                </w:p>
              </w:txbxContent>
            </v:textbox>
          </v:shape>
        </w:pict>
      </w:r>
      <w:r>
        <w:pict>
          <v:shape id="Text Box 8" o:spid="_x0000_s1091" o:spt="202" type="#_x0000_t202" style="position:absolute;left:0pt;margin-left:310.35pt;margin-top:0.6pt;height:19.85pt;width:130.4pt;z-index:2516992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UswLgIAAFoEAAAOAAAAZHJzL2Uyb0RvYy54bWysVNtu2zAMfR+wfxD0vtjx4iwx4hRdugwD&#10;ugvQ7gNkWbaFyaImKbG7ry8lp2l2exnmB0EUqUPyHMqbq7FX5Cisk6BLOp+llAjNoZa6LenX+/2r&#10;FSXOM10zBVqU9EE4erV9+WIzmEJk0IGqhSUIol0xmJJ23psiSRzvRM/cDIzQ6GzA9syjaduktmxA&#10;9F4lWZoukwFsbSxw4Rye3kxOuo34TSO4/9w0TniiSoq1+bjauFZhTbYbVrSWmU7yUxnsH6romdSY&#10;9Ax1wzwjByt/g+olt+Cg8TMOfQJNI7mIPWA38/SXbu46ZkTsBclx5kyT+3+w/NPxiyWyLmn2ek2J&#10;Zj2KdC9GT97CSFaBn8G4AsPuDAb6EY9R59irM7fAvzmiYdcx3Ypra2HoBKuxvnm4mVxcnXBcAKmG&#10;j1BjGnbwEIHGxvaBPKSDIDrq9HDWJpTCQ8plvkxX6OLoy/IsXecxBSuebhvr/HsBPQmbklrUPqKz&#10;463zoRpWPIWEZA6UrPdSqWjYttopS44M52QfvxP6T2FKk6Gk6zzLJwL+CpHG708QvfQ48Er2JV2d&#10;g1gRaHun6ziOnkk17bFkpU88BuomEv1YjVGyRZzfQHIF9QMya2EacHyQuOnA/qBkwOEuqft+YFZQ&#10;oj5oVGc9X+Bd4qOxyN9kaNhLT3XpYZojVEk9JdN256cXdDBWth1mmuZBwzUq2shI9nNVp/pxgKMG&#10;p8cWXsilHaOefwnbRwAAAP//AwBQSwMEFAAGAAgAAAAhAKBw43veAAAACAEAAA8AAABkcnMvZG93&#10;bnJldi54bWxMj8FOwzAQRO9I/IO1SFwQtRtKmoY4FUICwQ3aCq5uvE0i7HWw3TT8PeYEx9Ubzbyt&#10;1pM1bEQfekcS5jMBDKlxuqdWwm77eF0AC1GRVsYRSvjGAOv6/KxSpXYnesNxE1uWSiiUSkIX41By&#10;HpoOrQozNyAldnDeqphO33Lt1SmVW8MzIXJuVU9poVMDPnTYfG6OVkKxeB4/wsvN63uTH8wqXi3H&#10;py8v5eXFdH8HLOIU/8Lwq5/UoU5Oe3ckHZiRkGdimaIJZMASL4r5LbC9hIVYAa8r/v+B+gcAAP//&#10;AwBQSwECLQAUAAYACAAAACEAtoM4kv4AAADhAQAAEwAAAAAAAAAAAAAAAAAAAAAAW0NvbnRlbnRf&#10;VHlwZXNdLnhtbFBLAQItABQABgAIAAAAIQA4/SH/1gAAAJQBAAALAAAAAAAAAAAAAAAAAC8BAABf&#10;cmVscy8ucmVsc1BLAQItABQABgAIAAAAIQBm0UswLgIAAFoEAAAOAAAAAAAAAAAAAAAAAC4CAABk&#10;cnMvZTJvRG9jLnhtbFBLAQItABQABgAIAAAAIQCgcON73gAAAAgBAAAPAAAAAAAAAAAAAAAAAIgE&#10;AABkcnMvZG93bnJldi54bWxQSwUGAAAAAAQABADzAAAAkwU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明确各预警级别指标阈值</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AutoShape 25" o:spid="_x0000_s1136" o:spt="32" type="#_x0000_t32" style="position:absolute;left:0pt;margin-left:221.25pt;margin-top:0.05pt;height:24.2pt;width:0pt;z-index:25170944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5cyHgIAAD0EAAAOAAAAZHJzL2Uyb0RvYy54bWysU8GO2jAQvVfqP1i+QxIIuxARVqsEetl2&#10;kXb7AcZ2iFXHtmxDQFX/vWMH0O72UlXNwRnbM2/ezDwvH06dREdundCqxNk4xYgrqplQ+xJ/f92M&#10;5hg5TxQjUite4jN3+GH1+dOyNwWf6FZLxi0CEOWK3pS49d4USeJoyzvixtpwBZeNth3xsLX7hFnS&#10;A3onk0ma3iW9tsxYTblzcFoPl3gV8ZuGU//cNI57JEsM3HxcbVx3YU1WS1LsLTGtoBca5B9YdEQo&#10;SHqDqokn6GDFH1CdoFY73fgx1V2im0ZQHmuAarL0QzUvLTE81gLNcebWJvf/YOm349YiwUo8yXOM&#10;FOlgSI8Hr2NuNJmFDvXGFeBYqa0NNdKTejFPmv5wSOmqJWrPo/fr2UBwFiKSdyFh4wzk2fVfNQMf&#10;Agliu06N7QIkNAKd4lTOt6nwk0d0OKRwOk3vp3kcWEKKa5yxzn/hukPBKLHzloh96yutFIxe2yxm&#10;Iccn5wMrUlwDQlKlN0LKqACpUF/ixQzqDTdOS8HCZdzY/a6SFh1J0FD8Yokf3Kw+KBbBWk7Y+mJ7&#10;IuRgQ3KpAh7UBXQu1iCSn4t0sZ6v5/kon9ytR3la16PHTZWP7jbZ/aye1lVVZ78CtSwvWsEYV4Hd&#10;VbBZ/neCuDydQWo3yd7akLxHj/0Cstd/JB0HG2Y5qGKn2XlrrwMHjUbny3sKj+DtHuy3r371GwAA&#10;//8DAFBLAwQUAAYACAAAACEA+/FuTtkAAAAHAQAADwAAAGRycy9kb3ducmV2LnhtbEyOQUvDQBCF&#10;74L/YRnBi9hNQyM1ZlOK4MGjbcHrNDsm0exsyG6a2F/vFA96m8f3ePMVm9l16kRDaD0bWC4SUMSV&#10;ty3XBg77l/s1qBCRLXaeycA3BdiU11cF5tZP/EanXayVjHDI0UATY59rHaqGHIaF74mFffjBYZQ4&#10;1NoOOMm463SaJA/aYcvyocGenhuqvnajM0BhzJbJ9tHVh9fzdPeenj+nfm/M7c28fQIVaY5/Zbjo&#10;izqU4nT0I9ugOgOrVZpJ9QKU4N94lGOdgS4L/d+//AEAAP//AwBQSwECLQAUAAYACAAAACEAtoM4&#10;kv4AAADhAQAAEwAAAAAAAAAAAAAAAAAAAAAAW0NvbnRlbnRfVHlwZXNdLnhtbFBLAQItABQABgAI&#10;AAAAIQA4/SH/1gAAAJQBAAALAAAAAAAAAAAAAAAAAC8BAABfcmVscy8ucmVsc1BLAQItABQABgAI&#10;AAAAIQAYX5cyHgIAAD0EAAAOAAAAAAAAAAAAAAAAAC4CAABkcnMvZTJvRG9jLnhtbFBLAQItABQA&#10;BgAIAAAAIQD78W5O2QAAAAcBAAAPAAAAAAAAAAAAAAAAAHgEAABkcnMvZG93bnJldi54bWxQSwUG&#10;AAAAAAQABADzAAAAfgUAAAAA&#10;">
            <v:path arrowok="t"/>
            <v:fill on="f" focussize="0,0"/>
            <v:stroke/>
            <v:imagedata o:title=""/>
            <o:lock v:ext="edit"/>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AutoShape 28" o:spid="_x0000_s1135" o:spt="32" type="#_x0000_t32" style="position:absolute;left:0pt;margin-left:295.2pt;margin-top:3.8pt;height:17pt;width:0pt;z-index:25171251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iyNgIAAF8EAAAOAAAAZHJzL2Uyb0RvYy54bWysVMuO2yAU3VfqPyD2iR91ZhIrzmhkJ91M&#10;20gz/QACOEbFgIDEiar+ey84SWfaTVU1C3KB+zj33IOXD6deoiO3TmhV4WyaYsQV1UyofYW/vmwm&#10;c4ycJ4oRqRWv8Jk7/LB6/245mJLnutOScYsgiXLlYCrceW/KJHG04z1xU224gstW25542Np9wiwZ&#10;IHsvkzxN75JBW2asptw5OG3GS7yK+duWU/+lbR33SFYYsPm42rjuwpqslqTcW2I6QS8wyD+g6IlQ&#10;UPSWqiGeoIMVf6TqBbXa6dZPqe4T3baC8tgDdJOlv3Xz3BHDYy9AjjM3mtz/S0s/H7cWCVbhvLjH&#10;SJEehvR48DrWRvk8MDQYV4JjrbY29EhP6tk8afrNIaXrjqg9j94vZwPBWYhI3oSEjTNQZzd80gx8&#10;CBSIdJ1a24eUQAQ6xamcb1PhJ4/oeEjhNM9mizQOLCHlNc5Y5z9y3aNgVNh5S8S+87VWCkavbRar&#10;kOOT8wEVKa8BoajSGyFlVIBUaKjwYpbPYoDTUrBwGdyc3e9qadGRBA3FX2wRbl67WX1QLCbrOGHr&#10;i+2JkGAjH7nxVgBbkuNQrecMI8nh2QRrhCdVqAidA+CLNcro+yJdrOfreTEp8rv1pEibZvK4qYvJ&#10;3Sa7nzUfmrpush8BfFaUnWCMq4D/Kums+DvJXB7XKMabqG9EJW+zR0YB7PU/go6jD9MedbPT7Ly1&#10;obugAlBxdL68uPBMXu+j16/vwuonAAAA//8DAFBLAwQUAAYACAAAACEAx3jpFd4AAAAIAQAADwAA&#10;AGRycy9kb3ducmV2LnhtbEyPwU7DMBBE70j8g7VI3KhTVAIN2VRAhcilSLQIcXTjJbaI11Hstilf&#10;jxEHOI5mNPOmXIyuE3sagvWMMJ1kIIgbry23CK+bx4sbECEq1qrzTAhHCrCoTk9KVWh/4Bfar2Mr&#10;UgmHQiGYGPtCytAYcipMfE+cvA8/OBWTHFqpB3VI5a6Tl1mWS6cspwWjenow1Hyudw4hLt+PJn9r&#10;7uf2efO0yu1XXddLxPOz8e4WRKQx/oXhBz+hQ5WYtn7HOogO4WqezVIU4ToHkfxfvUWYTXOQVSn/&#10;H6i+AQAA//8DAFBLAQItABQABgAIAAAAIQC2gziS/gAAAOEBAAATAAAAAAAAAAAAAAAAAAAAAABb&#10;Q29udGVudF9UeXBlc10ueG1sUEsBAi0AFAAGAAgAAAAhADj9If/WAAAAlAEAAAsAAAAAAAAAAAAA&#10;AAAALwEAAF9yZWxzLy5yZWxzUEsBAi0AFAAGAAgAAAAhAKzNmLI2AgAAXwQAAA4AAAAAAAAAAAAA&#10;AAAALgIAAGRycy9lMm9Eb2MueG1sUEsBAi0AFAAGAAgAAAAhAMd46RXeAAAACAEAAA8AAAAAAAAA&#10;AAAAAAAAkAQAAGRycy9kb3ducmV2LnhtbFBLBQYAAAAABAAEAPMAAACbBQAAAAA=&#10;">
            <v:path arrowok="t"/>
            <v:fill on="f" focussize="0,0"/>
            <v:stroke weight="0.5pt" endarrow="block"/>
            <v:imagedata o:title=""/>
            <o:lock v:ext="edit"/>
          </v:shape>
        </w:pict>
      </w:r>
      <w:r>
        <w:pict>
          <v:shape id="AutoShape 27" o:spid="_x0000_s1134" o:spt="32" type="#_x0000_t32" style="position:absolute;left:0pt;margin-left:150.5pt;margin-top:3.8pt;height:17pt;width:0pt;z-index:25171148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9o0NgIAAF8EAAAOAAAAZHJzL2Uyb0RvYy54bWysVMuO2yAU3VfqPyD2GT/qZBIrzmhkJ91M&#10;20gz/QACOEbFgIDEiar+ey84SWfaTVU1C3KB+zj33IOXD6deoiO3TmhV4ewuxYgrqplQ+wp/fdlM&#10;5hg5TxQjUite4TN3+GH1/t1yMCXPdacl4xZBEuXKwVS4896USeJox3vi7rThCi5bbXviYWv3CbNk&#10;gOy9TPI0nSWDtsxYTblzcNqMl3gV87ctp/5L2zrukawwYPNxtXHdhTVZLUm5t8R0gl5gkH9A0ROh&#10;oOgtVUM8QQcr/kjVC2q1062/o7pPdNsKymMP0E2W/tbNc0cMj70AOc7caHL/Ly39fNxaJFiF82KG&#10;kSI9DOnx4HWsjfL7wNBgXAmOtdra0CM9qWfzpOk3h5SuO6L2PHq/nA0EZyEieRMSNs5And3wSTPw&#10;IVAg0nVqbR9SAhHoFKdyvk2Fnzyi4yGF0zybLtI4sISU1zhjnf/IdY+CUWHnLRH7ztdaKRi9tlms&#10;Qo5PzgdUpLwGhKJKb4SUUQFSoaHCi2k+jQFOS8HCZXBzdr+rpUVHEjQUf7FFuHntZvVBsZis44St&#10;L7YnQoKNfOTGWwFsSY5DtZ4zjCSHZxOsEZ5UoSJ0DoAv1iij74t0sZ6v58WkyGfrSZE2zeRxUxeT&#10;2Sa7nzYfmrpush8BfFaUnWCMq4D/Kums+DvJXB7XKMabqG9EJW+zR0YB7PU/go6jD9MedbPT7Ly1&#10;obugAlBxdL68uPBMXu+j16/vwuonAAAA//8DAFBLAwQUAAYACAAAACEAJnsmuN4AAAAIAQAADwAA&#10;AGRycy9kb3ducmV2LnhtbEyPwU7DMBBE70j8g7VI3KgTQAZCNhVQIXIpEi1CHN14SSzidRS7bcrX&#10;Y8QBjqMZzbwp55PrxY7GYD0j5LMMBHHjjeUW4XX9eHYNIkTNRveeCeFAAebV8VGpC+P3/EK7VWxF&#10;KuFQaIQuxqGQMjQdOR1mfiBO3ocfnY5Jjq00o96nctfL8yxT0mnLaaHTAz101Hyutg4hLt4PnXpr&#10;7m/s8/ppqexXXdcLxNOT6e4WRKQp/oXhBz+hQ5WYNn7LJoge4SLL05eIcKVAJP9XbxAucwWyKuX/&#10;A9U3AAAA//8DAFBLAQItABQABgAIAAAAIQC2gziS/gAAAOEBAAATAAAAAAAAAAAAAAAAAAAAAABb&#10;Q29udGVudF9UeXBlc10ueG1sUEsBAi0AFAAGAAgAAAAhADj9If/WAAAAlAEAAAsAAAAAAAAAAAAA&#10;AAAALwEAAF9yZWxzLy5yZWxzUEsBAi0AFAAGAAgAAAAhACcH2jQ2AgAAXwQAAA4AAAAAAAAAAAAA&#10;AAAALgIAAGRycy9lMm9Eb2MueG1sUEsBAi0AFAAGAAgAAAAhACZ7JrjeAAAACAEAAA8AAAAAAAAA&#10;AAAAAAAAkAQAAGRycy9kb3ducmV2LnhtbFBLBQYAAAAABAAEAPMAAACbBQAAAAA=&#10;">
            <v:path arrowok="t"/>
            <v:fill on="f" focussize="0,0"/>
            <v:stroke weight="0.5pt" endarrow="block"/>
            <v:imagedata o:title=""/>
            <o:lock v:ext="edit"/>
          </v:shape>
        </w:pict>
      </w:r>
      <w:r>
        <w:pict>
          <v:shape id="AutoShape 26" o:spid="_x0000_s1133" o:spt="32" type="#_x0000_t32" style="position:absolute;left:0pt;margin-left:150.5pt;margin-top:3.8pt;height:0pt;width:144.3pt;z-index:25171046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HZWIQ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sxlG&#10;kvSwpKeDU6E2Sud+QoO2OQSWcmd8j/QkX/Wzot8tkqpsiWx4iH47a0hOfEb0LsVfrIY6++GLYhBD&#10;oEAY16k2vYeEQaBT2Mr5thV+cojCx2TxkM4TWB4dfRHJx0RtrPvMVY+8UWDrDBFN60olJexemSSU&#10;Icdn6zwtko8JvqpUW9F1QQKdREOBl7N0FhKs6gTzTh9mTbMvO4OOxIso/EKP4LkPM+ogWQBrOWGb&#10;q+2I6C42FO+kx4PGgM7VuqjkxzJebhabRTbJ0vlmksVVNXnaltlkvk0+zaqHqiyr5KenlmR5Kxjj&#10;0rMbFZtkf6eI69u5aO2m2dsYovfoYV5AdvwPpMNm/TIvstgrdt6ZceMg0hB8fVD+Fdzfwb5/9utf&#10;AAAA//8DAFBLAwQUAAYACAAAACEAPcfMu90AAAAHAQAADwAAAGRycy9kb3ducmV2LnhtbEyPwW7C&#10;MBBE75X6D9ZW4lIVO1RQSOMghNRDjwWkXk28TdLG6yh2SMrXd+FCbzOa1czbbD26RpywC7UnDclU&#10;gUAqvK2p1HDYvz0tQYRoyJrGE2r4xQDr/P4uM6n1A33gaRdLwSUUUqOhirFNpQxFhc6EqW+ROPvy&#10;nTORbVdK25mBy10jZ0otpDM18UJlWtxWWPzseqcBQz9P1GblysP7eXj8nJ2/h3av9eRh3LyCiDjG&#10;2zFc8BkdcmY6+p5sEI2GZ5XwL1HDywIE5/PlisXx6mWeyf/8+R8AAAD//wMAUEsBAi0AFAAGAAgA&#10;AAAhALaDOJL+AAAA4QEAABMAAAAAAAAAAAAAAAAAAAAAAFtDb250ZW50X1R5cGVzXS54bWxQSwEC&#10;LQAUAAYACAAAACEAOP0h/9YAAACUAQAACwAAAAAAAAAAAAAAAAAvAQAAX3JlbHMvLnJlbHNQSwEC&#10;LQAUAAYACAAAACEAN3R2ViECAAA+BAAADgAAAAAAAAAAAAAAAAAuAgAAZHJzL2Uyb0RvYy54bWxQ&#10;SwECLQAUAAYACAAAACEAPcfMu90AAAAHAQAADwAAAAAAAAAAAAAAAAB7BAAAZHJzL2Rvd25yZXYu&#10;eG1sUEsFBgAAAAAEAAQA8wAAAIUFAAAAAA==&#10;">
            <v:path arrowok="t"/>
            <v:fill on="f" focussize="0,0"/>
            <v:stroke/>
            <v:imagedata o:title=""/>
            <o:lock v:ext="edit"/>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Text Box 30" o:spid="_x0000_s1092" o:spt="202" type="#_x0000_t202" style="position:absolute;left:0pt;margin-left:259.2pt;margin-top:0.65pt;height:19.85pt;width:65.2pt;z-index:2517145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26sLQIAAFoEAAAOAAAAZHJzL2Uyb0RvYy54bWysVNuO2yAQfa/Uf0C8N3bcpE2sOKtttqkq&#10;bS/Sbj8AY2yjAkOBxN5+fQeczaa3l6p+QAwznJk5Z/DmatSKHIXzEkxF57OcEmE4NNJ0Ff1yv3+x&#10;osQHZhqmwIiKPghPr7bPn20GW4oCelCNcARBjC8HW9E+BFtmmee90MzPwAqDzhacZgFN12WNYwOi&#10;a5UVef4qG8A11gEX3uPpzeSk24TftoKHT23rRSCqolhbSKtLax3XbLthZeeY7SU/lcH+oQrNpMGk&#10;Z6gbFhg5OPkblJbcgYc2zDjoDNpWcpF6wG7m+S/d3PXMitQLkuPtmSb//2D5x+NnR2RT0WKxpsQw&#10;jSLdizGQNzCSl4mgwfoS4+4sRoYRz1Ho1Ky3t8C/emJg1zPTiWvnYOgFa7DAeaQ2u7gaJfGljyD1&#10;8AEazMMOARLQ2Dod2UM+CKKjUA9ncWItHA9XxSpfoIejq1gW+XqZMrDy8bJ1PrwToEncVNSh9gmc&#10;HW99iMWw8jEk5vKgZLOXSiXDdfVOOXJkOCf79J3QfwpThgwVXS+L5dT/XyHy9P0JQsuAA6+kxo7O&#10;QayMrL01TRrHwKSa9liyMicaI3MTh2GsxyTZIpEcaa2heUBiHUwDjg8SNz2475QMONwV9d8OzAlK&#10;1HuD4qzni0hlSMZi+bpAw1166ksPMxyhKhoomba7ML2gg3Wy6zHTNA4GrlHQViayn6o61Y8DnDQ4&#10;Pbb4Qi7tFPX0S9j+AAAA//8DAFBLAwQUAAYACAAAACEA607xIN4AAAAIAQAADwAAAGRycy9kb3du&#10;cmV2LnhtbEyPwU7DMBBE70j8g7VIXBB1QkMIIU6FkEBwg7aCqxtvkwh7HWI3DX/PcoLj6o1m31Sr&#10;2Vkx4Rh6TwrSRQICqfGmp1bBdvN4WYAIUZPR1hMq+MYAq/r0pNKl8Ud6w2kdW8ElFEqtoItxKKUM&#10;TYdOh4UfkJjt/eh05HNspRn1kcudlVdJkkune+IPnR7wocPmc31wCorsefoIL8vX9ybf29t4cTM9&#10;fY1KnZ/N93cgIs7xLwy/+qwONTvt/IFMEFbBdVpkHGWwBME8zwqeslOQpQnIupL/B9Q/AAAA//8D&#10;AFBLAQItABQABgAIAAAAIQC2gziS/gAAAOEBAAATAAAAAAAAAAAAAAAAAAAAAABbQ29udGVudF9U&#10;eXBlc10ueG1sUEsBAi0AFAAGAAgAAAAhADj9If/WAAAAlAEAAAsAAAAAAAAAAAAAAAAALwEAAF9y&#10;ZWxzLy5yZWxzUEsBAi0AFAAGAAgAAAAhAI6rbqwtAgAAWgQAAA4AAAAAAAAAAAAAAAAALgIAAGRy&#10;cy9lMm9Eb2MueG1sUEsBAi0AFAAGAAgAAAAhAOtO8SDeAAAACAEAAA8AAAAAAAAAAAAAAAAAhwQA&#10;AGRycy9kb3ducmV2LnhtbFBLBQYAAAAABAAEAPMAAACSBQ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测读数据</w:t>
                  </w:r>
                </w:p>
              </w:txbxContent>
            </v:textbox>
          </v:shape>
        </w:pict>
      </w:r>
      <w:r>
        <w:pict>
          <v:shape id="Text Box 29" o:spid="_x0000_s1093" o:spt="202" type="#_x0000_t202" style="position:absolute;left:0pt;margin-left:115.6pt;margin-top:0.65pt;height:19.85pt;width:65.2pt;z-index:2517135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77VLQIAAFoEAAAOAAAAZHJzL2Uyb0RvYy54bWysVNuO0zAQfUfiHyy/06RRC9uo6WrpUoS0&#10;LEi7fIDjOImF7TG226R8PWOn2y23F0QeLI9nfGbmnHHW16NW5CCcl2AqOp/llAjDoZGmq+iXx92r&#10;K0p8YKZhCoyo6FF4er15+WI92FIU0INqhCMIYnw52Ir2IdgyyzzvhWZ+BlYYdLbgNAtoui5rHBsQ&#10;XausyPPX2QCusQ648B5Pbycn3ST8thU8fGpbLwJRFcXaQlpdWuu4Zps1KzvHbC/5qQz2D1VoJg0m&#10;PUPdssDI3snfoLTkDjy0YcZBZ9C2kovUA3Yzz3/p5qFnVqRekBxvzzT5/wfL7w+fHZFNRYsFSmWY&#10;RpEexRjIWxhJsYoEDdaXGPdgMTKMeI5Cp2a9vQP+1RMD256ZTtw4B0MvWIMFzuPN7OLqhOMjSD18&#10;hAbzsH2ABDS2Tkf2kA+C6CjU8SxOrIXj4VVxlS/Qw9FVLIt8tUwZWPl02Tof3gvQJG4q6lD7BM4O&#10;dz7EYlj5FBJzeVCy2UmlkuG6eqscOTCck136Tug/hSlDhoqulsVy6v+vEHn6/gShZcCBV1JjR+cg&#10;VkbW3pkmjWNgUk17LFmZE42RuYnDMNZjkmxRxAyR4xqaIxLrYBpwfJC46cF9p2TA4a6o/7ZnTlCi&#10;PhgUZzVfRCpDMhbLNwUa7tJTX3qY4QhV0UDJtN2G6QXtrZNdj5mmcTBwg4K2MpH9XNWpfhzgpMHp&#10;scUXcmmnqOdfwuYHAAAA//8DAFBLAwQUAAYACAAAACEAOlKNiN4AAAAIAQAADwAAAGRycy9kb3du&#10;cmV2LnhtbEyPy07DMBBF90j8gzVIbBB1HlUoIU6FkECwg1KVrRtPk4h4HGw3DX/PsILl6Fzde6Za&#10;z3YQE/rQO1KQLhIQSI0zPbUKtu+P1ysQIWoyenCECr4xwLo+P6t0adyJ3nDaxFZwCYVSK+hiHEsp&#10;Q9Oh1WHhRiRmB+etjnz6VhqvT1xuB5klSSGt7okXOj3iQ4fN5+ZoFayWz9NHeMlfd01xGG7j1c30&#10;9OWVuryY7+9ARJzjXxh+9VkdanbauyOZIAYFWZ5mHGWQg2CeF2kBYq9gmSYg60r+f6D+AQAA//8D&#10;AFBLAQItABQABgAIAAAAIQC2gziS/gAAAOEBAAATAAAAAAAAAAAAAAAAAAAAAABbQ29udGVudF9U&#10;eXBlc10ueG1sUEsBAi0AFAAGAAgAAAAhADj9If/WAAAAlAEAAAsAAAAAAAAAAAAAAAAALwEAAF9y&#10;ZWxzLy5yZWxzUEsBAi0AFAAGAAgAAAAhANNTvtUtAgAAWgQAAA4AAAAAAAAAAAAAAAAALgIAAGRy&#10;cy9lMm9Eb2MueG1sUEsBAi0AFAAGAAgAAAAhADpSjYjeAAAACAEAAA8AAAAAAAAAAAAAAAAAhwQA&#10;AGRycy9kb3ducmV2LnhtbFBLBQYAAAAABAAEAPMAAACSBQ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宏观巡查</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Text Box 22" o:spid="_x0000_s1094" o:spt="202" type="#_x0000_t202" style="position:absolute;left:0pt;margin-left:23.35pt;margin-top:5.35pt;height:94.25pt;width:31.8pt;z-index:251660288;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oNoiAIAABwFAAAOAAAAZHJzL2Uyb0RvYy54bWysVFmP2yAQfq/U/4B4z/pY57C1zmqPpqq0&#10;PaTd9p0AjlExUCCxV6v+9w44yWZ7SFVVP2CGGb65vuHicugk2nHrhFY1zs5SjLiimgm1qfHnh9Vk&#10;gZHzRDEiteI1fuQOXy5fv7roTcVz3WrJuEUAolzVmxq33psqSRxteUfcmTZcgbLRtiMeRLtJmCU9&#10;oHcyydN0lvTaMmM15c7B6e2oxMuI3zSc+o9N47hHssYQm4+rjes6rMnyglQbS0wr6D4M8g9RdEQo&#10;cHqEuiWeoK0Vv0B1glrtdOPPqO4S3TSC8pgDZJOlP2Vz3xLDYy5QHGeOZXL/D5Z+2H2ySLAa50WG&#10;kSIdNOmBDx5d6wHleShQb1wFdvcGLP0A59DomKwzd5p+dUjpm5aoDb+yVvctJwwCzMLN5OTqiOMC&#10;yLp/rxn4IVuvI9DQ2C5UD+qBAB0a9XhsToiFwmGRni9moKGgyrJyVs6n0QWpDreNdf4t1x0Kmxpb&#10;aH5EJ7s750M0pDqYBGdOS8FWQsoo2M36Rlq0I0CUVfz26C/MpArGSodrI+J4AkGCj6AL4cbGP5VZ&#10;XqTXeTlZzRbzSbEqppNyni4maVZel7O0KIvb1fcQYFZUrWCMqzuh+IGEWfF3Td6Pw0ifSEPU17ic&#10;5tOxRX9MMo3f75LshIeZlKKr8eJoRKrQ2DeKQdqk8kTIcZ+8DD9WGWpw+MeqRBqEzo8c8MN6iJQr&#10;zoP7wJG1Zo9ADKuhb9BjeFBgw8kX+GPUw3jW2H3bEssxku8U0KvMiiLMcxSK6TwHwZ5q1qcaomir&#10;YeoBbNze+PEN2BorNi34Ggmt9BVQshGRLc9x7YkMIxjT2j8XYcZP5Wj1/KgtfwAAAP//AwBQSwME&#10;FAAGAAgAAAAhAPqHb6DfAAAACQEAAA8AAABkcnMvZG93bnJldi54bWxMj81OwzAQhO9IvIO1SFwq&#10;aqdBDQ1xqqqCA4oQaoG7Gy9JRLyOYrcNb8/2BKf9mdHst8V6cr044Rg6TxqSuQKBVHvbUaPh4/35&#10;7gFEiIas6T2hhh8MsC6vrwqTW3+mHZ72sREcQiE3GtoYh1zKULfoTJj7AYm1Lz86E3kcG2lHc+Zw&#10;18uFUkvpTEd8oTUDblusv/dHp2GWVmGTZFP2mb5u316qp9kuVqj17c20eQQRcYp/ZrjgMzqUzHTw&#10;R7JB9Brulxk7ea+4XvREpSAO3KxWC5BlIf9/UP4CAAD//wMAUEsBAi0AFAAGAAgAAAAhALaDOJL+&#10;AAAA4QEAABMAAAAAAAAAAAAAAAAAAAAAAFtDb250ZW50X1R5cGVzXS54bWxQSwECLQAUAAYACAAA&#10;ACEAOP0h/9YAAACUAQAACwAAAAAAAAAAAAAAAAAvAQAAX3JlbHMvLnJlbHNQSwECLQAUAAYACAAA&#10;ACEAMS6DaIgCAAAcBQAADgAAAAAAAAAAAAAAAAAuAgAAZHJzL2Uyb0RvYy54bWxQSwECLQAUAAYA&#10;CAAAACEA+odvoN8AAAAJAQAADwAAAAAAAAAAAAAAAADiBAAAZHJzL2Rvd25yZXYueG1sUEsFBgAA&#10;AAAEAAQA8wAAAO4FAAAAAA==&#10;">
            <v:path/>
            <v:fill focussize="0,0"/>
            <v:stroke on="f" joinstyle="miter"/>
            <v:imagedata o:title=""/>
            <o:lock v:ext="edit"/>
            <v:textbox style="layout-flow:vertical-ideographic;">
              <w:txbxContent>
                <w:p>
                  <w:pPr>
                    <w:jc w:val="center"/>
                    <w:rPr>
                      <w:rFonts w:ascii="宋体" w:hAnsi="宋体"/>
                      <w:sz w:val="15"/>
                      <w:szCs w:val="15"/>
                    </w:rPr>
                  </w:pPr>
                  <w:r>
                    <w:rPr>
                      <w:rFonts w:hint="eastAsia" w:ascii="宋体" w:hAnsi="宋体"/>
                      <w:sz w:val="15"/>
                      <w:szCs w:val="15"/>
                    </w:rPr>
                    <w:t>持续监测预警</w:t>
                  </w:r>
                </w:p>
              </w:txbxContent>
            </v:textbox>
          </v:shape>
        </w:pict>
      </w:r>
      <w:r>
        <w:pict>
          <v:shape id="AutoShape 35" o:spid="_x0000_s1132" o:spt="32" type="#_x0000_t32" style="position:absolute;left:0pt;margin-left:221.2pt;margin-top:19.65pt;height:13.1pt;width:0pt;z-index:25171865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H0INgIAAF8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LASj6c5&#10;Rop0MKTHg9exNppMA0O9cQU4VmprQ4/0pF7Mk6bfHFK6aona8+j9ejYQnIWI5F1I2DgDdXb9Z83A&#10;h0CBSNepsV1ICUSgU5zK+TYVfvKIDocUTrPZbHIfB5aQ4hpnrPOfuO5QMErsvCVi3/pKKwWj1zaL&#10;VcjxyfmAihTXgFBU6Y2QMipAKtSXeDEdT2OA01KwcBncnN3vKmnRkQQNxV9sEW7eull9UCwmazlh&#10;64vtiZBgIx+58VYAW5LjUK3jDCPJ4dkEa4AnVagInQPgizXI6PsiXazn63k+ysez9ShP63r0uKny&#10;0WyT3U/rSV1VdfYjgM/yohWMcRXwXyWd5X8nmcvjGsR4E/WNqOR99sgogL3+R9Bx9GHag252mp23&#10;NnQXVAAqjs6XFxeeydt99Pr1XVj9BAAA//8DAFBLAwQUAAYACAAAACEApv/yquAAAAAJAQAADwAA&#10;AGRycy9kb3ducmV2LnhtbEyPwU7DMAyG70i8Q2Qkbixl6ypW6k7AhOhlSGwIccwa01Q0TtVkW8fT&#10;E8QBjrY//f7+YjnaThxo8K1jhOtJAoK4drrlBuF1+3h1A8IHxVp1jgnhRB6W5flZoXLtjvxCh01o&#10;RAxhnysEE0KfS+lrQ1b5ieuJ4+3DDVaFOA6N1IM6xnDbyWmSZNKqluMHo3p6MFR/bvYWIazeTyZ7&#10;q+8X7fP2aZ21X1VVrRAvL8a7WxCBxvAHw49+VIcyOu3cnrUXHUKaTtOIIswWMxAR+F3sELL5HGRZ&#10;yP8Nym8AAAD//wMAUEsBAi0AFAAGAAgAAAAhALaDOJL+AAAA4QEAABMAAAAAAAAAAAAAAAAAAAAA&#10;AFtDb250ZW50X1R5cGVzXS54bWxQSwECLQAUAAYACAAAACEAOP0h/9YAAACUAQAACwAAAAAAAAAA&#10;AAAAAAAvAQAAX3JlbHMvLnJlbHNQSwECLQAUAAYACAAAACEA14h9CDYCAABfBAAADgAAAAAAAAAA&#10;AAAAAAAuAgAAZHJzL2Uyb0RvYy54bWxQSwECLQAUAAYACAAAACEApv/yquAAAAAJAQAADwAAAAAA&#10;AAAAAAAAAACQBAAAZHJzL2Rvd25yZXYueG1sUEsFBgAAAAAEAAQA8wAAAJ0FAAAAAA==&#10;">
            <v:path arrowok="t"/>
            <v:fill on="f" focussize="0,0"/>
            <v:stroke weight="0.5pt" endarrow="block"/>
            <v:imagedata o:title=""/>
            <o:lock v:ext="edit"/>
          </v:shape>
        </w:pict>
      </w:r>
      <w:r>
        <w:pict>
          <v:shape id="AutoShape 32" o:spid="_x0000_s1131" o:spt="32" type="#_x0000_t32" style="position:absolute;left:0pt;margin-left:150.25pt;margin-top:19.65pt;height:0pt;width:144.55pt;rotation:11796480f;z-index:25171558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rFLAIAAE0EAAAOAAAAZHJzL2Uyb0RvYy54bWysVE2P2jAQvVfqf7B8h3wQWIgIq1UCvWy7&#10;SLv9AcZ2iNXEY9mGgKr+99oOsKW9VFU5mLE98+bNzHOWj6euRUeujQBZ4GQcY8QlBSbkvsBf3zaj&#10;OUbGEslIC5IX+MwNflx9/LDsVc5TaKBlXCMHIk3eqwI31qo8igxteEfMGBSX7rIG3RHrtnofMU16&#10;h961URrHs6gHzZQGyo1xp9VwiVcBv645tS91bbhFbYEdNxtWHdadX6PVkuR7TVQj6IUG+QcWHRHS&#10;Jb1BVcQSdNDiD6hOUA0Gajum0EVQ14LyUIOrJol/q+a1IYqHWlxzjLq1yfw/WPrluNVIsAKn0wQj&#10;STo3pKeDhZAbTVLfoV6Z3DmWcqt9jfQkX9Uz0G8GSSgbIvc8eL+dlQtOfER0F+I3Rrk8u/4zMOdD&#10;XILQrlOtO6TBjSWJ57H/hWPXF3QKQzrfhsRPFlF3mMwn04f5FCN6vYtI7nE8NaWN/cShQ94osLGa&#10;iH1jS5DSSQF0EuDJ8dlYz/I9wAdL2Ii2DYpoJeoLvJim0xBgoBXMX3o3o/e7stXoSLymBtID2J2b&#10;hoNkAazhhK0vtiWiHWyXvJUezxXm6FysQTTfF/FiPV/Ps1GWztajLK6q0dOmzEazTfIwrSZVWVbJ&#10;D08tyfJGMMalZ3cVcJL9nUAuT2mQ3k3CtzZE9+ihX47s9T+QDoP2sx1UsgN23mrfDT9zp9ngfHlf&#10;/lH8ug9e71+B1U8AAAD//wMAUEsDBBQABgAIAAAAIQDEKfll3gAAAAkBAAAPAAAAZHJzL2Rvd25y&#10;ZXYueG1sTI9NawIxEIbvhf6HMEJvNbGyotvNihQKUpBSFUpv42bcXUwmyybq9t83pQd7m4+Hd54p&#10;loOz4kJ9aD1rmIwVCOLKm5ZrDfvd6+McRIjIBq1n0vBNAZbl/V2BufFX/qDLNtYihXDIUUMTY5dL&#10;GaqGHIax74jT7uh7hzG1fS1Nj9cU7qx8UmomHbacLjTY0UtD1Wl7dhpWk6/PSp7c2uN+9762bxuf&#10;ZRutH0bD6hlEpCHeYPjVT+pQJqeDP7MJwmqYKpUlNBWLKYgEZPPFDMThbyDLQv7/oPwBAAD//wMA&#10;UEsBAi0AFAAGAAgAAAAhALaDOJL+AAAA4QEAABMAAAAAAAAAAAAAAAAAAAAAAFtDb250ZW50X1R5&#10;cGVzXS54bWxQSwECLQAUAAYACAAAACEAOP0h/9YAAACUAQAACwAAAAAAAAAAAAAAAAAvAQAAX3Jl&#10;bHMvLnJlbHNQSwECLQAUAAYACAAAACEAwfgqxSwCAABNBAAADgAAAAAAAAAAAAAAAAAuAgAAZHJz&#10;L2Uyb0RvYy54bWxQSwECLQAUAAYACAAAACEAxCn5Zd4AAAAJAQAADwAAAAAAAAAAAAAAAACGBAAA&#10;ZHJzL2Rvd25yZXYueG1sUEsFBgAAAAAEAAQA8wAAAJEFAAAAAA==&#10;">
            <v:path arrowok="t"/>
            <v:fill on="f" focussize="0,0"/>
            <v:stroke/>
            <v:imagedata o:title=""/>
            <o:lock v:ext="edit"/>
          </v:shape>
        </w:pict>
      </w:r>
      <w:r>
        <w:pict>
          <v:shape id="AutoShape 33" o:spid="_x0000_s1130" o:spt="32" type="#_x0000_t32" style="position:absolute;left:0pt;flip:y;margin-left:150.5pt;margin-top:0.05pt;height:19.6pt;width:0.05pt;z-index:25171660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UasKgIAAEkEAAAOAAAAZHJzL2Uyb0RvYy54bWysVE2P2jAQvVfqf7B8h5AQKESE1SqBXrZd&#10;pN32bmyHWHVsyzYEVPW/d2w+yraXqioHM7Zn3ryZec7i4dhJdODWCa1KnA5HGHFFNRNqV+Ivr+vB&#10;DCPniWJEasVLfOIOPyzfv1v0puCZbrVk3CIAUa7oTYlb702RJI62vCNuqA1XcNlo2xEPW7tLmCU9&#10;oHcyyUajadJry4zVlDsHp/X5Ei8jftNw6p+bxnGPZImBm4+rjes2rMlyQYqdJaYV9EKD/AOLjggF&#10;SW9QNfEE7a34A6oT1GqnGz+kukt00wjKYw1QTTr6rZqXlhgea4HmOHNrk/t/sPTzYWORYCXOJhlG&#10;inQwpMe91zE3Go9Dh3rjCnCs1MaGGulRvZgnTb85pHTVErXj0fv1ZCA4DRHJm5CwcQbybPtPmoEP&#10;gQSxXcfGdqiRwnwNgQEcWoKOcT6n23z40SMKh9PxBCMK51k+m2dxeAkpAkaINNb5j1x3KBgldt4S&#10;sWt9pZUCGWh7xieHJ+cDw18BIVjptZAyqkEq1Jd4PskmkZDTUrBwGdyc3W0radGBBD3FXywXbu7d&#10;rN4rFsFaTtjqYnsi5NmG5FIFPKgM6Fyss2C+z0fz1Ww1ywd5Nl0N8lFdDx7XVT6YrtMPk3pcV1Wd&#10;/gjU0rxoBWNcBXZX8ab534nj8ozOsrvJ99aG5C167BeQvf5H0nHIYa5nhWw1O23sdfig1+h8eVvh&#10;Qdzvwb7/Aix/AgAA//8DAFBLAwQUAAYACAAAACEAvmeBfNoAAAAHAQAADwAAAGRycy9kb3ducmV2&#10;LnhtbEyPwU7DMBBE70j8g7VI3KhTikob4lQICcQBRWqh9228JIF4HWI3Sf+e7QluM5rV7JtsM7lW&#10;DdSHxrOB+SwBRVx623Bl4OP9+WYFKkRki61nMnCiAJv88iLD1PqRtzTsYqWkhEOKBuoYu1TrUNbk&#10;MMx8RyzZp+8dRrF9pW2Po5S7Vt8myVI7bFg+1NjRU03l9+7oDPzw/Wl/p4fVV1HE5cvrW8VUjMZc&#10;X02PD6AiTfHvGM74gg65MB38kW1QrYFFMpct8RwoicWKOIhYL0Dnmf7Pn/8CAAD//wMAUEsBAi0A&#10;FAAGAAgAAAAhALaDOJL+AAAA4QEAABMAAAAAAAAAAAAAAAAAAAAAAFtDb250ZW50X1R5cGVzXS54&#10;bWxQSwECLQAUAAYACAAAACEAOP0h/9YAAACUAQAACwAAAAAAAAAAAAAAAAAvAQAAX3JlbHMvLnJl&#10;bHNQSwECLQAUAAYACAAAACEA6RlGrCoCAABJBAAADgAAAAAAAAAAAAAAAAAuAgAAZHJzL2Uyb0Rv&#10;Yy54bWxQSwECLQAUAAYACAAAACEAvmeBfNoAAAAHAQAADwAAAAAAAAAAAAAAAACEBAAAZHJzL2Rv&#10;d25yZXYueG1sUEsFBgAAAAAEAAQA8wAAAIsFAAAAAA==&#10;">
            <v:path arrowok="t"/>
            <v:fill on="f" focussize="0,0"/>
            <v:stroke/>
            <v:imagedata o:title=""/>
            <o:lock v:ext="edit"/>
          </v:shape>
        </w:pict>
      </w:r>
      <w:r>
        <w:pict>
          <v:shape id="AutoShape 34" o:spid="_x0000_s1129" o:spt="32" type="#_x0000_t32" style="position:absolute;left:0pt;flip:y;margin-left:294.8pt;margin-top:0.05pt;height:19.6pt;width:0pt;z-index:25171763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S0JgIAAEcEAAAOAAAAZHJzL2Uyb0RvYy54bWysU02P2yAQvVfqf0Dcs/6IkyZWnNXKTnrZ&#10;dlfabe8EcIyKAQEbJ6r63zvgJN1tL1VVH/AAM2/ezDxWt8deogO3TmhV4ewmxYgrqplQ+wp/ed5O&#10;Fhg5TxQjUite4RN3+Hb9/t1qMCXPdacl4xYBiHLlYCrceW/KJHG04z1xN9pwBZettj3xsLX7hFky&#10;AHovkzxN58mgLTNWU+4cnDbjJV5H/Lbl1D+0reMeyQoDNx9XG9ddWJP1ipR7S0wn6JkG+QcWPREK&#10;kl6hGuIJerHiD6heUKudbv0N1X2i21ZQHmuAarL0t2qeOmJ4rAWa48y1Te7/wdLPh0eLBKtwPpti&#10;pEgPQ7p78TrmRtMidGgwrgTHWj3aUCM9qidzr+k3h5SuO6L2PHo/nwwEZyEieRMSNs5Ant3wSTPw&#10;IZAgtuvY2h61UpivITCAQ0vQMc7ndJ0PP3pEx0MKp3mxWOZxdAkpA0KIM9b5j1z3KBgVdt4Sse98&#10;rZUCEWg7opPDvfOB36+AEKz0VkgZtSAVGiq8nOWzSMdpKVi4DG7O7ne1tOhAgpriF4uFm9duVr8o&#10;FsE6TtjmbHsi5GhDcqkCHtQFdM7WKJfvy3S5WWwWxaTI55tJkTbN5G5bF5P5Nvswa6ZNXTfZj0At&#10;K8pOMMZVYHeRblb8nTTOj2gU3VW81zYkb9Fjv4Ds5R9JxxGHqY762Gl2erSX0YNao/P5ZYXn8HoP&#10;9uv3v/4JAAD//wMAUEsDBBQABgAIAAAAIQDE1bhU2gAAAAcBAAAPAAAAZHJzL2Rvd25yZXYueG1s&#10;TI7BTsMwEETvSP0Haytxow4thDTEqRASiAOKRIG7Gy9JaLwOsZukf89WHMpx9EYzL9tMthUD9r5x&#10;pOB6EYFAKp1pqFLw8f50lYDwQZPRrSNUcEQPm3x2kenUuJHecNiGSvAI+VQrqEPoUil9WaPVfuE6&#10;JGZfrrc6cOwraXo98rht5TKKYml1Q/xQ6w4fayz324NV8EN3x88bOSTfRRHi55fXirAYlbqcTw/3&#10;IAJO4VyGkz6rQ85OO3cg40Wr4DZZx1w9AcH4L+4UrNYrkHkm//vnvwAAAP//AwBQSwECLQAUAAYA&#10;CAAAACEAtoM4kv4AAADhAQAAEwAAAAAAAAAAAAAAAAAAAAAAW0NvbnRlbnRfVHlwZXNdLnhtbFBL&#10;AQItABQABgAIAAAAIQA4/SH/1gAAAJQBAAALAAAAAAAAAAAAAAAAAC8BAABfcmVscy8ucmVsc1BL&#10;AQItABQABgAIAAAAIQDBMHS0JgIAAEcEAAAOAAAAAAAAAAAAAAAAAC4CAABkcnMvZTJvRG9jLnht&#10;bFBLAQItABQABgAIAAAAIQDE1bhU2gAAAAcBAAAPAAAAAAAAAAAAAAAAAIAEAABkcnMvZG93bnJl&#10;di54bWxQSwUGAAAAAAQABADzAAAAhwUAAAAA&#10;">
            <v:path arrowok="t"/>
            <v:fill on="f" focussize="0,0"/>
            <v:stroke/>
            <v:imagedata o:title=""/>
            <o:lock v:ext="edit"/>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Text Box 65" o:spid="_x0000_s1095" o:spt="202" type="#_x0000_t202" style="position:absolute;left:0pt;margin-left:310.35pt;margin-top:5pt;height:23.45pt;width:60.6pt;z-index:251659264;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LdqhwIAABkFAAAOAAAAZHJzL2Uyb0RvYy54bWysVNuO2yAQfa/Uf0C8Z32pc7EVZ7WXpqq0&#10;vUi7/QACOEbFQIHE3q767x1wkqbbVqqq+gEDMxzOzJxheTl0Eu25dUKrGmcXKUZcUc2E2tb408N6&#10;ssDIeaIYkVrxGj9yhy9XL18se1PxXLdaMm4RgChX9abGrfemShJHW94Rd6ENV2BstO2Ih6XdJsyS&#10;HtA7meRpOkt6bZmxmnLnYPd2NOJVxG8aTv2HpnHcI1lj4ObjaOO4CWOyWpJqa4lpBT3QIP/AoiNC&#10;waUnqFviCdpZ8QtUJ6jVTjf+guou0U0jKI8xQDRZ+iya+5YYHmOB5DhzSpP7f7D0/f6jRYLVOH81&#10;x0iRDor0wAePrvWAZtOQoN64CvzuDXj6Afah0DFYZ+40/eyQ0jctUVt+Za3uW04YEMzCyeTs6Ijj&#10;Asimf6cZ3EN2XkegobFdyB7kAwE6FOrxVJzAhcLmfFbOcrBQMOXlfJFFbgmpjoeNdf4N1x0Kkxpb&#10;qH0EJ/s75wMZUh1dwl1OS8HWQsq4sNvNjbRoT0An6/hF/s/cpArOSodjI+K4AxzhjmALbGPdn8os&#10;L9LrvJysZ4v5pFgX00k5TxeTNCuvy1lalMXt+lsgmBVVKxjj6k4oftRgVvxdjQ/dMKonqhD1NS6n&#10;+XSs0B+DTOP3uyA74aElpehqvDg5kSrU9bViEDapPBFynCc/049Zhhwc/zErUQWh8KME/LAZouKK&#10;4qiujWaPoAuroW5QYnhPYNJq+xWjHnqzxu7LjliOkXyrQFtlVhShmeOimM6DLOy5ZXNuIYoCVI09&#10;RuP0xo8PwM5YsW3hplHNSl+BHhsRtRKEO7I6qBj6LwZ1eCtCg5+vo9ePF231HQAA//8DAFBLAwQU&#10;AAYACAAAACEAtR4ASd0AAAAJAQAADwAAAGRycy9kb3ducmV2LnhtbEyPQU7DMBBF90jcwZpKbBC1&#10;W7UJCXEqQAKxbekBJvE0iRrbUew26e0ZVrAc/ac/7xe72fbiSmPovNOwWioQ5GpvOtdoOH5/PD2D&#10;CBGdwd470nCjALvy/q7A3PjJ7el6iI3gEhdy1NDGOORShroli2HpB3KcnfxoMfI5NtKMOHG57eVa&#10;qURa7Bx/aHGg95bq8+FiNZy+psdtNlWf8ZjuN8kbdmnlb1o/LObXFxCR5vgHw68+q0PJTpW/OBNE&#10;ryFZq5RRDhRvYiDdrDIQlYZtkoEsC/l/QfkDAAD//wMAUEsBAi0AFAAGAAgAAAAhALaDOJL+AAAA&#10;4QEAABMAAAAAAAAAAAAAAAAAAAAAAFtDb250ZW50X1R5cGVzXS54bWxQSwECLQAUAAYACAAAACEA&#10;OP0h/9YAAACUAQAACwAAAAAAAAAAAAAAAAAvAQAAX3JlbHMvLnJlbHNQSwECLQAUAAYACAAAACEA&#10;qzy3aocCAAAZBQAADgAAAAAAAAAAAAAAAAAuAgAAZHJzL2Uyb0RvYy54bWxQSwECLQAUAAYACAAA&#10;ACEAtR4ASd0AAAAJAQAADwAAAAAAAAAAAAAAAADhBAAAZHJzL2Rvd25yZXYueG1sUEsFBgAAAAAE&#10;AAQA8wAAAOsFAAAAAA==&#10;">
            <v:path/>
            <v:fill focussize="0,0"/>
            <v:stroke on="f" joinstyle="miter"/>
            <v:imagedata o:title=""/>
            <o:lock v:ext="edit"/>
            <v:textbox>
              <w:txbxContent>
                <w:p>
                  <w:pPr>
                    <w:jc w:val="center"/>
                    <w:rPr>
                      <w:rFonts w:ascii="宋体" w:hAnsi="宋体"/>
                      <w:sz w:val="15"/>
                      <w:szCs w:val="15"/>
                    </w:rPr>
                  </w:pPr>
                  <w:r>
                    <w:rPr>
                      <w:rFonts w:hint="eastAsia" w:ascii="宋体" w:hAnsi="宋体"/>
                      <w:sz w:val="15"/>
                      <w:szCs w:val="15"/>
                    </w:rPr>
                    <w:t>趋于稳定</w:t>
                  </w:r>
                </w:p>
              </w:txbxContent>
            </v:textbox>
          </v:shape>
        </w:pict>
      </w:r>
      <w:r>
        <w:pict>
          <v:shape id="Text Box 39" o:spid="_x0000_s1096" o:spt="202" type="#_x0000_t202" style="position:absolute;left:0pt;margin-left:159.2pt;margin-top:12.35pt;height:19.85pt;width:121.9pt;z-index:2517217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33hLwIAAFsEAAAOAAAAZHJzL2Uyb0RvYy54bWysVNtu2zAMfR+wfxD0vthx4i4x4hRdugwD&#10;ugvQ7gNkWbaFyaImKbG7rx8lp2l2exnmB4EUqUPykPTmeuwVOQrrJOiSzmcpJUJzqKVuS/rlYf9q&#10;RYnzTNdMgRYlfRSOXm9fvtgMphAZdKBqYQmCaFcMpqSd96ZIEsc70TM3AyM0GhuwPfOo2japLRsQ&#10;vVdJlqZXyQC2Nha4cA5vbycj3Ub8phHcf2oaJzxRJcXcfDxtPKtwJtsNK1rLTCf5KQ32D1n0TGoM&#10;eoa6ZZ6Rg5W/QfWSW3DQ+BmHPoGmkVzEGrCaefpLNfcdMyLWguQ4c6bJ/T9Y/vH42RJZlzRbXFGi&#10;WY9NehCjJ29gJIt1IGgwrkC/e4OefsR7bHQs1pk74F8d0bDrmG7FjbUwdILVmOA8vEwunk44LoBU&#10;wweoMQ47eIhAY2P7wB7yQRAdG/V4bk7IhYeQ+XI1X6CJoy3Ls3SdxxCseHptrPPvBPQkCCW12PyI&#10;zo53zodsWPHkEoI5ULLeS6WiYttqpyw5MhyUffxO6D+5KU2Gkq7zLJ8I+CtEGr8/QfTS48Qr2Zd0&#10;dXZiRaDtra7jPHom1SRjykqfeAzUTST6sRpjz5aRgkByBfUjMmthmnDcSBQ6sN8pGXC6S+q+HZgV&#10;lKj3Gruzni+XYR2issxfZ6jYS0t1aWGaI1RJPSWTuPPTCh2MlW2HkaZ50HCDHW1kJPs5q1P+OMGx&#10;B6dtCytyqUev53/C9gcAAAD//wMAUEsDBBQABgAIAAAAIQC5e0sT4AAAAAkBAAAPAAAAZHJzL2Rv&#10;d25yZXYueG1sTI/BTsMwEETvSPyDtUhcEHWamjSEOBVCAsENCoKrG2+TCHsdbDcNf485wXE1TzNv&#10;681sDZvQh8GRhOUiA4bUOj1QJ+Ht9f6yBBaiIq2MI5TwjQE2zelJrSrtjvSC0zZ2LJVQqJSEPsax&#10;4jy0PVoVFm5EStneeatiOn3HtVfHVG4Nz7Os4FYNlBZ6NeJdj+3n9mAllOJx+ghPq+f3ttib63ix&#10;nh6+vJTnZ/PtDbCIc/yD4Vc/qUOTnHbuQDowI2G1LEVCJeRiDSwBV0WeA9tJKIQA3tT8/wfNDwAA&#10;AP//AwBQSwECLQAUAAYACAAAACEAtoM4kv4AAADhAQAAEwAAAAAAAAAAAAAAAAAAAAAAW0NvbnRl&#10;bnRfVHlwZXNdLnhtbFBLAQItABQABgAIAAAAIQA4/SH/1gAAAJQBAAALAAAAAAAAAAAAAAAAAC8B&#10;AABfcmVscy8ucmVsc1BLAQItABQABgAIAAAAIQBNc33hLwIAAFsEAAAOAAAAAAAAAAAAAAAAAC4C&#10;AABkcnMvZTJvRG9jLnhtbFBLAQItABQABgAIAAAAIQC5e0sT4AAAAAkBAAAPAAAAAAAAAAAAAAAA&#10;AIkEAABkcnMvZG93bnJldi54bWxQSwUGAAAAAAQABADzAAAAlgU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监测数据整理分析</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Text Box 37" o:spid="_x0000_s1097" o:spt="202" type="#_x0000_t202" style="position:absolute;left:0pt;margin-left:150.55pt;margin-top:15.05pt;height:19.85pt;width:85.05pt;z-index:251719680;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9XziAIAABoFAAAOAAAAZHJzL2Uyb0RvYy54bWysVFtv2yAUfp+0/4B4T32pncRWnKppl2lS&#10;d5Ha/QBicIyGgQGJ3VX77zvgJE13kaZpfsBcDt+5fN9hcTV0Au2ZsVzJCicXMUZM1opyua3w54f1&#10;ZI6RdURSIpRkFX5kFl8tX79a9LpkqWqVoMwgAJG27HWFW+d0GUW2bllH7IXSTMJho0xHHCzNNqKG&#10;9IDeiSiN42nUK0O1UTWzFnZvx0O8DPhNw2r3sWksc0hUGGJzYTRh3PgxWi5IuTVEt7w+hEH+IYqO&#10;cAlOT1C3xBG0M/wXqI7XRlnVuItadZFqGl6zkANkk8Q/ZXPfEs1CLlAcq09lsv8Ptv6w/2QQpxVO&#10;L3OMJOmApAc2OLRSA7qc+QL12pZgd6/B0g2wD0SHZK2+U/UXi6S6aYncsmtjVN8yQiHAxN+Mzq6O&#10;ONaDbPr3ioIfsnMqAA2N6Xz1oB4I0IGoxxM5Ppbau4znceJjrOEszdO4yIMLUh5va2PdW6Y65CcV&#10;NkB+QCf7O+t8NKQ8mnhnVglO11yIsDDbzY0waE9AKOvwHdBfmAnpjaXy10bEcQeCBB/+zIcbiH8q&#10;kjSLV2kxWU/ns0m2zvJJMYvnkzgpVsU0zorsdv3dB5hkZcspZfKOS3YUYZL9HcmHdhjlE2SI+goX&#10;eZqPFP0xyTh8v0uy4w56UvCuwvOTESk9sW8khbRJ6QgX4zx6GX6oMtTg+A9VCTLwzI8acMNmCJLL&#10;pt6918hG0UcQhlHAG7APDwpMWmW+YdRDc1bYft0RwzAS7ySIq0iyzHdzWGT5LIWFOT/ZnJ8QWQNU&#10;hR1G4/TGjS/AThu+bcHTKGeprkGQDQ9aeY7qIGNowJDU4bHwHX6+DlbPT9ryBwAAAP//AwBQSwME&#10;FAAGAAgAAAAhAMt/bC7eAAAACQEAAA8AAABkcnMvZG93bnJldi54bWxMj8tOwzAQRfdI/IM1SGwQ&#10;dR5tAiGTCpBAbFv6AZN4mkTEdhS7Tfr3mBVdju7RvWfK7aIHcebJ9dYgxKsIBJvGqt60CIfvj8cn&#10;EM6TUTRYwwgXdrCtbm9KKpSdzY7Pe9+KUGJcQQid92MhpWs61uRWdmQTsqOdNPlwTq1UE82hXA8y&#10;iaJMaupNWOho5PeOm5/9SSMcv+aHzfNcf/pDvltnb9Tntb0g3t8try8gPC/+H4Y//aAOVXCq7cko&#10;JwaENIrjgCIk6QZEANZ5nICoEbI0AVmV8vqD6hcAAP//AwBQSwECLQAUAAYACAAAACEAtoM4kv4A&#10;AADhAQAAEwAAAAAAAAAAAAAAAAAAAAAAW0NvbnRlbnRfVHlwZXNdLnhtbFBLAQItABQABgAIAAAA&#10;IQA4/SH/1gAAAJQBAAALAAAAAAAAAAAAAAAAAC8BAABfcmVscy8ucmVsc1BLAQItABQABgAIAAAA&#10;IQC7u9XziAIAABoFAAAOAAAAAAAAAAAAAAAAAC4CAABkcnMvZTJvRG9jLnhtbFBLAQItABQABgAI&#10;AAAAIQDLf2wu3gAAAAkBAAAPAAAAAAAAAAAAAAAAAOIEAABkcnMvZG93bnJldi54bWxQSwUGAAAA&#10;AAQABADzAAAA7QUAAAAA&#10;">
            <v:path/>
            <v:fill focussize="0,0"/>
            <v:stroke on="f" joinstyle="miter"/>
            <v:imagedata o:title=""/>
            <o:lock v:ext="edit"/>
            <v:textbox>
              <w:txbxContent>
                <w:p>
                  <w:pPr>
                    <w:jc w:val="center"/>
                    <w:rPr>
                      <w:rFonts w:ascii="宋体" w:hAnsi="宋体"/>
                      <w:sz w:val="15"/>
                      <w:szCs w:val="15"/>
                    </w:rPr>
                  </w:pPr>
                  <w:r>
                    <w:rPr>
                      <w:rFonts w:hint="eastAsia" w:ascii="宋体" w:hAnsi="宋体"/>
                      <w:sz w:val="15"/>
                      <w:szCs w:val="15"/>
                    </w:rPr>
                    <w:t>达到预警级别</w:t>
                  </w:r>
                </w:p>
              </w:txbxContent>
            </v:textbox>
          </v:shape>
        </w:pict>
      </w:r>
      <w:r>
        <w:pict>
          <v:shape id="AutoShape 62" o:spid="_x0000_s1128" o:spt="34" type="#_x0000_t34" style="position:absolute;left:0pt;flip:y;margin-left:281.1pt;margin-top:3.3pt;height:0.7pt;width:122.7pt;z-index:25173708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rpFPQIAAHQEAAAOAAAAZHJzL2Uyb0RvYy54bWysVEuP2yAQvlfqf0DcEz/WSRNrndXKTnrZ&#10;tivttncCOKbFgIDEiar+9x2IE+22l6oqBzwwM9+8Pnx7d+wlOnDrhFYVzqYpRlxRzYTaVfjr82ay&#10;wMh5ohiRWvEKn7jDd6v3724HU/Jcd1oybhGAKFcOpsKd96ZMEkc73hM31YYrULba9sTD0e4SZskA&#10;6L1M8jSdJ4O2zFhNuXNw25yVeBXx25ZT/6VtHfdIVhhy83G3cd+GPVndknJniekEHdMg/5BFT4SC&#10;oFeohniC9lb8AdULarXTrZ9S3Se6bQXlsQaoJkt/q+apI4bHWqA5zlzb5P4fLP18eLRIsArnNwVG&#10;ivQwpPu91zE2muehQ4NxJRjW6tGGGulRPZkHTX84pHTdEbXj0fr5ZMA5Cx7JG5dwcAbibIdPmoEN&#10;gQCxXcfW9qiVwnwLjgEcWoKOcT6n63z40SMKl9lstsiXMEYKusUCpBCKlAEl+Brr/EeuexSECm+5&#10;8rVWCkig7U1EJ4cH5+Oc2FgrYd8zjNpewtgPRKJZCmvEHa0hwgU5uCq9EVJG4kiFhgovZ/ksojst&#10;BQvKYObsbltLiwAUColrhH1jZvVesQjWccLWo+yJkGcZgksV8KAJY+6hHZFbP5fpcr1YL4pJkc/X&#10;kyJtmsn9pi4m8032YdbcNHXdZL9CallRdoIxrkJ2F55nxd/xaHxxZ4ZemX5tQ/IWPU4EUrx8Y9KR&#10;D4ECZzJtNTs92gtPgNrReHyG4e28PoP8+mexegEAAP//AwBQSwMEFAAGAAgAAAAhAKn69bDcAAAA&#10;BwEAAA8AAABkcnMvZG93bnJldi54bWxMjkFLw0AUhO+C/2F5gpdiNwaMJWZTVBDsRbD10tsm+5os&#10;yb4Nu9s2/fe+nvQ2wwwzX7We3ShOGKL1pOBxmYFAar2x1Cn42X08rEDEpMno0RMquGCEdX17U+nS&#10;+DN942mbOsEjFEutoE9pKqWMbY9Ox6WfkDg7+OB0Yhs6aYI+87gbZZ5lhXTaEj/0esL3Htthe3QK&#10;vjb2cz8tBtuEwezfDpv5svCzUvd38+sLiIRz+ivDFZ/RoWamxh/JRDEqeCrynKsKigIE56vsmUVz&#10;FSDrSv7nr38BAAD//wMAUEsBAi0AFAAGAAgAAAAhALaDOJL+AAAA4QEAABMAAAAAAAAAAAAAAAAA&#10;AAAAAFtDb250ZW50X1R5cGVzXS54bWxQSwECLQAUAAYACAAAACEAOP0h/9YAAACUAQAACwAAAAAA&#10;AAAAAAAAAAAvAQAAX3JlbHMvLnJlbHNQSwECLQAUAAYACAAAACEAtjK6RT0CAAB0BAAADgAAAAAA&#10;AAAAAAAAAAAuAgAAZHJzL2Uyb0RvYy54bWxQSwECLQAUAAYACAAAACEAqfr1sNwAAAAHAQAADwAA&#10;AAAAAAAAAAAAAACXBAAAZHJzL2Rvd25yZXYueG1sUEsFBgAAAAAEAAQA8wAAAKAFAAAAAA==&#10;">
            <v:path arrowok="t"/>
            <v:fill on="f" focussize="0,0"/>
            <v:stroke joinstyle="round"/>
            <v:imagedata o:title=""/>
            <o:lock v:ext="edit"/>
          </v:shape>
        </w:pict>
      </w:r>
      <w:r>
        <w:pict>
          <v:shape id="AutoShape 63" o:spid="_x0000_s1127" o:spt="34" type="#_x0000_t34" style="position:absolute;left:0pt;flip:x;margin-left:308.2pt;margin-top:98.9pt;height:0.05pt;width:189.9pt;rotation:5898240f;z-index:25174016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V1NSgIAAIIEAAAOAAAAZHJzL2Uyb0RvYy54bWysVFFv2yAQfp+0/4B4Tx3HjptYdarKTraH&#10;bqvU7gcQwDEbBgQ0TjTtv/cgbpZuL9M0P2Dw3X13992Hb24PvUR7bp3QqsLp1RQjrqhmQu0q/PVp&#10;M1lg5DxRjEiteIWP3OHb1ft3N4Mp+Ux3WjJuEYAoVw6mwp33pkwSRzveE3elDVdgbLXtiYej3SXM&#10;kgHQe5nMptMiGbRlxmrKnYOvzcmIVxG/bTn1X9rWcY9khaE2H1cb121Yk9UNKXeWmE7QsQzyD1X0&#10;RChIeoZqiCfo2Yo/oHpBrXa69VdU94luW0F57AG6Sae/dfPYEcNjL0COM2ea3P+DpZ/3DxYJVuFZ&#10;lmGkSA9Dunv2OuZGRRYYGowrwbFWDzb0SA/q0dxr+t0hpeuOqB2P3k9HA8FpiEjehISDM5BnO3zS&#10;DHwIJIh0HVrbI6thLGkB44QHo1YK8zHghFzAEDrEcR3P4+IHjyh8nOVpep1BBAVbkc1jYlIGzBBq&#10;rPMfuO5R2FR4y5WvtVIgCW2zCE72987HqbGxc8K+pVBBL0EEeyJRvlwuihF39E5+IYdQpTdCyigj&#10;qdBQ4eV8No/oTkvBgjG4Obvb1tIiAIU+Tp0GnsBy6Wb1s2IRrOOErce9J0Ke9uAvVcADDsbaAxtR&#10;aT+W0+V6sV7kk3xWrCf5tGkmd5s6nxSb9HreZE1dN+nPUFqal51gjKtQ3avq0/zvVDXev5Nez7o/&#10;05C8RY8tQomv71h0VEcQxElaW82OD/ZVNSD06DxeynCTLs+wv/x1rF4AAAD//wMAUEsDBBQABgAI&#10;AAAAIQD0AOZH3AAAAAkBAAAPAAAAZHJzL2Rvd25yZXYueG1sTI/BTsMwEETvSPyDtUjcqENblSjE&#10;qRBSJTgBBfW8ibdJSrwOsZuGv2d7orcdzWj2Tb6eXKdGGkLr2cD9LAFFXHnbcm3g63Nzl4IKEdli&#10;55kM/FKAdXF9lWNm/Yk/aNzGWkkJhwwNNDH2mdahashhmPmeWLy9HxxGkUOt7YAnKXednifJSjts&#10;WT402NNzQ9X39ugMxMOuGl+GzbKkd9y9/YRXtxx7Y25vpqdHUJGm+B+GM76gQyFMpT+yDaozkCar&#10;uUTPByjxRS9AlQYW6UMKusj15YLiDwAA//8DAFBLAQItABQABgAIAAAAIQC2gziS/gAAAOEBAAAT&#10;AAAAAAAAAAAAAAAAAAAAAABbQ29udGVudF9UeXBlc10ueG1sUEsBAi0AFAAGAAgAAAAhADj9If/W&#10;AAAAlAEAAAsAAAAAAAAAAAAAAAAALwEAAF9yZWxzLy5yZWxzUEsBAi0AFAAGAAgAAAAhADDpXU1K&#10;AgAAggQAAA4AAAAAAAAAAAAAAAAALgIAAGRycy9lMm9Eb2MueG1sUEsBAi0AFAAGAAgAAAAhAPQA&#10;5kfcAAAACQEAAA8AAAAAAAAAAAAAAAAApAQAAGRycy9kb3ducmV2LnhtbFBLBQYAAAAABAAEAPMA&#10;AACtBQAAAAA=&#10;" adj="10797">
            <v:path arrowok="t"/>
            <v:fill on="f" focussize="0,0"/>
            <v:stroke joinstyle="round"/>
            <v:imagedata o:title=""/>
            <o:lock v:ext="edit"/>
          </v:shape>
        </w:pict>
      </w:r>
      <w:r>
        <w:pict>
          <v:shape id="AutoShape 40" o:spid="_x0000_s1126" o:spt="67" type="#_x0000_t67" style="position:absolute;left:0pt;margin-left:215.4pt;margin-top:11.75pt;height:25.5pt;width:11.35pt;z-index:2517227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rt1RwIAAJYEAAAOAAAAZHJzL2Uyb0RvYy54bWysVMFu2zAMvQ/YPwi6r46dZG2NOkXRrsOA&#10;bivQbXdGkmNtkqhJSpz+fWk5SZPtNswHWTSpx0c+0VfXW2vYRoWo0TW8PJtwppxAqd2q4d+/3b+7&#10;4CwmcBIMOtXwZxX59eLtm6ve16rCDo1UgRGIi3XvG96l5OuiiKJTFuIZeuXI2WKwkMgMq0IG6And&#10;mqKaTN4XPQbpAwoVI329G518kfHbVon0tW2jSsw0nLilvIa8Loe1WFxBvQrgOy12NOAfWFjQjpIe&#10;oO4gAVsH/ReU1SJgxDadCbQFtq0WKtdA1ZSTP6p56sCrXAs1J/pDm+L/gxVfNo+Badnwalpx5sCS&#10;SDfrhDk3m+UO9T7WFPjkH8NQY/QPKH5F5vC2A7dSNyFg3ymQxKscOlqcHBiMSEfZsv+MkuCB4HOz&#10;tm2wAyC1gW2zJs8HTdQ2MUEfy9msnM05E+SaVtOLeWZUQL0/7ENMHxVaNmwaLrF3mVDOAJuHmLIu&#10;clcbyJ8lZ601JPMGDJtP6Nldg6MY6sVrzLS6PB8Lg3qHSAT2iXNL0Gh5r43JRlgtb01gBN/w+/zk&#10;rlDnjsOMY33DL+fVPFM98cVjiIHhyJGynoRZnWh6jLYNvzgEQT1o8cHJfLcTaDPu6bBxO3EGPYYZ&#10;ifUS5TNpE3AcDRpl2ij4QW/OehqMhsffawiKM/PJkcKXpMgwSdmYzc8rMsKxZ3nsASc6pHkjsHF7&#10;m8bpW/ugVx3lKnP1DodL1+q0vz4jrx1duvy0O5muYztHvf5OFi8AAAD//wMAUEsDBBQABgAIAAAA&#10;IQAU88cB3wAAAAkBAAAPAAAAZHJzL2Rvd25yZXYueG1sTI/NTsMwEITvSLyDtUhcKurQJASFbCqE&#10;BByB0ktvbrzEKbEd2c4Pb497gtuOdjTzTbVddM8mcr6zBuF2nQAj01jZmRZh//l8cw/MB2Gk6K0h&#10;hB/ysK0vLypRSjubD5p2oWUxxPhSIKgQhpJz3yjSwq/tQCb+vqzTIkTpWi6dmGO47vkmSe64Fp2J&#10;DUoM9KSo+d6NGuH1JT2sZHib1YlnS3Eqxnc3rRCvr5bHB2CBlvBnhjN+RIc6Mh3taKRnPUKWJhE9&#10;IGzSHFg0ZPn5OCIUWQ68rvj/BfUvAAAA//8DAFBLAQItABQABgAIAAAAIQC2gziS/gAAAOEBAAAT&#10;AAAAAAAAAAAAAAAAAAAAAABbQ29udGVudF9UeXBlc10ueG1sUEsBAi0AFAAGAAgAAAAhADj9If/W&#10;AAAAlAEAAAsAAAAAAAAAAAAAAAAALwEAAF9yZWxzLy5yZWxzUEsBAi0AFAAGAAgAAAAhAIx2u3VH&#10;AgAAlgQAAA4AAAAAAAAAAAAAAAAALgIAAGRycy9lMm9Eb2MueG1sUEsBAi0AFAAGAAgAAAAhABTz&#10;xwHfAAAACQEAAA8AAAAAAAAAAAAAAAAAoQQAAGRycy9kb3ducmV2LnhtbFBLBQYAAAAABAAEAPMA&#10;AACtBQAAAAA=&#10;" adj="18430">
            <v:path/>
            <v:fill focussize="0,0"/>
            <v:stroke joinstyle="miter"/>
            <v:imagedata o:title=""/>
            <o:lock v:ext="edit"/>
            <v:textbox style="layout-flow:vertical-ideographic;"/>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Text Box 41" o:spid="_x0000_s1098" o:spt="202" type="#_x0000_t202" style="position:absolute;left:0pt;margin-left:189.4pt;margin-top:18.5pt;height:19.85pt;width:65.2pt;z-index:2517237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RULQIAAFoEAAAOAAAAZHJzL2Uyb0RvYy54bWysVNuO2yAQfa/Uf0C8N3bcpJtYcVbbbFNV&#10;2l6k3X4AxjhGBYYCiZ1+fQecpOntpaofEMMMh5lzZry6HbQiB+G8BFPR6SSnRBgOjTS7in5+2r5Y&#10;UOIDMw1TYERFj8LT2/XzZ6velqKADlQjHEEQ48veVrQLwZZZ5nknNPMTsMKgswWnWUDT7bLGsR7R&#10;tcqKPH+V9eAa64AL7/H0fnTSdcJvW8HDx7b1IhBVUcwtpNWltY5rtl6xcueY7SQ/pcH+IQvNpMFH&#10;L1D3LDCyd/I3KC25Aw9tmHDQGbSt5CLVgNVM81+qeeyYFakWJMfbC03+/8HyD4dPjsimosXLKSWG&#10;aRTpSQyBvIaBzKaRoN76EuMeLUaGAc9R6FSstw/Av3hiYNMxsxN3zkHfCdZggulmdnV1xPERpO7f&#10;Q4PvsH2ABDS0Tkf2kA+C6CjU8SJOzIXj4aJY5DP0cHQV8yJfzmNuGSvPl63z4a0ATeKmog61T+Ds&#10;8ODDGHoOiW95ULLZSqWS4Xb1RjlyYNgn2/Sd0H8KU4b0FV3Oi/lY/18h8vT9CULLgA2vpMaKLkGs&#10;jKy9MU1qx8CkGvdYnTJYZKQxMjdyGIZ6SJLNbs7y1NAckVgHY4PjQOKmA/eNkh6bu6L+6545QYl6&#10;Z1Cc5XQWqQzJmM1vCjTctae+9jDDEaqigZJxuwnjBO2tk7sOXxrbwcAdCtrKRHZMeczqlD82cJLr&#10;NGxxQq7tFPXjl7D+DgAA//8DAFBLAwQUAAYACAAAACEATa0UCd8AAAAJAQAADwAAAGRycy9kb3du&#10;cmV2LnhtbEyPwU7DMBBE70j8g7VIXBB1aCFJQ5wKIYHgBm0FVzfeJhHxOthuGv6e7Qlus5rR7Jty&#10;NdlejOhD50jBzSwBgVQ701GjYLt5us5BhKjJ6N4RKvjBAKvq/KzUhXFHesdxHRvBJRQKraCNcSik&#10;DHWLVoeZG5DY2ztvdeTTN9J4feRy28t5kqTS6o74Q6sHfGyx/lofrIL89mX8DK+Lt4863ffLeJWN&#10;z99eqcuL6eEeRMQp/oXhhM/oUDHTzh3IBNErWGQ5o8eT4E0cuEuWcxA7BVmagaxK+X9B9QsAAP//&#10;AwBQSwECLQAUAAYACAAAACEAtoM4kv4AAADhAQAAEwAAAAAAAAAAAAAAAAAAAAAAW0NvbnRlbnRf&#10;VHlwZXNdLnhtbFBLAQItABQABgAIAAAAIQA4/SH/1gAAAJQBAAALAAAAAAAAAAAAAAAAAC8BAABf&#10;cmVscy8ucmVsc1BLAQItABQABgAIAAAAIQALmORULQIAAFoEAAAOAAAAAAAAAAAAAAAAAC4CAABk&#10;cnMvZTJvRG9jLnhtbFBLAQItABQABgAIAAAAIQBNrRQJ3wAAAAkBAAAPAAAAAAAAAAAAAAAAAIcE&#10;AABkcnMvZG93bnJldi54bWxQSwUGAAAAAAQABADzAAAAkwU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预  警</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AutoShape 43" o:spid="_x0000_s1125" o:spt="32" type="#_x0000_t32" style="position:absolute;left:0pt;margin-left:100.1pt;margin-top:32.2pt;height:0.05pt;width:234pt;z-index:25172480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SCIwIAAEA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6RT6&#10;I0kPQ3o+OBVyo2zqOzRom4NjKXfG10hP8lW/KPrdIqnKlsiGB++3s4bgxEdEdyF+YzXk2Q+fFQMf&#10;AglCu0616T0kNAKdwlTOt6nwk0MUDtPlY7KIgRyFu/l0FvBJfg3VxrpPXPXIGwW2zhDRtK5UUsL0&#10;lUlCInJ8sc4TI/k1wOeVaiu6Loigk2go8HKWzkKAVZ1g/tK7WdPsy86gI/EyCt/I4s7NqINkAazl&#10;hG1G2xHRXWxI3kmPB6UBndG66OTHMl5uFptFNsnS+WaSxVU1ed6W2WS+TR5n1bQqyyr56aklWd4K&#10;xrj07K6aTbK/08T4ei5qu6n21oboHj30C8he/4F0mK0f50UYe8XOO3OdOcg0OI9Pyr+D93uw3z/8&#10;9S8AAAD//wMAUEsDBBQABgAIAAAAIQAjS7vz3QAAAAkBAAAPAAAAZHJzL2Rvd25yZXYueG1sTI/B&#10;bsIwEETvlfoP1lbiUoEDgpSkcRBC6qHHAlKvJt4mgXgdxQ5J+foup3Kc2afZmWwz2kZcsfO1IwXz&#10;WQQCqXCmplLB8fAxXYPwQZPRjSNU8IseNvnzU6ZT4wb6wus+lIJDyKdaQRVCm0rpiwqt9jPXIvHt&#10;x3VWB5ZdKU2nBw63jVxEUSytrok/VLrFXYXFZd9bBej71TzaJrY8ft6G1+/F7Ty0B6UmL+P2HUTA&#10;MfzDcK/P1SHnTifXk/GiYZ0kCaMK4uUSBANx/MbG6W6sQOaZfFyQ/wEAAP//AwBQSwECLQAUAAYA&#10;CAAAACEAtoM4kv4AAADhAQAAEwAAAAAAAAAAAAAAAAAAAAAAW0NvbnRlbnRfVHlwZXNdLnhtbFBL&#10;AQItABQABgAIAAAAIQA4/SH/1gAAAJQBAAALAAAAAAAAAAAAAAAAAC8BAABfcmVscy8ucmVsc1BL&#10;AQItABQABgAIAAAAIQBdzTSCIwIAAEAEAAAOAAAAAAAAAAAAAAAAAC4CAABkcnMvZTJvRG9jLnht&#10;bFBLAQItABQABgAIAAAAIQAjS7vz3QAAAAkBAAAPAAAAAAAAAAAAAAAAAH0EAABkcnMvZG93bnJl&#10;di54bWxQSwUGAAAAAAQABADzAAAAhwUAAAAA&#10;">
            <v:path arrowok="t"/>
            <v:fill on="f" focussize="0,0"/>
            <v:stroke weight="0.5pt"/>
            <v:imagedata o:title=""/>
            <o:lock v:ext="edit"/>
          </v:shape>
        </w:pict>
      </w:r>
      <w:r>
        <w:pict>
          <v:shape id="AutoShape 44" o:spid="_x0000_s1124" o:spt="32" type="#_x0000_t32" style="position:absolute;left:0pt;margin-left:99.95pt;margin-top:32.2pt;height:13.75pt;width:0pt;z-index:25172582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MwIAAF8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yxYY&#10;KdLDkJ72XsfcKM9DhwbjCnCs1NaGGulRvZpnTb86pHTVEdXy6P12MhCchojkLiRsnIE8u+GTZuBD&#10;IEFs17GxfYCERqBjnMrpNhV+9IieDymcpg/5LJtGcFJc44x1/iPXPQpGiZ23RLSdr7RSMHpt05iF&#10;HJ6dD6xIcQ0ISZXeCCmjAqRCQ4kXU0gQbpyWgoXLuLHtrpIWHUjQUPxdWNy5Wb1XLIJ1nLD1xfZE&#10;SLCRj73xVkC3JMchW88ZRpLDswnWmZ5UISNUDoQv1llG3xaTxXq+nuejPJutR/mkrkdPmyofzTbp&#10;w7T+UFdVnX4P5NO86ARjXAX+V0mn+d9J5vK4zmK8ifrWqOQePXYUyF7/I+k4+jDts252mp22NlQX&#10;VAAqjs6XFxeeya/76PXzu7D6AQAA//8DAFBLAwQUAAYACAAAACEAKyxvSt4AAAAJAQAADwAAAGRy&#10;cy9kb3ducmV2LnhtbEyPwU7DMAyG70h7h8iTuLF0aKpIaTqxTYheQGJDiGPWmCaicaom2zqenowL&#10;HH/70+/P5XJ0HTviEKwnCfNZBgyp8dpSK+Ft93hzByxERVp1nlDCGQMsq8lVqQrtT/SKx21sWSqh&#10;UCgJJsa+4Dw0Bp0KM98jpd2nH5yKKQ4t14M6pXLX8dssy7lTltIFo3pcG2y+tgcnIW4+ziZ/b1bC&#10;vuyennP7Xdf1Rsrr6fhwDyziGP9guOgndaiS094fSAfWpSyESKiEfLEAdgF+B3sJYi6AVyX//0H1&#10;AwAA//8DAFBLAQItABQABgAIAAAAIQC2gziS/gAAAOEBAAATAAAAAAAAAAAAAAAAAAAAAABbQ29u&#10;dGVudF9UeXBlc10ueG1sUEsBAi0AFAAGAAgAAAAhADj9If/WAAAAlAEAAAsAAAAAAAAAAAAAAAAA&#10;LwEAAF9yZWxzLy5yZWxzUEsBAi0AFAAGAAgAAAAhAP7f62UzAgAAXwQAAA4AAAAAAAAAAAAAAAAA&#10;LgIAAGRycy9lMm9Eb2MueG1sUEsBAi0AFAAGAAgAAAAhACssb0reAAAACQEAAA8AAAAAAAAAAAAA&#10;AAAAjQQAAGRycy9kb3ducmV2LnhtbFBLBQYAAAAABAAEAPMAAACYBQAAAAA=&#10;">
            <v:path arrowok="t"/>
            <v:fill on="f" focussize="0,0"/>
            <v:stroke weight="0.5pt" endarrow="block"/>
            <v:imagedata o:title=""/>
            <o:lock v:ext="edit"/>
          </v:shape>
        </w:pict>
      </w:r>
      <w:r>
        <w:pict>
          <v:shape id="AutoShape 45" o:spid="_x0000_s1123" o:spt="32" type="#_x0000_t32" style="position:absolute;left:0pt;margin-left:333.95pt;margin-top:32.2pt;height:13.75pt;width:0pt;z-index:25172684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5DMwIAAF8EAAAOAAAAZHJzL2Uyb0RvYy54bWysVE2P2yAQvVfqf0Dcs45dJ5tYcVYrO+ll&#10;20ba7Q8ggG1UDAhInKjqf++Ak7S7vVRVcyADzMebNw+vHk69REdundCqxOndFCOuqGZCtSX++rKd&#10;LDBynihGpFa8xGfu8MP6/bvVYAqe6U5Lxi2CJMoVgylx570pksTRjvfE3WnDFVw22vbEw9a2CbNk&#10;gOy9TLLpdJ4M2jJjNeXOwWk9XuJ1zN80nPovTeO4R7LEgM3H1cZ1H9ZkvSJFa4npBL3AIP+AoidC&#10;QdFbqpp4gg5W/JGqF9Rqpxt/R3Wf6KYRlMceoJt0+qab544YHnsBcpy50eT+X1r6+bizSLASZxmM&#10;SpEehvR48DrWRvksMDQYV4BjpXY29EhP6tk8afrNIaWrjqiWR++Xs4HgNEQkr0LCxhmosx8+aQY+&#10;BApEuk6N7UNKIAKd4lTOt6nwk0d0PKRwmt7n8yzCSUhxjTPW+Y9c9ygYJXbeEtF2vtJKwei1TWMV&#10;cnxyPqAixTUgFFV6K6SMCpAKDSVezqBAuHFaChYu48a2+0padCRBQ/EXW3zjZvVBsZis44RtLrYn&#10;QoKNfOTGWwFsSY5DtZ4zjCSHZxOsEZ5UoSJ0DoAv1iij78vpcrPYLPJJns03k3xa15PHbZVP5tv0&#10;flZ/qKuqTn8E8GledIIxrgL+q6TT/O8kc3lcoxhvor4RlbzOHhkFsNf/CDqOPkx71M1es/POhu6C&#10;CkDF0fny4sIz+X0fvX59F9Y/AQAA//8DAFBLAwQUAAYACAAAACEA/yEp4d4AAAAJAQAADwAAAGRy&#10;cy9kb3ducmV2LnhtbEyPTU/DMAyG70j8h8hI3Fg6NAVamk7AhOgFJDaEOGaNaSMap2qyrePXY8QB&#10;bv549PpxuZx8L/Y4RhdIw3yWgUBqgnXUanjdPFxcg4jJkDV9INRwxAjL6vSkNIUNB3rB/Tq1gkMo&#10;FkZDl9JQSBmbDr2JszAg8e4jjN4kbsdW2tEcONz38jLLlPTGEV/ozID3HTaf653XkFbvx069NXe5&#10;e948Pin3Vdf1Suvzs+n2BkTCKf3B8KPP6lCx0zbsyEbRa1DqKmeUi8UCBAO/g62GfJ6DrEr5/4Pq&#10;GwAA//8DAFBLAQItABQABgAIAAAAIQC2gziS/gAAAOEBAAATAAAAAAAAAAAAAAAAAAAAAABbQ29u&#10;dGVudF9UeXBlc10ueG1sUEsBAi0AFAAGAAgAAAAhADj9If/WAAAAlAEAAAsAAAAAAAAAAAAAAAAA&#10;LwEAAF9yZWxzLy5yZWxzUEsBAi0AFAAGAAgAAAAhAIkYLkMzAgAAXwQAAA4AAAAAAAAAAAAAAAAA&#10;LgIAAGRycy9lMm9Eb2MueG1sUEsBAi0AFAAGAAgAAAAhAP8hKeHeAAAACQEAAA8AAAAAAAAAAAAA&#10;AAAAjQQAAGRycy9kb3ducmV2LnhtbFBLBQYAAAAABAAEAPMAAACYBQAAAAA=&#10;">
            <v:path arrowok="t"/>
            <v:fill on="f" focussize="0,0"/>
            <v:stroke weight="0.5pt" endarrow="block"/>
            <v:imagedata o:title=""/>
            <o:lock v:ext="edit"/>
          </v:shape>
        </w:pict>
      </w:r>
      <w:r>
        <w:pict>
          <v:shape id="AutoShape 46" o:spid="_x0000_s1122" o:spt="32" type="#_x0000_t32" style="position:absolute;left:0pt;margin-left:221.15pt;margin-top:17.9pt;height:28.1pt;width:0.05pt;z-index:25172787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4OOQIAAGE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KPRjOM&#10;FOlgSI8Hr2NtlE8DQ71xBThWamtDj/SkXsyTpt8cUrpqidrz6P16NhCchYjkXUjYOAN1dv1nzcCH&#10;QIFI16mxXUgJRKBTnMr5PhV+8ojC4XQ8wYjC+Xgync/iyBJS3CKNdf4T1x0KRomdt0TsW19ppWD4&#10;2maxDjk+OR9wkeIWEMoqvRFSRg1IhfoSLyajSQxwWgoWLoObs/tdJS06kqCi+ItNws1bN6sPisVk&#10;LSdsfbU9ERJs5CM73grgS3IcqnWcYSQ5PJxgXeBJFSpC7wD4al2E9H2RLtbz9Twf5KPpepCndT14&#10;3FT5YLrJZpN6XFdVnf0I4LO8aAVjXAX8N1Fn+d+J5vq8LnK8y/pOVPI+e2QUwN7+I+g4/DDvi3J2&#10;mp23NnQXdAA6js7XNxceytt99Pr1ZVj9BAAA//8DAFBLAwQUAAYACAAAACEAnsNESeAAAAAJAQAA&#10;DwAAAGRycy9kb3ducmV2LnhtbEyPwU7DMAyG70i8Q2QkbiylKxUrdSdgQvQyJDaEOGaNaSOapGqy&#10;rePpMSc42v70+/vL5WR7caAxGO8QrmcJCHKN18a1CG/bp6tbECEqp1XvHSGcKMCyOj8rVaH90b3S&#10;YRNbwSEuFAqhi3EopAxNR1aFmR/I8e3Tj1ZFHsdW6lEdOdz2Mk2SXFplHH/o1ECPHTVfm71FiKuP&#10;U5e/Nw8L87J9Xufmu67rFeLlxXR/ByLSFP9g+NVndajYaef3TgfRI2RZOmcUYX7DFRjgRQZih7BI&#10;E5BVKf83qH4AAAD//wMAUEsBAi0AFAAGAAgAAAAhALaDOJL+AAAA4QEAABMAAAAAAAAAAAAAAAAA&#10;AAAAAFtDb250ZW50X1R5cGVzXS54bWxQSwECLQAUAAYACAAAACEAOP0h/9YAAACUAQAACwAAAAAA&#10;AAAAAAAAAAAvAQAAX3JlbHMvLnJlbHNQSwECLQAUAAYACAAAACEAz7qeDjkCAABhBAAADgAAAAAA&#10;AAAAAAAAAAAuAgAAZHJzL2Uyb0RvYy54bWxQSwECLQAUAAYACAAAACEAnsNESeAAAAAJAQAADwAA&#10;AAAAAAAAAAAAAACTBAAAZHJzL2Rvd25yZXYueG1sUEsFBgAAAAAEAAQA8wAAAKAFAAAAAA==&#10;">
            <v:path arrowok="t"/>
            <v:fill on="f" focussize="0,0"/>
            <v:stroke weight="0.5pt" endarrow="block"/>
            <v:imagedata o:title=""/>
            <o:lock v:ext="edit"/>
          </v:shape>
        </w:pict>
      </w:r>
      <w:r>
        <w:pict>
          <v:shape id="Text Box 49" o:spid="_x0000_s1099" o:spt="202" type="#_x0000_t202" style="position:absolute;left:0pt;margin-left:165.6pt;margin-top:46.9pt;height:19.85pt;width:110.55pt;z-index:2517299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Q/yMAIAAFsEAAAOAAAAZHJzL2Uyb0RvYy54bWysVNtu2zAMfR+wfxD0vtjxnC4x4hRdugwD&#10;ugvQ7gNkWbaFyaImKbGzry8lp2l2exnmB4EUqUPykPT6euwVOQjrJOiSzmcpJUJzqKVuS/r1Yfdq&#10;SYnzTNdMgRYlPQpHrzcvX6wHU4gMOlC1sARBtCsGU9LOe1MkieOd6JmbgREajQ3YnnlUbZvUlg2I&#10;3qskS9OrZABbGwtcOIe3t5ORbiJ+0wjuPzeNE56okmJuPp42nlU4k82aFa1lppP8lAb7hyx6JjUG&#10;PUPdMs/I3srfoHrJLTho/IxDn0DTSC5iDVjNPP2lmvuOGRFrQXKcOdPk/h8s/3T4YomsS5plV5Ro&#10;1mOTHsToyVsYSb4KBA3GFeh3b9DTj3iPjY7FOnMH/JsjGrYd0624sRaGTrAaE5yHl8nF0wnHBZBq&#10;+Ag1xmF7DxFobGwf2EM+CKJjo47n5oRceAiZp69XywUlHG3ZIktXixiCFU+vjXX+vYCeBKGkFpsf&#10;0dnhzvmQDSueXEIwB0rWO6lUVGxbbZUlB4aDsovfCf0nN6XJUNLVIltMBPwVIo3fnyB66XHilexL&#10;ujw7sSLQ9k7XcR49k2qSMWWlTzwG6iYS/ViNsWf5MkQIJFdQH5FZC9OE40ai0IH9QcmA011S933P&#10;rKBEfdDYndU8z8M6RCVfvMlQsZeW6tLCNEeoknpKJnHrpxXaGyvbDiNN86DhBjvayEj2c1an/HGC&#10;Yw9O2xZW5FKPXs//hM0jAAAA//8DAFBLAwQUAAYACAAAACEAcSuakuAAAAAKAQAADwAAAGRycy9k&#10;b3ducmV2LnhtbEyPwU7DMBBE70j8g7VIXBB1GpPShjgVQgLBDdoKrm7sJhH2OthuGv6e5QTH1T7N&#10;vKnWk7NsNCH2HiXMZxkwg43XPbYSdtvH6yWwmBRqZT0aCd8mwro+P6tUqf0J38y4SS2jEIylktCl&#10;NJScx6YzTsWZHwzS7+CDU4nO0HId1InCneV5li24Uz1SQ6cG89CZ5nNzdBKWN8/jR3wRr+/N4mBX&#10;6ep2fPoKUl5eTPd3wJKZ0h8Mv/qkDjU57f0RdWRWghDznFAJK0ETCCiKXADbEylEAbyu+P8J9Q8A&#10;AAD//wMAUEsBAi0AFAAGAAgAAAAhALaDOJL+AAAA4QEAABMAAAAAAAAAAAAAAAAAAAAAAFtDb250&#10;ZW50X1R5cGVzXS54bWxQSwECLQAUAAYACAAAACEAOP0h/9YAAACUAQAACwAAAAAAAAAAAAAAAAAv&#10;AQAAX3JlbHMvLnJlbHNQSwECLQAUAAYACAAAACEAT7EP8jACAABbBAAADgAAAAAAAAAAAAAAAAAu&#10;AgAAZHJzL2Uyb0RvYy54bWxQSwECLQAUAAYACAAAACEAcSuakuAAAAAKAQAADwAAAAAAAAAAAAAA&#10;AACKBAAAZHJzL2Rvd25yZXYueG1sUEsFBgAAAAAEAAQA8wAAAJcFA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警戒级（橙色预警）</w:t>
                  </w:r>
                </w:p>
              </w:txbxContent>
            </v:textbox>
          </v:shape>
        </w:pict>
      </w:r>
      <w:r>
        <w:pict>
          <v:shape id="Text Box 48" o:spid="_x0000_s1100" o:spt="202" type="#_x0000_t202" style="position:absolute;left:0pt;margin-left:43.7pt;margin-top:45.95pt;height:19.85pt;width:110.55pt;z-index:2517288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kD+LgIAAFsEAAAOAAAAZHJzL2Uyb0RvYy54bWysVNuO0zAQfUfiHyy/06ShhTZqulq6FCEt&#10;F2mXD3AcJ7GwPcZ2myxfz9jpdstFPCDyYHns8ZkzZ2ayuRq1IkfhvART0fksp0QYDo00XUW/3O9f&#10;rCjxgZmGKTCiog/C06vt82ebwZaigB5UIxxBEOPLwVa0D8GWWeZ5LzTzM7DC4GULTrOApuuyxrEB&#10;0bXKijx/lQ3gGuuAC+/x9Ga6pNuE37aCh09t60UgqqLILaTVpbWOa7bdsLJzzPaSn2iwf2ChmTQY&#10;9Ax1wwIjByd/g9KSO/DQhhkHnUHbSi5SDpjNPP8lm7ueWZFyQXG8Pcvk/x8s/3j87IhsKloUS0oM&#10;01ikezEG8gZGslhFgQbrS/S7s+gZRjzHQqdkvb0F/tUTA7uemU5cOwdDL1iDBOfxZXbxdMLxEaQe&#10;PkCDcdghQAIaW6ejeqgHQXQs1MO5OJELjyEX+cv1CjlyvCuWRb5ephCsfHxtnQ/vBGgSNxV1WPyE&#10;zo63PkQ2rHx0icE8KNnspVLJcF29U44cGTbKPn0n9J/clCFDRddL1OrvEHn6/gShZcCOV1JXdHV2&#10;YmWU7a1pUj8GJtW0R8rKnHSM0k0ihrEeU80W6xghilxD84DKOpg6HCcSNz2475QM2N0V9d8OzAlK&#10;1HuD1VnPF4s4DslYLF8XaLjLm/ryhhmOUBUNlEzbXZhG6GCd7HqMNPWDgWusaCuT2E+sTvyxg1MN&#10;TtMWR+TSTl5P/4TtDwAAAP//AwBQSwMEFAAGAAgAAAAhAMzVp43fAAAACQEAAA8AAABkcnMvZG93&#10;bnJldi54bWxMj8tOwzAQRfdI/IM1SGwQdUJKmoQ4FUICwQ7aCrZuPE0i/Ai2m4a/Z1jBcnSvzj1T&#10;r2ej2YQ+DM4KSBcJMLStU4PtBOy2j9cFsBClVVI7iwK+McC6OT+rZaXcyb7htIkdI4gNlRTQxzhW&#10;nIe2RyPDwo1oKTs4b2Sk03dceXkiuNH8JklybuRgaaGXIz702H5ujkZAsXyePsJL9vre5gddxqvV&#10;9PTlhbi8mO/vgEWc418ZfvVJHRpy2rujVYFpYqyW1BRQpiUwyrOkuAW2p2KW5sCbmv//oPkBAAD/&#10;/wMAUEsBAi0AFAAGAAgAAAAhALaDOJL+AAAA4QEAABMAAAAAAAAAAAAAAAAAAAAAAFtDb250ZW50&#10;X1R5cGVzXS54bWxQSwECLQAUAAYACAAAACEAOP0h/9YAAACUAQAACwAAAAAAAAAAAAAAAAAvAQAA&#10;X3JlbHMvLnJlbHNQSwECLQAUAAYACAAAACEA/BpA/i4CAABbBAAADgAAAAAAAAAAAAAAAAAuAgAA&#10;ZHJzL2Uyb0RvYy54bWxQSwECLQAUAAYACAAAACEAzNWnjd8AAAAJAQAADwAAAAAAAAAAAAAAAACI&#10;BAAAZHJzL2Rvd25yZXYueG1sUEsFBgAAAAAEAAQA8wAAAJQFA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警示级（黄色预警）</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pPr>
      <w:r>
        <w:pict>
          <v:shape id="Text Box 50" o:spid="_x0000_s1101" o:spt="202" type="#_x0000_t202" style="position:absolute;left:0pt;margin-left:284.2pt;margin-top:5.1pt;height:19.85pt;width:110.55pt;z-index:2517309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k6LwIAAFsEAAAOAAAAZHJzL2Uyb0RvYy54bWysVNtu2zAMfR+wfxD0vtjx4i0x4hRdugwD&#10;ugvQ7gNkWY6FSaImKbG7rx8lp2l2exnmB0E06UPyHNLrq1ErchTOSzA1nc9ySoTh0Eqzr+mX+92L&#10;JSU+MNMyBUbU9EF4erV5/mw92EoU0INqhSMIYnw12Jr2IdgqyzzvhWZ+BlYYdHbgNAtoun3WOjYg&#10;ulZZkeevsgFcax1w4T2+vZmcdJPwu07w8KnrvAhE1RRrC+l06WzimW3WrNo7ZnvJT2Wwf6hCM2kw&#10;6RnqhgVGDk7+BqUld+ChCzMOOoOuk1ykHrCbef5LN3c9syL1guR4e6bJ/z9Y/vH42RHZ1rQoFpQY&#10;plGkezEG8gZGUiaCBusrjLuzGBlGfI9Cp2a9vQX+1RMD256Zvbh2DoZesBYLnEdqs4tPoyS+8hGk&#10;GT5Ai3nYIUACGjunI3vIB0F0FOrhLE6shceUi/zlallSwtFXlEW+KlMKVj1+bZ0P7wRoEi81dSh+&#10;QmfHWx9iNax6DInJPCjZ7qRSyXD7ZqscOTIclF16Tug/hSlDhpquyqKcCPgrRJ6eP0FoGXDildQ1&#10;XZ6DWBVpe2vaNI+BSTXdsWRlTjxG6iYSw9iMSbMnfRpoH5BZB9OE40bipQf3nZIBp7um/tuBOUGJ&#10;em9QndV8sYjrkIxF+bpAw116mksPMxyhahooma7bMK3QwTq57zHTNA8GrlHRTiayo9pTVaf6cYKT&#10;Bqdtiytyaaeop3/C5gcAAAD//wMAUEsDBBQABgAIAAAAIQBJtdxq3wAAAAkBAAAPAAAAZHJzL2Rv&#10;d25yZXYueG1sTI/BTsMwEETvSPyDtUhcEHUoaZqEOBVCAsENCoKrG2+TiHgdbDcNf89yguNqnmbe&#10;VpvZDmJCH3pHCq4WCQikxpmeWgVvr/eXOYgQNRk9OEIF3xhgU5+eVLo07kgvOG1jK7iEQqkVdDGO&#10;pZSh6dDqsHAjEmd7562OfPpWGq+PXG4HuUySTFrdEy90esS7DpvP7cEqyNPH6SM8XT+/N9l+KOLF&#10;enr48kqdn823NyAizvEPhl99VoeanXbuQCaIQcEqy1NGOUiWIBhY58UKxE5BWhQg60r+/6D+AQAA&#10;//8DAFBLAQItABQABgAIAAAAIQC2gziS/gAAAOEBAAATAAAAAAAAAAAAAAAAAAAAAABbQ29udGVu&#10;dF9UeXBlc10ueG1sUEsBAi0AFAAGAAgAAAAhADj9If/WAAAAlAEAAAsAAAAAAAAAAAAAAAAALwEA&#10;AF9yZWxzLy5yZWxzUEsBAi0AFAAGAAgAAAAhAP4A6TovAgAAWwQAAA4AAAAAAAAAAAAAAAAALgIA&#10;AGRycy9lMm9Eb2MueG1sUEsBAi0AFAAGAAgAAAAhAEm13GrfAAAACQEAAA8AAAAAAAAAAAAAAAAA&#10;iQQAAGRycy9kb3ducmV2LnhtbFBLBQYAAAAABAAEAPMAAACVBQ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警报级（红色预警）</w:t>
                  </w:r>
                </w:p>
              </w:txbxContent>
            </v:textbox>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AutoShape 58" o:spid="_x0000_s1121" o:spt="67" type="#_x0000_t67" style="position:absolute;left:0pt;margin-left:215.4pt;margin-top:5.5pt;height:17pt;width:11.35pt;z-index:2517340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LsAPQIAAJUEAAAOAAAAZHJzL2Uyb0RvYy54bWysVE2P0zAQvSPxHyzf2TRRC91o09WqSxHS&#10;wq60wH1qO43BX9hu0/57xk62pHBD5OB4MuM3b+Z5cnN71IochA/SmoaWVzNKhGGWS7Nr6NcvmzdL&#10;SkIEw0FZIxp6EoHerl6/uuldLSrbWcWFJwhiQt27hnYxurooAuuEhnBlnTDobK3XENH0u4J76BFd&#10;q6Kazd4WvfXcectECPj1fnDSVcZvW8HiY9sGEYlqKHKLefV53aa1WN1AvfPgOslGGvAPLDRIg0nP&#10;UPcQgey9/AtKS+ZtsG28YlYXtm0lE7kGrKac/VHNcwdO5FqwOcGd2xT+Hyz7fHjyRPKGXi8oMaBR&#10;o7t9tDk1WSxTg3oXaox7dk8+lRjcg2U/AjF23YHZiTvvbd8J4EirTPHFxYFkBDxKtv0nyxEeED73&#10;6th6nQCxC+SYJTmdJRHHSBh+LOfzco7MGLqqcnE9y5IVUL8cdj7ED8JqkjYN5bY3mVDOAIeHELMs&#10;fKwN+PeSklYrVPkAiixm+Iy3YBJTTWOqFJQLg3pERAIviXNLrJJ8I5XKht9t18oThG/oJj/j4TAN&#10;U4b0qevVIlO98IUpRGJ4zn8RpmXE4VFSN3R5DoI6afHe8Hy1I0g17JGyMqM4SY9B163lJ9TG22Ey&#10;cJJxI+AbvinpcS4aGn7uwQtK1EeDCl+jImmQsjFfvKvQ8FPPduoBwzqL44Zgw3Ydh+HbOy93HeYq&#10;c/XGpkvXyvhyfQZeI128+7i7GK6pnaN+/01WvwAAAP//AwBQSwMEFAAGAAgAAAAhAFYzbS3eAAAA&#10;CQEAAA8AAABkcnMvZG93bnJldi54bWxMj81OwzAQhO9IvIO1SNyoXfojFOJUKVKEBKgVhQdw4yWO&#10;iNdR7Dbh7dme4LajGc1+k28m34kzDrENpGE+UyCQ6mBbajR8flR3DyBiMmRNFwg1/GCETXF9lZvM&#10;hpHe8XxIjeASipnR4FLqMylj7dCbOAs9EntfYfAmsRwaaQczcrnv5L1Sa+lNS/zBmR6fHNbfh5PX&#10;sKtK97zz23Ffybey27++1HK71vr2ZiofQSSc0l8YLviMDgUzHcOJbBSdhuVCMXpiY86bOLBcLVYg&#10;jpdDgSxy+X9B8QsAAP//AwBQSwECLQAUAAYACAAAACEAtoM4kv4AAADhAQAAEwAAAAAAAAAAAAAA&#10;AAAAAAAAW0NvbnRlbnRfVHlwZXNdLnhtbFBLAQItABQABgAIAAAAIQA4/SH/1gAAAJQBAAALAAAA&#10;AAAAAAAAAAAAAC8BAABfcmVscy8ucmVsc1BLAQItABQABgAIAAAAIQC47LsAPQIAAJUEAAAOAAAA&#10;AAAAAAAAAAAAAC4CAABkcnMvZTJvRG9jLnhtbFBLAQItABQABgAIAAAAIQBWM20t3gAAAAkBAAAP&#10;AAAAAAAAAAAAAAAAAJcEAABkcnMvZG93bnJldi54bWxQSwUGAAAAAAQABADzAAAAogUAAAAA&#10;" adj="17995">
            <v:path/>
            <v:fill focussize="0,0"/>
            <v:stroke joinstyle="miter"/>
            <v:imagedata o:title=""/>
            <o:lock v:ext="edit"/>
            <v:textbox style="layout-flow:vertical-ideographic;"/>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Text Box 53" o:spid="_x0000_s1102" o:spt="202" type="#_x0000_t202" style="position:absolute;left:0pt;margin-left:189.4pt;margin-top:10.5pt;height:19.85pt;width:65.2pt;z-index:251732992;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1jBhQIAABgFAAAOAAAAZHJzL2Uyb0RvYy54bWysVNuO2yAQfa/Uf0C8Z32pvRtbcVZ7aapK&#10;24u02w8ggGNUDBRI7G3Vf++Ak2y2F6mq6gcMzHCYmXOGxeXYS7Tj1gmtGpydpRhxRTUTatPgTw+r&#10;2Rwj54liRGrFG/zIHb5cvnyxGEzNc91pybhFAKJcPZgGd96bOkkc7XhP3Jk2XIGx1bYnHpZ2kzBL&#10;BkDvZZKn6XkyaMuM1ZQ7B7u3kxEvI37bcuo/tK3jHskGQ2w+jjaO6zAmywWpN5aYTtB9GOQfouiJ&#10;UHDpEeqWeIK2VvwC1QtqtdOtP6O6T3TbCspjDpBNlv6UzX1HDI+5QHGcOZbJ/T9Y+n730SLBGlwV&#10;GCnSA0cPfPToWo+ofBXqMxhXg9u9AUc/wj7wHHN15k7Tzw4pfdMRteFX1uqh44RBfFk4mZwcnXBc&#10;AFkP7zSDe8jW6wg0trYPxYNyIEAHnh6P3IRYKGzO83lagIWCKS/ztCrjDaQ+HDbW+Tdc9yhMGmyB&#10;+ghOdnfOh2BIfXAJdzktBVsJKePCbtY30qIdAZms4rdHf+YmVXBWOhybEKcdiBHuCLYQbaT9W5Xl&#10;RXqdV7PV+fxiVqyKclZdpPNZmlXX1XlaVMXt6nsIMCvqTjDG1Z1Q/CDBrPg7ivfNMIknihANQGWZ&#10;lxNDf0wyjd/vkuyFh46UooeaH51IHXh9rRikTWpPhJzmyfPwY5WhBod/rEpUQSB+koAf12MUXBk1&#10;EiSy1uwRdGE18AYUw3MCk07brxgN0JoNdl+2xHKM5FsF2qqyIijBx0VRXuSwsKeW9amFKApQDfYY&#10;TdMbP/X/1lix6eCmSc1KX4EeWxG18hTVXsXQfjGp/VMR+vt0Hb2eHrTlDwAAAP//AwBQSwMEFAAG&#10;AAgAAAAhAPtZMrDeAAAACQEAAA8AAABkcnMvZG93bnJldi54bWxMj8FOwzAQRO9I/IO1SFwQtRto&#10;0oZsKkACcW3pBzjxNomI11HsNunfY070OJrRzJtiO9tenGn0nWOE5UKBIK6d6bhBOHx/PK5B+KDZ&#10;6N4xIVzIw7a8vSl0btzEOzrvQyNiCftcI7QhDLmUvm7Jar9wA3H0jm60OkQ5NtKMeorltpeJUqm0&#10;uuO40OqB3luqf/Yni3D8mh5Wm6n6DIds95y+6S6r3AXx/m5+fQERaA7/YfjDj+hQRqbKndh40SM8&#10;ZeuIHhCSZfwUAyu1SUBUCKnKQJaFvH5Q/gIAAP//AwBQSwECLQAUAAYACAAAACEAtoM4kv4AAADh&#10;AQAAEwAAAAAAAAAAAAAAAAAAAAAAW0NvbnRlbnRfVHlwZXNdLnhtbFBLAQItABQABgAIAAAAIQA4&#10;/SH/1gAAAJQBAAALAAAAAAAAAAAAAAAAAC8BAABfcmVscy8ucmVsc1BLAQItABQABgAIAAAAIQAc&#10;r1jBhQIAABgFAAAOAAAAAAAAAAAAAAAAAC4CAABkcnMvZTJvRG9jLnhtbFBLAQItABQABgAIAAAA&#10;IQD7WTKw3gAAAAkBAAAPAAAAAAAAAAAAAAAAAN8EAABkcnMvZG93bnJldi54bWxQSwUGAAAAAAQA&#10;BADzAAAA6gUAAAAA&#10;">
            <v:path/>
            <v:fill focussize="0,0"/>
            <v:stroke on="f" joinstyle="miter"/>
            <v:imagedata o:title=""/>
            <o:lock v:ext="edit"/>
            <v:textbox>
              <w:txbxContent>
                <w:p>
                  <w:pPr>
                    <w:jc w:val="center"/>
                    <w:rPr>
                      <w:rFonts w:ascii="宋体" w:hAnsi="宋体"/>
                      <w:sz w:val="15"/>
                      <w:szCs w:val="15"/>
                    </w:rPr>
                  </w:pPr>
                  <w:r>
                    <w:rPr>
                      <w:rFonts w:hint="eastAsia" w:ascii="宋体" w:hAnsi="宋体"/>
                      <w:sz w:val="15"/>
                      <w:szCs w:val="15"/>
                    </w:rPr>
                    <w:t>处置响应</w:t>
                  </w:r>
                </w:p>
              </w:txbxContent>
            </v:textbox>
          </v:shape>
        </w:pict>
      </w:r>
      <w:r>
        <w:pict>
          <v:shape id="AutoShape 52" o:spid="_x0000_s1120" o:spt="4" type="#_x0000_t4" style="position:absolute;left:0pt;margin-left:134.95pt;margin-top:2.05pt;height:36.85pt;width:172.9pt;z-index:2517319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JqIgIAAEEEAAAOAAAAZHJzL2Uyb0RvYy54bWysU1FvEzEMfkfiP0R5Z9ce7daedp2mjSGk&#10;AZMGP8BNcr2IJA5J2uv49Ti5rnTAEyIPkR07n+3P9uXV3hq2UyFqdC2fnk04U06g1G7T8q9f7t4s&#10;OIsJnASDTrX8SUV+tXr96nLwjaqxRyNVYATiYjP4lvcp+aaqouiVhXiGXjkydhgsJFLDppIBBkK3&#10;pqonk/NqwCB9QKFipNfb0chXBb/rlEifuy6qxEzLKbdU7lDudb6r1SU0mwC+1+KQBvxDFha0o6BH&#10;qFtIwLZB/wFltQgYsUtnAm2FXaeFKjVQNdPJb9U89uBVqYXIif5IU/x/sOLT7iEwLVu+rDlzYKlH&#10;19uEJTSb15mgwceG/B79Q8glRn+P4ltkDm96cBt1HQIOvQJJaU2zf/XiQ1YifWXr4SNKggeCL1zt&#10;u2AzILHA9qUlT8eWqH1igh7r6XK+eEudE2SbnV8sl/MSAprn3z7E9F6hZVloudRg0ckSAHb3MeWE&#10;oHn2KgWg0fJOG1OUsFnfmMB2QBNyV84hQDx1M44NxNG8nhfkF7Z4CjEp528QVicadaNtyxdHJ2gy&#10;c++cLIOYQJtRppSNO1CZ2Ru7sEb5REwGHOeY9o6EHsMPzgaa4ZbH71sIijPzwVE3ltPZLA99UWbz&#10;i5qUcGpZn1rACYJqeeJsFG/SuChbH/Smp0jTUrvDPCCdLszm7o5ZHZKlOS2EH3YqL8KpXrx+bf7q&#10;JwAAAP//AwBQSwMEFAAGAAgAAAAhAPXI0zLeAAAACAEAAA8AAABkcnMvZG93bnJldi54bWxMj0FP&#10;g0AUhO8m/ofNM/FmFxoFiiyNMTEx2kvRH7Cwr0DLvqW7W8B/73qqx8lMZr4ptose2ITW9YYExKsI&#10;GFJjVE+tgO+vt4cMmPOSlBwMoYAfdLAtb28KmSsz0x6nyrcslJDLpYDO+zHn3DUdaulWZkQK3sFY&#10;LX2QtuXKyjmU64GvoyjhWvYUFjo54muHzam6aAHHeuzmXXY+RFVjJ/6xs+/n/acQ93fLyzMwj4u/&#10;huEPP6BDGZhqcyHl2CBgnWw2ISrgMQYW/CR+SoHVAtI0A14W/P+B8hcAAP//AwBQSwECLQAUAAYA&#10;CAAAACEAtoM4kv4AAADhAQAAEwAAAAAAAAAAAAAAAAAAAAAAW0NvbnRlbnRfVHlwZXNdLnhtbFBL&#10;AQItABQABgAIAAAAIQA4/SH/1gAAAJQBAAALAAAAAAAAAAAAAAAAAC8BAABfcmVscy8ucmVsc1BL&#10;AQItABQABgAIAAAAIQC5Z/JqIgIAAEEEAAAOAAAAAAAAAAAAAAAAAC4CAABkcnMvZTJvRG9jLnht&#10;bFBLAQItABQABgAIAAAAIQD1yNMy3gAAAAgBAAAPAAAAAAAAAAAAAAAAAHwEAABkcnMvZG93bnJl&#10;di54bWxQSwUGAAAAAAQABADzAAAAhwUAAAAA&#10;">
            <v:path/>
            <v:fill focussize="0,0"/>
            <v:stroke weight="0.5pt" joinstyle="miter"/>
            <v:imagedata o:title=""/>
            <o:lock v:ext="edit"/>
          </v:shape>
        </w:pict>
      </w:r>
    </w:p>
    <w:p>
      <w:pPr>
        <w:tabs>
          <w:tab w:val="center" w:pos="4201"/>
          <w:tab w:val="right" w:leader="dot" w:pos="9298"/>
        </w:tabs>
        <w:autoSpaceDE w:val="0"/>
        <w:autoSpaceDN w:val="0"/>
        <w:spacing w:line="360" w:lineRule="auto"/>
        <w:jc w:val="left"/>
        <w:rPr>
          <w:rFonts w:ascii="宋体" w:hAnsi="Times New Roman"/>
          <w:kern w:val="0"/>
          <w:szCs w:val="21"/>
        </w:rPr>
      </w:pPr>
      <w:r>
        <w:pict>
          <v:shape id="AutoShape 19" o:spid="_x0000_s1119" o:spt="32" type="#_x0000_t32" style="position:absolute;left:0pt;flip:x;margin-left:28.1pt;margin-top:0.6pt;height:0pt;width:104.9pt;z-index:25170636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8y0KAIAAEgEAAAOAAAAZHJzL2Uyb0RvYy54bWysVNuO2yAQfa/Uf0B+T3zJpYkVZ7Wyk/Zh&#10;u4202w8ggG1UDAhInKjqv3fASZptX6qqfsCDmTlzZubg1cOpE+jIjOVKFlE6TiLEJFGUy6aIvr5u&#10;R4sIWYclxUJJVkRnZqOH9ft3q17nLFOtEpQZBCDS5r0uotY5ncexJS3rsB0rzSQc1sp02MHWNDE1&#10;uAf0TsRZkszjXhmqjSLMWvhaDYfROuDXNSPuS11b5pAoIuDmwmrCuvdrvF7hvDFYt5xcaOB/YNFh&#10;LiHpDarCDqOD4X9AdZwYZVXtxkR1saprTlioAapJk9+qeWmxZqEWaI7VtzbZ/wdLno87gzgtomwC&#10;o5K4gyE9HpwKuVG69B3qtc3BsZQ742skJ/minxT5ZpFUZYtlw4L361lDcOoj4jchfmM15Nn3nxUF&#10;HwwJQrtOtelQLbj+5AM9OLQEncJ8zrf5sJNDBD6mk0mWTWCM5HoW49xD+EBtrPvIVIe8UUTWGcyb&#10;1pVKSlCBMgM8Pj5Z5wn+CvDBUm25EEEMQqK+iJazbBb4WCU49YfezZpmXwqDjtjLKTyhWji5dzPq&#10;IGkAaxmmm4vtMBeDDcmF9HhQGNC5WINevi+T5WaxWUxH02y+GU2Tqho9bsvpaL5NP8yqSVWWVfrD&#10;U0unecspZdKzu2o3nf6dNi63aFDdTb23NsRv0UO/gOz1HUiHGfuxDgLZK3remevsQa7B+XK1/H24&#10;34N9/wNY/wQAAP//AwBQSwMEFAAGAAgAAAAhAB+oJizaAAAABgEAAA8AAABkcnMvZG93bnJldi54&#10;bWxMj0FPwzAMhe9I+w+RkbixlAqyqTSdJiQQB1SJDe5ZY9pC45Qma7t/j+EyTtbze3r+nG9m14kR&#10;h9B60nCzTEAgVd62VGt42z9er0GEaMiazhNqOGGATbG4yE1m/USvOO5iLbiEQmY0NDH2mZShatCZ&#10;sPQ9EnsffnAmshxqaQczcbnrZJokSjrTEl9oTI8PDVZfu6PT8E2r0/utHNefZRnV0/NLTVhOWl9d&#10;ztt7EBHneA7DLz6jQ8FMB38kG0Sn4U6lnOQ9D7ZTpfi1w5+WRS7/4xc/AAAA//8DAFBLAQItABQA&#10;BgAIAAAAIQC2gziS/gAAAOEBAAATAAAAAAAAAAAAAAAAAAAAAABbQ29udGVudF9UeXBlc10ueG1s&#10;UEsBAi0AFAAGAAgAAAAhADj9If/WAAAAlAEAAAsAAAAAAAAAAAAAAAAALwEAAF9yZWxzLy5yZWxz&#10;UEsBAi0AFAAGAAgAAAAhADYbzLQoAgAASAQAAA4AAAAAAAAAAAAAAAAALgIAAGRycy9lMm9Eb2Mu&#10;eG1sUEsBAi0AFAAGAAgAAAAhAB+oJizaAAAABgEAAA8AAAAAAAAAAAAAAAAAggQAAGRycy9kb3du&#10;cmV2LnhtbFBLBQYAAAAABAAEAPMAAACJBQAAAAA=&#10;">
            <v:path arrowok="t"/>
            <v:fill on="f" focussize="0,0"/>
            <v:stroke/>
            <v:imagedata o:title=""/>
            <o:lock v:ext="edit"/>
          </v:shape>
        </w:pict>
      </w:r>
      <w:r>
        <w:pict>
          <v:shape id="Text Box 38" o:spid="_x0000_s1103" o:spt="202" type="#_x0000_t202" style="position:absolute;left:0pt;margin-left:174.1pt;margin-top:18.5pt;height:19.85pt;width:90.7pt;z-index:251720704;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BIhgIAABkFAAAOAAAAZHJzL2Uyb0RvYy54bWysVNmO2yAUfa/Uf0C8Z7zUnomtOKNZmqrS&#10;dJFm+gEEcIyKgQKJPa36773gJJPpIlVV/YCBezl3OQcWl2Mv0Y5bJ7RqcHaWYsQV1UyoTYM/Paxm&#10;c4ycJ4oRqRVv8CN3+HL58sViMDXPdacl4xYBiHL1YBrceW/qJHG04z1xZ9pwBcZW2554WNpNwiwZ&#10;AL2XSZ6m58mgLTNWU+4c7N5ORryM+G3Lqf/Qto57JBsMufk42jiuw5gsF6TeWGI6QfdpkH/IoidC&#10;QdAj1C3xBG2t+AWqF9Rqp1t/RnWf6LYVlMcaoJos/ama+44YHmuB5jhzbJP7f7D0/e6jRYI1uMow&#10;UqQHjh746NG1HtGreejPYFwNbvcGHP0I+8BzrNWZO00/O6T0TUfUhl9Zq4eOEwb5ZeFkcnJ0wnEB&#10;ZD280wzikK3XEWhsbR+aB+1AgA48PR65CbnQEDIrs3kFJgq2vMzTqowhSH04bazzb7juUZg02AL3&#10;EZ3s7pwP2ZD64BKCOS0FWwkp48Ju1jfSoh0Bnazit0d/5iZVcFY6HJsQpx1IEmIEW0g38v6tyvIi&#10;vc6r2ep8fjErVkU5qy7S+SzNquvqPC2q4nb1PSSYFXUnGOPqTih+0GBW/B3H+9swqSeqEA3AZZmX&#10;E0V/LDKN3++K7IWHKylF3+D50YnUgdjXikHZpPZEyGmePE8/dhl6cPjHrkQZBOYnDfhxPUbFlXkI&#10;HzSy1uwRhGE18AYUw3sCk07brxgNcDcb7L5sieUYybcKxFVlRREuc1wU5UUOC3tqWZ9aiKIA1WCP&#10;0TS98dMDsDVWbDqINMlZ6SsQZCuiVp6y2ssY7l8sav9WhAt+uo5eTy/a8gcAAAD//wMAUEsDBBQA&#10;BgAIAAAAIQC/BPVr3gAAAAkBAAAPAAAAZHJzL2Rvd25yZXYueG1sTI/BTsMwDIbvSLxDZCQuiKWU&#10;rdlK0wmQQFw39gBp47UVjVM12dq9PebEbrb86ff3F9vZ9eKMY+g8aXhaJCCQam87ajQcvj8e1yBC&#10;NGRN7wk1XDDAtry9KUxu/UQ7PO9jIziEQm40tDEOuZShbtGZsPADEt+OfnQm8jo20o5m4nDXyzRJ&#10;MulMR/yhNQO+t1j/7E9Ow/FrelhtpuozHtRumb2ZTlX+ovX93fz6AiLiHP9h+NNndSjZqfInskH0&#10;Gp6X65RRHhR3YmCVbjIQlQaVKZBlIa8blL8AAAD//wMAUEsBAi0AFAAGAAgAAAAhALaDOJL+AAAA&#10;4QEAABMAAAAAAAAAAAAAAAAAAAAAAFtDb250ZW50X1R5cGVzXS54bWxQSwECLQAUAAYACAAAACEA&#10;OP0h/9YAAACUAQAACwAAAAAAAAAAAAAAAAAvAQAAX3JlbHMvLnJlbHNQSwECLQAUAAYACAAAACEA&#10;a78gSIYCAAAZBQAADgAAAAAAAAAAAAAAAAAuAgAAZHJzL2Uyb0RvYy54bWxQSwECLQAUAAYACAAA&#10;ACEAvwT1a94AAAAJAQAADwAAAAAAAAAAAAAAAADgBAAAZHJzL2Rvd25yZXYueG1sUEsFBgAAAAAE&#10;AAQA8wAAAOsFAAAAAA==&#10;">
            <v:path/>
            <v:fill focussize="0,0"/>
            <v:stroke on="f" joinstyle="miter"/>
            <v:imagedata o:title=""/>
            <o:lock v:ext="edit"/>
            <v:textbox>
              <w:txbxContent>
                <w:p>
                  <w:pPr>
                    <w:jc w:val="center"/>
                    <w:rPr>
                      <w:rFonts w:ascii="宋体" w:hAnsi="宋体"/>
                      <w:sz w:val="15"/>
                      <w:szCs w:val="15"/>
                    </w:rPr>
                  </w:pPr>
                  <w:r>
                    <w:rPr>
                      <w:rFonts w:hint="eastAsia" w:ascii="宋体" w:hAnsi="宋体"/>
                      <w:sz w:val="15"/>
                      <w:szCs w:val="15"/>
                    </w:rPr>
                    <w:t>危险      消除</w:t>
                  </w:r>
                </w:p>
              </w:txbxContent>
            </v:textbox>
          </v:shape>
        </w:pict>
      </w:r>
      <w:r>
        <w:pict>
          <v:shape id="AutoShape 59" o:spid="_x0000_s1118" o:spt="67" type="#_x0000_t67" style="position:absolute;left:0pt;margin-left:215.4pt;margin-top:18.5pt;height:22.7pt;width:11.35pt;z-index:2517350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l3/PwIAAJUEAAAOAAAAZHJzL2Uyb0RvYy54bWysVFFv0zAQfkfiP1h+p2miFtpo6TRtFCEN&#10;NmnAu2s7jcH2Gdttun/P2UlLBm+IPDi+3Pm77+7z5er6ZDQ5Sh8U2IaWszkl0nIQyu4b+vXL9s2K&#10;khCZFUyDlQ19loFeb16/uupdLSvoQAvpCYLYUPeuoV2Mri6KwDtpWJiBkxadLXjDIpp+XwjPekQ3&#10;uqjm87dFD144D1yGgF/vBifdZPy2lTw+tG2QkeiGIreYV5/XXVqLzRWr9565TvGRBvsHFoYpi0kv&#10;UHcsMnLw6i8oo7iHAG2ccTAFtK3iMteA1ZTzP6p56piTuRZsTnCXNoX/B8s/Hx89UaKha2yPZQY1&#10;ujlEyKnJcp0a1LtQY9yTe/SpxODugf8IxMJtx+xe3ngPfSeZQFplii9eHEhGwKNk138CgfAM4XOv&#10;Tq03CRC7QE5ZkueLJPIUCceP5WJRLpaUcHRVq1WFLFMGVp8POx/iBwmGpE1DBfQ2E8oZ2PE+xCyL&#10;GGtj4ntJSWs0qnxkmizn+Iy3YBJTTWOqFDSmHRGRwDlxbgloJbZK62z4/e5We4LwDd3mZzwcpmHa&#10;kh67vqyWmeoLX5hCJIaX/C/CjIo4PFqZhq4uQaxOWry3Il/tyJQe9khZ21GcpMeg6w7EM2rjYZgM&#10;nGTcSPYN35T0OBcNDT8PzEtK9EeLCq9RkTRI2Vgs31Vo+KlnN/UwyzvAcUOwYXsbh+E7OK/2HeYq&#10;c/UW0qVrVTxfn4HXSBfvftZ8nNM0XFM7R/3+m2x+AQAA//8DAFBLAwQUAAYACAAAACEAn2TTe+EA&#10;AAAJAQAADwAAAGRycy9kb3ducmV2LnhtbEyPy07DMBRE90j8g3WR2CBqkwdEITcVQmIBAlFKN+yc&#10;+JJE9SOK3Tb5e8wKlqMZzZyp1rPR7EiTH5xFuFkJYGRbpwbbIew+n64LYD5Iq6R2lhAW8rCuz88q&#10;WSp3sh903IaOxRLrS4nQhzCWnPu2JyP9yo1ko/ftJiNDlFPH1SRPsdxonghxy40cbFzo5UiPPbX7&#10;7cEgJO9v+uv5ZfO6yUVxNWu3W5plj3h5MT/cAws0h78w/OJHdKgjU+MOVnmmEbJURPSAkN7FTzGQ&#10;5WkOrEEokgx4XfH/D+ofAAAA//8DAFBLAQItABQABgAIAAAAIQC2gziS/gAAAOEBAAATAAAAAAAA&#10;AAAAAAAAAAAAAABbQ29udGVudF9UeXBlc10ueG1sUEsBAi0AFAAGAAgAAAAhADj9If/WAAAAlAEA&#10;AAsAAAAAAAAAAAAAAAAALwEAAF9yZWxzLy5yZWxzUEsBAi0AFAAGAAgAAAAhAHrWXf8/AgAAlQQA&#10;AA4AAAAAAAAAAAAAAAAALgIAAGRycy9lMm9Eb2MueG1sUEsBAi0AFAAGAAgAAAAhAJ9k03vhAAAA&#10;CQEAAA8AAAAAAAAAAAAAAAAAmQQAAGRycy9kb3ducmV2LnhtbFBLBQYAAAAABAAEAPMAAACnBQAA&#10;AAA=&#10;" adj="18900">
            <v:path/>
            <v:fill focussize="0,0"/>
            <v:stroke joinstyle="miter"/>
            <v:imagedata o:title=""/>
            <o:lock v:ext="edit"/>
            <v:textbox style="layout-flow:vertical-ideographic;"/>
          </v:shape>
        </w:pic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pPr>
      <w:r>
        <w:pict>
          <v:shape id="AutoShape 64" o:spid="_x0000_s1117" o:spt="32" type="#_x0000_t32" style="position:absolute;left:0pt;margin-left:273.3pt;margin-top:10pt;height:0pt;width:129.8pt;rotation:11796480f;z-index:25173811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L23PAIAAGkEAAAOAAAAZHJzL2Uyb0RvYy54bWysVE1v2zAMvQ/YfxB0T2ynjpsYcYrCTrZD&#10;1wVo9wMUSY6FyZIgqXGCYf99lPLRdrsMw3yQKYt8fCSfvLg79BLtuXVCqwpn4xQjrqhmQu0q/O15&#10;PZph5DxRjEiteIWP3OG75ccPi8GUfKI7LRm3CECUKwdT4c57UyaJox3viRtrwxUcttr2xMPW7hJm&#10;yQDovUwmaVokg7bMWE25c/C1OR3iZcRvW07917Z13CNZYeDm42rjug1rslyQcmeJ6QQ90yD/wKIn&#10;QkHSK1RDPEEvVvwB1QtqtdOtH1PdJ7ptBeWxBqgmS3+r5qkjhsdaoDnOXNvk/h8sfdxvLBKswvMb&#10;jBTpYUb3L17H1KjIQ4MG40rwq9XGhhLpQT2ZB02/O6R03RG149H7+WggOAsRybuQsHEG0myHL5qB&#10;D4EEsVuH1vaolcJ8DoEBHDqCDnE8x+t4+MEjCh+zIituM5givZwlpAwQIdBY5z9x3aNgVNh5S8Su&#10;87VWCkSg7Qme7B+cDwRfA0Kw0mshZdSCVGiAZkwn08jHaSlYOAxuzu62tbRoT4Ka4hOrhZO3bla/&#10;KBbBOk7Y6mx7IiTYyMc2eSugcZLjkK3nDCPJ4QIF60RPqpARSgfCZ+skqB/zdL6arWb5KJ8Uq1Ge&#10;Ns3ofl3no2Kd3U6bm6aum+xnIJ/lZScY4yrwv4g7y/9OPOdrdpLlVd7XRiXv0WNHgezlHUlHFYTB&#10;nyS01ey4saG6IAjQc3Q+371wYd7uo9frH2L5CwAA//8DAFBLAwQUAAYACAAAACEAhRbJr90AAAAJ&#10;AQAADwAAAGRycy9kb3ducmV2LnhtbEyPwUrDQBCG74LvsIzgReymgYSQZlNErZ6kGOt9m50modnZ&#10;kN22yds74sEeZ+bj/78p1pPtxRlH3zlSsFxEIJBqZzpqFOy+No8ZCB80Gd07QgUzeliXtzeFzo27&#10;0Ceeq9AIDiGfawVtCEMupa9btNov3IDEt4MbrQ48jo00o75wuO1lHEWptLojbmj1gM8t1sfqZBW8&#10;VNtk8/2wm+K5fv+o3rLjluZXpe7vpqcViIBT+IfhV5/VoWSnvTuR8aJXkCTLlFEFXAOCgSxKYxD7&#10;v4UsC3n9QfkDAAD//wMAUEsBAi0AFAAGAAgAAAAhALaDOJL+AAAA4QEAABMAAAAAAAAAAAAAAAAA&#10;AAAAAFtDb250ZW50X1R5cGVzXS54bWxQSwECLQAUAAYACAAAACEAOP0h/9YAAACUAQAACwAAAAAA&#10;AAAAAAAAAAAvAQAAX3JlbHMvLnJlbHNQSwECLQAUAAYACAAAACEAnYy9tzwCAABpBAAADgAAAAAA&#10;AAAAAAAAAAAuAgAAZHJzL2Uyb0RvYy54bWxQSwECLQAUAAYACAAAACEAhRbJr90AAAAJAQAADwAA&#10;AAAAAAAAAAAAAACWBAAAZHJzL2Rvd25yZXYueG1sUEsFBgAAAAAEAAQA8wAAAKAFAAAAAA==&#10;" adj="-78878,-1,-78878">
            <v:path arrowok="t"/>
            <v:fill on="f" focussize="0,0"/>
            <v:stroke weight="0.5pt" endarrow="block"/>
            <v:imagedata o:title=""/>
            <o:lock v:ext="edit"/>
          </v:shape>
        </w:pict>
      </w:r>
      <w:r>
        <w:pict>
          <v:shape id="Text Box 60" o:spid="_x0000_s1104" o:spt="202" type="#_x0000_t202" style="position:absolute;left:0pt;margin-left:165.6pt;margin-top:0.35pt;height:19.85pt;width:107.7pt;z-index:2517360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mbLwIAAFoEAAAOAAAAZHJzL2Uyb0RvYy54bWysVNtu2zAMfR+wfxD0vthxc2mMOEWXLsOA&#10;7gK0+wBZlm1hsqhJSuzs60vJaZrdXob5QRBN+pA8h/T6ZugUOQjrJOiCTicpJUJzqKRuCvr1cffm&#10;mhLnma6YAi0KehSO3mxev1r3JhcZtKAqYQmCaJf3pqCt9yZPEsdb0TE3ASM0OmuwHfNo2iapLOsR&#10;vVNJlqaLpAdbGQtcOIdv70Yn3UT8uhbcf65rJzxRBcXafDxtPMtwJps1yxvLTCv5qQz2D1V0TGpM&#10;eoa6Y56RvZW/QXWSW3BQ+wmHLoG6llzEHrCbafpLNw8tMyL2guQ4c6bJ/T9Y/unwxRJZFfR6RYlm&#10;HWr0KAZP3sJAFpGf3rgcwx4MBvoB36POsVdn7oF/c0TDtmW6EbfWQt8KVmF908BscvFpUMTlLoCU&#10;/UeoMA/be4hAQ227QB7SQRAddTqetQm18JDyarFcrtDF0ZfNs3Q1jylY/vy1sc6/F9CRcCmoRe0j&#10;OjvcOx+qYflzSEjmQMlqJ5WKhm3KrbLkwHBOdvE5of8UpjTpC7qaZ/ORgL9CpPH5E0QnPQ68kh0y&#10;fg5ieaDtna7iOHom1XjHkpU+8RioG0n0QzlEyeZXIUPgtYTqiMxaGAccFxIvLdgflPQ43AV13/fM&#10;CkrUB43qrKazWdiGaMzmywwNe+kpLz1Mc4QqqKdkvG79uEF7Y2XTYqZxHjTcoqK1jGS/VHWqHwc4&#10;anBatrAhl3aMevklbJ4AAAD//wMAUEsDBBQABgAIAAAAIQD4iyj03gAAAAcBAAAPAAAAZHJzL2Rv&#10;d25yZXYueG1sTI7BTsMwEETvSPyDtUhcEHXahLSEbCqEBIIbtBVc3XibRMTrYLtp+HvMCY6jGb15&#10;5XoyvRjJ+c4ywnyWgCCure64QdhtH69XIHxQrFVvmRC+ycO6Oj8rVaHtid9o3IRGRAj7QiG0IQyF&#10;lL5uySg/swNx7A7WGRVidI3UTp0i3PRykSS5NKrj+NCqgR5aqj83R4Owyp7HD/+Svr7X+aG/DVfL&#10;8enLIV5eTPd3IAJN4W8Mv/pRHarotLdH1l70CGk6X8QpwhJErG+yPAexR8iSDGRVyv/+1Q8AAAD/&#10;/wMAUEsBAi0AFAAGAAgAAAAhALaDOJL+AAAA4QEAABMAAAAAAAAAAAAAAAAAAAAAAFtDb250ZW50&#10;X1R5cGVzXS54bWxQSwECLQAUAAYACAAAACEAOP0h/9YAAACUAQAACwAAAAAAAAAAAAAAAAAvAQAA&#10;X3JlbHMvLnJlbHNQSwECLQAUAAYACAAAACEAp8pZmy8CAABaBAAADgAAAAAAAAAAAAAAAAAuAgAA&#10;ZHJzL2Uyb0RvYy54bWxQSwECLQAUAAYACAAAACEA+Iso9N4AAAAHAQAADwAAAAAAAAAAAAAAAACJ&#10;BAAAZHJzL2Rvd25yZXYueG1sUEsFBgAAAAAEAAQA8wAAAJQFAAAAAA==&#10;">
            <v:path/>
            <v:fill focussize="0,0"/>
            <v:stroke joinstyle="miter"/>
            <v:imagedata o:title=""/>
            <o:lock v:ext="edit"/>
            <v:textbox>
              <w:txbxContent>
                <w:p>
                  <w:pPr>
                    <w:jc w:val="center"/>
                    <w:rPr>
                      <w:rFonts w:ascii="宋体" w:hAnsi="宋体"/>
                      <w:sz w:val="15"/>
                      <w:szCs w:val="15"/>
                    </w:rPr>
                  </w:pPr>
                  <w:r>
                    <w:rPr>
                      <w:rFonts w:hint="eastAsia" w:ascii="宋体" w:hAnsi="宋体"/>
                      <w:sz w:val="15"/>
                      <w:szCs w:val="15"/>
                    </w:rPr>
                    <w:t>解除预警</w:t>
                  </w:r>
                </w:p>
              </w:txbxContent>
            </v:textbox>
          </v:shape>
        </w:pic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 xml:space="preserve">3  </w:t>
      </w:r>
      <w:r>
        <w:rPr>
          <w:rFonts w:ascii="黑体" w:hAnsi="黑体" w:eastAsia="黑体"/>
          <w:kern w:val="0"/>
          <w:szCs w:val="21"/>
        </w:rPr>
        <w:t>监测</w:t>
      </w:r>
      <w:r>
        <w:rPr>
          <w:rFonts w:hint="eastAsia" w:ascii="黑体" w:hAnsi="黑体" w:eastAsia="黑体"/>
          <w:kern w:val="0"/>
          <w:szCs w:val="21"/>
        </w:rPr>
        <w:t>预警预报</w:t>
      </w:r>
      <w:r>
        <w:rPr>
          <w:rFonts w:ascii="黑体" w:hAnsi="黑体" w:eastAsia="黑体"/>
          <w:kern w:val="0"/>
          <w:szCs w:val="21"/>
        </w:rPr>
        <w:t>流程</w:t>
      </w:r>
      <w:r>
        <w:rPr>
          <w:rFonts w:hint="eastAsia" w:ascii="黑体" w:hAnsi="黑体" w:eastAsia="黑体"/>
          <w:kern w:val="0"/>
          <w:szCs w:val="21"/>
        </w:rPr>
        <w:t>图</w:t>
      </w:r>
    </w:p>
    <w:p>
      <w:pPr>
        <w:widowControl/>
        <w:tabs>
          <w:tab w:val="left" w:pos="360"/>
        </w:tabs>
        <w:spacing w:before="120" w:beforeLines="50" w:after="120" w:afterLines="50"/>
        <w:contextualSpacing/>
        <w:jc w:val="center"/>
        <w:rPr>
          <w:rFonts w:ascii="黑体" w:hAnsi="黑体" w:eastAsia="黑体"/>
          <w:kern w:val="0"/>
          <w:szCs w:val="21"/>
        </w:rPr>
      </w:pPr>
    </w:p>
    <w:p>
      <w:pPr>
        <w:pStyle w:val="5"/>
        <w:spacing w:before="120" w:after="120"/>
      </w:pPr>
      <w:r>
        <w:rPr>
          <w:rFonts w:hint="eastAsia"/>
        </w:rPr>
        <w:t>9.3.4.2  滑坡预警预报</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滑坡预警预报主要包括滑坡时间预警预报和滑坡空间预测两个方面的内容，在此主要针对滑坡时间预警预报。</w:t>
      </w:r>
    </w:p>
    <w:p>
      <w:pPr>
        <w:pStyle w:val="6"/>
        <w:spacing w:before="120" w:after="120"/>
      </w:pPr>
      <w:r>
        <w:rPr>
          <w:rFonts w:hint="eastAsia"/>
        </w:rPr>
        <w:t>9.3.4.2.1  滑坡预报的时间尺度</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由于滑坡变形破坏过程具有阶段性，滑坡预报一般均是围绕滑坡变形破坏阶段，分不同的时间尺度进行预报：通常可分为长期预报、中期预报、短期预报及临滑预报四个阶段。不同的预报时间尺度，滑坡预报的对象、内容和方法等均有所不同</w:t>
      </w:r>
      <w:r>
        <w:rPr>
          <w:rFonts w:ascii="Times New Roman" w:hAnsi="Times New Roman"/>
          <w:kern w:val="0"/>
          <w:szCs w:val="21"/>
        </w:rPr>
        <w:t>（见表</w:t>
      </w:r>
      <w:r>
        <w:rPr>
          <w:rFonts w:hint="eastAsia" w:ascii="Times New Roman" w:hAnsi="Times New Roman"/>
          <w:kern w:val="0"/>
          <w:szCs w:val="21"/>
        </w:rPr>
        <w:t>16</w:t>
      </w:r>
      <w:r>
        <w:rPr>
          <w:rFonts w:ascii="Times New Roman" w:hAnsi="Times New Roman"/>
          <w:kern w:val="0"/>
          <w:szCs w:val="21"/>
        </w:rPr>
        <w:t>）</w:t>
      </w:r>
      <w:r>
        <w:rPr>
          <w:rFonts w:hint="eastAsia" w:ascii="宋体" w:hAnsi="宋体"/>
          <w:kern w:val="0"/>
          <w:szCs w:val="21"/>
        </w:rPr>
        <w:t>。</w:t>
      </w:r>
    </w:p>
    <w:p>
      <w:pPr>
        <w:tabs>
          <w:tab w:val="center" w:pos="4201"/>
          <w:tab w:val="right" w:leader="dot" w:pos="9298"/>
        </w:tabs>
        <w:autoSpaceDE w:val="0"/>
        <w:autoSpaceDN w:val="0"/>
        <w:spacing w:line="360" w:lineRule="auto"/>
        <w:ind w:firstLine="420" w:firstLineChars="200"/>
        <w:rPr>
          <w:rFonts w:ascii="宋体" w:hAnsi="宋体"/>
          <w:kern w:val="0"/>
          <w:szCs w:val="21"/>
        </w:rPr>
      </w:pPr>
    </w:p>
    <w:p>
      <w:pPr>
        <w:tabs>
          <w:tab w:val="center" w:pos="4201"/>
          <w:tab w:val="right" w:leader="dot" w:pos="9298"/>
        </w:tabs>
        <w:autoSpaceDE w:val="0"/>
        <w:autoSpaceDN w:val="0"/>
        <w:spacing w:line="360" w:lineRule="auto"/>
        <w:ind w:firstLine="420" w:firstLineChars="200"/>
        <w:rPr>
          <w:rFonts w:ascii="宋体" w:hAnsi="宋体"/>
          <w:kern w:val="0"/>
          <w:szCs w:val="21"/>
        </w:rPr>
      </w:pP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表16  滑坡变形演化阶段及对应的预警预报表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850"/>
        <w:gridCol w:w="549"/>
        <w:gridCol w:w="1127"/>
        <w:gridCol w:w="1390"/>
        <w:gridCol w:w="972"/>
        <w:gridCol w:w="2232"/>
        <w:gridCol w:w="1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gridSpan w:val="3"/>
            <w:shd w:val="clear" w:color="auto" w:fill="auto"/>
            <w:vAlign w:val="center"/>
          </w:tcPr>
          <w:p>
            <w:pPr>
              <w:jc w:val="center"/>
              <w:rPr>
                <w:rFonts w:ascii="Times New Roman" w:hAnsi="Times New Roman"/>
                <w:sz w:val="18"/>
                <w:szCs w:val="18"/>
              </w:rPr>
            </w:pPr>
            <w:r>
              <w:rPr>
                <w:rFonts w:ascii="Times New Roman" w:hAnsi="Times New Roman"/>
                <w:sz w:val="18"/>
                <w:szCs w:val="18"/>
              </w:rPr>
              <w:t>滑坡变形</w:t>
            </w:r>
          </w:p>
          <w:p>
            <w:pPr>
              <w:jc w:val="center"/>
              <w:rPr>
                <w:rFonts w:ascii="Times New Roman" w:hAnsi="Times New Roman"/>
                <w:sz w:val="18"/>
                <w:szCs w:val="18"/>
              </w:rPr>
            </w:pPr>
            <w:r>
              <w:rPr>
                <w:rFonts w:ascii="Times New Roman" w:hAnsi="Times New Roman"/>
                <w:sz w:val="18"/>
                <w:szCs w:val="18"/>
              </w:rPr>
              <w:t>演化阶段</w:t>
            </w:r>
          </w:p>
        </w:tc>
        <w:tc>
          <w:tcPr>
            <w:tcW w:w="589" w:type="pct"/>
            <w:shd w:val="clear" w:color="auto" w:fill="auto"/>
            <w:vAlign w:val="center"/>
          </w:tcPr>
          <w:p>
            <w:pPr>
              <w:jc w:val="center"/>
              <w:rPr>
                <w:rFonts w:ascii="Times New Roman" w:hAnsi="Times New Roman"/>
                <w:sz w:val="18"/>
                <w:szCs w:val="18"/>
              </w:rPr>
            </w:pPr>
            <w:r>
              <w:rPr>
                <w:rFonts w:ascii="Times New Roman" w:hAnsi="Times New Roman"/>
                <w:sz w:val="18"/>
                <w:szCs w:val="18"/>
              </w:rPr>
              <w:t>预警</w:t>
            </w:r>
          </w:p>
          <w:p>
            <w:pPr>
              <w:jc w:val="center"/>
              <w:rPr>
                <w:rFonts w:ascii="Times New Roman" w:hAnsi="Times New Roman"/>
                <w:sz w:val="18"/>
                <w:szCs w:val="18"/>
              </w:rPr>
            </w:pPr>
            <w:r>
              <w:rPr>
                <w:rFonts w:ascii="Times New Roman" w:hAnsi="Times New Roman"/>
                <w:sz w:val="18"/>
                <w:szCs w:val="18"/>
              </w:rPr>
              <w:t>级别</w:t>
            </w:r>
          </w:p>
        </w:tc>
        <w:tc>
          <w:tcPr>
            <w:tcW w:w="726" w:type="pct"/>
            <w:shd w:val="clear" w:color="auto" w:fill="auto"/>
            <w:vAlign w:val="center"/>
          </w:tcPr>
          <w:p>
            <w:pPr>
              <w:jc w:val="center"/>
              <w:rPr>
                <w:rFonts w:ascii="Times New Roman" w:hAnsi="Times New Roman"/>
                <w:sz w:val="18"/>
                <w:szCs w:val="18"/>
              </w:rPr>
            </w:pPr>
            <w:r>
              <w:rPr>
                <w:rFonts w:ascii="Times New Roman" w:hAnsi="Times New Roman"/>
                <w:sz w:val="18"/>
                <w:szCs w:val="18"/>
              </w:rPr>
              <w:t>预报</w:t>
            </w:r>
          </w:p>
          <w:p>
            <w:pPr>
              <w:jc w:val="center"/>
              <w:rPr>
                <w:rFonts w:ascii="Times New Roman" w:hAnsi="Times New Roman"/>
                <w:sz w:val="18"/>
                <w:szCs w:val="18"/>
              </w:rPr>
            </w:pPr>
            <w:r>
              <w:rPr>
                <w:rFonts w:ascii="Times New Roman" w:hAnsi="Times New Roman"/>
                <w:sz w:val="18"/>
                <w:szCs w:val="18"/>
              </w:rPr>
              <w:t>尺度</w:t>
            </w:r>
          </w:p>
        </w:tc>
        <w:tc>
          <w:tcPr>
            <w:tcW w:w="508" w:type="pct"/>
            <w:shd w:val="clear" w:color="auto" w:fill="auto"/>
            <w:vAlign w:val="center"/>
          </w:tcPr>
          <w:p>
            <w:pPr>
              <w:jc w:val="center"/>
              <w:rPr>
                <w:rFonts w:ascii="Times New Roman" w:hAnsi="Times New Roman"/>
                <w:sz w:val="18"/>
                <w:szCs w:val="18"/>
              </w:rPr>
            </w:pPr>
            <w:r>
              <w:rPr>
                <w:rFonts w:ascii="Times New Roman" w:hAnsi="Times New Roman"/>
                <w:sz w:val="18"/>
                <w:szCs w:val="18"/>
              </w:rPr>
              <w:t>时间</w:t>
            </w:r>
          </w:p>
          <w:p>
            <w:pPr>
              <w:jc w:val="center"/>
              <w:rPr>
                <w:rFonts w:ascii="Times New Roman" w:hAnsi="Times New Roman"/>
                <w:sz w:val="18"/>
                <w:szCs w:val="18"/>
              </w:rPr>
            </w:pPr>
            <w:r>
              <w:rPr>
                <w:rFonts w:ascii="Times New Roman" w:hAnsi="Times New Roman"/>
                <w:sz w:val="18"/>
                <w:szCs w:val="18"/>
              </w:rPr>
              <w:t>界限</w:t>
            </w:r>
          </w:p>
        </w:tc>
        <w:tc>
          <w:tcPr>
            <w:tcW w:w="1166" w:type="pct"/>
            <w:shd w:val="clear" w:color="auto" w:fill="auto"/>
            <w:vAlign w:val="center"/>
          </w:tcPr>
          <w:p>
            <w:pPr>
              <w:jc w:val="center"/>
              <w:rPr>
                <w:rFonts w:ascii="Times New Roman" w:hAnsi="Times New Roman"/>
                <w:sz w:val="18"/>
                <w:szCs w:val="18"/>
              </w:rPr>
            </w:pPr>
            <w:r>
              <w:rPr>
                <w:rFonts w:ascii="Times New Roman" w:hAnsi="Times New Roman"/>
                <w:sz w:val="18"/>
                <w:szCs w:val="18"/>
              </w:rPr>
              <w:t>预报对象</w:t>
            </w:r>
          </w:p>
        </w:tc>
        <w:tc>
          <w:tcPr>
            <w:tcW w:w="1001" w:type="pct"/>
            <w:shd w:val="clear" w:color="auto" w:fill="auto"/>
            <w:vAlign w:val="center"/>
          </w:tcPr>
          <w:p>
            <w:pPr>
              <w:jc w:val="center"/>
              <w:rPr>
                <w:rFonts w:ascii="Times New Roman" w:hAnsi="Times New Roman"/>
                <w:sz w:val="18"/>
                <w:szCs w:val="18"/>
              </w:rPr>
            </w:pPr>
            <w:r>
              <w:rPr>
                <w:rFonts w:ascii="Times New Roman" w:hAnsi="Times New Roman"/>
                <w:sz w:val="18"/>
                <w:szCs w:val="18"/>
              </w:rPr>
              <w:t>预测内容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shd w:val="clear" w:color="auto" w:fill="auto"/>
            <w:vAlign w:val="center"/>
          </w:tcPr>
          <w:p>
            <w:pPr>
              <w:jc w:val="center"/>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 1 \* ROMAN </w:instrText>
            </w:r>
            <w:r>
              <w:rPr>
                <w:rFonts w:ascii="Times New Roman" w:hAnsi="Times New Roman"/>
                <w:sz w:val="18"/>
                <w:szCs w:val="18"/>
              </w:rPr>
              <w:fldChar w:fldCharType="separate"/>
            </w:r>
            <w:r>
              <w:rPr>
                <w:rFonts w:ascii="Times New Roman" w:hAnsi="Times New Roman"/>
                <w:sz w:val="18"/>
                <w:szCs w:val="18"/>
              </w:rPr>
              <w:t>I</w:t>
            </w:r>
            <w:r>
              <w:rPr>
                <w:rFonts w:ascii="Times New Roman" w:hAnsi="Times New Roman"/>
                <w:sz w:val="18"/>
                <w:szCs w:val="18"/>
              </w:rPr>
              <w:fldChar w:fldCharType="end"/>
            </w:r>
          </w:p>
        </w:tc>
        <w:tc>
          <w:tcPr>
            <w:tcW w:w="731"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初始变形阶段</w:t>
            </w:r>
          </w:p>
        </w:tc>
        <w:tc>
          <w:tcPr>
            <w:tcW w:w="589" w:type="pct"/>
            <w:shd w:val="clear" w:color="auto" w:fill="auto"/>
            <w:vAlign w:val="center"/>
          </w:tcPr>
          <w:p>
            <w:pPr>
              <w:jc w:val="center"/>
              <w:rPr>
                <w:rFonts w:ascii="Times New Roman" w:hAnsi="Times New Roman"/>
                <w:sz w:val="18"/>
                <w:szCs w:val="18"/>
              </w:rPr>
            </w:pPr>
            <w:r>
              <w:rPr>
                <w:rFonts w:ascii="Times New Roman" w:hAnsi="Times New Roman"/>
                <w:sz w:val="18"/>
                <w:szCs w:val="18"/>
              </w:rPr>
              <w:t>\</w:t>
            </w:r>
          </w:p>
        </w:tc>
        <w:tc>
          <w:tcPr>
            <w:tcW w:w="726" w:type="pct"/>
            <w:shd w:val="clear" w:color="auto" w:fill="auto"/>
            <w:vAlign w:val="center"/>
          </w:tcPr>
          <w:p>
            <w:pPr>
              <w:jc w:val="center"/>
              <w:rPr>
                <w:rFonts w:ascii="Times New Roman" w:hAnsi="Times New Roman"/>
                <w:sz w:val="18"/>
                <w:szCs w:val="18"/>
              </w:rPr>
            </w:pPr>
            <w:r>
              <w:rPr>
                <w:rFonts w:ascii="Times New Roman" w:hAnsi="Times New Roman"/>
                <w:sz w:val="18"/>
                <w:szCs w:val="18"/>
              </w:rPr>
              <w:t>长期预报</w:t>
            </w:r>
          </w:p>
          <w:p>
            <w:pPr>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背景预测</w:t>
            </w:r>
            <w:r>
              <w:rPr>
                <w:rFonts w:hint="eastAsia" w:ascii="Times New Roman" w:hAnsi="Times New Roman"/>
                <w:sz w:val="18"/>
                <w:szCs w:val="18"/>
              </w:rPr>
              <w:t>）</w:t>
            </w:r>
          </w:p>
        </w:tc>
        <w:tc>
          <w:tcPr>
            <w:tcW w:w="508" w:type="pct"/>
            <w:shd w:val="clear" w:color="auto" w:fill="auto"/>
            <w:vAlign w:val="center"/>
          </w:tcPr>
          <w:p>
            <w:pPr>
              <w:jc w:val="center"/>
              <w:rPr>
                <w:rFonts w:ascii="Times New Roman" w:hAnsi="Times New Roman"/>
                <w:sz w:val="18"/>
                <w:szCs w:val="18"/>
              </w:rPr>
            </w:pPr>
            <w:r>
              <w:rPr>
                <w:rFonts w:ascii="Times New Roman" w:hAnsi="Times New Roman"/>
                <w:sz w:val="18"/>
                <w:szCs w:val="18"/>
              </w:rPr>
              <w:t>几年至几十年</w:t>
            </w:r>
          </w:p>
        </w:tc>
        <w:tc>
          <w:tcPr>
            <w:tcW w:w="1166" w:type="pct"/>
            <w:shd w:val="clear" w:color="auto" w:fill="auto"/>
            <w:vAlign w:val="center"/>
          </w:tcPr>
          <w:p>
            <w:pPr>
              <w:jc w:val="left"/>
              <w:rPr>
                <w:rFonts w:ascii="Times New Roman" w:hAnsi="Times New Roman"/>
                <w:sz w:val="18"/>
                <w:szCs w:val="18"/>
              </w:rPr>
            </w:pPr>
            <w:r>
              <w:rPr>
                <w:rFonts w:ascii="Times New Roman" w:hAnsi="Times New Roman"/>
                <w:sz w:val="18"/>
                <w:szCs w:val="18"/>
              </w:rPr>
              <w:t>区域性滑坡预测为主，兼顾重点个体滑坡预测</w:t>
            </w:r>
            <w:r>
              <w:rPr>
                <w:rFonts w:hint="eastAsia" w:ascii="Times New Roman" w:hAnsi="Times New Roman"/>
                <w:sz w:val="18"/>
                <w:szCs w:val="18"/>
              </w:rPr>
              <w:t>。</w:t>
            </w:r>
          </w:p>
        </w:tc>
        <w:tc>
          <w:tcPr>
            <w:tcW w:w="1001" w:type="pct"/>
            <w:shd w:val="clear" w:color="auto" w:fill="auto"/>
            <w:vAlign w:val="center"/>
          </w:tcPr>
          <w:p>
            <w:pPr>
              <w:rPr>
                <w:rFonts w:ascii="Times New Roman" w:hAnsi="Times New Roman"/>
                <w:sz w:val="18"/>
                <w:szCs w:val="18"/>
              </w:rPr>
            </w:pPr>
            <w:r>
              <w:rPr>
                <w:rFonts w:ascii="Times New Roman" w:hAnsi="Times New Roman"/>
                <w:sz w:val="18"/>
                <w:szCs w:val="18"/>
              </w:rPr>
              <w:t>个体滑坡侧重于稳定性评价及危险性预测</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shd w:val="clear" w:color="auto" w:fill="auto"/>
            <w:vAlign w:val="center"/>
          </w:tcPr>
          <w:p>
            <w:pPr>
              <w:jc w:val="center"/>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 2 \* ROMAN </w:instrText>
            </w:r>
            <w:r>
              <w:rPr>
                <w:rFonts w:ascii="Times New Roman" w:hAnsi="Times New Roman"/>
                <w:sz w:val="18"/>
                <w:szCs w:val="18"/>
              </w:rPr>
              <w:fldChar w:fldCharType="separate"/>
            </w:r>
            <w:r>
              <w:rPr>
                <w:rFonts w:ascii="Times New Roman" w:hAnsi="Times New Roman"/>
                <w:sz w:val="18"/>
                <w:szCs w:val="18"/>
              </w:rPr>
              <w:t>II</w:t>
            </w:r>
            <w:r>
              <w:rPr>
                <w:rFonts w:ascii="Times New Roman" w:hAnsi="Times New Roman"/>
                <w:sz w:val="18"/>
                <w:szCs w:val="18"/>
              </w:rPr>
              <w:fldChar w:fldCharType="end"/>
            </w:r>
          </w:p>
        </w:tc>
        <w:tc>
          <w:tcPr>
            <w:tcW w:w="731"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等速变形阶段</w:t>
            </w:r>
          </w:p>
        </w:tc>
        <w:tc>
          <w:tcPr>
            <w:tcW w:w="589" w:type="pct"/>
            <w:shd w:val="clear" w:color="auto" w:fill="auto"/>
            <w:vAlign w:val="center"/>
          </w:tcPr>
          <w:p>
            <w:pPr>
              <w:jc w:val="center"/>
              <w:rPr>
                <w:rFonts w:ascii="Times New Roman" w:hAnsi="Times New Roman"/>
                <w:sz w:val="18"/>
                <w:szCs w:val="18"/>
              </w:rPr>
            </w:pPr>
            <w:r>
              <w:rPr>
                <w:rFonts w:ascii="Times New Roman" w:hAnsi="Times New Roman"/>
                <w:sz w:val="18"/>
                <w:szCs w:val="18"/>
              </w:rPr>
              <w:t>注意级</w:t>
            </w:r>
          </w:p>
          <w:p>
            <w:pPr>
              <w:jc w:val="center"/>
              <w:rPr>
                <w:rFonts w:ascii="Times New Roman" w:hAnsi="Times New Roman"/>
                <w:sz w:val="18"/>
                <w:szCs w:val="18"/>
              </w:rPr>
            </w:pPr>
            <w:r>
              <w:rPr>
                <w:rFonts w:ascii="Times New Roman" w:hAnsi="Times New Roman"/>
                <w:sz w:val="18"/>
                <w:szCs w:val="18"/>
              </w:rPr>
              <w:t>（蓝色）</w:t>
            </w:r>
          </w:p>
        </w:tc>
        <w:tc>
          <w:tcPr>
            <w:tcW w:w="726"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中期预报</w:t>
            </w:r>
          </w:p>
          <w:p>
            <w:pPr>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险情预测</w:t>
            </w:r>
            <w:r>
              <w:rPr>
                <w:rFonts w:hint="eastAsia" w:ascii="Times New Roman" w:hAnsi="Times New Roman"/>
                <w:sz w:val="18"/>
                <w:szCs w:val="18"/>
              </w:rPr>
              <w:t>）</w:t>
            </w:r>
          </w:p>
        </w:tc>
        <w:tc>
          <w:tcPr>
            <w:tcW w:w="508"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几月至几年</w:t>
            </w:r>
          </w:p>
        </w:tc>
        <w:tc>
          <w:tcPr>
            <w:tcW w:w="1166" w:type="pct"/>
            <w:shd w:val="clear" w:color="auto" w:fill="auto"/>
            <w:vAlign w:val="center"/>
          </w:tcPr>
          <w:p>
            <w:pPr>
              <w:autoSpaceDE w:val="0"/>
              <w:autoSpaceDN w:val="0"/>
              <w:adjustRightInd w:val="0"/>
              <w:jc w:val="left"/>
              <w:rPr>
                <w:rFonts w:ascii="Times New Roman" w:hAnsi="Times New Roman"/>
                <w:sz w:val="18"/>
                <w:szCs w:val="18"/>
              </w:rPr>
            </w:pPr>
            <w:r>
              <w:rPr>
                <w:rFonts w:ascii="Times New Roman" w:hAnsi="Times New Roman"/>
                <w:sz w:val="18"/>
                <w:szCs w:val="18"/>
              </w:rPr>
              <w:t>以单体滑坡预测为主，兼顾重点滑坡群的预测</w:t>
            </w:r>
            <w:r>
              <w:rPr>
                <w:rFonts w:hint="eastAsia" w:ascii="Times New Roman" w:hAnsi="Times New Roman"/>
                <w:sz w:val="18"/>
                <w:szCs w:val="18"/>
              </w:rPr>
              <w:t>。</w:t>
            </w:r>
          </w:p>
        </w:tc>
        <w:tc>
          <w:tcPr>
            <w:tcW w:w="1001" w:type="pct"/>
            <w:shd w:val="clear" w:color="auto" w:fill="auto"/>
            <w:vAlign w:val="center"/>
          </w:tcPr>
          <w:p>
            <w:pPr>
              <w:autoSpaceDE w:val="0"/>
              <w:autoSpaceDN w:val="0"/>
              <w:adjustRightInd w:val="0"/>
              <w:rPr>
                <w:rFonts w:ascii="Times New Roman" w:hAnsi="Times New Roman"/>
                <w:sz w:val="18"/>
                <w:szCs w:val="18"/>
              </w:rPr>
            </w:pPr>
            <w:r>
              <w:rPr>
                <w:rFonts w:ascii="Times New Roman" w:hAnsi="Times New Roman"/>
                <w:sz w:val="18"/>
                <w:szCs w:val="18"/>
              </w:rPr>
              <w:t>滑坡发生的险情预测及可能的危害预测</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 3 \* ROMAN </w:instrText>
            </w:r>
            <w:r>
              <w:rPr>
                <w:rFonts w:ascii="Times New Roman" w:hAnsi="Times New Roman"/>
                <w:sz w:val="18"/>
                <w:szCs w:val="18"/>
              </w:rPr>
              <w:fldChar w:fldCharType="separate"/>
            </w:r>
            <w:r>
              <w:rPr>
                <w:rFonts w:ascii="Times New Roman" w:hAnsi="Times New Roman"/>
                <w:sz w:val="18"/>
                <w:szCs w:val="18"/>
              </w:rPr>
              <w:t>III</w:t>
            </w:r>
            <w:r>
              <w:rPr>
                <w:rFonts w:ascii="Times New Roman" w:hAnsi="Times New Roman"/>
                <w:sz w:val="18"/>
                <w:szCs w:val="18"/>
              </w:rPr>
              <w:fldChar w:fldCharType="end"/>
            </w:r>
          </w:p>
        </w:tc>
        <w:tc>
          <w:tcPr>
            <w:tcW w:w="444"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加速变形阶段</w:t>
            </w:r>
          </w:p>
        </w:tc>
        <w:tc>
          <w:tcPr>
            <w:tcW w:w="287" w:type="pct"/>
            <w:shd w:val="clear" w:color="auto" w:fill="auto"/>
            <w:vAlign w:val="center"/>
          </w:tcPr>
          <w:p>
            <w:pPr>
              <w:jc w:val="center"/>
              <w:rPr>
                <w:rFonts w:ascii="Times New Roman" w:hAnsi="Times New Roman"/>
                <w:sz w:val="18"/>
                <w:szCs w:val="18"/>
              </w:rPr>
            </w:pPr>
            <w:r>
              <w:rPr>
                <w:rFonts w:ascii="Times New Roman" w:hAnsi="Times New Roman"/>
                <w:sz w:val="18"/>
                <w:szCs w:val="18"/>
              </w:rPr>
              <w:t>初加速</w:t>
            </w:r>
          </w:p>
        </w:tc>
        <w:tc>
          <w:tcPr>
            <w:tcW w:w="589" w:type="pct"/>
            <w:shd w:val="clear" w:color="auto" w:fill="auto"/>
            <w:vAlign w:val="center"/>
          </w:tcPr>
          <w:p>
            <w:pPr>
              <w:jc w:val="center"/>
              <w:rPr>
                <w:rFonts w:ascii="Times New Roman" w:hAnsi="Times New Roman"/>
                <w:sz w:val="18"/>
                <w:szCs w:val="18"/>
              </w:rPr>
            </w:pPr>
            <w:r>
              <w:rPr>
                <w:rFonts w:ascii="Times New Roman" w:hAnsi="Times New Roman"/>
                <w:sz w:val="18"/>
                <w:szCs w:val="18"/>
              </w:rPr>
              <w:t>警示级</w:t>
            </w:r>
          </w:p>
          <w:p>
            <w:pPr>
              <w:jc w:val="center"/>
              <w:rPr>
                <w:rFonts w:ascii="Times New Roman" w:hAnsi="Times New Roman"/>
                <w:sz w:val="18"/>
                <w:szCs w:val="18"/>
              </w:rPr>
            </w:pPr>
            <w:r>
              <w:rPr>
                <w:rFonts w:ascii="Times New Roman" w:hAnsi="Times New Roman"/>
                <w:sz w:val="18"/>
                <w:szCs w:val="18"/>
              </w:rPr>
              <w:t>（黄色）</w:t>
            </w:r>
          </w:p>
        </w:tc>
        <w:tc>
          <w:tcPr>
            <w:tcW w:w="726" w:type="pct"/>
            <w:vMerge w:val="continue"/>
            <w:shd w:val="clear" w:color="auto" w:fill="auto"/>
            <w:vAlign w:val="center"/>
          </w:tcPr>
          <w:p>
            <w:pPr>
              <w:jc w:val="center"/>
              <w:rPr>
                <w:rFonts w:ascii="Times New Roman" w:hAnsi="Times New Roman"/>
                <w:sz w:val="18"/>
                <w:szCs w:val="18"/>
              </w:rPr>
            </w:pPr>
          </w:p>
        </w:tc>
        <w:tc>
          <w:tcPr>
            <w:tcW w:w="508" w:type="pct"/>
            <w:vMerge w:val="continue"/>
            <w:shd w:val="clear" w:color="auto" w:fill="auto"/>
            <w:vAlign w:val="center"/>
          </w:tcPr>
          <w:p>
            <w:pPr>
              <w:jc w:val="center"/>
              <w:rPr>
                <w:rFonts w:ascii="Times New Roman" w:hAnsi="Times New Roman"/>
                <w:sz w:val="18"/>
                <w:szCs w:val="18"/>
              </w:rPr>
            </w:pPr>
          </w:p>
        </w:tc>
        <w:tc>
          <w:tcPr>
            <w:tcW w:w="1166" w:type="pct"/>
            <w:shd w:val="clear" w:color="auto" w:fill="auto"/>
            <w:vAlign w:val="center"/>
          </w:tcPr>
          <w:p>
            <w:pPr>
              <w:autoSpaceDE w:val="0"/>
              <w:autoSpaceDN w:val="0"/>
              <w:adjustRightInd w:val="0"/>
              <w:jc w:val="left"/>
              <w:rPr>
                <w:rFonts w:ascii="Times New Roman" w:hAnsi="Times New Roman"/>
                <w:sz w:val="18"/>
                <w:szCs w:val="18"/>
              </w:rPr>
            </w:pPr>
            <w:r>
              <w:rPr>
                <w:rFonts w:ascii="Times New Roman" w:hAnsi="Times New Roman"/>
                <w:sz w:val="18"/>
                <w:szCs w:val="18"/>
              </w:rPr>
              <w:t>开始出现变形增长现象的单体滑坡</w:t>
            </w:r>
            <w:r>
              <w:rPr>
                <w:rFonts w:hint="eastAsia" w:ascii="Times New Roman" w:hAnsi="Times New Roman"/>
                <w:sz w:val="18"/>
                <w:szCs w:val="18"/>
              </w:rPr>
              <w:t>。</w:t>
            </w:r>
          </w:p>
        </w:tc>
        <w:tc>
          <w:tcPr>
            <w:tcW w:w="1001" w:type="pct"/>
            <w:shd w:val="clear" w:color="auto" w:fill="auto"/>
            <w:vAlign w:val="center"/>
          </w:tcPr>
          <w:p>
            <w:pPr>
              <w:autoSpaceDE w:val="0"/>
              <w:autoSpaceDN w:val="0"/>
              <w:adjustRightInd w:val="0"/>
              <w:rPr>
                <w:rFonts w:ascii="Times New Roman" w:hAnsi="Times New Roman"/>
                <w:sz w:val="18"/>
                <w:szCs w:val="18"/>
              </w:rPr>
            </w:pPr>
            <w:r>
              <w:rPr>
                <w:rFonts w:ascii="Times New Roman" w:hAnsi="Times New Roman"/>
                <w:sz w:val="18"/>
                <w:szCs w:val="18"/>
              </w:rPr>
              <w:t>滑坡险情和危害预测，对滑坡发展趋势进行预测</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shd w:val="clear" w:color="auto" w:fill="auto"/>
            <w:vAlign w:val="center"/>
          </w:tcPr>
          <w:p>
            <w:pPr>
              <w:jc w:val="center"/>
              <w:rPr>
                <w:rFonts w:ascii="Times New Roman" w:hAnsi="Times New Roman"/>
                <w:sz w:val="18"/>
                <w:szCs w:val="18"/>
              </w:rPr>
            </w:pPr>
          </w:p>
        </w:tc>
        <w:tc>
          <w:tcPr>
            <w:tcW w:w="444" w:type="pct"/>
            <w:vMerge w:val="continue"/>
            <w:shd w:val="clear" w:color="auto" w:fill="auto"/>
            <w:vAlign w:val="center"/>
          </w:tcPr>
          <w:p>
            <w:pPr>
              <w:jc w:val="center"/>
              <w:rPr>
                <w:rFonts w:ascii="Times New Roman" w:hAnsi="Times New Roman"/>
                <w:sz w:val="18"/>
                <w:szCs w:val="18"/>
              </w:rPr>
            </w:pPr>
          </w:p>
        </w:tc>
        <w:tc>
          <w:tcPr>
            <w:tcW w:w="287" w:type="pct"/>
            <w:shd w:val="clear" w:color="auto" w:fill="auto"/>
            <w:vAlign w:val="center"/>
          </w:tcPr>
          <w:p>
            <w:pPr>
              <w:jc w:val="center"/>
              <w:rPr>
                <w:rFonts w:ascii="Times New Roman" w:hAnsi="Times New Roman"/>
                <w:sz w:val="18"/>
                <w:szCs w:val="18"/>
              </w:rPr>
            </w:pPr>
            <w:r>
              <w:rPr>
                <w:rFonts w:ascii="Times New Roman" w:hAnsi="Times New Roman"/>
                <w:sz w:val="18"/>
                <w:szCs w:val="18"/>
              </w:rPr>
              <w:t>匀加速</w:t>
            </w:r>
          </w:p>
        </w:tc>
        <w:tc>
          <w:tcPr>
            <w:tcW w:w="589" w:type="pct"/>
            <w:shd w:val="clear" w:color="auto" w:fill="auto"/>
            <w:vAlign w:val="center"/>
          </w:tcPr>
          <w:p>
            <w:pPr>
              <w:jc w:val="center"/>
              <w:rPr>
                <w:rFonts w:ascii="Times New Roman" w:hAnsi="Times New Roman"/>
                <w:sz w:val="18"/>
                <w:szCs w:val="18"/>
              </w:rPr>
            </w:pPr>
            <w:r>
              <w:rPr>
                <w:rFonts w:ascii="Times New Roman" w:hAnsi="Times New Roman"/>
                <w:sz w:val="18"/>
                <w:szCs w:val="18"/>
              </w:rPr>
              <w:t>警戒级</w:t>
            </w:r>
          </w:p>
          <w:p>
            <w:pPr>
              <w:jc w:val="center"/>
              <w:rPr>
                <w:rFonts w:ascii="Times New Roman" w:hAnsi="Times New Roman"/>
                <w:sz w:val="18"/>
                <w:szCs w:val="18"/>
              </w:rPr>
            </w:pPr>
            <w:r>
              <w:rPr>
                <w:rFonts w:ascii="Times New Roman" w:hAnsi="Times New Roman"/>
                <w:sz w:val="18"/>
                <w:szCs w:val="18"/>
              </w:rPr>
              <w:t>（橙色）</w:t>
            </w:r>
          </w:p>
        </w:tc>
        <w:tc>
          <w:tcPr>
            <w:tcW w:w="726" w:type="pct"/>
            <w:shd w:val="clear" w:color="auto" w:fill="auto"/>
            <w:vAlign w:val="center"/>
          </w:tcPr>
          <w:p>
            <w:pPr>
              <w:autoSpaceDE w:val="0"/>
              <w:autoSpaceDN w:val="0"/>
              <w:adjustRightInd w:val="0"/>
              <w:jc w:val="center"/>
              <w:rPr>
                <w:rFonts w:ascii="Times New Roman" w:hAnsi="Times New Roman"/>
                <w:sz w:val="18"/>
                <w:szCs w:val="18"/>
              </w:rPr>
            </w:pPr>
            <w:r>
              <w:rPr>
                <w:rFonts w:ascii="Times New Roman" w:hAnsi="Times New Roman"/>
                <w:sz w:val="18"/>
                <w:szCs w:val="18"/>
              </w:rPr>
              <w:t>短期预报</w:t>
            </w:r>
          </w:p>
          <w:p>
            <w:pPr>
              <w:autoSpaceDE w:val="0"/>
              <w:autoSpaceDN w:val="0"/>
              <w:adjustRightInd w:val="0"/>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防灾预测</w:t>
            </w:r>
            <w:r>
              <w:rPr>
                <w:rFonts w:hint="eastAsia" w:ascii="Times New Roman" w:hAnsi="Times New Roman"/>
                <w:sz w:val="18"/>
                <w:szCs w:val="18"/>
              </w:rPr>
              <w:t>）</w:t>
            </w:r>
          </w:p>
        </w:tc>
        <w:tc>
          <w:tcPr>
            <w:tcW w:w="508" w:type="pct"/>
            <w:shd w:val="clear" w:color="auto" w:fill="auto"/>
            <w:vAlign w:val="center"/>
          </w:tcPr>
          <w:p>
            <w:pPr>
              <w:autoSpaceDE w:val="0"/>
              <w:autoSpaceDN w:val="0"/>
              <w:adjustRightInd w:val="0"/>
              <w:jc w:val="center"/>
              <w:rPr>
                <w:rFonts w:ascii="Times New Roman" w:hAnsi="Times New Roman"/>
                <w:sz w:val="18"/>
                <w:szCs w:val="18"/>
              </w:rPr>
            </w:pPr>
            <w:r>
              <w:rPr>
                <w:rFonts w:ascii="Times New Roman" w:hAnsi="Times New Roman"/>
                <w:sz w:val="18"/>
                <w:szCs w:val="18"/>
              </w:rPr>
              <w:t>几天</w:t>
            </w:r>
            <w:r>
              <w:rPr>
                <w:rFonts w:ascii="Times New Roman" w:hAnsi="Times New Roman"/>
                <w:kern w:val="0"/>
                <w:sz w:val="18"/>
                <w:szCs w:val="18"/>
              </w:rPr>
              <w:t>至</w:t>
            </w:r>
            <w:r>
              <w:rPr>
                <w:rFonts w:ascii="Times New Roman" w:hAnsi="Times New Roman"/>
                <w:sz w:val="18"/>
                <w:szCs w:val="18"/>
              </w:rPr>
              <w:t>几月</w:t>
            </w:r>
          </w:p>
        </w:tc>
        <w:tc>
          <w:tcPr>
            <w:tcW w:w="1166" w:type="pct"/>
            <w:shd w:val="clear" w:color="auto" w:fill="auto"/>
            <w:vAlign w:val="center"/>
          </w:tcPr>
          <w:p>
            <w:pPr>
              <w:autoSpaceDE w:val="0"/>
              <w:autoSpaceDN w:val="0"/>
              <w:adjustRightInd w:val="0"/>
              <w:jc w:val="left"/>
              <w:rPr>
                <w:rFonts w:ascii="Times New Roman" w:hAnsi="Times New Roman"/>
                <w:sz w:val="18"/>
                <w:szCs w:val="18"/>
              </w:rPr>
            </w:pPr>
            <w:r>
              <w:rPr>
                <w:rFonts w:ascii="Times New Roman" w:hAnsi="Times New Roman"/>
                <w:sz w:val="18"/>
                <w:szCs w:val="18"/>
              </w:rPr>
              <w:t>具有明显变形增长现象的单体滑坡</w:t>
            </w:r>
            <w:r>
              <w:rPr>
                <w:rFonts w:hint="eastAsia" w:ascii="Times New Roman" w:hAnsi="Times New Roman"/>
                <w:sz w:val="18"/>
                <w:szCs w:val="18"/>
              </w:rPr>
              <w:t>。</w:t>
            </w:r>
          </w:p>
        </w:tc>
        <w:tc>
          <w:tcPr>
            <w:tcW w:w="1001" w:type="pct"/>
            <w:shd w:val="clear" w:color="auto" w:fill="auto"/>
            <w:vAlign w:val="center"/>
          </w:tcPr>
          <w:p>
            <w:pPr>
              <w:autoSpaceDE w:val="0"/>
              <w:autoSpaceDN w:val="0"/>
              <w:adjustRightInd w:val="0"/>
              <w:rPr>
                <w:rFonts w:ascii="Times New Roman" w:hAnsi="Times New Roman"/>
                <w:sz w:val="18"/>
                <w:szCs w:val="18"/>
              </w:rPr>
            </w:pPr>
            <w:r>
              <w:rPr>
                <w:rFonts w:ascii="Times New Roman" w:hAnsi="Times New Roman"/>
                <w:sz w:val="18"/>
                <w:szCs w:val="18"/>
              </w:rPr>
              <w:t>短期防灾预测，对滑坡短期变形趋势作出判断</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shd w:val="clear" w:color="auto" w:fill="auto"/>
            <w:vAlign w:val="center"/>
          </w:tcPr>
          <w:p>
            <w:pPr>
              <w:jc w:val="center"/>
              <w:rPr>
                <w:rFonts w:ascii="Times New Roman" w:hAnsi="Times New Roman"/>
                <w:sz w:val="18"/>
                <w:szCs w:val="18"/>
              </w:rPr>
            </w:pPr>
          </w:p>
        </w:tc>
        <w:tc>
          <w:tcPr>
            <w:tcW w:w="444" w:type="pct"/>
            <w:vMerge w:val="continue"/>
            <w:shd w:val="clear" w:color="auto" w:fill="auto"/>
            <w:vAlign w:val="center"/>
          </w:tcPr>
          <w:p>
            <w:pPr>
              <w:jc w:val="center"/>
              <w:rPr>
                <w:rFonts w:ascii="Times New Roman" w:hAnsi="Times New Roman"/>
                <w:sz w:val="18"/>
                <w:szCs w:val="18"/>
              </w:rPr>
            </w:pPr>
          </w:p>
        </w:tc>
        <w:tc>
          <w:tcPr>
            <w:tcW w:w="287" w:type="pct"/>
            <w:shd w:val="clear" w:color="auto" w:fill="auto"/>
            <w:vAlign w:val="center"/>
          </w:tcPr>
          <w:p>
            <w:pPr>
              <w:jc w:val="center"/>
              <w:rPr>
                <w:rFonts w:ascii="Times New Roman" w:hAnsi="Times New Roman"/>
                <w:sz w:val="18"/>
                <w:szCs w:val="18"/>
              </w:rPr>
            </w:pPr>
            <w:r>
              <w:rPr>
                <w:rFonts w:ascii="Times New Roman" w:hAnsi="Times New Roman"/>
                <w:sz w:val="18"/>
                <w:szCs w:val="18"/>
              </w:rPr>
              <w:t>加加速</w:t>
            </w:r>
          </w:p>
        </w:tc>
        <w:tc>
          <w:tcPr>
            <w:tcW w:w="589" w:type="pct"/>
            <w:shd w:val="clear" w:color="auto" w:fill="auto"/>
            <w:vAlign w:val="center"/>
          </w:tcPr>
          <w:p>
            <w:pPr>
              <w:jc w:val="center"/>
              <w:rPr>
                <w:rFonts w:ascii="Times New Roman" w:hAnsi="Times New Roman"/>
                <w:sz w:val="18"/>
                <w:szCs w:val="18"/>
              </w:rPr>
            </w:pPr>
            <w:r>
              <w:rPr>
                <w:rFonts w:ascii="Times New Roman" w:hAnsi="Times New Roman"/>
                <w:sz w:val="18"/>
                <w:szCs w:val="18"/>
              </w:rPr>
              <w:t>警报级</w:t>
            </w:r>
          </w:p>
          <w:p>
            <w:pPr>
              <w:jc w:val="center"/>
              <w:rPr>
                <w:rFonts w:ascii="Times New Roman" w:hAnsi="Times New Roman"/>
                <w:sz w:val="18"/>
                <w:szCs w:val="18"/>
              </w:rPr>
            </w:pPr>
            <w:r>
              <w:rPr>
                <w:rFonts w:ascii="Times New Roman" w:hAnsi="Times New Roman"/>
                <w:sz w:val="18"/>
                <w:szCs w:val="18"/>
              </w:rPr>
              <w:t>（红色）</w:t>
            </w:r>
          </w:p>
        </w:tc>
        <w:tc>
          <w:tcPr>
            <w:tcW w:w="726" w:type="pct"/>
            <w:shd w:val="clear" w:color="auto" w:fill="auto"/>
            <w:vAlign w:val="center"/>
          </w:tcPr>
          <w:p>
            <w:pPr>
              <w:autoSpaceDE w:val="0"/>
              <w:autoSpaceDN w:val="0"/>
              <w:adjustRightInd w:val="0"/>
              <w:jc w:val="center"/>
              <w:rPr>
                <w:rFonts w:ascii="Times New Roman" w:hAnsi="Times New Roman"/>
                <w:sz w:val="18"/>
                <w:szCs w:val="18"/>
              </w:rPr>
            </w:pPr>
            <w:r>
              <w:rPr>
                <w:rFonts w:ascii="Times New Roman" w:hAnsi="Times New Roman"/>
                <w:sz w:val="18"/>
                <w:szCs w:val="18"/>
              </w:rPr>
              <w:t>临滑预报</w:t>
            </w:r>
          </w:p>
          <w:p>
            <w:pPr>
              <w:autoSpaceDE w:val="0"/>
              <w:autoSpaceDN w:val="0"/>
              <w:adjustRightInd w:val="0"/>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预警预测</w:t>
            </w:r>
            <w:r>
              <w:rPr>
                <w:rFonts w:hint="eastAsia" w:ascii="Times New Roman" w:hAnsi="Times New Roman"/>
                <w:sz w:val="18"/>
                <w:szCs w:val="18"/>
              </w:rPr>
              <w:t>）</w:t>
            </w:r>
          </w:p>
        </w:tc>
        <w:tc>
          <w:tcPr>
            <w:tcW w:w="508" w:type="pct"/>
            <w:shd w:val="clear" w:color="auto" w:fill="auto"/>
            <w:vAlign w:val="center"/>
          </w:tcPr>
          <w:p>
            <w:pPr>
              <w:autoSpaceDE w:val="0"/>
              <w:autoSpaceDN w:val="0"/>
              <w:adjustRightInd w:val="0"/>
              <w:jc w:val="center"/>
              <w:rPr>
                <w:rFonts w:ascii="Times New Roman" w:hAnsi="Times New Roman"/>
                <w:sz w:val="18"/>
                <w:szCs w:val="18"/>
              </w:rPr>
            </w:pPr>
            <w:r>
              <w:rPr>
                <w:rFonts w:ascii="Times New Roman" w:hAnsi="Times New Roman"/>
                <w:sz w:val="18"/>
                <w:szCs w:val="18"/>
              </w:rPr>
              <w:t>几小时</w:t>
            </w:r>
          </w:p>
          <w:p>
            <w:pPr>
              <w:autoSpaceDE w:val="0"/>
              <w:autoSpaceDN w:val="0"/>
              <w:adjustRightInd w:val="0"/>
              <w:jc w:val="center"/>
              <w:rPr>
                <w:rFonts w:ascii="Times New Roman" w:hAnsi="Times New Roman"/>
                <w:sz w:val="18"/>
                <w:szCs w:val="18"/>
              </w:rPr>
            </w:pPr>
            <w:r>
              <w:rPr>
                <w:rFonts w:ascii="Times New Roman" w:hAnsi="Times New Roman"/>
                <w:kern w:val="0"/>
                <w:sz w:val="18"/>
                <w:szCs w:val="18"/>
              </w:rPr>
              <w:t>至</w:t>
            </w:r>
            <w:r>
              <w:rPr>
                <w:rFonts w:ascii="Times New Roman" w:hAnsi="Times New Roman"/>
                <w:sz w:val="18"/>
                <w:szCs w:val="18"/>
              </w:rPr>
              <w:t>几天</w:t>
            </w:r>
          </w:p>
        </w:tc>
        <w:tc>
          <w:tcPr>
            <w:tcW w:w="1166" w:type="pct"/>
            <w:shd w:val="clear" w:color="auto" w:fill="auto"/>
            <w:vAlign w:val="center"/>
          </w:tcPr>
          <w:p>
            <w:pPr>
              <w:autoSpaceDE w:val="0"/>
              <w:autoSpaceDN w:val="0"/>
              <w:adjustRightInd w:val="0"/>
              <w:jc w:val="left"/>
              <w:rPr>
                <w:rFonts w:ascii="Times New Roman" w:hAnsi="Times New Roman"/>
                <w:sz w:val="18"/>
                <w:szCs w:val="18"/>
              </w:rPr>
            </w:pPr>
            <w:r>
              <w:rPr>
                <w:rFonts w:ascii="Times New Roman" w:hAnsi="Times New Roman"/>
                <w:sz w:val="18"/>
                <w:szCs w:val="18"/>
              </w:rPr>
              <w:t>具有陡然增加特征和较明显的滑坡前兆现象的单体滑坡</w:t>
            </w:r>
            <w:r>
              <w:rPr>
                <w:rFonts w:hint="eastAsia" w:ascii="Times New Roman" w:hAnsi="Times New Roman"/>
                <w:sz w:val="18"/>
                <w:szCs w:val="18"/>
              </w:rPr>
              <w:t>。</w:t>
            </w:r>
          </w:p>
        </w:tc>
        <w:tc>
          <w:tcPr>
            <w:tcW w:w="1001" w:type="pct"/>
            <w:shd w:val="clear" w:color="auto" w:fill="auto"/>
            <w:vAlign w:val="center"/>
          </w:tcPr>
          <w:p>
            <w:pPr>
              <w:autoSpaceDE w:val="0"/>
              <w:autoSpaceDN w:val="0"/>
              <w:adjustRightInd w:val="0"/>
              <w:rPr>
                <w:rFonts w:ascii="Times New Roman" w:hAnsi="Times New Roman"/>
                <w:sz w:val="18"/>
                <w:szCs w:val="18"/>
              </w:rPr>
            </w:pPr>
            <w:r>
              <w:rPr>
                <w:rFonts w:ascii="Times New Roman" w:hAnsi="Times New Roman"/>
                <w:sz w:val="18"/>
                <w:szCs w:val="18"/>
              </w:rPr>
              <w:t>滑坡的具体发生时间预测及滑坡的临滑预警预报</w:t>
            </w:r>
            <w:r>
              <w:rPr>
                <w:rFonts w:hint="eastAsia" w:ascii="Times New Roman" w:hAnsi="Times New Roman"/>
                <w:sz w:val="18"/>
                <w:szCs w:val="18"/>
              </w:rPr>
              <w:t>。</w:t>
            </w:r>
          </w:p>
        </w:tc>
      </w:tr>
    </w:tbl>
    <w:p/>
    <w:p>
      <w:pPr>
        <w:pStyle w:val="6"/>
        <w:spacing w:before="120" w:after="120"/>
      </w:pPr>
      <w:r>
        <w:rPr>
          <w:rFonts w:hint="eastAsia"/>
        </w:rPr>
        <w:t>9</w:t>
      </w:r>
      <w:r>
        <w:t>.3.</w:t>
      </w:r>
      <w:r>
        <w:rPr>
          <w:rFonts w:hint="eastAsia"/>
        </w:rPr>
        <w:t>4</w:t>
      </w:r>
      <w:r>
        <w:t>.2.</w:t>
      </w:r>
      <w:r>
        <w:rPr>
          <w:rFonts w:hint="eastAsia"/>
        </w:rPr>
        <w:t>2  预测预报模型与方法</w:t>
      </w:r>
    </w:p>
    <w:p>
      <w:pPr>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目前，国内外学者已先后提出了约40种滑坡预测预报模型和方法。在此推荐几种适合于常用的、且具有一定可操作性的预报模型和方法：中长期预测预报有神经网络模型、黄金分割法等；短期临滑预测预报有斋藤迪孝法、灰色系统模型、Verhulst模型等。上述几种模型和方法参见附录K。</w:t>
      </w:r>
    </w:p>
    <w:p>
      <w:pPr>
        <w:pStyle w:val="6"/>
        <w:spacing w:before="120" w:after="120"/>
      </w:pPr>
      <w:r>
        <w:rPr>
          <w:rFonts w:hint="eastAsia"/>
        </w:rPr>
        <w:t>9</w:t>
      </w:r>
      <w:r>
        <w:t>.3.</w:t>
      </w:r>
      <w:r>
        <w:rPr>
          <w:rFonts w:hint="eastAsia"/>
        </w:rPr>
        <w:t>4</w:t>
      </w:r>
      <w:r>
        <w:t>.2.</w:t>
      </w:r>
      <w:r>
        <w:rPr>
          <w:rFonts w:hint="eastAsia"/>
        </w:rPr>
        <w:t>3  滑坡预报判据</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除预报模型外，预报判据对滑坡预测预报也是非常重要的。目前已有的10余种滑坡预报判据可参见附录L（表L-1），典型滑坡的综合信息预报判据与预报参数特征值统计见附录L（表L-2～表L-4）。对实际的滑坡预测预报具有指导意义的主要有以下几方面的判据：</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 xml:space="preserve">a) </w:t>
      </w:r>
      <w:r>
        <w:rPr>
          <w:rFonts w:hint="eastAsia" w:ascii="宋体" w:hAnsi="宋体"/>
          <w:kern w:val="0"/>
          <w:szCs w:val="21"/>
        </w:rPr>
        <w:t xml:space="preserve"> 变形判据。由于各个滑坡体所处地质环境条件、岩土体结构和物理力学性质、坡体结构、外界影响因素等都不相同，滑坡体具有非常明显的个性特征，各滑坡发生时的总位移量和位移速率相差很大，要寻找一个统一的临界量值判据，基本是不现实的，也是不可能的。因此，应在遵循滑坡变形演化普遍规律的前提下，掌握滑坡体的个性特征与时空变形破坏规律，具体问题具体分析。</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b)</w:t>
      </w:r>
      <w:r>
        <w:rPr>
          <w:rFonts w:hint="eastAsia" w:ascii="宋体" w:hAnsi="宋体"/>
          <w:kern w:val="0"/>
          <w:szCs w:val="21"/>
        </w:rPr>
        <w:t xml:space="preserve">  降雨量判据。降雨诱发滑坡发生的成因机制异常复杂，一个地区当一次降雨量超过某一临界值时，可能会诱发群发性滑坡。附录</w:t>
      </w:r>
      <w:r>
        <w:rPr>
          <w:rFonts w:ascii="Times New Roman" w:hAnsi="Times New Roman"/>
          <w:kern w:val="0"/>
          <w:szCs w:val="21"/>
        </w:rPr>
        <w:t>L（表L-5、表L-6）</w:t>
      </w:r>
      <w:r>
        <w:rPr>
          <w:rFonts w:hint="eastAsia" w:ascii="宋体" w:hAnsi="宋体"/>
          <w:kern w:val="0"/>
          <w:szCs w:val="21"/>
        </w:rPr>
        <w:t>列出了从文献中查到的国内外不同地区滑坡临界降雨量值，以供参考。</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c)</w:t>
      </w:r>
      <w:r>
        <w:rPr>
          <w:rFonts w:hint="eastAsia" w:ascii="宋体" w:hAnsi="宋体"/>
          <w:kern w:val="0"/>
          <w:szCs w:val="21"/>
        </w:rPr>
        <w:t xml:space="preserve">  临滑前兆异常。前兆异常信息在滑坡发生前表现直观、易于捕捉，用于临滑预报十分有效。可见的滑坡前兆异常特征有地形变异常，地声、地热、地气异常，动物异常，地下水异常等。具体参见附录</w:t>
      </w:r>
      <w:r>
        <w:rPr>
          <w:rFonts w:ascii="Times New Roman" w:hAnsi="Times New Roman"/>
          <w:kern w:val="0"/>
          <w:szCs w:val="21"/>
        </w:rPr>
        <w:t>L（表L-7、表L-8）</w:t>
      </w:r>
      <w:r>
        <w:rPr>
          <w:rFonts w:hint="eastAsia" w:ascii="宋体" w:hAnsi="宋体"/>
          <w:kern w:val="0"/>
          <w:szCs w:val="21"/>
        </w:rPr>
        <w:t>与附录</w:t>
      </w:r>
      <w:r>
        <w:rPr>
          <w:rFonts w:ascii="Times New Roman" w:hAnsi="Times New Roman"/>
          <w:kern w:val="0"/>
          <w:szCs w:val="21"/>
        </w:rPr>
        <w:t>J</w:t>
      </w:r>
      <w:r>
        <w:rPr>
          <w:rFonts w:hint="eastAsia" w:ascii="宋体" w:hAnsi="宋体"/>
          <w:kern w:val="0"/>
          <w:szCs w:val="21"/>
        </w:rPr>
        <w:t>宏观前兆异常部分。</w:t>
      </w:r>
    </w:p>
    <w:p>
      <w:pPr>
        <w:pStyle w:val="6"/>
        <w:spacing w:before="120" w:after="120"/>
      </w:pPr>
      <w:r>
        <w:rPr>
          <w:rFonts w:hint="eastAsia"/>
        </w:rPr>
        <w:t>9</w:t>
      </w:r>
      <w:r>
        <w:t>.3.</w:t>
      </w:r>
      <w:r>
        <w:rPr>
          <w:rFonts w:hint="eastAsia"/>
        </w:rPr>
        <w:t>4</w:t>
      </w:r>
      <w:r>
        <w:t>.2.</w:t>
      </w:r>
      <w:r>
        <w:rPr>
          <w:rFonts w:hint="eastAsia"/>
        </w:rPr>
        <w:t>4  滑坡综合预测预报应注意的问题</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参见附录</w:t>
      </w:r>
      <w:r>
        <w:rPr>
          <w:rFonts w:ascii="Times New Roman" w:hAnsi="Times New Roman"/>
          <w:kern w:val="0"/>
          <w:szCs w:val="21"/>
        </w:rPr>
        <w:t>M</w:t>
      </w:r>
      <w:r>
        <w:rPr>
          <w:rFonts w:hint="eastAsia" w:ascii="宋体" w:hAnsi="宋体"/>
          <w:kern w:val="0"/>
          <w:szCs w:val="21"/>
        </w:rPr>
        <w:t>。</w:t>
      </w:r>
    </w:p>
    <w:p>
      <w:pPr>
        <w:pStyle w:val="6"/>
        <w:spacing w:before="120" w:after="120"/>
      </w:pPr>
      <w:r>
        <w:rPr>
          <w:rFonts w:hint="eastAsia"/>
        </w:rPr>
        <w:t>9</w:t>
      </w:r>
      <w:r>
        <w:t>.3.</w:t>
      </w:r>
      <w:r>
        <w:rPr>
          <w:rFonts w:hint="eastAsia"/>
        </w:rPr>
        <w:t>4</w:t>
      </w:r>
      <w:r>
        <w:t>.2.</w:t>
      </w:r>
      <w:r>
        <w:rPr>
          <w:rFonts w:hint="eastAsia"/>
        </w:rPr>
        <w:t>5  滑坡灾害预警级别划分的综合判定</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根据前述滑坡预测预报的基本理论和方法，建立湖北省滑坡灾害四级预警级别划分标准，并制定“滑坡灾害预警级别划分的综合判定”（附</w:t>
      </w:r>
      <w:r>
        <w:rPr>
          <w:rFonts w:ascii="Times New Roman" w:hAnsi="Times New Roman"/>
          <w:kern w:val="0"/>
          <w:szCs w:val="21"/>
        </w:rPr>
        <w:t>录K</w:t>
      </w:r>
      <w:r>
        <w:rPr>
          <w:rFonts w:hint="eastAsia" w:ascii="宋体" w:hAnsi="宋体"/>
          <w:kern w:val="0"/>
          <w:szCs w:val="21"/>
        </w:rPr>
        <w:t>），可供承担湖北省地质灾害专业监测预警使用。</w:t>
      </w:r>
    </w:p>
    <w:p>
      <w:pPr>
        <w:pStyle w:val="5"/>
        <w:spacing w:before="120" w:after="120"/>
      </w:pPr>
      <w:r>
        <w:rPr>
          <w:rFonts w:hint="eastAsia"/>
        </w:rPr>
        <w:t>9.3.4.3</w:t>
      </w:r>
      <w:r>
        <w:rPr>
          <w:rFonts w:hint="eastAsia" w:ascii="Times New Roman"/>
        </w:rPr>
        <w:t xml:space="preserve">  </w:t>
      </w:r>
      <w:r>
        <w:rPr>
          <w:rFonts w:hint="eastAsia"/>
        </w:rPr>
        <w:t>崩塌预警预报</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分级分主次确定崩塌变形破坏的预警预报对象。对以下对象应重点预警预报：</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1)  变形速率大的地段或块体。</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2)  可产生严重危害的地段或块体。</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3)  对崩塌的稳定性起关键作用的地段或块体。</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4)  对整个崩塌的变形破坏具有代表性的地段或块体。</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  崩塌破坏具有突发性，致灾具有毁灭性。因此，崩塌预警预报分为两个等级，即警示级（黄色预警）与警报级（红色预警）。</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1)  警示级（黄色预警）：当降雨量达到暴雨及暴雨级别以上或连续降雨时长达到48小时及以上时，上部岩体拉张裂隙突然产生变形，即进入警示级，可对上述的崩塌重要地段或块体进行重点监测与预报。</w:t>
      </w:r>
    </w:p>
    <w:p>
      <w:pPr>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2)  警报级（红色预警）：如监测到崩塌体发生连续大形变等，上部岩体拉张裂隙不断扩展、加宽，速度突增，小型坠落不断发生时，应向有关部门发出警报，该崩塌体有可能随时出现险情。</w:t>
      </w:r>
    </w:p>
    <w:p>
      <w:pPr>
        <w:pStyle w:val="5"/>
        <w:spacing w:before="120" w:after="120"/>
      </w:pPr>
      <w:r>
        <w:rPr>
          <w:rFonts w:hint="eastAsia"/>
        </w:rPr>
        <w:t>9.3.4.4</w:t>
      </w:r>
      <w:r>
        <w:rPr>
          <w:rFonts w:hint="eastAsia" w:ascii="Times New Roman"/>
        </w:rPr>
        <w:t xml:space="preserve">  </w:t>
      </w:r>
      <w:r>
        <w:rPr>
          <w:rFonts w:hint="eastAsia"/>
        </w:rPr>
        <w:t>泥石流预警预报</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预警阈值。泥石流预警主要依据各种监测参数的临灾阈值来确定，各测点的预警阈值均需要采用一定的计算方法并结合沟道实际情况综合确定，详见附录N。</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1)  雨量阈值需要根据对历史灾害的调查统计、模型计算和野外实验来确定；其中临界雨量阈值主要依靠坡面泥石流起动实验确定，激发雨量阈值主要依靠模型计算（起动沟床固体物质的流量推算的雨量）确定，警报雨量阈值主要依靠历史灾害调查统计数据分析确定。</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2)  泥位阈值需要对历史灾害的调查和计算来确定。</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3)  土体孔隙水压力和含水率、振动及次声等阈值需要根据相关野外实验来综合确定。</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  预警等级。根据泥石流形成运动各个阶段的特点，泥石流监测预警采用警示级（黄色预警）、警戒级（橙色预警）和警报级（红色预警）。突发的坡面泥石流及流域面积特别小（一般1</w:t>
      </w:r>
      <w:r>
        <w:rPr>
          <w:rFonts w:hint="eastAsia" w:ascii="Times New Roman" w:hAnsi="Times New Roman"/>
          <w:kern w:val="0"/>
          <w:szCs w:val="21"/>
        </w:rPr>
        <w:t xml:space="preserve"> </w:t>
      </w:r>
      <w:r>
        <w:rPr>
          <w:rFonts w:ascii="Times New Roman" w:hAnsi="Times New Roman"/>
          <w:kern w:val="0"/>
          <w:szCs w:val="21"/>
        </w:rPr>
        <w:t>km</w:t>
      </w:r>
      <w:r>
        <w:rPr>
          <w:rFonts w:ascii="Times New Roman" w:hAnsi="Times New Roman"/>
          <w:kern w:val="0"/>
          <w:szCs w:val="21"/>
          <w:vertAlign w:val="superscript"/>
        </w:rPr>
        <w:t>2</w:t>
      </w:r>
      <w:r>
        <w:rPr>
          <w:rFonts w:ascii="Times New Roman" w:hAnsi="Times New Roman"/>
          <w:kern w:val="0"/>
          <w:szCs w:val="21"/>
        </w:rPr>
        <w:t>以下）的采用警报级预警。</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1)  警示级（黄色预警）：由前期降雨、气象预警等指标确定。已出现充沛的前期降雨，同时气象部门发布大雨以上的降雨预警时即发布。</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2)  警戒级</w:t>
      </w:r>
      <w:r>
        <w:rPr>
          <w:rFonts w:hint="eastAsia" w:ascii="Times New Roman" w:hAnsi="Times New Roman"/>
          <w:kern w:val="0"/>
          <w:szCs w:val="21"/>
        </w:rPr>
        <w:t>（</w:t>
      </w:r>
      <w:r>
        <w:rPr>
          <w:rFonts w:ascii="Times New Roman" w:hAnsi="Times New Roman"/>
          <w:kern w:val="0"/>
          <w:szCs w:val="21"/>
        </w:rPr>
        <w:t>橙色预警</w:t>
      </w:r>
      <w:r>
        <w:rPr>
          <w:rFonts w:hint="eastAsia" w:ascii="Times New Roman" w:hAnsi="Times New Roman"/>
          <w:kern w:val="0"/>
          <w:szCs w:val="21"/>
        </w:rPr>
        <w:t>）</w:t>
      </w:r>
      <w:r>
        <w:rPr>
          <w:rFonts w:ascii="Times New Roman" w:hAnsi="Times New Roman"/>
          <w:kern w:val="0"/>
          <w:szCs w:val="21"/>
        </w:rPr>
        <w:t>：无充沛的前期降雨，但是降雨已达到泥石流爆发的临界雨量阈值时发布，由泥石流临界雨量和泥位指标确定。</w:t>
      </w:r>
    </w:p>
    <w:p>
      <w:pPr>
        <w:widowControl/>
        <w:tabs>
          <w:tab w:val="center" w:pos="4201"/>
          <w:tab w:val="right" w:leader="dot" w:pos="9298"/>
        </w:tabs>
        <w:autoSpaceDE w:val="0"/>
        <w:autoSpaceDN w:val="0"/>
        <w:spacing w:line="360" w:lineRule="auto"/>
        <w:ind w:left="1260" w:leftChars="400" w:hanging="420" w:hangingChars="200"/>
        <w:rPr>
          <w:rFonts w:ascii="Times New Roman" w:hAnsi="Times New Roman"/>
          <w:kern w:val="0"/>
          <w:szCs w:val="21"/>
        </w:rPr>
      </w:pPr>
      <w:r>
        <w:rPr>
          <w:rFonts w:ascii="Times New Roman" w:hAnsi="Times New Roman"/>
          <w:kern w:val="0"/>
          <w:szCs w:val="21"/>
        </w:rPr>
        <w:t>3)  警报级</w:t>
      </w:r>
      <w:r>
        <w:rPr>
          <w:rFonts w:hint="eastAsia" w:ascii="Times New Roman" w:hAnsi="Times New Roman"/>
          <w:kern w:val="0"/>
          <w:szCs w:val="21"/>
        </w:rPr>
        <w:t>（</w:t>
      </w:r>
      <w:r>
        <w:rPr>
          <w:rFonts w:ascii="Times New Roman" w:hAnsi="Times New Roman"/>
          <w:kern w:val="0"/>
          <w:szCs w:val="21"/>
        </w:rPr>
        <w:t>红色预警</w:t>
      </w:r>
      <w:r>
        <w:rPr>
          <w:rFonts w:hint="eastAsia" w:ascii="Times New Roman" w:hAnsi="Times New Roman"/>
          <w:kern w:val="0"/>
          <w:szCs w:val="21"/>
        </w:rPr>
        <w:t>）</w:t>
      </w:r>
      <w:r>
        <w:rPr>
          <w:rFonts w:ascii="Times New Roman" w:hAnsi="Times New Roman"/>
          <w:kern w:val="0"/>
          <w:szCs w:val="21"/>
        </w:rPr>
        <w:t>：已出现充沛的前期降雨，同时降雨已达到泥石流爆发的临界雨量阈值时发布。由临界雨量、泥位和振动等指标，同时参考沟道断流等宏观现象指标确定。</w:t>
      </w:r>
    </w:p>
    <w:p>
      <w:pPr>
        <w:pStyle w:val="5"/>
        <w:spacing w:before="120" w:after="120"/>
      </w:pPr>
      <w:r>
        <w:rPr>
          <w:rFonts w:hint="eastAsia"/>
        </w:rPr>
        <w:t>9.3.4.5</w:t>
      </w:r>
      <w:r>
        <w:rPr>
          <w:rFonts w:hint="eastAsia" w:ascii="Times New Roman"/>
        </w:rPr>
        <w:t xml:space="preserve">  </w:t>
      </w:r>
      <w:r>
        <w:rPr>
          <w:rFonts w:hint="eastAsia"/>
        </w:rPr>
        <w:t>地面塌陷预警预报</w:t>
      </w:r>
    </w:p>
    <w:p>
      <w:pPr>
        <w:pStyle w:val="6"/>
        <w:spacing w:before="120" w:after="120"/>
      </w:pPr>
      <w:r>
        <w:rPr>
          <w:rFonts w:hint="eastAsia"/>
        </w:rPr>
        <w:t>9.3.4.5.1  预警判据</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ascii="宋体" w:hAnsi="宋体"/>
          <w:kern w:val="0"/>
          <w:szCs w:val="21"/>
        </w:rPr>
        <w:t>地面塌</w:t>
      </w:r>
      <w:r>
        <w:rPr>
          <w:rFonts w:hint="eastAsia" w:ascii="宋体" w:hAnsi="宋体"/>
          <w:kern w:val="0"/>
          <w:szCs w:val="21"/>
        </w:rPr>
        <w:t>陷灾害</w:t>
      </w:r>
      <w:r>
        <w:rPr>
          <w:rFonts w:ascii="宋体" w:hAnsi="宋体"/>
          <w:kern w:val="0"/>
          <w:szCs w:val="21"/>
        </w:rPr>
        <w:t>常用的预警判据见</w:t>
      </w:r>
      <w:r>
        <w:rPr>
          <w:rFonts w:ascii="Times New Roman" w:hAnsi="Times New Roman"/>
          <w:kern w:val="0"/>
          <w:szCs w:val="21"/>
        </w:rPr>
        <w:t>表</w:t>
      </w:r>
      <w:r>
        <w:rPr>
          <w:rFonts w:hint="eastAsia" w:ascii="Times New Roman" w:hAnsi="Times New Roman"/>
          <w:kern w:val="0"/>
          <w:szCs w:val="21"/>
        </w:rPr>
        <w:t>17</w:t>
      </w:r>
      <w:r>
        <w:rPr>
          <w:rFonts w:ascii="Times New Roman" w:hAnsi="Times New Roman"/>
          <w:kern w:val="0"/>
          <w:szCs w:val="21"/>
        </w:rPr>
        <w:t>。</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 xml:space="preserve">表17  </w:t>
      </w:r>
      <w:r>
        <w:rPr>
          <w:rFonts w:ascii="黑体" w:hAnsi="黑体" w:eastAsia="黑体"/>
          <w:kern w:val="0"/>
          <w:szCs w:val="21"/>
        </w:rPr>
        <w:t>地面塌陷灾害预警判据</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676"/>
        <w:gridCol w:w="2312"/>
        <w:gridCol w:w="3405"/>
        <w:gridCol w:w="3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jc w:val="center"/>
              <w:rPr>
                <w:rFonts w:ascii="Times New Roman" w:hAnsi="Times New Roman"/>
                <w:bCs/>
                <w:kern w:val="0"/>
                <w:sz w:val="18"/>
                <w:szCs w:val="18"/>
              </w:rPr>
            </w:pPr>
            <w:r>
              <w:rPr>
                <w:rFonts w:ascii="Times New Roman" w:hAnsi="Times New Roman"/>
                <w:bCs/>
                <w:kern w:val="0"/>
                <w:sz w:val="18"/>
                <w:szCs w:val="18"/>
              </w:rPr>
              <w:t>序号</w:t>
            </w:r>
          </w:p>
        </w:tc>
        <w:tc>
          <w:tcPr>
            <w:tcW w:w="1208" w:type="pct"/>
            <w:vAlign w:val="center"/>
          </w:tcPr>
          <w:p>
            <w:pPr>
              <w:jc w:val="center"/>
              <w:rPr>
                <w:rFonts w:ascii="Times New Roman" w:hAnsi="Times New Roman"/>
                <w:bCs/>
                <w:kern w:val="0"/>
                <w:sz w:val="18"/>
                <w:szCs w:val="18"/>
              </w:rPr>
            </w:pPr>
            <w:r>
              <w:rPr>
                <w:rFonts w:ascii="Times New Roman" w:hAnsi="Times New Roman"/>
                <w:bCs/>
                <w:kern w:val="0"/>
                <w:sz w:val="18"/>
                <w:szCs w:val="18"/>
              </w:rPr>
              <w:t>判据名称</w:t>
            </w:r>
          </w:p>
        </w:tc>
        <w:tc>
          <w:tcPr>
            <w:tcW w:w="1779" w:type="pct"/>
            <w:vAlign w:val="center"/>
          </w:tcPr>
          <w:p>
            <w:pPr>
              <w:jc w:val="center"/>
              <w:rPr>
                <w:rFonts w:ascii="Times New Roman" w:hAnsi="Times New Roman"/>
                <w:bCs/>
                <w:kern w:val="0"/>
                <w:sz w:val="18"/>
                <w:szCs w:val="18"/>
              </w:rPr>
            </w:pPr>
            <w:r>
              <w:rPr>
                <w:rFonts w:ascii="Times New Roman" w:hAnsi="Times New Roman"/>
                <w:bCs/>
                <w:kern w:val="0"/>
                <w:sz w:val="18"/>
                <w:szCs w:val="18"/>
              </w:rPr>
              <w:t>判据</w:t>
            </w:r>
          </w:p>
        </w:tc>
        <w:tc>
          <w:tcPr>
            <w:tcW w:w="1660" w:type="pct"/>
            <w:vAlign w:val="center"/>
          </w:tcPr>
          <w:p>
            <w:pPr>
              <w:jc w:val="center"/>
              <w:rPr>
                <w:rFonts w:ascii="Times New Roman" w:hAnsi="Times New Roman"/>
                <w:bCs/>
                <w:kern w:val="0"/>
                <w:sz w:val="18"/>
                <w:szCs w:val="18"/>
              </w:rPr>
            </w:pPr>
            <w:r>
              <w:rPr>
                <w:rFonts w:ascii="Times New Roman" w:hAnsi="Times New Roman"/>
                <w:bCs/>
                <w:kern w:val="0"/>
                <w:sz w:val="18"/>
                <w:szCs w:val="18"/>
              </w:rPr>
              <w:t>适用条件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jc w:val="center"/>
              <w:rPr>
                <w:rFonts w:ascii="Times New Roman" w:hAnsi="Times New Roman"/>
                <w:kern w:val="0"/>
                <w:sz w:val="18"/>
                <w:szCs w:val="18"/>
              </w:rPr>
            </w:pPr>
            <w:r>
              <w:rPr>
                <w:rFonts w:ascii="Times New Roman" w:hAnsi="Times New Roman"/>
                <w:kern w:val="0"/>
                <w:sz w:val="18"/>
                <w:szCs w:val="18"/>
              </w:rPr>
              <w:t>1</w:t>
            </w:r>
          </w:p>
        </w:tc>
        <w:tc>
          <w:tcPr>
            <w:tcW w:w="1208" w:type="pct"/>
            <w:vAlign w:val="center"/>
          </w:tcPr>
          <w:p>
            <w:pPr>
              <w:jc w:val="center"/>
              <w:rPr>
                <w:rFonts w:ascii="Times New Roman" w:hAnsi="Times New Roman"/>
                <w:kern w:val="0"/>
                <w:sz w:val="18"/>
                <w:szCs w:val="18"/>
              </w:rPr>
            </w:pPr>
            <w:r>
              <w:rPr>
                <w:rFonts w:ascii="Times New Roman" w:hAnsi="Times New Roman"/>
                <w:kern w:val="0"/>
                <w:sz w:val="18"/>
                <w:szCs w:val="18"/>
              </w:rPr>
              <w:t>巷道变形</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变形增大</w:t>
            </w:r>
          </w:p>
        </w:tc>
        <w:tc>
          <w:tcPr>
            <w:tcW w:w="1660" w:type="pct"/>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jc w:val="center"/>
              <w:rPr>
                <w:rFonts w:ascii="Times New Roman" w:hAnsi="Times New Roman"/>
                <w:kern w:val="0"/>
                <w:sz w:val="18"/>
                <w:szCs w:val="18"/>
              </w:rPr>
            </w:pPr>
            <w:r>
              <w:rPr>
                <w:rFonts w:ascii="Times New Roman" w:hAnsi="Times New Roman"/>
                <w:kern w:val="0"/>
                <w:sz w:val="18"/>
                <w:szCs w:val="18"/>
              </w:rPr>
              <w:t>2</w:t>
            </w:r>
          </w:p>
        </w:tc>
        <w:tc>
          <w:tcPr>
            <w:tcW w:w="1208" w:type="pct"/>
            <w:vAlign w:val="center"/>
          </w:tcPr>
          <w:p>
            <w:pPr>
              <w:jc w:val="center"/>
              <w:rPr>
                <w:rFonts w:ascii="Times New Roman" w:hAnsi="Times New Roman"/>
                <w:kern w:val="0"/>
                <w:sz w:val="18"/>
                <w:szCs w:val="18"/>
              </w:rPr>
            </w:pPr>
            <w:r>
              <w:rPr>
                <w:rFonts w:ascii="Times New Roman" w:hAnsi="Times New Roman"/>
                <w:kern w:val="0"/>
                <w:sz w:val="18"/>
                <w:szCs w:val="18"/>
              </w:rPr>
              <w:t>巷道受力</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受力有明显变化</w:t>
            </w:r>
          </w:p>
        </w:tc>
        <w:tc>
          <w:tcPr>
            <w:tcW w:w="1660" w:type="pct"/>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widowControl/>
              <w:jc w:val="center"/>
              <w:rPr>
                <w:rFonts w:ascii="Times New Roman" w:hAnsi="Times New Roman"/>
                <w:kern w:val="0"/>
                <w:sz w:val="18"/>
                <w:szCs w:val="18"/>
              </w:rPr>
            </w:pPr>
            <w:r>
              <w:rPr>
                <w:rFonts w:ascii="Times New Roman" w:hAnsi="Times New Roman"/>
                <w:kern w:val="0"/>
                <w:sz w:val="18"/>
                <w:szCs w:val="18"/>
              </w:rPr>
              <w:t>3</w:t>
            </w:r>
          </w:p>
        </w:tc>
        <w:tc>
          <w:tcPr>
            <w:tcW w:w="1208" w:type="pct"/>
            <w:vAlign w:val="center"/>
          </w:tcPr>
          <w:p>
            <w:pPr>
              <w:widowControl/>
              <w:jc w:val="center"/>
              <w:rPr>
                <w:rFonts w:ascii="Times New Roman" w:hAnsi="Times New Roman"/>
                <w:kern w:val="0"/>
                <w:sz w:val="18"/>
                <w:szCs w:val="18"/>
              </w:rPr>
            </w:pPr>
            <w:r>
              <w:rPr>
                <w:rFonts w:ascii="Times New Roman" w:hAnsi="Times New Roman"/>
                <w:kern w:val="0"/>
                <w:sz w:val="18"/>
                <w:szCs w:val="18"/>
              </w:rPr>
              <w:t>岩溶管道裂隙系统水气压力</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岩溶管道裂隙系统中的水气压力变化值大于基岩面上覆土体的渗透变形临界值。</w:t>
            </w:r>
          </w:p>
        </w:tc>
        <w:tc>
          <w:tcPr>
            <w:tcW w:w="1660" w:type="pct"/>
            <w:vAlign w:val="center"/>
          </w:tcPr>
          <w:p>
            <w:pPr>
              <w:jc w:val="center"/>
              <w:rPr>
                <w:rFonts w:ascii="Times New Roman" w:hAnsi="Times New Roman"/>
                <w:kern w:val="0"/>
                <w:sz w:val="18"/>
                <w:szCs w:val="18"/>
              </w:rPr>
            </w:pPr>
            <w:r>
              <w:rPr>
                <w:rFonts w:ascii="Times New Roman" w:hAnsi="Times New Roman"/>
                <w:kern w:val="0"/>
                <w:sz w:val="18"/>
                <w:szCs w:val="18"/>
              </w:rPr>
              <w:t>第四系地下水（地表水体）与岩溶地下水水力联系紧密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widowControl/>
              <w:jc w:val="center"/>
              <w:rPr>
                <w:rFonts w:ascii="Times New Roman" w:hAnsi="Times New Roman"/>
                <w:kern w:val="0"/>
                <w:sz w:val="18"/>
                <w:szCs w:val="18"/>
              </w:rPr>
            </w:pPr>
            <w:r>
              <w:rPr>
                <w:rFonts w:ascii="Times New Roman" w:hAnsi="Times New Roman"/>
                <w:kern w:val="0"/>
                <w:sz w:val="18"/>
                <w:szCs w:val="18"/>
              </w:rPr>
              <w:t>4</w:t>
            </w:r>
          </w:p>
        </w:tc>
        <w:tc>
          <w:tcPr>
            <w:tcW w:w="1208" w:type="pct"/>
            <w:vAlign w:val="center"/>
          </w:tcPr>
          <w:p>
            <w:pPr>
              <w:widowControl/>
              <w:jc w:val="center"/>
              <w:rPr>
                <w:rFonts w:ascii="Times New Roman" w:hAnsi="Times New Roman"/>
                <w:kern w:val="0"/>
                <w:sz w:val="18"/>
                <w:szCs w:val="18"/>
              </w:rPr>
            </w:pPr>
            <w:r>
              <w:rPr>
                <w:rFonts w:ascii="Times New Roman" w:hAnsi="Times New Roman"/>
                <w:kern w:val="0"/>
                <w:sz w:val="18"/>
                <w:szCs w:val="18"/>
              </w:rPr>
              <w:t>岩溶地下水位</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从基岩面以上降到基岩面以下。</w:t>
            </w:r>
          </w:p>
        </w:tc>
        <w:tc>
          <w:tcPr>
            <w:tcW w:w="1660" w:type="pct"/>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widowControl/>
              <w:jc w:val="center"/>
              <w:rPr>
                <w:rFonts w:ascii="Times New Roman" w:hAnsi="Times New Roman"/>
                <w:kern w:val="0"/>
                <w:sz w:val="18"/>
                <w:szCs w:val="18"/>
              </w:rPr>
            </w:pPr>
            <w:r>
              <w:rPr>
                <w:rFonts w:ascii="Times New Roman" w:hAnsi="Times New Roman"/>
                <w:kern w:val="0"/>
                <w:sz w:val="18"/>
                <w:szCs w:val="18"/>
              </w:rPr>
              <w:t>5</w:t>
            </w:r>
          </w:p>
        </w:tc>
        <w:tc>
          <w:tcPr>
            <w:tcW w:w="1208" w:type="pct"/>
            <w:vAlign w:val="center"/>
          </w:tcPr>
          <w:p>
            <w:pPr>
              <w:widowControl/>
              <w:jc w:val="center"/>
              <w:rPr>
                <w:rFonts w:ascii="Times New Roman" w:hAnsi="Times New Roman"/>
                <w:kern w:val="0"/>
                <w:sz w:val="18"/>
                <w:szCs w:val="18"/>
              </w:rPr>
            </w:pPr>
            <w:r>
              <w:rPr>
                <w:rFonts w:ascii="Times New Roman" w:hAnsi="Times New Roman"/>
                <w:kern w:val="0"/>
                <w:sz w:val="18"/>
                <w:szCs w:val="18"/>
              </w:rPr>
              <w:t>降雨量</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日降雨量大于年平均降雨量的四分之一～三分之一</w:t>
            </w:r>
          </w:p>
        </w:tc>
        <w:tc>
          <w:tcPr>
            <w:tcW w:w="1660" w:type="pct"/>
            <w:vAlign w:val="center"/>
          </w:tcPr>
          <w:p>
            <w:pPr>
              <w:jc w:val="center"/>
              <w:rPr>
                <w:rFonts w:ascii="Times New Roman" w:hAnsi="Times New Roman"/>
                <w:kern w:val="0"/>
                <w:sz w:val="18"/>
                <w:szCs w:val="18"/>
              </w:rPr>
            </w:pPr>
            <w:r>
              <w:rPr>
                <w:rFonts w:ascii="Times New Roman" w:hAnsi="Times New Roman"/>
                <w:kern w:val="0"/>
                <w:sz w:val="18"/>
                <w:szCs w:val="18"/>
              </w:rPr>
              <w:t>极端气候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widowControl/>
              <w:jc w:val="center"/>
              <w:rPr>
                <w:rFonts w:ascii="Times New Roman" w:hAnsi="Times New Roman"/>
                <w:kern w:val="0"/>
                <w:sz w:val="18"/>
                <w:szCs w:val="18"/>
              </w:rPr>
            </w:pPr>
            <w:r>
              <w:rPr>
                <w:rFonts w:ascii="Times New Roman" w:hAnsi="Times New Roman"/>
                <w:kern w:val="0"/>
                <w:sz w:val="18"/>
                <w:szCs w:val="18"/>
              </w:rPr>
              <w:t>6</w:t>
            </w:r>
          </w:p>
        </w:tc>
        <w:tc>
          <w:tcPr>
            <w:tcW w:w="1208" w:type="pct"/>
            <w:vAlign w:val="center"/>
          </w:tcPr>
          <w:p>
            <w:pPr>
              <w:widowControl/>
              <w:jc w:val="center"/>
              <w:rPr>
                <w:rFonts w:ascii="Times New Roman" w:hAnsi="Times New Roman"/>
                <w:kern w:val="0"/>
                <w:sz w:val="18"/>
                <w:szCs w:val="18"/>
              </w:rPr>
            </w:pPr>
            <w:r>
              <w:rPr>
                <w:rFonts w:ascii="Times New Roman" w:hAnsi="Times New Roman"/>
                <w:kern w:val="0"/>
                <w:sz w:val="18"/>
                <w:szCs w:val="18"/>
              </w:rPr>
              <w:t>地震或震动</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有明显沉降变形现象</w:t>
            </w:r>
          </w:p>
        </w:tc>
        <w:tc>
          <w:tcPr>
            <w:tcW w:w="1660" w:type="pct"/>
            <w:vAlign w:val="center"/>
          </w:tcPr>
          <w:p>
            <w:pPr>
              <w:jc w:val="center"/>
              <w:rPr>
                <w:rFonts w:ascii="Times New Roman" w:hAnsi="Times New Roman"/>
                <w:kern w:val="0"/>
                <w:sz w:val="18"/>
                <w:szCs w:val="18"/>
              </w:rPr>
            </w:pPr>
            <w:r>
              <w:rPr>
                <w:rFonts w:ascii="Times New Roman" w:hAnsi="Times New Roman"/>
                <w:kern w:val="0"/>
                <w:sz w:val="18"/>
                <w:szCs w:val="18"/>
              </w:rPr>
              <w:t>有震感地区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jc w:val="center"/>
              <w:rPr>
                <w:rFonts w:ascii="Times New Roman" w:hAnsi="Times New Roman"/>
                <w:kern w:val="0"/>
                <w:sz w:val="18"/>
                <w:szCs w:val="18"/>
              </w:rPr>
            </w:pPr>
            <w:r>
              <w:rPr>
                <w:rFonts w:ascii="Times New Roman" w:hAnsi="Times New Roman"/>
                <w:kern w:val="0"/>
                <w:sz w:val="18"/>
                <w:szCs w:val="18"/>
              </w:rPr>
              <w:t>7</w:t>
            </w:r>
          </w:p>
        </w:tc>
        <w:tc>
          <w:tcPr>
            <w:tcW w:w="1208" w:type="pct"/>
            <w:vAlign w:val="center"/>
          </w:tcPr>
          <w:p>
            <w:pPr>
              <w:jc w:val="center"/>
              <w:rPr>
                <w:rFonts w:ascii="Times New Roman" w:hAnsi="Times New Roman"/>
                <w:kern w:val="0"/>
                <w:sz w:val="18"/>
                <w:szCs w:val="18"/>
              </w:rPr>
            </w:pPr>
            <w:r>
              <w:rPr>
                <w:rFonts w:ascii="Times New Roman" w:hAnsi="Times New Roman"/>
                <w:kern w:val="0"/>
                <w:sz w:val="18"/>
                <w:szCs w:val="18"/>
              </w:rPr>
              <w:t>地质雷达指标</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土洞或扰动异常</w:t>
            </w:r>
          </w:p>
        </w:tc>
        <w:tc>
          <w:tcPr>
            <w:tcW w:w="1660" w:type="pct"/>
            <w:vAlign w:val="center"/>
          </w:tcPr>
          <w:p>
            <w:pPr>
              <w:jc w:val="center"/>
              <w:rPr>
                <w:rFonts w:ascii="Times New Roman" w:hAnsi="Times New Roman"/>
                <w:kern w:val="0"/>
                <w:sz w:val="18"/>
                <w:szCs w:val="18"/>
              </w:rPr>
            </w:pPr>
            <w:r>
              <w:rPr>
                <w:rFonts w:ascii="Times New Roman" w:hAnsi="Times New Roman"/>
                <w:kern w:val="0"/>
                <w:sz w:val="18"/>
                <w:szCs w:val="18"/>
              </w:rPr>
              <w:t>地下水位以上土层，土层厚度少于</w:t>
            </w:r>
          </w:p>
          <w:p>
            <w:pPr>
              <w:jc w:val="center"/>
              <w:rPr>
                <w:rFonts w:ascii="Times New Roman" w:hAnsi="Times New Roman"/>
                <w:kern w:val="0"/>
                <w:sz w:val="18"/>
                <w:szCs w:val="18"/>
              </w:rPr>
            </w:pPr>
            <w:r>
              <w:rPr>
                <w:rFonts w:ascii="Times New Roman" w:hAnsi="Times New Roman"/>
                <w:kern w:val="0"/>
                <w:sz w:val="18"/>
                <w:szCs w:val="18"/>
              </w:rPr>
              <w:t>10 m，土层含水量越低效果越好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widowControl/>
              <w:jc w:val="center"/>
              <w:rPr>
                <w:rFonts w:ascii="Times New Roman" w:hAnsi="Times New Roman"/>
                <w:kern w:val="0"/>
                <w:sz w:val="18"/>
                <w:szCs w:val="18"/>
              </w:rPr>
            </w:pPr>
            <w:r>
              <w:rPr>
                <w:rFonts w:ascii="Times New Roman" w:hAnsi="Times New Roman"/>
                <w:kern w:val="0"/>
                <w:sz w:val="18"/>
                <w:szCs w:val="18"/>
              </w:rPr>
              <w:t>8</w:t>
            </w:r>
          </w:p>
        </w:tc>
        <w:tc>
          <w:tcPr>
            <w:tcW w:w="1208" w:type="pct"/>
            <w:vAlign w:val="center"/>
          </w:tcPr>
          <w:p>
            <w:pPr>
              <w:widowControl/>
              <w:jc w:val="center"/>
              <w:rPr>
                <w:rFonts w:ascii="Times New Roman" w:hAnsi="Times New Roman"/>
                <w:kern w:val="0"/>
                <w:sz w:val="18"/>
                <w:szCs w:val="18"/>
              </w:rPr>
            </w:pPr>
            <w:r>
              <w:rPr>
                <w:rFonts w:ascii="Times New Roman" w:hAnsi="Times New Roman"/>
                <w:kern w:val="0"/>
                <w:sz w:val="18"/>
                <w:szCs w:val="18"/>
              </w:rPr>
              <w:t>沉降变形、裂缝变形</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变化增大</w:t>
            </w:r>
          </w:p>
        </w:tc>
        <w:tc>
          <w:tcPr>
            <w:tcW w:w="1660" w:type="pct"/>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widowControl/>
              <w:jc w:val="center"/>
              <w:rPr>
                <w:rFonts w:ascii="Times New Roman" w:hAnsi="Times New Roman"/>
                <w:kern w:val="0"/>
                <w:sz w:val="18"/>
                <w:szCs w:val="18"/>
              </w:rPr>
            </w:pPr>
            <w:r>
              <w:rPr>
                <w:rFonts w:ascii="Times New Roman" w:hAnsi="Times New Roman"/>
                <w:kern w:val="0"/>
                <w:sz w:val="18"/>
                <w:szCs w:val="18"/>
              </w:rPr>
              <w:t>9</w:t>
            </w:r>
          </w:p>
        </w:tc>
        <w:tc>
          <w:tcPr>
            <w:tcW w:w="1208" w:type="pct"/>
            <w:vAlign w:val="center"/>
          </w:tcPr>
          <w:p>
            <w:pPr>
              <w:widowControl/>
              <w:jc w:val="center"/>
              <w:rPr>
                <w:rFonts w:ascii="Times New Roman" w:hAnsi="Times New Roman"/>
                <w:kern w:val="0"/>
                <w:sz w:val="18"/>
                <w:szCs w:val="18"/>
              </w:rPr>
            </w:pPr>
            <w:r>
              <w:rPr>
                <w:rFonts w:ascii="Times New Roman" w:hAnsi="Times New Roman"/>
                <w:kern w:val="0"/>
                <w:sz w:val="18"/>
                <w:szCs w:val="18"/>
              </w:rPr>
              <w:t>地下水含沙量</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增大</w:t>
            </w:r>
          </w:p>
        </w:tc>
        <w:tc>
          <w:tcPr>
            <w:tcW w:w="1660" w:type="pct"/>
            <w:vAlign w:val="center"/>
          </w:tcPr>
          <w:p>
            <w:pPr>
              <w:jc w:val="center"/>
              <w:rPr>
                <w:rFonts w:ascii="Times New Roman" w:hAnsi="Times New Roman"/>
                <w:kern w:val="0"/>
                <w:sz w:val="18"/>
                <w:szCs w:val="18"/>
              </w:rPr>
            </w:pPr>
            <w:r>
              <w:rPr>
                <w:rFonts w:ascii="Times New Roman" w:hAnsi="Times New Roman"/>
                <w:kern w:val="0"/>
                <w:sz w:val="18"/>
                <w:szCs w:val="18"/>
              </w:rPr>
              <w:t>可取地下水样区域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jc w:val="center"/>
        </w:trPr>
        <w:tc>
          <w:tcPr>
            <w:tcW w:w="353" w:type="pct"/>
            <w:vAlign w:val="center"/>
          </w:tcPr>
          <w:p>
            <w:pPr>
              <w:jc w:val="center"/>
              <w:rPr>
                <w:rFonts w:ascii="Times New Roman" w:hAnsi="Times New Roman"/>
                <w:kern w:val="0"/>
                <w:sz w:val="18"/>
                <w:szCs w:val="18"/>
              </w:rPr>
            </w:pPr>
            <w:r>
              <w:rPr>
                <w:rFonts w:ascii="Times New Roman" w:hAnsi="Times New Roman"/>
                <w:kern w:val="0"/>
                <w:sz w:val="18"/>
                <w:szCs w:val="18"/>
              </w:rPr>
              <w:t>10</w:t>
            </w:r>
          </w:p>
        </w:tc>
        <w:tc>
          <w:tcPr>
            <w:tcW w:w="1208" w:type="pct"/>
            <w:vAlign w:val="center"/>
          </w:tcPr>
          <w:p>
            <w:pPr>
              <w:jc w:val="center"/>
              <w:rPr>
                <w:rFonts w:ascii="Times New Roman" w:hAnsi="Times New Roman"/>
                <w:kern w:val="0"/>
                <w:sz w:val="18"/>
                <w:szCs w:val="18"/>
              </w:rPr>
            </w:pPr>
            <w:r>
              <w:rPr>
                <w:rFonts w:ascii="Times New Roman" w:hAnsi="Times New Roman"/>
                <w:kern w:val="0"/>
                <w:sz w:val="18"/>
                <w:szCs w:val="18"/>
              </w:rPr>
              <w:t>新塌陷坑形成</w:t>
            </w:r>
          </w:p>
        </w:tc>
        <w:tc>
          <w:tcPr>
            <w:tcW w:w="1779" w:type="pct"/>
            <w:vAlign w:val="center"/>
          </w:tcPr>
          <w:p>
            <w:pPr>
              <w:jc w:val="center"/>
              <w:rPr>
                <w:rFonts w:ascii="Times New Roman" w:hAnsi="Times New Roman"/>
                <w:kern w:val="0"/>
                <w:sz w:val="18"/>
                <w:szCs w:val="18"/>
              </w:rPr>
            </w:pPr>
            <w:r>
              <w:rPr>
                <w:rFonts w:ascii="Times New Roman" w:hAnsi="Times New Roman"/>
                <w:kern w:val="0"/>
                <w:sz w:val="18"/>
                <w:szCs w:val="18"/>
              </w:rPr>
              <w:t>数量增加</w:t>
            </w:r>
          </w:p>
        </w:tc>
        <w:tc>
          <w:tcPr>
            <w:tcW w:w="1660" w:type="pct"/>
            <w:vAlign w:val="center"/>
          </w:tcPr>
          <w:p>
            <w:pPr>
              <w:jc w:val="center"/>
              <w:rPr>
                <w:rFonts w:ascii="Times New Roman" w:hAnsi="Times New Roman"/>
                <w:kern w:val="0"/>
                <w:sz w:val="18"/>
                <w:szCs w:val="18"/>
              </w:rPr>
            </w:pPr>
          </w:p>
        </w:tc>
      </w:tr>
    </w:tbl>
    <w:p/>
    <w:p>
      <w:pPr>
        <w:pStyle w:val="6"/>
        <w:spacing w:before="120" w:after="120"/>
      </w:pPr>
      <w:r>
        <w:rPr>
          <w:rFonts w:hint="eastAsia"/>
        </w:rPr>
        <w:t>9</w:t>
      </w:r>
      <w:r>
        <w:t>.3.4.5.</w:t>
      </w:r>
      <w:r>
        <w:rPr>
          <w:rFonts w:hint="eastAsia"/>
        </w:rPr>
        <w:t>2  预测方法</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ascii="宋体" w:hAnsi="宋体"/>
          <w:kern w:val="0"/>
          <w:szCs w:val="21"/>
        </w:rPr>
        <w:t>地面塌陷的预测方法概括有地质方法和数学物理方法两大类</w:t>
      </w:r>
      <w:r>
        <w:rPr>
          <w:rFonts w:hint="eastAsia" w:ascii="宋体" w:hAnsi="宋体"/>
          <w:kern w:val="0"/>
          <w:szCs w:val="21"/>
        </w:rPr>
        <w:t>，</w:t>
      </w:r>
      <w:r>
        <w:rPr>
          <w:rFonts w:ascii="宋体" w:hAnsi="宋体"/>
          <w:kern w:val="0"/>
          <w:szCs w:val="21"/>
        </w:rPr>
        <w:t>即综合地质预测模型和数学物理预测模型</w:t>
      </w:r>
      <w:r>
        <w:rPr>
          <w:rFonts w:hint="eastAsia" w:ascii="宋体" w:hAnsi="宋体"/>
          <w:kern w:val="0"/>
          <w:szCs w:val="21"/>
        </w:rPr>
        <w:t>（又分为确定性和不确定性两种预测模型）。</w:t>
      </w:r>
    </w:p>
    <w:p>
      <w:pPr>
        <w:pStyle w:val="6"/>
        <w:spacing w:before="120" w:after="120"/>
      </w:pPr>
      <w:r>
        <w:rPr>
          <w:rFonts w:hint="eastAsia"/>
        </w:rPr>
        <w:t>9</w:t>
      </w:r>
      <w:r>
        <w:t>.3.4.5.</w:t>
      </w:r>
      <w:r>
        <w:rPr>
          <w:rFonts w:hint="eastAsia"/>
        </w:rPr>
        <w:t>3  预警等级</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ascii="宋体" w:hAnsi="宋体"/>
          <w:kern w:val="0"/>
          <w:szCs w:val="21"/>
        </w:rPr>
        <w:t>地面塌陷预警分为两个等级，即警戒级（黄色预警）与警报级（红色预警）。</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a)</w:t>
      </w:r>
      <w:r>
        <w:rPr>
          <w:rFonts w:hint="eastAsia" w:ascii="宋体" w:hAnsi="宋体"/>
          <w:kern w:val="0"/>
          <w:szCs w:val="21"/>
        </w:rPr>
        <w:t xml:space="preserve">  </w:t>
      </w:r>
      <w:r>
        <w:rPr>
          <w:rFonts w:ascii="宋体" w:hAnsi="宋体"/>
          <w:kern w:val="0"/>
          <w:szCs w:val="21"/>
        </w:rPr>
        <w:t>警戒级：当地下空洞区上覆盖层岩土体出现变形失稳迹象时，即为警戒级。</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 xml:space="preserve">b) </w:t>
      </w:r>
      <w:r>
        <w:rPr>
          <w:rFonts w:hint="eastAsia" w:ascii="宋体" w:hAnsi="宋体"/>
          <w:kern w:val="0"/>
          <w:szCs w:val="21"/>
        </w:rPr>
        <w:t xml:space="preserve"> </w:t>
      </w:r>
      <w:r>
        <w:rPr>
          <w:rFonts w:ascii="宋体" w:hAnsi="宋体"/>
          <w:kern w:val="0"/>
          <w:szCs w:val="21"/>
        </w:rPr>
        <w:t>警报级：当发现或判别形变、坍塌有明显加剧趋势，即进入警报级。</w:t>
      </w:r>
    </w:p>
    <w:p>
      <w:pPr>
        <w:pStyle w:val="5"/>
        <w:spacing w:before="120" w:after="120"/>
      </w:pPr>
      <w:r>
        <w:rPr>
          <w:rFonts w:hint="eastAsia"/>
        </w:rPr>
        <w:t>9.3.4.6</w:t>
      </w:r>
      <w:r>
        <w:rPr>
          <w:rFonts w:hint="eastAsia" w:ascii="Times New Roman"/>
        </w:rPr>
        <w:t xml:space="preserve">  </w:t>
      </w:r>
      <w:r>
        <w:rPr>
          <w:rFonts w:hint="eastAsia"/>
        </w:rPr>
        <w:t>预警阈值的确定</w:t>
      </w:r>
    </w:p>
    <w:p>
      <w:pPr>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地质灾害隐患点在实际监测过程中，由于监测人不可能对数据进行实时分析，故在监测时需对各监测设备设置报警阈值，当监测数据达到或超出预警阈值时，自动启动超阈值提醒功能，通过手</w:t>
      </w:r>
      <w:r>
        <w:rPr>
          <w:rFonts w:ascii="Times New Roman" w:hAnsi="Times New Roman"/>
          <w:kern w:val="0"/>
          <w:szCs w:val="21"/>
        </w:rPr>
        <w:t>机APP</w:t>
      </w:r>
      <w:r>
        <w:rPr>
          <w:rFonts w:hint="eastAsia" w:ascii="宋体" w:hAnsi="宋体"/>
          <w:kern w:val="0"/>
          <w:szCs w:val="21"/>
        </w:rPr>
        <w:t>短消</w:t>
      </w:r>
      <w:r>
        <w:rPr>
          <w:rFonts w:ascii="Times New Roman" w:hAnsi="Times New Roman"/>
          <w:kern w:val="0"/>
          <w:szCs w:val="21"/>
        </w:rPr>
        <w:t>息、手</w:t>
      </w:r>
      <w:r>
        <w:rPr>
          <w:rFonts w:hint="eastAsia" w:ascii="宋体" w:hAnsi="宋体"/>
          <w:kern w:val="0"/>
          <w:szCs w:val="21"/>
        </w:rPr>
        <w:t>机短信、电话等方式通知监测相关人员。</w:t>
      </w:r>
    </w:p>
    <w:p>
      <w:pPr>
        <w:widowControl/>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 xml:space="preserve">a) </w:t>
      </w:r>
      <w:r>
        <w:rPr>
          <w:rFonts w:hint="eastAsia" w:ascii="宋体" w:hAnsi="宋体"/>
          <w:kern w:val="0"/>
          <w:szCs w:val="21"/>
        </w:rPr>
        <w:t xml:space="preserve"> 监测设计单位在对隐患点进行专业监测设计时，应根据隐患点的基本特征、所处地质环境条件及变形阶段设置监测预警的初始阈值。</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 xml:space="preserve">b) </w:t>
      </w:r>
      <w:r>
        <w:rPr>
          <w:rFonts w:hint="eastAsia" w:ascii="宋体" w:hAnsi="宋体"/>
          <w:kern w:val="0"/>
          <w:szCs w:val="21"/>
        </w:rPr>
        <w:t xml:space="preserve"> 监测运行过程中，监测单位应根据实际监测数据分析对预警阈值进行优化调整。一般情况下，监测一个水文年后需提交优化调整后的预警阈值。若遇特殊情况，隐患点在一个水文年内无变化或变形不大，预警阈值的确定可适当延长一个水文年。</w:t>
      </w:r>
    </w:p>
    <w:p>
      <w:pPr>
        <w:pStyle w:val="5"/>
        <w:spacing w:before="120" w:after="120"/>
      </w:pPr>
      <w:r>
        <w:rPr>
          <w:rFonts w:hint="eastAsia"/>
        </w:rPr>
        <w:t>9.3.4.7</w:t>
      </w:r>
      <w:r>
        <w:rPr>
          <w:rFonts w:hint="eastAsia" w:ascii="Times New Roman"/>
        </w:rPr>
        <w:t xml:space="preserve">  </w:t>
      </w:r>
      <w:r>
        <w:rPr>
          <w:rFonts w:hint="eastAsia"/>
        </w:rPr>
        <w:t>预警预报</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a)  建立专家会商机制。前述各隐患点监测预警指标可作为各隐患点综合预测预报的依据，但真正预警信息的发布必须经过专家组的会商。</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b)  监测设备发出监测预警后，专业监测单位应根据监测分析及现场巡查，及时判断隐患点当前所处的变形阶段，凡进入预警级别的，应及时编制《</w:t>
      </w:r>
      <w:r>
        <w:rPr>
          <w:rFonts w:hint="eastAsia" w:ascii="Times New Roman" w:hAnsi="Times New Roman"/>
          <w:kern w:val="0"/>
          <w:szCs w:val="21"/>
        </w:rPr>
        <w:t>**</w:t>
      </w:r>
      <w:r>
        <w:rPr>
          <w:rFonts w:ascii="Times New Roman" w:hAnsi="Times New Roman"/>
          <w:kern w:val="0"/>
          <w:szCs w:val="21"/>
        </w:rPr>
        <w:t>隐患点进入</w:t>
      </w:r>
      <w:r>
        <w:rPr>
          <w:rFonts w:hint="eastAsia" w:ascii="Times New Roman" w:hAnsi="Times New Roman"/>
          <w:kern w:val="0"/>
          <w:szCs w:val="21"/>
        </w:rPr>
        <w:t>*</w:t>
      </w:r>
      <w:r>
        <w:rPr>
          <w:rFonts w:ascii="Times New Roman" w:hAnsi="Times New Roman"/>
          <w:kern w:val="0"/>
          <w:szCs w:val="21"/>
        </w:rPr>
        <w:t>色预警阶段的报告》上报。</w:t>
      </w:r>
    </w:p>
    <w:p>
      <w:pPr>
        <w:widowControl/>
        <w:tabs>
          <w:tab w:val="center" w:pos="4201"/>
          <w:tab w:val="right" w:leader="dot" w:pos="9298"/>
        </w:tabs>
        <w:autoSpaceDE w:val="0"/>
        <w:autoSpaceDN w:val="0"/>
        <w:spacing w:line="360" w:lineRule="auto"/>
        <w:ind w:left="840" w:leftChars="200" w:hanging="420" w:hangingChars="200"/>
        <w:rPr>
          <w:rFonts w:ascii="Times New Roman" w:hAnsi="Times New Roman"/>
          <w:kern w:val="0"/>
          <w:szCs w:val="21"/>
        </w:rPr>
      </w:pPr>
      <w:r>
        <w:rPr>
          <w:rFonts w:ascii="Times New Roman" w:hAnsi="Times New Roman"/>
          <w:kern w:val="0"/>
          <w:szCs w:val="21"/>
        </w:rPr>
        <w:t>c)  监测预警主管部门需召开联席会商会议。首先进行专家组技术会商。技术会商后，专家组立即提交《</w:t>
      </w:r>
      <w:r>
        <w:rPr>
          <w:rFonts w:hint="eastAsia" w:ascii="Times New Roman" w:hAnsi="Times New Roman"/>
          <w:kern w:val="0"/>
          <w:szCs w:val="21"/>
        </w:rPr>
        <w:t>**</w:t>
      </w:r>
      <w:r>
        <w:rPr>
          <w:rFonts w:ascii="Times New Roman" w:hAnsi="Times New Roman"/>
          <w:kern w:val="0"/>
          <w:szCs w:val="21"/>
        </w:rPr>
        <w:t>隐患点监测预警技术会商专家组意见》，对是否进入黄色、橙色或红色预警进行技术认定并提出相应的专家组建议。在专家组意见的基础上，联席会议进行预警行政会商，形成预警行政会商会议纪要，批准后实施，发布相应的预警预报信息。</w:t>
      </w:r>
    </w:p>
    <w:p>
      <w:pPr>
        <w:widowControl/>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 xml:space="preserve">d)  </w:t>
      </w:r>
      <w:r>
        <w:rPr>
          <w:rFonts w:hint="eastAsia" w:ascii="宋体" w:hAnsi="宋体"/>
          <w:kern w:val="0"/>
          <w:szCs w:val="21"/>
        </w:rPr>
        <w:t>属于特大型的，专家会商应专门提出，需报上级主管部门。</w:t>
      </w:r>
    </w:p>
    <w:p>
      <w:pPr>
        <w:pStyle w:val="5"/>
        <w:spacing w:before="120" w:after="120"/>
      </w:pPr>
      <w:r>
        <w:rPr>
          <w:rFonts w:hint="eastAsia"/>
        </w:rPr>
        <w:t>9.3.4.8</w:t>
      </w:r>
      <w:r>
        <w:rPr>
          <w:rFonts w:hint="eastAsia" w:ascii="Times New Roman"/>
        </w:rPr>
        <w:t xml:space="preserve">  </w:t>
      </w:r>
      <w:r>
        <w:rPr>
          <w:rFonts w:hint="eastAsia"/>
        </w:rPr>
        <w:t>预警级别的降低和预警警报的解除</w:t>
      </w:r>
    </w:p>
    <w:p>
      <w:pPr>
        <w:pStyle w:val="6"/>
        <w:spacing w:before="120" w:after="120"/>
      </w:pPr>
      <w:r>
        <w:rPr>
          <w:rFonts w:hint="eastAsia"/>
        </w:rPr>
        <w:t>9.3.4.8.1  蓝色预警级别的降低</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蓝色预警的解除与预警级别的降低，专业监测单位应及时编制《XX隐患点调整预警级别的报告》报区县自然资源主管部门，区县自然资源主管部门认定后上报省市自然资源主管部门。</w:t>
      </w:r>
    </w:p>
    <w:p>
      <w:pPr>
        <w:pStyle w:val="6"/>
        <w:spacing w:before="120" w:after="120"/>
      </w:pPr>
      <w:r>
        <w:rPr>
          <w:rFonts w:hint="eastAsia"/>
        </w:rPr>
        <w:t>9</w:t>
      </w:r>
      <w:r>
        <w:t>.3.4.8.</w:t>
      </w:r>
      <w:r>
        <w:rPr>
          <w:rFonts w:hint="eastAsia"/>
        </w:rPr>
        <w:t>2</w:t>
      </w:r>
      <w:r>
        <w:t xml:space="preserve">  </w:t>
      </w:r>
      <w:r>
        <w:rPr>
          <w:rFonts w:hint="eastAsia"/>
        </w:rPr>
        <w:t>黄色预警、橙色预警、红色预警级别的降低和预警警报的解除</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黄色预警、橙色预警、红色预警级别的降低，由专业监测单位提出调整预警级别的报告后，应进行专家组技术会商认定，联席会议会商形成纪要后，由省市自然资源主管部门批准。预警警报的解除和预警期的终止，按《中华人民共和国突发事件应对法》的有关规定(第四十七条)执行。</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橙色预警级别的降低。由于种种原因，该崩滑体变形趋缓，则在进行会商认定后，可以降低预警等级，解除橙色预警。</w:t>
      </w:r>
    </w:p>
    <w:p>
      <w:pPr>
        <w:tabs>
          <w:tab w:val="center" w:pos="4201"/>
          <w:tab w:val="right" w:leader="dot" w:pos="9298"/>
        </w:tabs>
        <w:autoSpaceDE w:val="0"/>
        <w:autoSpaceDN w:val="0"/>
        <w:spacing w:line="360" w:lineRule="auto"/>
        <w:ind w:firstLine="420" w:firstLineChars="200"/>
        <w:jc w:val="left"/>
        <w:rPr>
          <w:rFonts w:ascii="宋体" w:hAnsi="Times New Roman"/>
          <w:kern w:val="0"/>
          <w:szCs w:val="21"/>
        </w:rPr>
      </w:pPr>
      <w:r>
        <w:rPr>
          <w:rFonts w:hint="eastAsia" w:ascii="Times New Roman" w:hAnsi="宋体"/>
          <w:szCs w:val="21"/>
        </w:rPr>
        <w:t>红色预警级别的降低。分两种情况。第一，在崩滑体已大规模下滑、抢险救灾完成，突发灾害过程已经结束或已得到有效控制。第二，由于种种原因，该崩滑体没有整体下滑成灾，变形趋于缓和，监测表明其整体下滑成灾的险情当前已较大幅度降低。则在进行会商认定后，可以降低预警等级。</w:t>
      </w:r>
    </w:p>
    <w:p>
      <w:pPr>
        <w:pStyle w:val="2"/>
        <w:spacing w:before="240" w:after="240"/>
      </w:pPr>
      <w:bookmarkStart w:id="110" w:name="_Toc33177708"/>
      <w:bookmarkStart w:id="111" w:name="_Toc21966378"/>
      <w:r>
        <w:rPr>
          <w:rFonts w:hint="eastAsia"/>
        </w:rPr>
        <w:t>10</w:t>
      </w:r>
      <w:r>
        <w:rPr>
          <w:rFonts w:hint="eastAsia" w:eastAsia="仿宋"/>
          <w:sz w:val="28"/>
          <w:szCs w:val="28"/>
        </w:rPr>
        <w:t xml:space="preserve">  </w:t>
      </w:r>
      <w:r>
        <w:rPr>
          <w:rFonts w:hint="eastAsia"/>
        </w:rPr>
        <w:t>监测成果编制与提交</w:t>
      </w:r>
      <w:bookmarkEnd w:id="110"/>
      <w:bookmarkEnd w:id="111"/>
    </w:p>
    <w:p>
      <w:pPr>
        <w:pStyle w:val="3"/>
        <w:spacing w:before="120" w:after="120"/>
      </w:pPr>
      <w:bookmarkStart w:id="112" w:name="_Toc534577755"/>
      <w:bookmarkStart w:id="113" w:name="_Toc21966379"/>
      <w:bookmarkStart w:id="114" w:name="_Toc33177709"/>
      <w:r>
        <w:rPr>
          <w:rFonts w:hint="eastAsia"/>
        </w:rPr>
        <w:t>10.1</w:t>
      </w:r>
      <w:r>
        <w:rPr>
          <w:rFonts w:hint="eastAsia"/>
          <w:sz w:val="28"/>
          <w:szCs w:val="28"/>
        </w:rPr>
        <w:t xml:space="preserve">  </w:t>
      </w:r>
      <w:r>
        <w:rPr>
          <w:rFonts w:hint="eastAsia"/>
        </w:rPr>
        <w:t>监测成果提交</w:t>
      </w:r>
      <w:bookmarkEnd w:id="112"/>
      <w:bookmarkEnd w:id="113"/>
      <w:bookmarkEnd w:id="114"/>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10.1.1</w:t>
      </w:r>
      <w:r>
        <w:rPr>
          <w:rFonts w:hint="eastAsia" w:ascii="宋体" w:hAnsi="宋体"/>
          <w:kern w:val="0"/>
          <w:szCs w:val="21"/>
        </w:rPr>
        <w:t xml:space="preserve">  湖北省地质灾害专业监测成果提交应符合业主或相关主管部门的要求。</w:t>
      </w:r>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10.1.2</w:t>
      </w:r>
      <w:r>
        <w:rPr>
          <w:rFonts w:hint="eastAsia" w:ascii="宋体" w:hAnsi="宋体"/>
          <w:kern w:val="0"/>
          <w:szCs w:val="21"/>
        </w:rPr>
        <w:t xml:space="preserve">  专业监测运行期间，监测单位须提供监测简报，同时须提交电子版和纸质版监测报表（旬、月、季、年、专报），报表中应包含明确、可靠的监测阶段性结论，监测报表提纲见</w:t>
      </w:r>
      <w:r>
        <w:rPr>
          <w:rFonts w:ascii="Times New Roman" w:hAnsi="Times New Roman"/>
          <w:kern w:val="0"/>
          <w:szCs w:val="21"/>
        </w:rPr>
        <w:t>附录O。</w:t>
      </w:r>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10.1.3</w:t>
      </w:r>
      <w:r>
        <w:rPr>
          <w:rFonts w:hint="eastAsia" w:ascii="宋体" w:hAnsi="宋体"/>
          <w:kern w:val="0"/>
          <w:szCs w:val="21"/>
        </w:rPr>
        <w:t xml:space="preserve">  监测单位须提交监测总结报告，</w:t>
      </w:r>
      <w:r>
        <w:rPr>
          <w:rFonts w:ascii="宋体" w:hAnsi="宋体"/>
          <w:kern w:val="0"/>
          <w:szCs w:val="21"/>
        </w:rPr>
        <w:t>并完成监测项目的资料归档。</w:t>
      </w:r>
      <w:r>
        <w:rPr>
          <w:rFonts w:hint="eastAsia" w:ascii="宋体" w:hAnsi="宋体"/>
          <w:kern w:val="0"/>
          <w:szCs w:val="21"/>
        </w:rPr>
        <w:t>总结报告中应包含明确、可靠的监测结论以及下一步防治工作建议，其提纲见附</w:t>
      </w:r>
      <w:r>
        <w:rPr>
          <w:rFonts w:ascii="Times New Roman" w:hAnsi="Times New Roman"/>
          <w:kern w:val="0"/>
          <w:szCs w:val="21"/>
        </w:rPr>
        <w:t>录P。</w:t>
      </w:r>
    </w:p>
    <w:p>
      <w:pPr>
        <w:pStyle w:val="3"/>
        <w:spacing w:before="120" w:after="120"/>
      </w:pPr>
      <w:bookmarkStart w:id="115" w:name="_Toc21966380"/>
      <w:bookmarkStart w:id="116" w:name="_Toc534577756"/>
      <w:bookmarkStart w:id="117" w:name="_Toc33177710"/>
      <w:r>
        <w:rPr>
          <w:rFonts w:hint="eastAsia"/>
        </w:rPr>
        <w:t>10.2  监测成果归档</w:t>
      </w:r>
      <w:bookmarkEnd w:id="115"/>
      <w:bookmarkEnd w:id="116"/>
      <w:bookmarkEnd w:id="117"/>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10.2.1</w:t>
      </w:r>
      <w:r>
        <w:rPr>
          <w:rFonts w:hint="eastAsia" w:ascii="宋体" w:hAnsi="宋体"/>
          <w:kern w:val="0"/>
          <w:szCs w:val="21"/>
        </w:rPr>
        <w:t xml:space="preserve">  湖北省地质灾害专业监测成果归档参照《地质灾害防治项目文件整理归档实施细则》执行。归档文件包括纸质文件、电子文件、信息化成果文件，归档资料应完整、齐全，内容必须真实、准确。</w:t>
      </w:r>
    </w:p>
    <w:p>
      <w:pPr>
        <w:widowControl/>
        <w:tabs>
          <w:tab w:val="center" w:pos="4201"/>
          <w:tab w:val="right" w:leader="dot" w:pos="9298"/>
        </w:tabs>
        <w:autoSpaceDE w:val="0"/>
        <w:autoSpaceDN w:val="0"/>
        <w:spacing w:line="360" w:lineRule="auto"/>
        <w:rPr>
          <w:rFonts w:ascii="宋体" w:hAnsi="宋体"/>
          <w:kern w:val="0"/>
          <w:szCs w:val="21"/>
        </w:rPr>
      </w:pPr>
      <w:r>
        <w:rPr>
          <w:rFonts w:hint="eastAsia" w:ascii="黑体" w:hAnsi="黑体" w:eastAsia="黑体"/>
          <w:kern w:val="0"/>
          <w:szCs w:val="21"/>
        </w:rPr>
        <w:t>10.2.2</w:t>
      </w:r>
      <w:r>
        <w:rPr>
          <w:rFonts w:hint="eastAsia" w:ascii="宋体" w:hAnsi="宋体"/>
          <w:kern w:val="0"/>
          <w:szCs w:val="21"/>
        </w:rPr>
        <w:t xml:space="preserve">  专业监测归档资料主要包括：监测区地质环境资料等基础资料；监测施工监理及验收文件；监测设计书、外业原始资料、监测报表（旬、月、季、专报）、年度总结报告、专家会商意见；项目实施验收相关文件资料；监测项目资金相关文件等。</w:t>
      </w:r>
    </w:p>
    <w:p>
      <w:pPr>
        <w:tabs>
          <w:tab w:val="center" w:pos="4201"/>
          <w:tab w:val="right" w:leader="dot" w:pos="9298"/>
        </w:tabs>
        <w:autoSpaceDE w:val="0"/>
        <w:autoSpaceDN w:val="0"/>
        <w:spacing w:line="360" w:lineRule="auto"/>
        <w:rPr>
          <w:rFonts w:ascii="宋体" w:hAnsi="宋体"/>
          <w:kern w:val="0"/>
          <w:szCs w:val="21"/>
        </w:rPr>
      </w:pPr>
      <w:r>
        <w:rPr>
          <w:rFonts w:ascii="黑体" w:hAnsi="黑体" w:eastAsia="黑体"/>
          <w:kern w:val="0"/>
          <w:szCs w:val="21"/>
        </w:rPr>
        <w:t>10.2.3</w:t>
      </w:r>
      <w:r>
        <w:rPr>
          <w:rFonts w:hint="eastAsia" w:ascii="黑体" w:hAnsi="黑体" w:eastAsia="黑体"/>
          <w:kern w:val="0"/>
          <w:szCs w:val="21"/>
        </w:rPr>
        <w:t xml:space="preserve"> </w:t>
      </w:r>
      <w:r>
        <w:rPr>
          <w:rFonts w:hint="eastAsia" w:ascii="宋体" w:hAnsi="宋体"/>
          <w:kern w:val="0"/>
          <w:szCs w:val="21"/>
        </w:rPr>
        <w:t xml:space="preserve"> 专业监测工程文件归档范围和保管期限见附</w:t>
      </w:r>
      <w:r>
        <w:rPr>
          <w:rFonts w:ascii="Times New Roman" w:hAnsi="Times New Roman"/>
          <w:kern w:val="0"/>
          <w:szCs w:val="21"/>
        </w:rPr>
        <w:t>录Q。</w:t>
      </w:r>
    </w:p>
    <w:p>
      <w:pPr>
        <w:tabs>
          <w:tab w:val="center" w:pos="4201"/>
          <w:tab w:val="right" w:leader="dot" w:pos="9298"/>
        </w:tabs>
        <w:autoSpaceDE w:val="0"/>
        <w:autoSpaceDN w:val="0"/>
        <w:spacing w:line="360" w:lineRule="auto"/>
        <w:jc w:val="left"/>
        <w:rPr>
          <w:rFonts w:ascii="宋体" w:hAnsi="Times New Roman"/>
          <w:kern w:val="0"/>
          <w:szCs w:val="21"/>
        </w:rPr>
      </w:pPr>
      <w:r>
        <w:rPr>
          <w:rFonts w:ascii="黑体" w:hAnsi="黑体" w:eastAsia="黑体"/>
          <w:szCs w:val="21"/>
        </w:rPr>
        <w:t xml:space="preserve">10.2.4 </w:t>
      </w:r>
      <w:r>
        <w:rPr>
          <w:rFonts w:hint="eastAsia" w:ascii="Times New Roman" w:hAnsi="宋体"/>
          <w:szCs w:val="21"/>
        </w:rPr>
        <w:t xml:space="preserve"> 源电子文档、存档电子文档、信息化成果电子文档应分门别类进行整理归档，统一上传至湖北省地质环境综合信息平台。</w:t>
      </w: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bookmarkStart w:id="118" w:name="_Toc33177711"/>
      <w:bookmarkStart w:id="119" w:name="_Toc482203915"/>
      <w:bookmarkStart w:id="120" w:name="_Toc21966382"/>
      <w:bookmarkStart w:id="121" w:name="_Toc534577758"/>
      <w:bookmarkStart w:id="122" w:name="_Toc514316373"/>
      <w:r>
        <w:rPr>
          <w:rFonts w:ascii="黑体" w:hAnsi="黑体" w:eastAsia="黑体"/>
          <w:kern w:val="0"/>
          <w:szCs w:val="21"/>
        </w:rPr>
        <w:t xml:space="preserve">附  录  </w:t>
      </w:r>
      <w:r>
        <w:rPr>
          <w:rFonts w:hint="eastAsia" w:ascii="黑体" w:hAnsi="黑体" w:eastAsia="黑体"/>
          <w:kern w:val="0"/>
          <w:szCs w:val="21"/>
        </w:rPr>
        <w:t>A</w:t>
      </w: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r>
        <w:rPr>
          <w:rFonts w:ascii="黑体" w:hAnsi="黑体" w:eastAsia="黑体"/>
          <w:kern w:val="0"/>
          <w:szCs w:val="21"/>
        </w:rPr>
        <w:t>（资料性附录）</w:t>
      </w:r>
    </w:p>
    <w:p>
      <w:pPr>
        <w:keepNext/>
        <w:widowControl/>
        <w:shd w:val="clear" w:color="FFFFFF" w:fill="FFFFFF"/>
        <w:tabs>
          <w:tab w:val="left" w:pos="360"/>
          <w:tab w:val="left" w:pos="6405"/>
        </w:tabs>
        <w:jc w:val="center"/>
        <w:outlineLvl w:val="0"/>
        <w:rPr>
          <w:rFonts w:ascii="黑体" w:hAnsi="黑体" w:eastAsia="黑体"/>
          <w:bCs/>
          <w:kern w:val="44"/>
          <w:szCs w:val="21"/>
        </w:rPr>
      </w:pPr>
      <w:r>
        <w:rPr>
          <w:rFonts w:ascii="黑体" w:hAnsi="黑体" w:eastAsia="黑体"/>
          <w:kern w:val="0"/>
          <w:szCs w:val="21"/>
        </w:rPr>
        <w:t>监测条件、方法与精度要求</w:t>
      </w:r>
      <w:bookmarkEnd w:id="118"/>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.1</w:t>
      </w:r>
      <w:r>
        <w:rPr>
          <w:rFonts w:hint="eastAsia" w:ascii="黑体" w:hAnsi="黑体" w:eastAsia="黑体"/>
          <w:szCs w:val="21"/>
        </w:rPr>
        <w:t xml:space="preserve">  </w:t>
      </w:r>
      <w:r>
        <w:rPr>
          <w:rFonts w:ascii="黑体" w:hAnsi="黑体" w:eastAsia="黑体"/>
          <w:bCs/>
          <w:kern w:val="44"/>
          <w:szCs w:val="21"/>
        </w:rPr>
        <w:t>InSAR监测工作条件分类</w:t>
      </w:r>
    </w:p>
    <w:p>
      <w:pPr>
        <w:spacing w:line="360" w:lineRule="auto"/>
        <w:ind w:firstLine="420" w:firstLineChars="200"/>
        <w:rPr>
          <w:rFonts w:ascii="Times New Roman" w:hAnsi="Times New Roman"/>
          <w:szCs w:val="24"/>
        </w:rPr>
      </w:pPr>
      <w:r>
        <w:rPr>
          <w:rFonts w:ascii="Times New Roman" w:hAnsi="Times New Roman"/>
          <w:szCs w:val="24"/>
        </w:rPr>
        <w:t>地质灾害InSAR监测工作条件分类依据地表复杂程度、数据质量、单位面积观测次数、监测精度和地质分析程度、观测面积综合确定，具体标准参照表</w:t>
      </w:r>
      <w:r>
        <w:rPr>
          <w:rFonts w:hint="eastAsia" w:ascii="Times New Roman" w:hAnsi="Times New Roman"/>
          <w:szCs w:val="24"/>
        </w:rPr>
        <w:t>A</w:t>
      </w:r>
      <w:r>
        <w:rPr>
          <w:rFonts w:ascii="Times New Roman" w:hAnsi="Times New Roman"/>
          <w:szCs w:val="24"/>
        </w:rPr>
        <w:t>-1执行</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-1</w:t>
      </w:r>
      <w:r>
        <w:rPr>
          <w:rFonts w:hint="eastAsia" w:ascii="黑体" w:hAnsi="黑体" w:eastAsia="黑体"/>
          <w:kern w:val="0"/>
          <w:szCs w:val="21"/>
        </w:rPr>
        <w:t xml:space="preserve">  </w:t>
      </w:r>
      <w:r>
        <w:rPr>
          <w:rFonts w:ascii="黑体" w:hAnsi="黑体" w:eastAsia="黑体"/>
          <w:kern w:val="0"/>
          <w:szCs w:val="21"/>
        </w:rPr>
        <w:t>InSAR监测工作条件分类表</w:t>
      </w:r>
    </w:p>
    <w:tbl>
      <w:tblPr>
        <w:tblStyle w:val="1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0"/>
        <w:gridCol w:w="2010"/>
        <w:gridCol w:w="3009"/>
        <w:gridCol w:w="1719"/>
        <w:gridCol w:w="18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7"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工作条件</w:t>
            </w:r>
          </w:p>
        </w:tc>
        <w:tc>
          <w:tcPr>
            <w:tcW w:w="1050"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地表复杂程度</w:t>
            </w:r>
          </w:p>
        </w:tc>
        <w:tc>
          <w:tcPr>
            <w:tcW w:w="1572"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数据类型</w:t>
            </w:r>
          </w:p>
        </w:tc>
        <w:tc>
          <w:tcPr>
            <w:tcW w:w="898"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单位面积观测次数</w:t>
            </w:r>
          </w:p>
        </w:tc>
        <w:tc>
          <w:tcPr>
            <w:tcW w:w="973"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观测面积</w:t>
            </w:r>
          </w:p>
          <w:p>
            <w:pPr>
              <w:jc w:val="center"/>
              <w:rPr>
                <w:rFonts w:ascii="Times New Roman" w:hAnsi="Times New Roman" w:eastAsiaTheme="minorEastAsia"/>
                <w:sz w:val="18"/>
                <w:szCs w:val="18"/>
              </w:rPr>
            </w:pPr>
            <w:r>
              <w:rPr>
                <w:rFonts w:ascii="Times New Roman" w:hAnsi="Times New Roman" w:eastAsiaTheme="minorEastAsia"/>
                <w:sz w:val="18"/>
                <w:szCs w:val="18"/>
              </w:rPr>
              <w:t>km</w:t>
            </w:r>
            <w:r>
              <w:rPr>
                <w:rFonts w:ascii="Times New Roman" w:hAnsi="Times New Roman" w:eastAsiaTheme="minorEastAsia"/>
                <w:sz w:val="18"/>
                <w:szCs w:val="18"/>
                <w:vertAlign w:val="superscript"/>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7"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I</w:t>
            </w:r>
          </w:p>
        </w:tc>
        <w:tc>
          <w:tcPr>
            <w:tcW w:w="1050"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无植被覆盖的戈壁和基岩区、构（建）筑物密集的城镇，且地形舒缓平坦</w:t>
            </w:r>
          </w:p>
        </w:tc>
        <w:tc>
          <w:tcPr>
            <w:tcW w:w="1572"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TerraSAR、ALOS/PALSAR-2、Cosmo-SkyMed、RadarSat-2等基线精度高、信噪比大的条带模式和聚束模式SAR数据</w:t>
            </w:r>
          </w:p>
        </w:tc>
        <w:tc>
          <w:tcPr>
            <w:tcW w:w="898"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20</w:t>
            </w:r>
            <w:r>
              <w:rPr>
                <w:rFonts w:hint="eastAsia" w:ascii="Times New Roman" w:hAnsi="Times New Roman"/>
                <w:sz w:val="18"/>
                <w:szCs w:val="18"/>
              </w:rPr>
              <w:t>-</w:t>
            </w:r>
            <w:r>
              <w:rPr>
                <w:rFonts w:ascii="Times New Roman" w:hAnsi="Times New Roman" w:eastAsiaTheme="minorEastAsia"/>
                <w:sz w:val="18"/>
                <w:szCs w:val="18"/>
              </w:rPr>
              <w:t>30次或2次</w:t>
            </w:r>
          </w:p>
        </w:tc>
        <w:tc>
          <w:tcPr>
            <w:tcW w:w="973" w:type="pct"/>
            <w:vAlign w:val="center"/>
          </w:tcPr>
          <w:p>
            <w:pPr>
              <w:jc w:val="center"/>
              <w:rPr>
                <w:rFonts w:ascii="Times New Roman" w:hAnsi="Times New Roman" w:eastAsiaTheme="minorEastAsia"/>
                <w:sz w:val="18"/>
                <w:szCs w:val="18"/>
              </w:rPr>
            </w:pPr>
            <w:r>
              <w:rPr>
                <w:rFonts w:hint="eastAsia" w:ascii="宋体" w:hAnsi="宋体"/>
                <w:sz w:val="18"/>
                <w:szCs w:val="18"/>
              </w:rPr>
              <w:t>≥</w:t>
            </w:r>
            <w:r>
              <w:rPr>
                <w:rFonts w:ascii="Times New Roman" w:hAnsi="Times New Roman" w:eastAsiaTheme="minorEastAsia"/>
                <w:sz w:val="18"/>
                <w:szCs w:val="18"/>
              </w:rPr>
              <w:t>3 600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7"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II</w:t>
            </w:r>
          </w:p>
        </w:tc>
        <w:tc>
          <w:tcPr>
            <w:tcW w:w="1050"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低矮植被覆盖的中低丘陵区、荒漠区、植被较多的构（建）筑物区</w:t>
            </w:r>
          </w:p>
        </w:tc>
        <w:tc>
          <w:tcPr>
            <w:tcW w:w="1572"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Sentinel-1 TOPS、TerraSAR Scan、ALOS/PALSAR-2 Scan、Cosmo-SkyMed Scan、RadarSat-2 Scan等基线精准、信噪比大、数据结构复杂的中低分辨率SAR数据</w:t>
            </w:r>
          </w:p>
        </w:tc>
        <w:tc>
          <w:tcPr>
            <w:tcW w:w="898"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10</w:t>
            </w:r>
            <w:r>
              <w:rPr>
                <w:rFonts w:hint="eastAsia" w:ascii="Times New Roman" w:hAnsi="Times New Roman" w:eastAsiaTheme="minorEastAsia"/>
                <w:sz w:val="18"/>
                <w:szCs w:val="18"/>
              </w:rPr>
              <w:t>-</w:t>
            </w:r>
            <w:r>
              <w:rPr>
                <w:rFonts w:ascii="Times New Roman" w:hAnsi="Times New Roman" w:eastAsiaTheme="minorEastAsia"/>
                <w:sz w:val="18"/>
                <w:szCs w:val="18"/>
              </w:rPr>
              <w:t>20次或30</w:t>
            </w:r>
            <w:r>
              <w:rPr>
                <w:rFonts w:hint="eastAsia" w:ascii="Times New Roman" w:hAnsi="Times New Roman" w:eastAsiaTheme="minorEastAsia"/>
                <w:sz w:val="18"/>
                <w:szCs w:val="18"/>
              </w:rPr>
              <w:t>-</w:t>
            </w:r>
            <w:r>
              <w:rPr>
                <w:rFonts w:ascii="Times New Roman" w:hAnsi="Times New Roman" w:eastAsiaTheme="minorEastAsia"/>
                <w:sz w:val="18"/>
                <w:szCs w:val="18"/>
              </w:rPr>
              <w:t>40次</w:t>
            </w:r>
          </w:p>
        </w:tc>
        <w:tc>
          <w:tcPr>
            <w:tcW w:w="973"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900</w:t>
            </w:r>
            <w:r>
              <w:rPr>
                <w:rFonts w:hint="eastAsia" w:ascii="Times New Roman" w:hAnsi="Times New Roman" w:eastAsiaTheme="minorEastAsia"/>
                <w:sz w:val="18"/>
                <w:szCs w:val="18"/>
              </w:rPr>
              <w:t>-</w:t>
            </w:r>
            <w:r>
              <w:rPr>
                <w:rFonts w:ascii="Times New Roman" w:hAnsi="Times New Roman" w:eastAsiaTheme="minorEastAsia"/>
                <w:sz w:val="18"/>
                <w:szCs w:val="18"/>
              </w:rPr>
              <w:t>3 600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7"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III</w:t>
            </w:r>
          </w:p>
        </w:tc>
        <w:tc>
          <w:tcPr>
            <w:tcW w:w="1050"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季节性生长的灌木中低丘陵区、村庄密集分布区的农业区</w:t>
            </w:r>
          </w:p>
        </w:tc>
        <w:tc>
          <w:tcPr>
            <w:tcW w:w="1572"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ALOS/PALSAR、 RadarSat-1等轨道精度不稳定的条带模式SAR数据</w:t>
            </w:r>
          </w:p>
        </w:tc>
        <w:tc>
          <w:tcPr>
            <w:tcW w:w="898"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5</w:t>
            </w:r>
            <w:r>
              <w:rPr>
                <w:rFonts w:hint="eastAsia" w:ascii="Times New Roman" w:hAnsi="Times New Roman" w:eastAsiaTheme="minorEastAsia"/>
                <w:sz w:val="18"/>
                <w:szCs w:val="18"/>
              </w:rPr>
              <w:t>-</w:t>
            </w:r>
            <w:r>
              <w:rPr>
                <w:rFonts w:ascii="Times New Roman" w:hAnsi="Times New Roman" w:eastAsiaTheme="minorEastAsia"/>
                <w:sz w:val="18"/>
                <w:szCs w:val="18"/>
              </w:rPr>
              <w:t>10次或40</w:t>
            </w:r>
            <w:r>
              <w:rPr>
                <w:rFonts w:hint="eastAsia" w:ascii="Times New Roman" w:hAnsi="Times New Roman" w:eastAsiaTheme="minorEastAsia"/>
                <w:sz w:val="18"/>
                <w:szCs w:val="18"/>
              </w:rPr>
              <w:t>-</w:t>
            </w:r>
            <w:r>
              <w:rPr>
                <w:rFonts w:ascii="Times New Roman" w:hAnsi="Times New Roman" w:eastAsiaTheme="minorEastAsia"/>
                <w:sz w:val="18"/>
                <w:szCs w:val="18"/>
              </w:rPr>
              <w:t>50次</w:t>
            </w:r>
          </w:p>
        </w:tc>
        <w:tc>
          <w:tcPr>
            <w:tcW w:w="973"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400</w:t>
            </w:r>
            <w:r>
              <w:rPr>
                <w:rFonts w:hint="eastAsia" w:ascii="Times New Roman" w:hAnsi="Times New Roman" w:eastAsiaTheme="minorEastAsia"/>
                <w:sz w:val="18"/>
                <w:szCs w:val="18"/>
              </w:rPr>
              <w:t>-</w:t>
            </w:r>
            <w:r>
              <w:rPr>
                <w:rFonts w:ascii="Times New Roman" w:hAnsi="Times New Roman" w:eastAsiaTheme="minorEastAsia"/>
                <w:sz w:val="18"/>
                <w:szCs w:val="18"/>
              </w:rPr>
              <w:t>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7"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IV</w:t>
            </w:r>
          </w:p>
        </w:tc>
        <w:tc>
          <w:tcPr>
            <w:tcW w:w="1050"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乔灌木季节性生长的高丘、中山区</w:t>
            </w:r>
          </w:p>
        </w:tc>
        <w:tc>
          <w:tcPr>
            <w:tcW w:w="1572"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ERS、Envisat/ASAR等轨道精度较低、信噪比较小、分辨率中等的SAR数据</w:t>
            </w:r>
          </w:p>
        </w:tc>
        <w:tc>
          <w:tcPr>
            <w:tcW w:w="898"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3</w:t>
            </w:r>
            <w:r>
              <w:rPr>
                <w:rFonts w:hint="eastAsia" w:ascii="Times New Roman" w:hAnsi="Times New Roman" w:eastAsiaTheme="minorEastAsia"/>
                <w:sz w:val="18"/>
                <w:szCs w:val="18"/>
              </w:rPr>
              <w:t>-</w:t>
            </w:r>
            <w:r>
              <w:rPr>
                <w:rFonts w:ascii="Times New Roman" w:hAnsi="Times New Roman" w:eastAsiaTheme="minorEastAsia"/>
                <w:sz w:val="18"/>
                <w:szCs w:val="18"/>
              </w:rPr>
              <w:t>5次或＞50次</w:t>
            </w:r>
          </w:p>
        </w:tc>
        <w:tc>
          <w:tcPr>
            <w:tcW w:w="973"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100</w:t>
            </w:r>
            <w:r>
              <w:rPr>
                <w:rFonts w:hint="eastAsia" w:ascii="Times New Roman" w:hAnsi="Times New Roman" w:eastAsiaTheme="minorEastAsia"/>
                <w:sz w:val="18"/>
                <w:szCs w:val="18"/>
              </w:rPr>
              <w:t>-</w:t>
            </w:r>
            <w:r>
              <w:rPr>
                <w:rFonts w:ascii="Times New Roman" w:hAnsi="Times New Roman" w:eastAsiaTheme="minorEastAsia"/>
                <w:sz w:val="18"/>
                <w:szCs w:val="18"/>
              </w:rPr>
              <w:t>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7"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V</w:t>
            </w:r>
          </w:p>
        </w:tc>
        <w:tc>
          <w:tcPr>
            <w:tcW w:w="1050"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植被、冰雪等易变地物密集覆盖的高山峡谷区</w:t>
            </w:r>
          </w:p>
        </w:tc>
        <w:tc>
          <w:tcPr>
            <w:tcW w:w="1572"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绝大部分2010年前的扫描模式低分辨率SAR数据</w:t>
            </w:r>
          </w:p>
        </w:tc>
        <w:tc>
          <w:tcPr>
            <w:tcW w:w="898" w:type="pct"/>
            <w:vAlign w:val="center"/>
          </w:tcPr>
          <w:p>
            <w:pPr>
              <w:jc w:val="left"/>
              <w:rPr>
                <w:rFonts w:ascii="Times New Roman" w:hAnsi="Times New Roman" w:eastAsiaTheme="minorEastAsia"/>
                <w:sz w:val="18"/>
                <w:szCs w:val="18"/>
              </w:rPr>
            </w:pPr>
            <w:r>
              <w:rPr>
                <w:rFonts w:ascii="Times New Roman" w:hAnsi="Times New Roman" w:eastAsiaTheme="minorEastAsia"/>
                <w:sz w:val="18"/>
                <w:szCs w:val="18"/>
              </w:rPr>
              <w:t>2次大于1年间隔或平均间隔＞6个月</w:t>
            </w:r>
          </w:p>
        </w:tc>
        <w:tc>
          <w:tcPr>
            <w:tcW w:w="973" w:type="pct"/>
            <w:vAlign w:val="center"/>
          </w:tcPr>
          <w:p>
            <w:pPr>
              <w:jc w:val="center"/>
              <w:rPr>
                <w:rFonts w:ascii="Times New Roman" w:hAnsi="Times New Roman" w:eastAsiaTheme="minorEastAsia"/>
                <w:sz w:val="18"/>
                <w:szCs w:val="18"/>
              </w:rPr>
            </w:pPr>
            <w:r>
              <w:rPr>
                <w:rFonts w:ascii="Times New Roman" w:hAnsi="Times New Roman" w:eastAsiaTheme="minorEastAsia"/>
                <w:sz w:val="18"/>
                <w:szCs w:val="18"/>
              </w:rPr>
              <w:t>0</w:t>
            </w:r>
            <w:r>
              <w:rPr>
                <w:rFonts w:hint="eastAsia" w:ascii="Times New Roman" w:hAnsi="Times New Roman" w:eastAsiaTheme="minorEastAsia"/>
                <w:sz w:val="18"/>
                <w:szCs w:val="18"/>
              </w:rPr>
              <w:t>-</w:t>
            </w:r>
            <w:r>
              <w:rPr>
                <w:rFonts w:ascii="Times New Roman" w:hAnsi="Times New Roman" w:eastAsiaTheme="minorEastAsia"/>
                <w:sz w:val="18"/>
                <w:szCs w:val="18"/>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0" w:type="pct"/>
            <w:gridSpan w:val="5"/>
            <w:vAlign w:val="center"/>
          </w:tcPr>
          <w:p>
            <w:pPr>
              <w:jc w:val="left"/>
              <w:rPr>
                <w:rFonts w:ascii="Times New Roman" w:hAnsi="Times New Roman" w:eastAsiaTheme="minorEastAsia"/>
                <w:sz w:val="18"/>
                <w:szCs w:val="18"/>
              </w:rPr>
            </w:pPr>
            <w:r>
              <w:rPr>
                <w:rFonts w:ascii="黑体" w:hAnsi="黑体" w:eastAsia="黑体"/>
                <w:sz w:val="18"/>
                <w:szCs w:val="18"/>
              </w:rPr>
              <w:t>注1</w:t>
            </w:r>
            <w:r>
              <w:rPr>
                <w:rFonts w:hint="eastAsia" w:ascii="黑体" w:hAnsi="黑体" w:eastAsia="黑体"/>
                <w:sz w:val="18"/>
                <w:szCs w:val="18"/>
              </w:rPr>
              <w:t>：</w:t>
            </w:r>
            <w:r>
              <w:rPr>
                <w:rFonts w:ascii="Times New Roman" w:hAnsi="Times New Roman" w:eastAsiaTheme="minorEastAsia"/>
                <w:sz w:val="18"/>
                <w:szCs w:val="18"/>
              </w:rPr>
              <w:t>有2项及以上因素满足时即为该类条件</w:t>
            </w:r>
            <w:r>
              <w:rPr>
                <w:rFonts w:hint="eastAsia" w:ascii="Times New Roman" w:hAnsi="Times New Roman" w:eastAsiaTheme="minorEastAsia"/>
                <w:sz w:val="18"/>
                <w:szCs w:val="18"/>
              </w:rPr>
              <w:t>。</w:t>
            </w:r>
          </w:p>
          <w:p>
            <w:pPr>
              <w:jc w:val="left"/>
              <w:rPr>
                <w:rFonts w:ascii="Times New Roman" w:hAnsi="Times New Roman" w:eastAsiaTheme="minorEastAsia"/>
                <w:sz w:val="18"/>
                <w:szCs w:val="18"/>
              </w:rPr>
            </w:pPr>
            <w:r>
              <w:rPr>
                <w:rFonts w:ascii="黑体" w:hAnsi="黑体" w:eastAsia="黑体"/>
                <w:sz w:val="18"/>
                <w:szCs w:val="18"/>
              </w:rPr>
              <w:t>注</w:t>
            </w:r>
            <w:r>
              <w:rPr>
                <w:rFonts w:hint="eastAsia" w:ascii="黑体" w:hAnsi="黑体" w:eastAsia="黑体"/>
                <w:sz w:val="18"/>
                <w:szCs w:val="18"/>
              </w:rPr>
              <w:t>2：</w:t>
            </w:r>
            <w:r>
              <w:rPr>
                <w:rFonts w:ascii="Times New Roman" w:hAnsi="Times New Roman" w:eastAsiaTheme="minorEastAsia"/>
                <w:sz w:val="18"/>
                <w:szCs w:val="18"/>
              </w:rPr>
              <w:t>监测面积最小按50 km</w:t>
            </w:r>
            <w:r>
              <w:rPr>
                <w:rFonts w:ascii="Times New Roman" w:hAnsi="Times New Roman" w:eastAsiaTheme="minorEastAsia"/>
                <w:sz w:val="18"/>
                <w:szCs w:val="18"/>
                <w:vertAlign w:val="superscript"/>
              </w:rPr>
              <w:t>2</w:t>
            </w:r>
            <w:r>
              <w:rPr>
                <w:rFonts w:ascii="Times New Roman" w:hAnsi="Times New Roman" w:eastAsiaTheme="minorEastAsia"/>
                <w:sz w:val="18"/>
                <w:szCs w:val="18"/>
              </w:rPr>
              <w:t>计算</w:t>
            </w:r>
            <w:r>
              <w:rPr>
                <w:rFonts w:hint="eastAsia" w:ascii="Times New Roman" w:hAnsi="Times New Roman" w:eastAsiaTheme="minorEastAsia"/>
                <w:sz w:val="18"/>
                <w:szCs w:val="18"/>
              </w:rPr>
              <w:t>。</w:t>
            </w:r>
          </w:p>
          <w:p>
            <w:pPr>
              <w:jc w:val="left"/>
              <w:rPr>
                <w:rFonts w:ascii="Times New Roman" w:hAnsi="Times New Roman" w:eastAsiaTheme="minorEastAsia"/>
                <w:sz w:val="18"/>
                <w:szCs w:val="18"/>
              </w:rPr>
            </w:pPr>
            <w:r>
              <w:rPr>
                <w:rFonts w:ascii="黑体" w:hAnsi="黑体" w:eastAsia="黑体"/>
                <w:sz w:val="18"/>
                <w:szCs w:val="18"/>
              </w:rPr>
              <w:t>注</w:t>
            </w:r>
            <w:r>
              <w:rPr>
                <w:rFonts w:hint="eastAsia" w:ascii="黑体" w:hAnsi="黑体" w:eastAsia="黑体"/>
                <w:sz w:val="18"/>
                <w:szCs w:val="18"/>
              </w:rPr>
              <w:t>3：</w:t>
            </w:r>
            <w:r>
              <w:rPr>
                <w:rFonts w:ascii="Times New Roman" w:hAnsi="Times New Roman" w:eastAsiaTheme="minorEastAsia"/>
                <w:sz w:val="18"/>
                <w:szCs w:val="18"/>
              </w:rPr>
              <w:t>条件分类就高不就低。</w:t>
            </w:r>
          </w:p>
        </w:tc>
      </w:tr>
    </w:tbl>
    <w:p>
      <w:pPr>
        <w:keepNext/>
        <w:keepLines/>
        <w:adjustRightInd w:val="0"/>
        <w:snapToGrid w:val="0"/>
        <w:spacing w:before="120" w:beforeLines="50" w:after="120" w:afterLines="50"/>
        <w:jc w:val="left"/>
        <w:rPr>
          <w:rFonts w:ascii="黑体" w:hAnsi="黑体" w:eastAsia="黑体"/>
          <w:bCs/>
          <w:kern w:val="44"/>
          <w:szCs w:val="21"/>
        </w:rPr>
        <w:sectPr>
          <w:pgSz w:w="11906" w:h="16838"/>
          <w:pgMar w:top="1418" w:right="1134" w:bottom="1134" w:left="1418" w:header="851" w:footer="992" w:gutter="0"/>
          <w:cols w:space="425" w:num="1"/>
          <w:docGrid w:linePitch="312" w:charSpace="0"/>
        </w:sectPr>
      </w:pPr>
    </w:p>
    <w:p>
      <w:pPr>
        <w:keepNext/>
        <w:keepLines/>
        <w:adjustRightInd w:val="0"/>
        <w:snapToGrid w:val="0"/>
        <w:spacing w:before="120" w:beforeLines="50" w:after="120" w:afterLines="50"/>
        <w:jc w:val="left"/>
        <w:rPr>
          <w:rFonts w:ascii="Times New Roman" w:hAnsi="Times New Roman" w:eastAsia="黑体"/>
          <w:bCs/>
          <w:kern w:val="44"/>
          <w:szCs w:val="21"/>
        </w:rPr>
      </w:pPr>
      <w:r>
        <w:rPr>
          <w:rFonts w:hint="eastAsia" w:ascii="黑体" w:hAnsi="黑体" w:eastAsia="黑体"/>
          <w:bCs/>
          <w:kern w:val="44"/>
          <w:szCs w:val="21"/>
        </w:rPr>
        <w:t>A</w:t>
      </w:r>
      <w:r>
        <w:rPr>
          <w:rFonts w:ascii="黑体" w:hAnsi="黑体" w:eastAsia="黑体"/>
          <w:bCs/>
          <w:kern w:val="44"/>
          <w:szCs w:val="21"/>
        </w:rPr>
        <w:t>.2</w:t>
      </w:r>
      <w:r>
        <w:rPr>
          <w:rFonts w:hint="eastAsia" w:ascii="黑体" w:hAnsi="黑体" w:eastAsia="黑体"/>
          <w:bCs/>
          <w:kern w:val="44"/>
          <w:szCs w:val="21"/>
        </w:rPr>
        <w:t xml:space="preserve">  </w:t>
      </w:r>
      <w:r>
        <w:rPr>
          <w:rFonts w:ascii="黑体" w:hAnsi="黑体" w:eastAsia="黑体"/>
          <w:bCs/>
          <w:kern w:val="44"/>
          <w:szCs w:val="21"/>
        </w:rPr>
        <w:t>InSAR技术方法及适用灾种条件</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-2</w:t>
      </w:r>
      <w:r>
        <w:rPr>
          <w:rFonts w:hint="eastAsia" w:ascii="黑体" w:hAnsi="黑体" w:eastAsia="黑体"/>
          <w:kern w:val="0"/>
          <w:szCs w:val="21"/>
        </w:rPr>
        <w:t xml:space="preserve">  </w:t>
      </w:r>
      <w:r>
        <w:rPr>
          <w:rFonts w:ascii="黑体" w:hAnsi="黑体" w:eastAsia="黑体"/>
          <w:kern w:val="0"/>
          <w:szCs w:val="21"/>
        </w:rPr>
        <w:t>InSAR技术方法及适用灾种条件表</w:t>
      </w:r>
    </w:p>
    <w:tbl>
      <w:tblPr>
        <w:tblStyle w:val="1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7"/>
        <w:gridCol w:w="1093"/>
        <w:gridCol w:w="2463"/>
        <w:gridCol w:w="1231"/>
        <w:gridCol w:w="1064"/>
        <w:gridCol w:w="681"/>
        <w:gridCol w:w="819"/>
        <w:gridCol w:w="12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1075" w:type="pct"/>
            <w:gridSpan w:val="2"/>
            <w:vAlign w:val="center"/>
          </w:tcPr>
          <w:p>
            <w:pPr>
              <w:adjustRightInd w:val="0"/>
              <w:snapToGrid w:val="0"/>
              <w:jc w:val="center"/>
              <w:rPr>
                <w:rFonts w:ascii="Times New Roman" w:hAnsi="Times New Roman"/>
                <w:sz w:val="18"/>
                <w:szCs w:val="18"/>
              </w:rPr>
            </w:pPr>
            <w:r>
              <w:rPr>
                <w:rFonts w:ascii="Times New Roman" w:hAnsi="Times New Roman"/>
                <w:sz w:val="18"/>
                <w:szCs w:val="18"/>
              </w:rPr>
              <w:t>InSAR方法</w:t>
            </w:r>
          </w:p>
        </w:tc>
        <w:tc>
          <w:tcPr>
            <w:tcW w:w="1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应用环境</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适用灾害</w:t>
            </w:r>
          </w:p>
        </w:tc>
        <w:tc>
          <w:tcPr>
            <w:tcW w:w="55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SAR数据频率（景/年）</w:t>
            </w:r>
          </w:p>
        </w:tc>
        <w:tc>
          <w:tcPr>
            <w:tcW w:w="35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SAR数据数量</w:t>
            </w:r>
          </w:p>
        </w:tc>
        <w:tc>
          <w:tcPr>
            <w:tcW w:w="430"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最高监测速率精度</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监测幅度</w:t>
            </w:r>
            <w:r>
              <w:rPr>
                <w:rFonts w:hint="eastAsia" w:ascii="Times New Roman" w:hAnsi="Times New Roman"/>
                <w:sz w:val="18"/>
                <w:szCs w:val="18"/>
              </w:rPr>
              <w:t>（</w:t>
            </w:r>
            <w:r>
              <w:rPr>
                <w:rFonts w:ascii="Times New Roman" w:hAnsi="Times New Roman"/>
                <w:sz w:val="18"/>
                <w:szCs w:val="18"/>
              </w:rPr>
              <w:t>年累计变形量</w:t>
            </w:r>
            <w:r>
              <w:rPr>
                <w:rFonts w:hint="eastAsia" w:ascii="Times New Roman" w:hAnsi="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D-InSAR</w:t>
            </w:r>
          </w:p>
        </w:tc>
        <w:tc>
          <w:tcPr>
            <w:tcW w:w="573" w:type="pct"/>
            <w:tcMar>
              <w:left w:w="28" w:type="dxa"/>
              <w:right w:w="28" w:type="dxa"/>
            </w:tcMar>
            <w:vAlign w:val="center"/>
          </w:tcPr>
          <w:p>
            <w:pPr>
              <w:adjustRightInd w:val="0"/>
              <w:snapToGrid w:val="0"/>
              <w:jc w:val="center"/>
              <w:rPr>
                <w:rFonts w:ascii="Times New Roman" w:hAnsi="Times New Roman"/>
                <w:sz w:val="18"/>
                <w:szCs w:val="18"/>
              </w:rPr>
            </w:pPr>
            <w:r>
              <w:rPr>
                <w:rFonts w:ascii="Times New Roman" w:hAnsi="Times New Roman"/>
                <w:sz w:val="18"/>
                <w:szCs w:val="18"/>
              </w:rPr>
              <w:t>单D-InSAR</w:t>
            </w:r>
          </w:p>
        </w:tc>
        <w:tc>
          <w:tcPr>
            <w:tcW w:w="1289" w:type="pct"/>
            <w:vAlign w:val="center"/>
          </w:tcPr>
          <w:p>
            <w:pPr>
              <w:adjustRightInd w:val="0"/>
              <w:snapToGrid w:val="0"/>
              <w:jc w:val="left"/>
              <w:rPr>
                <w:rFonts w:ascii="Times New Roman" w:hAnsi="Times New Roman"/>
                <w:sz w:val="18"/>
                <w:szCs w:val="18"/>
              </w:rPr>
            </w:pPr>
            <w:r>
              <w:rPr>
                <w:rFonts w:ascii="Times New Roman" w:hAnsi="Times New Roman"/>
                <w:sz w:val="18"/>
                <w:szCs w:val="18"/>
              </w:rPr>
              <w:t>适用时间间隔短和天气/季节接近，以避免受到过多的时间去相干和大气的影响。高相干、中短空间基线</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滑坡、泥石流、地面沉降、地面塌陷</w:t>
            </w:r>
          </w:p>
        </w:tc>
        <w:tc>
          <w:tcPr>
            <w:tcW w:w="55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无限制</w:t>
            </w:r>
          </w:p>
        </w:tc>
        <w:tc>
          <w:tcPr>
            <w:tcW w:w="35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w:t>
            </w:r>
          </w:p>
        </w:tc>
        <w:tc>
          <w:tcPr>
            <w:tcW w:w="430"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cm</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cm-dm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pct"/>
            <w:vMerge w:val="restart"/>
            <w:vAlign w:val="center"/>
          </w:tcPr>
          <w:p>
            <w:pPr>
              <w:adjustRightInd w:val="0"/>
              <w:snapToGrid w:val="0"/>
              <w:jc w:val="center"/>
              <w:rPr>
                <w:rFonts w:ascii="Times New Roman" w:hAnsi="Times New Roman"/>
                <w:sz w:val="18"/>
                <w:szCs w:val="18"/>
              </w:rPr>
            </w:pPr>
            <w:r>
              <w:rPr>
                <w:rFonts w:ascii="Times New Roman" w:hAnsi="Times New Roman"/>
                <w:sz w:val="18"/>
                <w:szCs w:val="18"/>
              </w:rPr>
              <w:t>TS-InSAR</w:t>
            </w:r>
          </w:p>
        </w:tc>
        <w:tc>
          <w:tcPr>
            <w:tcW w:w="573" w:type="pct"/>
            <w:tcMar>
              <w:left w:w="28" w:type="dxa"/>
              <w:right w:w="28" w:type="dxa"/>
            </w:tcMar>
            <w:vAlign w:val="center"/>
          </w:tcPr>
          <w:p>
            <w:pPr>
              <w:adjustRightInd w:val="0"/>
              <w:snapToGrid w:val="0"/>
              <w:jc w:val="center"/>
              <w:rPr>
                <w:rFonts w:ascii="Times New Roman" w:hAnsi="Times New Roman"/>
                <w:sz w:val="18"/>
                <w:szCs w:val="18"/>
              </w:rPr>
            </w:pPr>
            <w:r>
              <w:rPr>
                <w:rFonts w:ascii="Times New Roman" w:hAnsi="Times New Roman"/>
                <w:sz w:val="18"/>
                <w:szCs w:val="18"/>
              </w:rPr>
              <w:t>PS-InSAR</w:t>
            </w:r>
          </w:p>
        </w:tc>
        <w:tc>
          <w:tcPr>
            <w:tcW w:w="1289" w:type="pct"/>
            <w:vAlign w:val="center"/>
          </w:tcPr>
          <w:p>
            <w:pPr>
              <w:adjustRightInd w:val="0"/>
              <w:snapToGrid w:val="0"/>
              <w:jc w:val="left"/>
              <w:rPr>
                <w:rFonts w:ascii="Times New Roman" w:hAnsi="Times New Roman"/>
                <w:sz w:val="18"/>
                <w:szCs w:val="18"/>
              </w:rPr>
            </w:pPr>
            <w:r>
              <w:rPr>
                <w:rFonts w:ascii="Times New Roman" w:hAnsi="Times New Roman"/>
                <w:sz w:val="18"/>
                <w:szCs w:val="18"/>
              </w:rPr>
              <w:t>适用于时间间隔长、天气状况差异大。可以获取PS点的变形时间序列，DEM改正值和所有SAR影像的大气延迟量。点相干、短空间基线。</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滑坡、崩塌、泥石流、地面沉降、地裂缝、地面塌陷</w:t>
            </w:r>
          </w:p>
        </w:tc>
        <w:tc>
          <w:tcPr>
            <w:tcW w:w="55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＞25</w:t>
            </w:r>
          </w:p>
        </w:tc>
        <w:tc>
          <w:tcPr>
            <w:tcW w:w="358" w:type="pct"/>
            <w:vAlign w:val="center"/>
          </w:tcPr>
          <w:p>
            <w:pPr>
              <w:adjustRightInd w:val="0"/>
              <w:snapToGrid w:val="0"/>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16</w:t>
            </w:r>
          </w:p>
        </w:tc>
        <w:tc>
          <w:tcPr>
            <w:tcW w:w="430"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mm</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mm-dm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pct"/>
            <w:vMerge w:val="continue"/>
            <w:vAlign w:val="center"/>
          </w:tcPr>
          <w:p>
            <w:pPr>
              <w:adjustRightInd w:val="0"/>
              <w:snapToGrid w:val="0"/>
              <w:jc w:val="center"/>
              <w:rPr>
                <w:rFonts w:ascii="Times New Roman" w:hAnsi="Times New Roman"/>
                <w:sz w:val="18"/>
                <w:szCs w:val="18"/>
              </w:rPr>
            </w:pPr>
          </w:p>
        </w:tc>
        <w:tc>
          <w:tcPr>
            <w:tcW w:w="573" w:type="pct"/>
            <w:tcMar>
              <w:left w:w="28" w:type="dxa"/>
              <w:right w:w="28" w:type="dxa"/>
            </w:tcMar>
            <w:vAlign w:val="center"/>
          </w:tcPr>
          <w:p>
            <w:pPr>
              <w:adjustRightInd w:val="0"/>
              <w:snapToGrid w:val="0"/>
              <w:jc w:val="center"/>
              <w:rPr>
                <w:rFonts w:ascii="Times New Roman" w:hAnsi="Times New Roman"/>
                <w:sz w:val="18"/>
                <w:szCs w:val="18"/>
              </w:rPr>
            </w:pPr>
            <w:r>
              <w:rPr>
                <w:rFonts w:ascii="Times New Roman" w:hAnsi="Times New Roman"/>
                <w:sz w:val="18"/>
                <w:szCs w:val="18"/>
              </w:rPr>
              <w:t>SBAS-InSAR</w:t>
            </w:r>
          </w:p>
        </w:tc>
        <w:tc>
          <w:tcPr>
            <w:tcW w:w="1289" w:type="pct"/>
            <w:vAlign w:val="center"/>
          </w:tcPr>
          <w:p>
            <w:pPr>
              <w:adjustRightInd w:val="0"/>
              <w:snapToGrid w:val="0"/>
              <w:jc w:val="left"/>
              <w:rPr>
                <w:rFonts w:ascii="Times New Roman" w:hAnsi="Times New Roman"/>
                <w:sz w:val="18"/>
                <w:szCs w:val="18"/>
              </w:rPr>
            </w:pPr>
            <w:r>
              <w:rPr>
                <w:rFonts w:ascii="Times New Roman" w:hAnsi="Times New Roman"/>
                <w:sz w:val="18"/>
                <w:szCs w:val="18"/>
              </w:rPr>
              <w:t>短时间基线高相干、长时间基线低相干。通过较多的SAR干涉组合，获取灾害变形时间序列信息</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滑坡、泥石流、地面沉降、地裂缝、地面塌陷</w:t>
            </w:r>
          </w:p>
        </w:tc>
        <w:tc>
          <w:tcPr>
            <w:tcW w:w="558" w:type="pct"/>
            <w:vAlign w:val="center"/>
          </w:tcPr>
          <w:p>
            <w:pPr>
              <w:adjustRightInd w:val="0"/>
              <w:snapToGrid w:val="0"/>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4</w:t>
            </w:r>
          </w:p>
        </w:tc>
        <w:tc>
          <w:tcPr>
            <w:tcW w:w="358" w:type="pct"/>
            <w:vAlign w:val="center"/>
          </w:tcPr>
          <w:p>
            <w:pPr>
              <w:adjustRightInd w:val="0"/>
              <w:snapToGrid w:val="0"/>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5</w:t>
            </w:r>
          </w:p>
        </w:tc>
        <w:tc>
          <w:tcPr>
            <w:tcW w:w="430"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cm</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mm-dm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pct"/>
            <w:vMerge w:val="continue"/>
            <w:vAlign w:val="center"/>
          </w:tcPr>
          <w:p>
            <w:pPr>
              <w:adjustRightInd w:val="0"/>
              <w:snapToGrid w:val="0"/>
              <w:jc w:val="center"/>
              <w:rPr>
                <w:rFonts w:ascii="Times New Roman" w:hAnsi="Times New Roman"/>
                <w:sz w:val="18"/>
                <w:szCs w:val="18"/>
              </w:rPr>
            </w:pPr>
          </w:p>
        </w:tc>
        <w:tc>
          <w:tcPr>
            <w:tcW w:w="573" w:type="pct"/>
            <w:tcMar>
              <w:left w:w="28" w:type="dxa"/>
              <w:right w:w="28" w:type="dxa"/>
            </w:tcMar>
            <w:vAlign w:val="center"/>
          </w:tcPr>
          <w:p>
            <w:pPr>
              <w:adjustRightInd w:val="0"/>
              <w:snapToGrid w:val="0"/>
              <w:jc w:val="center"/>
              <w:rPr>
                <w:rFonts w:ascii="Times New Roman" w:hAnsi="Times New Roman"/>
                <w:sz w:val="18"/>
                <w:szCs w:val="18"/>
              </w:rPr>
            </w:pPr>
            <w:r>
              <w:rPr>
                <w:rFonts w:ascii="Times New Roman" w:hAnsi="Times New Roman"/>
                <w:sz w:val="18"/>
                <w:szCs w:val="18"/>
              </w:rPr>
              <w:t>IPTA-InSAR</w:t>
            </w:r>
          </w:p>
        </w:tc>
        <w:tc>
          <w:tcPr>
            <w:tcW w:w="1289" w:type="pct"/>
            <w:vAlign w:val="center"/>
          </w:tcPr>
          <w:p>
            <w:pPr>
              <w:adjustRightInd w:val="0"/>
              <w:snapToGrid w:val="0"/>
              <w:jc w:val="left"/>
              <w:rPr>
                <w:rFonts w:ascii="Times New Roman" w:hAnsi="Times New Roman"/>
                <w:sz w:val="18"/>
                <w:szCs w:val="18"/>
              </w:rPr>
            </w:pPr>
            <w:r>
              <w:rPr>
                <w:rFonts w:ascii="Times New Roman" w:hAnsi="Times New Roman"/>
                <w:sz w:val="18"/>
                <w:szCs w:val="18"/>
              </w:rPr>
              <w:t>适用于时间间隔长、天气状况差异大。可以获取PS点的变形时间序列，DEM改正值和所有SAR影像的大气延迟量。</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滑坡、崩塌、泥石流、地面沉降、地裂缝、地面塌陷</w:t>
            </w:r>
          </w:p>
        </w:tc>
        <w:tc>
          <w:tcPr>
            <w:tcW w:w="558" w:type="pct"/>
            <w:vAlign w:val="center"/>
          </w:tcPr>
          <w:p>
            <w:pPr>
              <w:adjustRightInd w:val="0"/>
              <w:snapToGrid w:val="0"/>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4</w:t>
            </w:r>
          </w:p>
        </w:tc>
        <w:tc>
          <w:tcPr>
            <w:tcW w:w="358" w:type="pct"/>
            <w:vAlign w:val="center"/>
          </w:tcPr>
          <w:p>
            <w:pPr>
              <w:adjustRightInd w:val="0"/>
              <w:snapToGrid w:val="0"/>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8</w:t>
            </w:r>
          </w:p>
        </w:tc>
        <w:tc>
          <w:tcPr>
            <w:tcW w:w="430"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mm</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mm-dm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75" w:type="pct"/>
            <w:gridSpan w:val="2"/>
            <w:vAlign w:val="center"/>
          </w:tcPr>
          <w:p>
            <w:pPr>
              <w:adjustRightInd w:val="0"/>
              <w:snapToGrid w:val="0"/>
              <w:jc w:val="center"/>
              <w:rPr>
                <w:rFonts w:ascii="Times New Roman" w:hAnsi="Times New Roman"/>
                <w:sz w:val="18"/>
                <w:szCs w:val="18"/>
              </w:rPr>
            </w:pPr>
            <w:r>
              <w:rPr>
                <w:rFonts w:ascii="Times New Roman" w:hAnsi="Times New Roman"/>
                <w:sz w:val="18"/>
                <w:szCs w:val="18"/>
              </w:rPr>
              <w:t>CR-InSAR</w:t>
            </w:r>
          </w:p>
        </w:tc>
        <w:tc>
          <w:tcPr>
            <w:tcW w:w="1289" w:type="pct"/>
            <w:vAlign w:val="center"/>
          </w:tcPr>
          <w:p>
            <w:pPr>
              <w:adjustRightInd w:val="0"/>
              <w:snapToGrid w:val="0"/>
              <w:jc w:val="left"/>
              <w:rPr>
                <w:rFonts w:ascii="Times New Roman" w:hAnsi="Times New Roman"/>
                <w:sz w:val="18"/>
                <w:szCs w:val="18"/>
              </w:rPr>
            </w:pPr>
            <w:r>
              <w:rPr>
                <w:rFonts w:ascii="Times New Roman" w:hAnsi="Times New Roman"/>
                <w:sz w:val="18"/>
                <w:szCs w:val="18"/>
              </w:rPr>
              <w:t>低相干，CR需提前布设</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滑坡、崩塌、泥石流、地面沉降、地裂缝、地面塌陷</w:t>
            </w:r>
          </w:p>
        </w:tc>
        <w:tc>
          <w:tcPr>
            <w:tcW w:w="55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无限制</w:t>
            </w:r>
          </w:p>
        </w:tc>
        <w:tc>
          <w:tcPr>
            <w:tcW w:w="358" w:type="pct"/>
            <w:vAlign w:val="center"/>
          </w:tcPr>
          <w:p>
            <w:pPr>
              <w:adjustRightInd w:val="0"/>
              <w:snapToGrid w:val="0"/>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2</w:t>
            </w:r>
          </w:p>
        </w:tc>
        <w:tc>
          <w:tcPr>
            <w:tcW w:w="430"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亚mm</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mm-dm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75" w:type="pct"/>
            <w:gridSpan w:val="2"/>
            <w:vAlign w:val="center"/>
          </w:tcPr>
          <w:p>
            <w:pPr>
              <w:adjustRightInd w:val="0"/>
              <w:snapToGrid w:val="0"/>
              <w:jc w:val="center"/>
              <w:rPr>
                <w:rFonts w:ascii="Times New Roman" w:hAnsi="Times New Roman"/>
                <w:sz w:val="18"/>
                <w:szCs w:val="18"/>
              </w:rPr>
            </w:pPr>
            <w:r>
              <w:rPr>
                <w:rFonts w:ascii="Times New Roman" w:hAnsi="Times New Roman"/>
                <w:sz w:val="18"/>
                <w:szCs w:val="18"/>
              </w:rPr>
              <w:t>Offset-SAR</w:t>
            </w:r>
          </w:p>
        </w:tc>
        <w:tc>
          <w:tcPr>
            <w:tcW w:w="1289" w:type="pct"/>
            <w:vAlign w:val="center"/>
          </w:tcPr>
          <w:p>
            <w:pPr>
              <w:adjustRightInd w:val="0"/>
              <w:snapToGrid w:val="0"/>
              <w:jc w:val="left"/>
              <w:rPr>
                <w:rFonts w:ascii="Times New Roman" w:hAnsi="Times New Roman"/>
                <w:sz w:val="18"/>
                <w:szCs w:val="18"/>
              </w:rPr>
            </w:pPr>
            <w:r>
              <w:rPr>
                <w:rFonts w:ascii="Times New Roman" w:hAnsi="Times New Roman"/>
                <w:sz w:val="18"/>
                <w:szCs w:val="18"/>
              </w:rPr>
              <w:t>适用于时间间隔长、天气状况差异大、变形梯度大、非线性变形。</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滑坡、泥石流、地面塌陷</w:t>
            </w:r>
          </w:p>
        </w:tc>
        <w:tc>
          <w:tcPr>
            <w:tcW w:w="55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无限制</w:t>
            </w:r>
          </w:p>
        </w:tc>
        <w:tc>
          <w:tcPr>
            <w:tcW w:w="358" w:type="pct"/>
            <w:vAlign w:val="center"/>
          </w:tcPr>
          <w:p>
            <w:pPr>
              <w:adjustRightInd w:val="0"/>
              <w:snapToGrid w:val="0"/>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2</w:t>
            </w:r>
          </w:p>
        </w:tc>
        <w:tc>
          <w:tcPr>
            <w:tcW w:w="430"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亚像素分辨率</w:t>
            </w:r>
          </w:p>
        </w:tc>
        <w:tc>
          <w:tcPr>
            <w:tcW w:w="64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m至百m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75" w:type="pct"/>
            <w:gridSpan w:val="2"/>
            <w:vAlign w:val="center"/>
          </w:tcPr>
          <w:p>
            <w:pPr>
              <w:adjustRightInd w:val="0"/>
              <w:snapToGrid w:val="0"/>
              <w:jc w:val="center"/>
              <w:rPr>
                <w:rFonts w:ascii="Times New Roman" w:hAnsi="Times New Roman"/>
                <w:sz w:val="18"/>
                <w:szCs w:val="18"/>
              </w:rPr>
            </w:pPr>
            <w:r>
              <w:rPr>
                <w:rFonts w:ascii="Times New Roman" w:hAnsi="Times New Roman"/>
                <w:sz w:val="18"/>
                <w:szCs w:val="18"/>
              </w:rPr>
              <w:t>上述方法组合</w:t>
            </w:r>
          </w:p>
        </w:tc>
        <w:tc>
          <w:tcPr>
            <w:tcW w:w="3925" w:type="pct"/>
            <w:gridSpan w:val="6"/>
            <w:vAlign w:val="center"/>
          </w:tcPr>
          <w:p>
            <w:pPr>
              <w:adjustRightInd w:val="0"/>
              <w:snapToGrid w:val="0"/>
              <w:jc w:val="center"/>
              <w:rPr>
                <w:rFonts w:ascii="Times New Roman" w:hAnsi="Times New Roman"/>
                <w:sz w:val="18"/>
                <w:szCs w:val="18"/>
              </w:rPr>
            </w:pPr>
            <w:r>
              <w:rPr>
                <w:rFonts w:ascii="Times New Roman" w:hAnsi="Times New Roman"/>
                <w:sz w:val="18"/>
                <w:szCs w:val="18"/>
              </w:rPr>
              <w:t>所有变形尺度的地质灾害监测</w:t>
            </w:r>
          </w:p>
        </w:tc>
      </w:tr>
    </w:tbl>
    <w:p>
      <w:pPr>
        <w:keepNext/>
        <w:keepLines/>
        <w:adjustRightInd w:val="0"/>
        <w:snapToGrid w:val="0"/>
        <w:spacing w:before="120" w:beforeLines="50" w:after="120" w:afterLines="50"/>
        <w:jc w:val="left"/>
        <w:rPr>
          <w:rFonts w:ascii="黑体" w:hAnsi="黑体" w:eastAsia="黑体"/>
          <w:bCs/>
          <w:kern w:val="44"/>
          <w:szCs w:val="21"/>
        </w:rPr>
        <w:sectPr>
          <w:pgSz w:w="11906" w:h="16838"/>
          <w:pgMar w:top="1418" w:right="1134" w:bottom="1134" w:left="1418" w:header="851" w:footer="992" w:gutter="0"/>
          <w:cols w:space="425" w:num="1"/>
          <w:docGrid w:linePitch="312" w:charSpace="0"/>
        </w:sectPr>
      </w:pP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.3</w:t>
      </w:r>
      <w:r>
        <w:rPr>
          <w:rFonts w:hint="eastAsia" w:ascii="黑体" w:hAnsi="黑体" w:eastAsia="黑体"/>
          <w:bCs/>
          <w:kern w:val="44"/>
          <w:szCs w:val="21"/>
        </w:rPr>
        <w:t xml:space="preserve">  </w:t>
      </w:r>
      <w:r>
        <w:rPr>
          <w:rFonts w:ascii="黑体" w:hAnsi="黑体" w:eastAsia="黑体"/>
          <w:bCs/>
          <w:kern w:val="44"/>
          <w:szCs w:val="21"/>
        </w:rPr>
        <w:t>InSAR监测内符合精度要求</w:t>
      </w:r>
    </w:p>
    <w:p>
      <w:pPr>
        <w:spacing w:line="360" w:lineRule="auto"/>
        <w:ind w:firstLine="420" w:firstLineChars="200"/>
        <w:rPr>
          <w:rFonts w:ascii="Times New Roman" w:hAnsi="Times New Roman"/>
          <w:szCs w:val="24"/>
        </w:rPr>
      </w:pPr>
      <w:r>
        <w:rPr>
          <w:rFonts w:ascii="Times New Roman" w:hAnsi="Times New Roman"/>
          <w:szCs w:val="24"/>
        </w:rPr>
        <w:t>各灾种监测的变形速率应达到一定的内符合精度，应根据InSAR监测工作条件和采用的技术方法综合确定，应符合表</w:t>
      </w:r>
      <w:r>
        <w:rPr>
          <w:rFonts w:hint="eastAsia" w:ascii="Times New Roman" w:hAnsi="Times New Roman"/>
          <w:szCs w:val="24"/>
        </w:rPr>
        <w:t>A</w:t>
      </w:r>
      <w:r>
        <w:rPr>
          <w:rFonts w:ascii="Times New Roman" w:hAnsi="Times New Roman"/>
          <w:szCs w:val="24"/>
        </w:rPr>
        <w:t>-3规定。</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-3</w:t>
      </w:r>
      <w:r>
        <w:rPr>
          <w:rFonts w:hint="eastAsia" w:ascii="黑体" w:hAnsi="黑体" w:eastAsia="黑体"/>
          <w:kern w:val="0"/>
          <w:szCs w:val="21"/>
        </w:rPr>
        <w:t xml:space="preserve">  </w:t>
      </w:r>
      <w:r>
        <w:rPr>
          <w:rFonts w:ascii="黑体" w:hAnsi="黑体" w:eastAsia="黑体"/>
          <w:kern w:val="0"/>
          <w:szCs w:val="21"/>
        </w:rPr>
        <w:t>地质灾害InSAR监测方法及变形内符合精度参考表</w:t>
      </w:r>
    </w:p>
    <w:p>
      <w:pPr>
        <w:widowControl/>
        <w:tabs>
          <w:tab w:val="left" w:pos="360"/>
        </w:tabs>
        <w:jc w:val="right"/>
        <w:rPr>
          <w:rFonts w:ascii="黑体" w:hAnsi="黑体" w:eastAsia="黑体"/>
          <w:kern w:val="0"/>
          <w:sz w:val="18"/>
          <w:szCs w:val="18"/>
        </w:rPr>
      </w:pPr>
      <w:r>
        <w:rPr>
          <w:rFonts w:ascii="黑体" w:hAnsi="黑体" w:eastAsia="黑体"/>
          <w:kern w:val="0"/>
          <w:sz w:val="18"/>
          <w:szCs w:val="18"/>
        </w:rPr>
        <w:t>单位为</w:t>
      </w:r>
      <w:r>
        <w:rPr>
          <w:rFonts w:ascii="Times New Roman" w:hAnsi="Times New Roman" w:eastAsia="黑体"/>
          <w:sz w:val="18"/>
          <w:szCs w:val="18"/>
        </w:rPr>
        <w:t>mm/a</w:t>
      </w:r>
    </w:p>
    <w:tbl>
      <w:tblPr>
        <w:tblStyle w:val="1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8"/>
        <w:gridCol w:w="1701"/>
        <w:gridCol w:w="1593"/>
        <w:gridCol w:w="1329"/>
        <w:gridCol w:w="1329"/>
        <w:gridCol w:w="1330"/>
        <w:gridCol w:w="13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trPr>
        <w:tc>
          <w:tcPr>
            <w:tcW w:w="959" w:type="dxa"/>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灾种</w:t>
            </w:r>
          </w:p>
        </w:tc>
        <w:tc>
          <w:tcPr>
            <w:tcW w:w="1701" w:type="dxa"/>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技术方法</w:t>
            </w:r>
          </w:p>
        </w:tc>
        <w:tc>
          <w:tcPr>
            <w:tcW w:w="6911" w:type="dxa"/>
            <w:gridSpan w:val="5"/>
            <w:shd w:val="clear" w:color="auto" w:fill="auto"/>
            <w:vAlign w:val="center"/>
          </w:tcPr>
          <w:p>
            <w:pPr>
              <w:jc w:val="center"/>
              <w:rPr>
                <w:rFonts w:ascii="Times New Roman" w:hAnsi="Times New Roman"/>
                <w:sz w:val="18"/>
                <w:szCs w:val="18"/>
              </w:rPr>
            </w:pPr>
            <w:r>
              <w:rPr>
                <w:rFonts w:ascii="Times New Roman" w:hAnsi="Times New Roman"/>
                <w:sz w:val="18"/>
                <w:szCs w:val="18"/>
              </w:rPr>
              <w:t>不同工作条下应达到的监测内符合精度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trPr>
        <w:tc>
          <w:tcPr>
            <w:tcW w:w="959" w:type="dxa"/>
            <w:vMerge w:val="continue"/>
            <w:shd w:val="clear" w:color="auto" w:fill="auto"/>
            <w:vAlign w:val="center"/>
          </w:tcPr>
          <w:p>
            <w:pPr>
              <w:jc w:val="center"/>
              <w:rPr>
                <w:rFonts w:ascii="Times New Roman" w:hAnsi="Times New Roman"/>
                <w:sz w:val="18"/>
                <w:szCs w:val="18"/>
              </w:rPr>
            </w:pPr>
          </w:p>
        </w:tc>
        <w:tc>
          <w:tcPr>
            <w:tcW w:w="1701" w:type="dxa"/>
            <w:vMerge w:val="continue"/>
            <w:shd w:val="clear" w:color="auto" w:fill="auto"/>
            <w:vAlign w:val="center"/>
          </w:tcPr>
          <w:p>
            <w:pPr>
              <w:jc w:val="center"/>
              <w:rPr>
                <w:rFonts w:ascii="Times New Roman" w:hAnsi="Times New Roman"/>
                <w:sz w:val="18"/>
                <w:szCs w:val="18"/>
              </w:rPr>
            </w:pP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I</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II</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III</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IV</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滑坡</w:t>
            </w: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D-InSAR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20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50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70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90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PS-InSAR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5</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15</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18</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SBAS-InSAR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20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30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50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CR-InSAR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3</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4</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7</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8</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Offset-SAR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500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1 500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1 500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2 000</w:t>
            </w:r>
          </w:p>
        </w:tc>
        <w:tc>
          <w:tcPr>
            <w:tcW w:w="1330"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崩塌</w:t>
            </w: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PS-InSAR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3</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6</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7</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9</w:t>
            </w:r>
          </w:p>
        </w:tc>
        <w:tc>
          <w:tcPr>
            <w:tcW w:w="1330"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SBAS-InSAR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5</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13</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16</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18</w:t>
            </w:r>
          </w:p>
        </w:tc>
        <w:tc>
          <w:tcPr>
            <w:tcW w:w="1330"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CR-InSAR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2</w:t>
            </w:r>
          </w:p>
        </w:tc>
        <w:tc>
          <w:tcPr>
            <w:tcW w:w="1329"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5</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5</w:t>
            </w:r>
          </w:p>
        </w:tc>
        <w:tc>
          <w:tcPr>
            <w:tcW w:w="1330"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泥石流</w:t>
            </w: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D-InSAR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50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90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100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120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PS-InSAR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20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60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70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80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SBAS-InSAR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30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120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150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180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CR-InSAR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12</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15</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18</w:t>
            </w:r>
          </w:p>
        </w:tc>
        <w:tc>
          <w:tcPr>
            <w:tcW w:w="1330"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Offset-SAR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800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1 500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1 500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2 000</w:t>
            </w:r>
          </w:p>
        </w:tc>
        <w:tc>
          <w:tcPr>
            <w:tcW w:w="1330"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地面塌陷</w:t>
            </w: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D-InSAR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20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30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40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PS-InSAR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2</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3</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5</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8</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SBAS-InSAR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3</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4</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6</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8</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Offset-SAR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500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1 000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1 000</w:t>
            </w:r>
          </w:p>
        </w:tc>
        <w:tc>
          <w:tcPr>
            <w:tcW w:w="1330"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c>
          <w:tcPr>
            <w:tcW w:w="1330"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地面沉降与地裂缝</w:t>
            </w: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D-InSAR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20</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50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80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PS-InSAR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2</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3</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4</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5</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SBAS-InSAR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5</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7</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9" w:type="dxa"/>
            <w:vMerge w:val="continue"/>
            <w:shd w:val="clear" w:color="auto" w:fill="auto"/>
            <w:vAlign w:val="center"/>
          </w:tcPr>
          <w:p>
            <w:pPr>
              <w:jc w:val="center"/>
              <w:rPr>
                <w:rFonts w:ascii="Times New Roman" w:hAnsi="Times New Roman"/>
                <w:sz w:val="18"/>
                <w:szCs w:val="18"/>
              </w:rPr>
            </w:pPr>
          </w:p>
        </w:tc>
        <w:tc>
          <w:tcPr>
            <w:tcW w:w="1701" w:type="dxa"/>
            <w:shd w:val="clear" w:color="auto" w:fill="auto"/>
            <w:vAlign w:val="center"/>
          </w:tcPr>
          <w:p>
            <w:pPr>
              <w:jc w:val="center"/>
              <w:rPr>
                <w:rFonts w:ascii="Times New Roman" w:hAnsi="Times New Roman"/>
                <w:sz w:val="18"/>
                <w:szCs w:val="18"/>
              </w:rPr>
            </w:pPr>
            <w:r>
              <w:rPr>
                <w:rFonts w:ascii="Times New Roman" w:hAnsi="Times New Roman"/>
                <w:sz w:val="18"/>
                <w:szCs w:val="18"/>
              </w:rPr>
              <w:t>CR-InSAR</w:t>
            </w:r>
          </w:p>
        </w:tc>
        <w:tc>
          <w:tcPr>
            <w:tcW w:w="1593" w:type="dxa"/>
            <w:shd w:val="clear" w:color="auto" w:fill="auto"/>
            <w:vAlign w:val="center"/>
          </w:tcPr>
          <w:p>
            <w:pPr>
              <w:jc w:val="center"/>
              <w:rPr>
                <w:rFonts w:ascii="Times New Roman" w:hAnsi="Times New Roman"/>
                <w:sz w:val="18"/>
                <w:szCs w:val="18"/>
              </w:rPr>
            </w:pPr>
            <w:r>
              <w:rPr>
                <w:rFonts w:ascii="Times New Roman" w:hAnsi="Times New Roman"/>
                <w:sz w:val="18"/>
                <w:szCs w:val="18"/>
              </w:rPr>
              <w:t>1</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3</w:t>
            </w:r>
          </w:p>
        </w:tc>
        <w:tc>
          <w:tcPr>
            <w:tcW w:w="1329" w:type="dxa"/>
            <w:shd w:val="clear" w:color="auto" w:fill="auto"/>
            <w:vAlign w:val="center"/>
          </w:tcPr>
          <w:p>
            <w:pPr>
              <w:jc w:val="center"/>
              <w:rPr>
                <w:rFonts w:ascii="Times New Roman" w:hAnsi="Times New Roman"/>
                <w:sz w:val="18"/>
                <w:szCs w:val="18"/>
              </w:rPr>
            </w:pPr>
            <w:r>
              <w:rPr>
                <w:rFonts w:ascii="Times New Roman" w:hAnsi="Times New Roman"/>
                <w:sz w:val="18"/>
                <w:szCs w:val="18"/>
              </w:rPr>
              <w:t>3</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4</w:t>
            </w:r>
          </w:p>
        </w:tc>
        <w:tc>
          <w:tcPr>
            <w:tcW w:w="1330" w:type="dxa"/>
            <w:shd w:val="clear" w:color="auto" w:fill="auto"/>
            <w:vAlign w:val="center"/>
          </w:tcPr>
          <w:p>
            <w:pPr>
              <w:jc w:val="center"/>
              <w:rPr>
                <w:rFonts w:ascii="Times New Roman" w:hAnsi="Times New Roman"/>
                <w:sz w:val="18"/>
                <w:szCs w:val="18"/>
              </w:rPr>
            </w:pPr>
            <w:r>
              <w:rPr>
                <w:rFonts w:ascii="Times New Roman" w:hAnsi="Times New Roman"/>
                <w:sz w:val="18"/>
                <w:szCs w:val="1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571" w:type="dxa"/>
            <w:gridSpan w:val="7"/>
            <w:shd w:val="clear" w:color="auto" w:fill="auto"/>
            <w:vAlign w:val="center"/>
          </w:tcPr>
          <w:p>
            <w:pPr>
              <w:rPr>
                <w:rFonts w:ascii="Times New Roman" w:hAnsi="Times New Roman"/>
                <w:sz w:val="18"/>
                <w:szCs w:val="18"/>
              </w:rPr>
            </w:pPr>
            <w:r>
              <w:rPr>
                <w:rFonts w:ascii="黑体" w:hAnsi="黑体" w:eastAsia="黑体"/>
                <w:sz w:val="18"/>
                <w:szCs w:val="18"/>
              </w:rPr>
              <w:t>注</w:t>
            </w:r>
            <w:r>
              <w:rPr>
                <w:rFonts w:hint="eastAsia" w:ascii="黑体" w:hAnsi="黑体" w:eastAsia="黑体"/>
                <w:sz w:val="18"/>
                <w:szCs w:val="18"/>
              </w:rPr>
              <w:t>1</w:t>
            </w:r>
            <w:r>
              <w:rPr>
                <w:rFonts w:ascii="黑体" w:hAnsi="黑体" w:eastAsia="黑体"/>
                <w:sz w:val="18"/>
                <w:szCs w:val="18"/>
              </w:rPr>
              <w:t>：</w:t>
            </w:r>
            <w:r>
              <w:rPr>
                <w:rFonts w:ascii="Times New Roman" w:hAnsi="Times New Roman"/>
                <w:sz w:val="18"/>
                <w:szCs w:val="18"/>
              </w:rPr>
              <w:t>工作条件分类依据表A-1执行</w:t>
            </w:r>
            <w:r>
              <w:rPr>
                <w:rFonts w:hint="eastAsia" w:ascii="Times New Roman" w:hAnsi="Times New Roman"/>
                <w:sz w:val="18"/>
                <w:szCs w:val="18"/>
              </w:rPr>
              <w:t>。</w:t>
            </w:r>
          </w:p>
          <w:p>
            <w:pPr>
              <w:rPr>
                <w:rFonts w:ascii="Times New Roman" w:hAnsi="Times New Roman"/>
                <w:sz w:val="18"/>
                <w:szCs w:val="18"/>
              </w:rPr>
            </w:pPr>
            <w:r>
              <w:rPr>
                <w:rFonts w:ascii="黑体" w:hAnsi="黑体" w:eastAsia="黑体"/>
                <w:sz w:val="18"/>
                <w:szCs w:val="18"/>
              </w:rPr>
              <w:t>注</w:t>
            </w:r>
            <w:r>
              <w:rPr>
                <w:rFonts w:hint="eastAsia" w:ascii="黑体" w:hAnsi="黑体" w:eastAsia="黑体"/>
                <w:sz w:val="18"/>
                <w:szCs w:val="18"/>
              </w:rPr>
              <w:t>2</w:t>
            </w:r>
            <w:r>
              <w:rPr>
                <w:rFonts w:ascii="黑体" w:hAnsi="黑体" w:eastAsia="黑体"/>
                <w:sz w:val="18"/>
                <w:szCs w:val="18"/>
              </w:rPr>
              <w:t>：</w:t>
            </w:r>
            <w:r>
              <w:rPr>
                <w:rFonts w:ascii="Times New Roman" w:hAnsi="Times New Roman"/>
                <w:sz w:val="18"/>
                <w:szCs w:val="18"/>
              </w:rPr>
              <w:t>采用组合方法时，精度应优于其中的最好值。</w:t>
            </w:r>
          </w:p>
        </w:tc>
      </w:tr>
    </w:tbl>
    <w:p>
      <w:pPr>
        <w:keepNext/>
        <w:keepLines/>
        <w:adjustRightInd w:val="0"/>
        <w:snapToGrid w:val="0"/>
        <w:spacing w:before="120" w:beforeLines="50" w:after="120" w:afterLines="50"/>
        <w:jc w:val="left"/>
        <w:rPr>
          <w:rFonts w:ascii="黑体" w:hAnsi="黑体" w:eastAsia="黑体"/>
          <w:bCs/>
          <w:kern w:val="44"/>
          <w:szCs w:val="21"/>
        </w:rPr>
        <w:sectPr>
          <w:pgSz w:w="11906" w:h="16838"/>
          <w:pgMar w:top="1418" w:right="1134" w:bottom="1134" w:left="1418" w:header="851" w:footer="992" w:gutter="0"/>
          <w:cols w:space="425" w:num="1"/>
          <w:docGrid w:linePitch="312" w:charSpace="0"/>
        </w:sectPr>
      </w:pP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A.4  现有可用星载SAR传感器基本参数及应用特征表</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w:t>
      </w:r>
      <w:r>
        <w:rPr>
          <w:rFonts w:hint="eastAsia" w:ascii="黑体" w:hAnsi="黑体" w:eastAsia="黑体"/>
          <w:kern w:val="0"/>
          <w:szCs w:val="21"/>
        </w:rPr>
        <w:t>4  现有可用星载SAR传感器基本参数及应用特征表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19"/>
        <w:gridCol w:w="973"/>
        <w:gridCol w:w="732"/>
        <w:gridCol w:w="1140"/>
        <w:gridCol w:w="836"/>
        <w:gridCol w:w="829"/>
        <w:gridCol w:w="1139"/>
        <w:gridCol w:w="1882"/>
        <w:gridCol w:w="2785"/>
        <w:gridCol w:w="1199"/>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星载SAR系统</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ERS-1/2</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JERS-1</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RADARSAT-1</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ENVISAT -ASAR</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ALOS-</w:t>
            </w:r>
          </w:p>
          <w:p>
            <w:pPr>
              <w:adjustRightInd w:val="0"/>
              <w:snapToGrid w:val="0"/>
              <w:jc w:val="center"/>
              <w:rPr>
                <w:rFonts w:ascii="Times New Roman" w:hAnsi="Times New Roman"/>
                <w:sz w:val="18"/>
                <w:szCs w:val="18"/>
              </w:rPr>
            </w:pPr>
            <w:r>
              <w:rPr>
                <w:rFonts w:ascii="Times New Roman" w:hAnsi="Times New Roman"/>
                <w:sz w:val="18"/>
                <w:szCs w:val="18"/>
              </w:rPr>
              <w:t>PALSAR</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RADARSAT-2</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TerraSAR-X/TanDEM-X</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COSMO- SkyMed</w:t>
            </w:r>
          </w:p>
          <w:p>
            <w:pPr>
              <w:adjustRightInd w:val="0"/>
              <w:snapToGrid w:val="0"/>
              <w:jc w:val="center"/>
              <w:rPr>
                <w:rFonts w:ascii="Times New Roman" w:hAnsi="Times New Roman"/>
                <w:sz w:val="18"/>
                <w:szCs w:val="18"/>
                <w:vertAlign w:val="superscript"/>
              </w:rPr>
            </w:pPr>
            <w:r>
              <w:rPr>
                <w:rFonts w:ascii="Times New Roman" w:hAnsi="Times New Roman"/>
                <w:sz w:val="18"/>
                <w:szCs w:val="18"/>
              </w:rPr>
              <w:t>星座</w:t>
            </w:r>
            <w:r>
              <w:rPr>
                <w:rFonts w:hint="eastAsia" w:ascii="Times New Roman" w:hAnsi="Times New Roman"/>
                <w:sz w:val="18"/>
                <w:szCs w:val="18"/>
              </w:rPr>
              <w:t>（4）</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Sentinel-1A</w:t>
            </w:r>
          </w:p>
          <w:p>
            <w:pPr>
              <w:adjustRightInd w:val="0"/>
              <w:snapToGrid w:val="0"/>
              <w:jc w:val="center"/>
              <w:rPr>
                <w:rFonts w:ascii="Times New Roman" w:hAnsi="Times New Roman"/>
                <w:sz w:val="18"/>
                <w:szCs w:val="18"/>
              </w:rPr>
            </w:pPr>
            <w:r>
              <w:rPr>
                <w:rFonts w:ascii="Times New Roman" w:hAnsi="Times New Roman"/>
                <w:sz w:val="18"/>
                <w:szCs w:val="18"/>
              </w:rPr>
              <w:t>（1B）</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 xml:space="preserve">ALOS-2 </w:t>
            </w:r>
            <w:r>
              <w:rPr>
                <w:rFonts w:hint="eastAsia" w:ascii="Times New Roman" w:hAnsi="Times New Roman"/>
                <w:sz w:val="18"/>
                <w:szCs w:val="18"/>
              </w:rPr>
              <w:t>（</w:t>
            </w:r>
            <w:r>
              <w:rPr>
                <w:rFonts w:ascii="Times New Roman" w:hAnsi="Times New Roman"/>
                <w:sz w:val="18"/>
                <w:szCs w:val="18"/>
              </w:rPr>
              <w:t>PALSAR-2</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所属国家/机构</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欧空局</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日本</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加拿大</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欧空局</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日本</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加拿大</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德国</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意大利</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欧空局</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日本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运行时间</w:t>
            </w:r>
          </w:p>
          <w:p>
            <w:pPr>
              <w:adjustRightInd w:val="0"/>
              <w:snapToGrid w:val="0"/>
              <w:jc w:val="center"/>
              <w:rPr>
                <w:rFonts w:ascii="Times New Roman" w:hAnsi="Times New Roman"/>
                <w:sz w:val="18"/>
                <w:szCs w:val="18"/>
              </w:rPr>
            </w:pPr>
            <w:r>
              <w:rPr>
                <w:rFonts w:ascii="Times New Roman" w:hAnsi="Times New Roman"/>
                <w:sz w:val="18"/>
                <w:szCs w:val="18"/>
              </w:rPr>
              <w:t>（开始年份-终止年份）</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w:t>
            </w:r>
            <w:r>
              <w:rPr>
                <w:rFonts w:hint="eastAsia" w:ascii="Times New Roman" w:hAnsi="Times New Roman"/>
                <w:sz w:val="18"/>
                <w:szCs w:val="18"/>
              </w:rPr>
              <w:t>.</w:t>
            </w:r>
            <w:r>
              <w:rPr>
                <w:rFonts w:ascii="Times New Roman" w:hAnsi="Times New Roman"/>
                <w:sz w:val="18"/>
                <w:szCs w:val="18"/>
              </w:rPr>
              <w:t>1991-2000</w:t>
            </w:r>
          </w:p>
          <w:p>
            <w:pPr>
              <w:adjustRightInd w:val="0"/>
              <w:snapToGrid w:val="0"/>
              <w:jc w:val="center"/>
              <w:rPr>
                <w:rFonts w:ascii="Times New Roman" w:hAnsi="Times New Roman"/>
                <w:sz w:val="18"/>
                <w:szCs w:val="18"/>
              </w:rPr>
            </w:pPr>
            <w:r>
              <w:rPr>
                <w:rFonts w:ascii="Times New Roman" w:hAnsi="Times New Roman"/>
                <w:sz w:val="18"/>
                <w:szCs w:val="18"/>
              </w:rPr>
              <w:t>2</w:t>
            </w:r>
            <w:r>
              <w:rPr>
                <w:rFonts w:hint="eastAsia" w:ascii="Times New Roman" w:hAnsi="Times New Roman"/>
                <w:sz w:val="18"/>
                <w:szCs w:val="18"/>
              </w:rPr>
              <w:t>.</w:t>
            </w:r>
            <w:r>
              <w:rPr>
                <w:rFonts w:ascii="Times New Roman" w:hAnsi="Times New Roman"/>
                <w:sz w:val="18"/>
                <w:szCs w:val="18"/>
              </w:rPr>
              <w:t>1995-2012</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1992-</w:t>
            </w:r>
          </w:p>
          <w:p>
            <w:pPr>
              <w:adjustRightInd w:val="0"/>
              <w:snapToGrid w:val="0"/>
              <w:jc w:val="center"/>
              <w:rPr>
                <w:rFonts w:ascii="Times New Roman" w:hAnsi="Times New Roman"/>
                <w:sz w:val="18"/>
                <w:szCs w:val="18"/>
              </w:rPr>
            </w:pPr>
            <w:r>
              <w:rPr>
                <w:rFonts w:ascii="Times New Roman" w:hAnsi="Times New Roman"/>
                <w:sz w:val="18"/>
                <w:szCs w:val="18"/>
              </w:rPr>
              <w:t>1998</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1995-</w:t>
            </w:r>
            <w:r>
              <w:rPr>
                <w:rFonts w:hint="eastAsia" w:ascii="Times New Roman" w:hAnsi="Times New Roman"/>
                <w:sz w:val="18"/>
                <w:szCs w:val="18"/>
              </w:rPr>
              <w:t>2013</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2002-2012</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2006-2011</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2007-</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2007-</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2007-</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2014.4-2021</w:t>
            </w:r>
          </w:p>
          <w:p>
            <w:pPr>
              <w:adjustRightInd w:val="0"/>
              <w:snapToGrid w:val="0"/>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2026</w:t>
            </w:r>
            <w:r>
              <w:rPr>
                <w:rFonts w:hint="eastAsia" w:ascii="Times New Roman" w:hAnsi="Times New Roman"/>
                <w:sz w:val="18"/>
                <w:szCs w:val="18"/>
              </w:rPr>
              <w:t>）</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2014.5-2018</w:t>
            </w:r>
          </w:p>
          <w:p>
            <w:pPr>
              <w:adjustRightInd w:val="0"/>
              <w:snapToGrid w:val="0"/>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2020</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轨道高度（km）</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790</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568</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7</w:t>
            </w:r>
            <w:r>
              <w:rPr>
                <w:rFonts w:hint="eastAsia" w:ascii="Times New Roman" w:hAnsi="Times New Roman"/>
                <w:sz w:val="18"/>
                <w:szCs w:val="18"/>
              </w:rPr>
              <w:t>8</w:t>
            </w:r>
            <w:r>
              <w:rPr>
                <w:rFonts w:ascii="Times New Roman" w:hAnsi="Times New Roman"/>
                <w:sz w:val="18"/>
                <w:szCs w:val="18"/>
              </w:rPr>
              <w:t>0</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800</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691</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7</w:t>
            </w:r>
            <w:r>
              <w:rPr>
                <w:rFonts w:hint="eastAsia" w:ascii="Times New Roman" w:hAnsi="Times New Roman"/>
                <w:sz w:val="18"/>
                <w:szCs w:val="18"/>
              </w:rPr>
              <w:t>98</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514</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6</w:t>
            </w:r>
            <w:r>
              <w:rPr>
                <w:rFonts w:hint="eastAsia" w:ascii="Times New Roman" w:hAnsi="Times New Roman"/>
                <w:sz w:val="18"/>
                <w:szCs w:val="18"/>
              </w:rPr>
              <w:t>19</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693</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628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波长（cm）</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C（5.6）</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L（23.5）</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C（5.6）</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C（5.6）</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L（23.5）</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C（5.6）</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X（3.1）</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X（3.1）</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C（5.6）</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L（25.0）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极化方式</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VV</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HH</w:t>
            </w:r>
          </w:p>
        </w:tc>
        <w:tc>
          <w:tcPr>
            <w:tcW w:w="397"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HH</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HH/VV</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全极化</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单极化</w:t>
            </w:r>
            <w:r>
              <w:rPr>
                <w:rFonts w:hint="eastAsia" w:ascii="Times New Roman" w:hAnsi="Times New Roman"/>
                <w:sz w:val="18"/>
                <w:szCs w:val="18"/>
              </w:rPr>
              <w:t>/双极化/</w:t>
            </w:r>
            <w:r>
              <w:rPr>
                <w:rFonts w:ascii="Times New Roman" w:hAnsi="Times New Roman"/>
                <w:sz w:val="18"/>
                <w:szCs w:val="18"/>
              </w:rPr>
              <w:t>全极化</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全极化</w:t>
            </w:r>
          </w:p>
        </w:tc>
        <w:tc>
          <w:tcPr>
            <w:tcW w:w="971"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HH</w:t>
            </w:r>
            <w:r>
              <w:rPr>
                <w:rFonts w:hint="eastAsia" w:asciiTheme="minorEastAsia" w:hAnsiTheme="minorEastAsia" w:eastAsiaTheme="minorEastAsia"/>
                <w:sz w:val="18"/>
                <w:szCs w:val="18"/>
              </w:rPr>
              <w:t>,</w:t>
            </w:r>
            <w:r>
              <w:rPr>
                <w:rFonts w:hint="eastAsia" w:ascii="Times New Roman" w:hAnsi="Times New Roman"/>
                <w:sz w:val="18"/>
                <w:szCs w:val="18"/>
              </w:rPr>
              <w:t>VV</w:t>
            </w:r>
            <w:r>
              <w:rPr>
                <w:rFonts w:hint="eastAsia" w:asciiTheme="minorEastAsia" w:hAnsiTheme="minorEastAsia" w:eastAsiaTheme="minorEastAsia"/>
                <w:sz w:val="18"/>
                <w:szCs w:val="18"/>
              </w:rPr>
              <w:t>,</w:t>
            </w:r>
            <w:r>
              <w:rPr>
                <w:rFonts w:hint="eastAsia" w:ascii="Times New Roman" w:hAnsi="Times New Roman"/>
                <w:sz w:val="18"/>
                <w:szCs w:val="18"/>
              </w:rPr>
              <w:t>HV</w:t>
            </w:r>
            <w:r>
              <w:rPr>
                <w:rFonts w:hint="eastAsia" w:asciiTheme="minorEastAsia" w:hAnsiTheme="minorEastAsia" w:eastAsiaTheme="minorEastAsia"/>
                <w:sz w:val="18"/>
                <w:szCs w:val="18"/>
              </w:rPr>
              <w:t>,</w:t>
            </w:r>
            <w:r>
              <w:rPr>
                <w:rFonts w:hint="eastAsia" w:ascii="Times New Roman" w:hAnsi="Times New Roman"/>
                <w:sz w:val="18"/>
                <w:szCs w:val="18"/>
              </w:rPr>
              <w:t>VH</w:t>
            </w:r>
            <w:r>
              <w:rPr>
                <w:rFonts w:hint="eastAsia" w:asciiTheme="minorEastAsia" w:hAnsiTheme="minorEastAsia" w:eastAsiaTheme="minorEastAsia"/>
                <w:sz w:val="18"/>
                <w:szCs w:val="18"/>
              </w:rPr>
              <w:t>,</w:t>
            </w:r>
            <w:r>
              <w:rPr>
                <w:rFonts w:hint="eastAsia" w:ascii="Times New Roman" w:hAnsi="Times New Roman"/>
                <w:sz w:val="18"/>
                <w:szCs w:val="18"/>
              </w:rPr>
              <w:t>HH/VV</w:t>
            </w:r>
            <w:r>
              <w:rPr>
                <w:rFonts w:hint="eastAsia" w:asciiTheme="minorEastAsia" w:hAnsiTheme="minorEastAsia" w:eastAsiaTheme="minorEastAsia"/>
                <w:sz w:val="18"/>
                <w:szCs w:val="18"/>
              </w:rPr>
              <w:t>,</w:t>
            </w:r>
            <w:r>
              <w:rPr>
                <w:rFonts w:hint="eastAsia" w:ascii="Times New Roman" w:hAnsi="Times New Roman"/>
                <w:sz w:val="18"/>
                <w:szCs w:val="18"/>
              </w:rPr>
              <w:t>HH/HV</w:t>
            </w:r>
            <w:r>
              <w:rPr>
                <w:rFonts w:hint="eastAsia" w:asciiTheme="minorEastAsia" w:hAnsiTheme="minorEastAsia" w:eastAsiaTheme="minorEastAsia"/>
                <w:sz w:val="18"/>
                <w:szCs w:val="18"/>
              </w:rPr>
              <w:t>,</w:t>
            </w:r>
            <w:r>
              <w:rPr>
                <w:rFonts w:hint="eastAsia" w:ascii="Times New Roman" w:hAnsi="Times New Roman"/>
                <w:sz w:val="18"/>
                <w:szCs w:val="18"/>
              </w:rPr>
              <w:t>VV/VH</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HH + HV</w:t>
            </w:r>
            <w:r>
              <w:rPr>
                <w:rFonts w:asciiTheme="minorEastAsia" w:hAnsiTheme="minorEastAsia" w:eastAsiaTheme="minorEastAsia"/>
                <w:sz w:val="18"/>
                <w:szCs w:val="18"/>
              </w:rPr>
              <w:t xml:space="preserve">, </w:t>
            </w:r>
            <w:r>
              <w:rPr>
                <w:rFonts w:ascii="Times New Roman" w:hAnsi="Times New Roman"/>
                <w:sz w:val="18"/>
                <w:szCs w:val="18"/>
              </w:rPr>
              <w:t>VV+ VH</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全极化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侧视角（°）</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23</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35</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23-65</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15-45</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8-50.8</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23-65</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20-55</w:t>
            </w:r>
          </w:p>
        </w:tc>
        <w:tc>
          <w:tcPr>
            <w:tcW w:w="971"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16.36</w:t>
            </w:r>
            <w:r>
              <w:rPr>
                <w:rFonts w:ascii="Times New Roman" w:hAnsi="Times New Roman"/>
                <w:sz w:val="18"/>
                <w:szCs w:val="18"/>
              </w:rPr>
              <w:t>-</w:t>
            </w:r>
            <w:r>
              <w:rPr>
                <w:rFonts w:hint="eastAsia" w:ascii="Times New Roman" w:hAnsi="Times New Roman"/>
                <w:sz w:val="18"/>
                <w:szCs w:val="18"/>
              </w:rPr>
              <w:t>52.06</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20.0-45.0</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8.0-70.0</w:t>
            </w:r>
          </w:p>
          <w:p>
            <w:pPr>
              <w:adjustRightInd w:val="0"/>
              <w:snapToGrid w:val="0"/>
              <w:jc w:val="center"/>
              <w:rPr>
                <w:rFonts w:ascii="Times New Roman" w:hAnsi="Times New Roman"/>
                <w:sz w:val="18"/>
                <w:szCs w:val="18"/>
              </w:rPr>
            </w:pPr>
            <w:r>
              <w:rPr>
                <w:rFonts w:ascii="Times New Roman" w:hAnsi="Times New Roman"/>
                <w:sz w:val="18"/>
                <w:szCs w:val="18"/>
              </w:rPr>
              <w:t>（左右双向）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bCs/>
                <w:sz w:val="18"/>
                <w:szCs w:val="18"/>
              </w:rPr>
            </w:pPr>
            <w:r>
              <w:rPr>
                <w:rFonts w:ascii="Times New Roman" w:hAnsi="Times New Roman"/>
                <w:sz w:val="18"/>
                <w:szCs w:val="18"/>
              </w:rPr>
              <w:t>轨道倾角（度）</w:t>
            </w:r>
          </w:p>
        </w:tc>
        <w:tc>
          <w:tcPr>
            <w:tcW w:w="339" w:type="pct"/>
            <w:vAlign w:val="center"/>
          </w:tcPr>
          <w:p>
            <w:pPr>
              <w:adjustRightInd w:val="0"/>
              <w:snapToGrid w:val="0"/>
              <w:jc w:val="center"/>
              <w:rPr>
                <w:rFonts w:ascii="Times New Roman" w:hAnsi="Times New Roman"/>
                <w:bCs/>
                <w:sz w:val="18"/>
                <w:szCs w:val="18"/>
              </w:rPr>
            </w:pPr>
            <w:r>
              <w:rPr>
                <w:rFonts w:ascii="Times New Roman" w:hAnsi="Times New Roman"/>
                <w:sz w:val="18"/>
                <w:szCs w:val="18"/>
              </w:rPr>
              <w:t>98.49</w:t>
            </w:r>
          </w:p>
        </w:tc>
        <w:tc>
          <w:tcPr>
            <w:tcW w:w="255" w:type="pct"/>
            <w:vAlign w:val="center"/>
          </w:tcPr>
          <w:p>
            <w:pPr>
              <w:adjustRightInd w:val="0"/>
              <w:snapToGrid w:val="0"/>
              <w:jc w:val="center"/>
              <w:rPr>
                <w:rFonts w:ascii="Times New Roman" w:hAnsi="Times New Roman"/>
                <w:bCs/>
                <w:sz w:val="18"/>
                <w:szCs w:val="18"/>
              </w:rPr>
            </w:pPr>
            <w:r>
              <w:rPr>
                <w:rFonts w:ascii="Times New Roman" w:hAnsi="Times New Roman"/>
                <w:sz w:val="18"/>
                <w:szCs w:val="18"/>
              </w:rPr>
              <w:t>98.16</w:t>
            </w:r>
          </w:p>
        </w:tc>
        <w:tc>
          <w:tcPr>
            <w:tcW w:w="397" w:type="pct"/>
            <w:vAlign w:val="center"/>
          </w:tcPr>
          <w:p>
            <w:pPr>
              <w:adjustRightInd w:val="0"/>
              <w:snapToGrid w:val="0"/>
              <w:jc w:val="center"/>
              <w:rPr>
                <w:rFonts w:ascii="Times New Roman" w:hAnsi="Times New Roman"/>
                <w:bCs/>
                <w:sz w:val="18"/>
                <w:szCs w:val="18"/>
              </w:rPr>
            </w:pPr>
            <w:r>
              <w:rPr>
                <w:rFonts w:ascii="Times New Roman" w:hAnsi="Times New Roman"/>
                <w:sz w:val="18"/>
                <w:szCs w:val="18"/>
              </w:rPr>
              <w:t>98.6</w:t>
            </w:r>
          </w:p>
        </w:tc>
        <w:tc>
          <w:tcPr>
            <w:tcW w:w="291" w:type="pct"/>
            <w:vAlign w:val="center"/>
          </w:tcPr>
          <w:p>
            <w:pPr>
              <w:adjustRightInd w:val="0"/>
              <w:snapToGrid w:val="0"/>
              <w:jc w:val="center"/>
              <w:rPr>
                <w:rFonts w:ascii="Times New Roman" w:hAnsi="Times New Roman"/>
                <w:bCs/>
                <w:sz w:val="18"/>
                <w:szCs w:val="18"/>
              </w:rPr>
            </w:pPr>
            <w:r>
              <w:rPr>
                <w:rFonts w:ascii="Times New Roman" w:hAnsi="Times New Roman"/>
                <w:sz w:val="18"/>
                <w:szCs w:val="18"/>
              </w:rPr>
              <w:t>98.55</w:t>
            </w:r>
          </w:p>
        </w:tc>
        <w:tc>
          <w:tcPr>
            <w:tcW w:w="289" w:type="pct"/>
            <w:vAlign w:val="center"/>
          </w:tcPr>
          <w:p>
            <w:pPr>
              <w:adjustRightInd w:val="0"/>
              <w:snapToGrid w:val="0"/>
              <w:jc w:val="center"/>
              <w:rPr>
                <w:rFonts w:ascii="Times New Roman" w:hAnsi="Times New Roman"/>
                <w:bCs/>
                <w:sz w:val="18"/>
                <w:szCs w:val="18"/>
              </w:rPr>
            </w:pPr>
            <w:r>
              <w:rPr>
                <w:rFonts w:ascii="Times New Roman" w:hAnsi="Times New Roman"/>
                <w:sz w:val="18"/>
                <w:szCs w:val="18"/>
              </w:rPr>
              <w:t>98.16</w:t>
            </w:r>
          </w:p>
        </w:tc>
        <w:tc>
          <w:tcPr>
            <w:tcW w:w="397" w:type="pct"/>
            <w:vAlign w:val="center"/>
          </w:tcPr>
          <w:p>
            <w:pPr>
              <w:adjustRightInd w:val="0"/>
              <w:snapToGrid w:val="0"/>
              <w:jc w:val="center"/>
              <w:rPr>
                <w:rFonts w:ascii="Times New Roman" w:hAnsi="Times New Roman"/>
                <w:bCs/>
                <w:sz w:val="18"/>
                <w:szCs w:val="18"/>
              </w:rPr>
            </w:pPr>
            <w:r>
              <w:rPr>
                <w:rFonts w:ascii="Times New Roman" w:hAnsi="Times New Roman"/>
                <w:sz w:val="18"/>
                <w:szCs w:val="18"/>
              </w:rPr>
              <w:t>98.6</w:t>
            </w:r>
          </w:p>
        </w:tc>
        <w:tc>
          <w:tcPr>
            <w:tcW w:w="656" w:type="pct"/>
            <w:vAlign w:val="center"/>
          </w:tcPr>
          <w:p>
            <w:pPr>
              <w:adjustRightInd w:val="0"/>
              <w:snapToGrid w:val="0"/>
              <w:jc w:val="center"/>
              <w:rPr>
                <w:rFonts w:ascii="Times New Roman" w:hAnsi="Times New Roman"/>
                <w:bCs/>
                <w:sz w:val="18"/>
                <w:szCs w:val="18"/>
              </w:rPr>
            </w:pPr>
            <w:r>
              <w:rPr>
                <w:rFonts w:ascii="Times New Roman" w:hAnsi="Times New Roman"/>
                <w:sz w:val="18"/>
                <w:szCs w:val="18"/>
              </w:rPr>
              <w:t>97.44</w:t>
            </w:r>
          </w:p>
        </w:tc>
        <w:tc>
          <w:tcPr>
            <w:tcW w:w="971" w:type="pct"/>
            <w:vAlign w:val="center"/>
          </w:tcPr>
          <w:p>
            <w:pPr>
              <w:adjustRightInd w:val="0"/>
              <w:snapToGrid w:val="0"/>
              <w:jc w:val="center"/>
              <w:rPr>
                <w:rFonts w:ascii="Times New Roman" w:hAnsi="Times New Roman"/>
                <w:bCs/>
                <w:sz w:val="18"/>
                <w:szCs w:val="18"/>
              </w:rPr>
            </w:pPr>
            <w:r>
              <w:rPr>
                <w:rFonts w:ascii="Times New Roman" w:hAnsi="Times New Roman"/>
                <w:sz w:val="18"/>
                <w:szCs w:val="18"/>
              </w:rPr>
              <w:t>97.86</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98.18</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97.9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观测时间间隔（天）</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35</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44</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24</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35</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46</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24</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11（</w:t>
            </w:r>
            <w:r>
              <w:rPr>
                <w:rFonts w:hint="eastAsia" w:ascii="Times New Roman" w:hAnsi="Times New Roman"/>
                <w:sz w:val="18"/>
                <w:szCs w:val="18"/>
              </w:rPr>
              <w:t>5.5</w:t>
            </w:r>
            <w:r>
              <w:rPr>
                <w:rFonts w:ascii="Times New Roman" w:hAnsi="Times New Roman"/>
                <w:sz w:val="18"/>
                <w:szCs w:val="18"/>
              </w:rPr>
              <w:t>）</w:t>
            </w:r>
          </w:p>
        </w:tc>
        <w:tc>
          <w:tcPr>
            <w:tcW w:w="971"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干涉间隔天数可为1，3，4，7，8，9，12，16。单颗卫星16天，4颗卫星平均4天。</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12(单颗卫星)（4）</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地面分辨率（m）</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25</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25</w:t>
            </w:r>
          </w:p>
        </w:tc>
        <w:tc>
          <w:tcPr>
            <w:tcW w:w="397"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8</w:t>
            </w:r>
            <w:r>
              <w:rPr>
                <w:rFonts w:ascii="Times New Roman" w:hAnsi="Times New Roman"/>
                <w:sz w:val="18"/>
                <w:szCs w:val="18"/>
              </w:rPr>
              <w:t>-30</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25-100</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7-100</w:t>
            </w:r>
          </w:p>
        </w:tc>
        <w:tc>
          <w:tcPr>
            <w:tcW w:w="397"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聚焦模式1</w:t>
            </w:r>
          </w:p>
          <w:p>
            <w:pPr>
              <w:adjustRightInd w:val="0"/>
              <w:snapToGrid w:val="0"/>
              <w:jc w:val="center"/>
              <w:rPr>
                <w:rFonts w:ascii="Times New Roman" w:hAnsi="Times New Roman"/>
                <w:sz w:val="18"/>
                <w:szCs w:val="18"/>
              </w:rPr>
            </w:pPr>
            <w:r>
              <w:rPr>
                <w:rFonts w:ascii="Times New Roman" w:hAnsi="Times New Roman"/>
                <w:sz w:val="18"/>
                <w:szCs w:val="18"/>
              </w:rPr>
              <w:t>超级条带模式</w:t>
            </w:r>
            <w:r>
              <w:rPr>
                <w:rFonts w:hint="eastAsia" w:ascii="Times New Roman" w:hAnsi="Times New Roman"/>
                <w:sz w:val="18"/>
                <w:szCs w:val="18"/>
              </w:rPr>
              <w:t>3</w:t>
            </w:r>
          </w:p>
          <w:p>
            <w:pPr>
              <w:adjustRightInd w:val="0"/>
              <w:snapToGrid w:val="0"/>
              <w:jc w:val="center"/>
              <w:rPr>
                <w:rFonts w:ascii="Times New Roman" w:hAnsi="Times New Roman"/>
                <w:sz w:val="18"/>
                <w:szCs w:val="18"/>
              </w:rPr>
            </w:pPr>
            <w:r>
              <w:rPr>
                <w:rFonts w:ascii="Times New Roman" w:hAnsi="Times New Roman"/>
                <w:sz w:val="18"/>
                <w:szCs w:val="18"/>
              </w:rPr>
              <w:t>条带模式</w:t>
            </w:r>
            <w:r>
              <w:rPr>
                <w:rFonts w:hint="eastAsia" w:ascii="Times New Roman" w:hAnsi="Times New Roman"/>
                <w:sz w:val="18"/>
                <w:szCs w:val="18"/>
              </w:rPr>
              <w:t>5</w:t>
            </w:r>
          </w:p>
          <w:p>
            <w:pPr>
              <w:adjustRightInd w:val="0"/>
              <w:snapToGrid w:val="0"/>
              <w:jc w:val="center"/>
              <w:rPr>
                <w:rFonts w:ascii="Times New Roman" w:hAnsi="Times New Roman"/>
                <w:sz w:val="18"/>
                <w:szCs w:val="18"/>
              </w:rPr>
            </w:pPr>
            <w:r>
              <w:rPr>
                <w:rFonts w:hint="eastAsia" w:ascii="Times New Roman" w:hAnsi="Times New Roman"/>
                <w:sz w:val="18"/>
                <w:szCs w:val="18"/>
              </w:rPr>
              <w:t xml:space="preserve">其他模式＞5 </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凝视模式0.25</w:t>
            </w:r>
          </w:p>
          <w:p>
            <w:pPr>
              <w:adjustRightInd w:val="0"/>
              <w:snapToGrid w:val="0"/>
              <w:jc w:val="center"/>
              <w:rPr>
                <w:rFonts w:ascii="Times New Roman" w:hAnsi="Times New Roman"/>
                <w:sz w:val="18"/>
                <w:szCs w:val="18"/>
              </w:rPr>
            </w:pPr>
            <w:r>
              <w:rPr>
                <w:rFonts w:ascii="Times New Roman" w:hAnsi="Times New Roman"/>
                <w:sz w:val="18"/>
                <w:szCs w:val="18"/>
              </w:rPr>
              <w:t>聚束模式 1</w:t>
            </w:r>
          </w:p>
          <w:p>
            <w:pPr>
              <w:adjustRightInd w:val="0"/>
              <w:snapToGrid w:val="0"/>
              <w:jc w:val="center"/>
              <w:rPr>
                <w:rFonts w:ascii="Times New Roman" w:hAnsi="Times New Roman"/>
                <w:sz w:val="18"/>
                <w:szCs w:val="18"/>
              </w:rPr>
            </w:pPr>
            <w:r>
              <w:rPr>
                <w:rFonts w:ascii="Times New Roman" w:hAnsi="Times New Roman"/>
                <w:sz w:val="18"/>
                <w:szCs w:val="18"/>
              </w:rPr>
              <w:t>条带模式3</w:t>
            </w:r>
          </w:p>
          <w:p>
            <w:pPr>
              <w:adjustRightInd w:val="0"/>
              <w:snapToGrid w:val="0"/>
              <w:jc w:val="center"/>
              <w:rPr>
                <w:rFonts w:ascii="Times New Roman" w:hAnsi="Times New Roman"/>
                <w:sz w:val="18"/>
                <w:szCs w:val="18"/>
              </w:rPr>
            </w:pPr>
            <w:r>
              <w:rPr>
                <w:rFonts w:ascii="Times New Roman" w:hAnsi="Times New Roman"/>
                <w:sz w:val="18"/>
                <w:szCs w:val="18"/>
              </w:rPr>
              <w:t>扫描模式18.5</w:t>
            </w:r>
          </w:p>
          <w:p>
            <w:pPr>
              <w:adjustRightInd w:val="0"/>
              <w:snapToGrid w:val="0"/>
              <w:jc w:val="center"/>
              <w:rPr>
                <w:rFonts w:ascii="Times New Roman" w:hAnsi="Times New Roman"/>
                <w:sz w:val="18"/>
                <w:szCs w:val="18"/>
              </w:rPr>
            </w:pPr>
            <w:r>
              <w:rPr>
                <w:rFonts w:hint="eastAsia" w:ascii="Times New Roman" w:hAnsi="Times New Roman"/>
                <w:sz w:val="18"/>
                <w:szCs w:val="18"/>
              </w:rPr>
              <w:t>宽扫描模式 40</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聚束模式</w:t>
            </w:r>
            <w:r>
              <w:rPr>
                <w:rFonts w:hint="eastAsia" w:ascii="Times New Roman" w:hAnsi="Times New Roman"/>
                <w:sz w:val="18"/>
                <w:szCs w:val="18"/>
              </w:rPr>
              <w:t>1</w:t>
            </w:r>
          </w:p>
          <w:p>
            <w:pPr>
              <w:adjustRightInd w:val="0"/>
              <w:snapToGrid w:val="0"/>
              <w:jc w:val="center"/>
              <w:rPr>
                <w:rFonts w:ascii="Times New Roman" w:hAnsi="Times New Roman"/>
                <w:sz w:val="18"/>
                <w:szCs w:val="18"/>
              </w:rPr>
            </w:pPr>
            <w:r>
              <w:rPr>
                <w:rFonts w:ascii="Times New Roman" w:hAnsi="Times New Roman"/>
                <w:sz w:val="18"/>
                <w:szCs w:val="18"/>
              </w:rPr>
              <w:t>条带模式</w:t>
            </w:r>
            <w:r>
              <w:rPr>
                <w:rFonts w:hint="eastAsia" w:ascii="Times New Roman" w:hAnsi="Times New Roman"/>
                <w:sz w:val="18"/>
                <w:szCs w:val="18"/>
              </w:rPr>
              <w:t>3、15</w:t>
            </w:r>
          </w:p>
          <w:p>
            <w:pPr>
              <w:adjustRightInd w:val="0"/>
              <w:snapToGrid w:val="0"/>
              <w:jc w:val="center"/>
              <w:rPr>
                <w:rFonts w:ascii="Times New Roman" w:hAnsi="Times New Roman"/>
                <w:sz w:val="18"/>
                <w:szCs w:val="18"/>
              </w:rPr>
            </w:pPr>
            <w:r>
              <w:rPr>
                <w:rFonts w:ascii="Times New Roman" w:hAnsi="Times New Roman"/>
                <w:sz w:val="18"/>
                <w:szCs w:val="18"/>
              </w:rPr>
              <w:t>扫描模式</w:t>
            </w:r>
            <w:r>
              <w:rPr>
                <w:rFonts w:hint="eastAsia" w:ascii="Times New Roman" w:hAnsi="Times New Roman"/>
                <w:sz w:val="18"/>
                <w:szCs w:val="18"/>
              </w:rPr>
              <w:t>30</w:t>
            </w:r>
          </w:p>
          <w:p>
            <w:pPr>
              <w:adjustRightInd w:val="0"/>
              <w:snapToGrid w:val="0"/>
              <w:jc w:val="center"/>
              <w:rPr>
                <w:rFonts w:ascii="Times New Roman" w:hAnsi="Times New Roman"/>
                <w:sz w:val="18"/>
                <w:szCs w:val="18"/>
              </w:rPr>
            </w:pPr>
            <w:r>
              <w:rPr>
                <w:rFonts w:hint="eastAsia" w:ascii="Times New Roman" w:hAnsi="Times New Roman"/>
                <w:sz w:val="18"/>
                <w:szCs w:val="18"/>
              </w:rPr>
              <w:t>加宽扫描 100</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聚束模式 5</w:t>
            </w:r>
          </w:p>
          <w:p>
            <w:pPr>
              <w:adjustRightInd w:val="0"/>
              <w:snapToGrid w:val="0"/>
              <w:jc w:val="center"/>
              <w:rPr>
                <w:rFonts w:ascii="Times New Roman" w:hAnsi="Times New Roman"/>
                <w:sz w:val="18"/>
                <w:szCs w:val="18"/>
              </w:rPr>
            </w:pPr>
            <w:r>
              <w:rPr>
                <w:rFonts w:ascii="Times New Roman" w:hAnsi="Times New Roman"/>
                <w:sz w:val="18"/>
                <w:szCs w:val="18"/>
              </w:rPr>
              <w:t>条带模式 5×20</w:t>
            </w:r>
          </w:p>
          <w:p>
            <w:pPr>
              <w:adjustRightInd w:val="0"/>
              <w:snapToGrid w:val="0"/>
              <w:jc w:val="center"/>
              <w:rPr>
                <w:rFonts w:ascii="Times New Roman" w:hAnsi="Times New Roman"/>
                <w:sz w:val="18"/>
                <w:szCs w:val="18"/>
              </w:rPr>
            </w:pPr>
            <w:r>
              <w:rPr>
                <w:rFonts w:ascii="Times New Roman" w:hAnsi="Times New Roman"/>
                <w:sz w:val="18"/>
                <w:szCs w:val="18"/>
              </w:rPr>
              <w:t>扫描模式 20</w:t>
            </w:r>
          </w:p>
          <w:p>
            <w:pPr>
              <w:adjustRightInd w:val="0"/>
              <w:snapToGrid w:val="0"/>
              <w:jc w:val="center"/>
              <w:rPr>
                <w:rFonts w:ascii="Times New Roman" w:hAnsi="Times New Roman"/>
                <w:sz w:val="18"/>
                <w:szCs w:val="18"/>
              </w:rPr>
            </w:pPr>
            <w:r>
              <w:rPr>
                <w:rFonts w:ascii="Times New Roman" w:hAnsi="Times New Roman"/>
                <w:sz w:val="18"/>
                <w:szCs w:val="18"/>
              </w:rPr>
              <w:t>加宽扫描 20</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聚束模式1×3</w:t>
            </w:r>
          </w:p>
          <w:p>
            <w:pPr>
              <w:adjustRightInd w:val="0"/>
              <w:snapToGrid w:val="0"/>
              <w:jc w:val="center"/>
              <w:rPr>
                <w:rFonts w:ascii="Times New Roman" w:hAnsi="Times New Roman"/>
                <w:sz w:val="18"/>
                <w:szCs w:val="18"/>
              </w:rPr>
            </w:pPr>
            <w:r>
              <w:rPr>
                <w:rFonts w:ascii="Times New Roman" w:hAnsi="Times New Roman"/>
                <w:sz w:val="18"/>
                <w:szCs w:val="18"/>
              </w:rPr>
              <w:t>条带模式3</w:t>
            </w:r>
            <w:r>
              <w:rPr>
                <w:rFonts w:hint="eastAsia" w:ascii="Times New Roman" w:hAnsi="Times New Roman"/>
                <w:sz w:val="18"/>
                <w:szCs w:val="18"/>
              </w:rPr>
              <w:t>、</w:t>
            </w:r>
            <w:r>
              <w:rPr>
                <w:rFonts w:ascii="Times New Roman" w:hAnsi="Times New Roman"/>
                <w:sz w:val="18"/>
                <w:szCs w:val="18"/>
              </w:rPr>
              <w:t>6</w:t>
            </w:r>
            <w:r>
              <w:rPr>
                <w:rFonts w:hint="eastAsia" w:ascii="Times New Roman" w:hAnsi="Times New Roman"/>
                <w:sz w:val="18"/>
                <w:szCs w:val="18"/>
              </w:rPr>
              <w:t>、1</w:t>
            </w:r>
            <w:r>
              <w:rPr>
                <w:rFonts w:ascii="Times New Roman" w:hAnsi="Times New Roman"/>
                <w:sz w:val="18"/>
                <w:szCs w:val="18"/>
              </w:rPr>
              <w:t>0</w:t>
            </w:r>
          </w:p>
          <w:p>
            <w:pPr>
              <w:adjustRightInd w:val="0"/>
              <w:snapToGrid w:val="0"/>
              <w:jc w:val="center"/>
              <w:rPr>
                <w:rFonts w:ascii="Times New Roman" w:hAnsi="Times New Roman"/>
                <w:sz w:val="18"/>
                <w:szCs w:val="18"/>
              </w:rPr>
            </w:pPr>
            <w:r>
              <w:rPr>
                <w:rFonts w:ascii="Times New Roman" w:hAnsi="Times New Roman"/>
                <w:sz w:val="18"/>
                <w:szCs w:val="18"/>
              </w:rPr>
              <w:t>扫描模式100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是否提供原始raw数据</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是</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否</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是</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是</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是</w:t>
            </w:r>
          </w:p>
        </w:tc>
        <w:tc>
          <w:tcPr>
            <w:tcW w:w="397"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否</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否</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否</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否</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测量变形精度</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厘米级</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厘米级</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毫米级</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毫米级</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毫米级</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毫米级</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毫米级</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毫米级</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毫米级</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毫米级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不同数据模式单景</w:t>
            </w:r>
            <w:r>
              <w:rPr>
                <w:rFonts w:hint="eastAsia" w:ascii="Times New Roman" w:hAnsi="Times New Roman"/>
                <w:sz w:val="18"/>
                <w:szCs w:val="18"/>
              </w:rPr>
              <w:t>市场报价</w:t>
            </w:r>
            <w:r>
              <w:rPr>
                <w:rFonts w:ascii="Times New Roman" w:hAnsi="Times New Roman"/>
                <w:sz w:val="18"/>
                <w:szCs w:val="18"/>
              </w:rPr>
              <w:t>（万元）</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0.5</w:t>
            </w:r>
            <w:r>
              <w:rPr>
                <w:rFonts w:hint="eastAsia" w:ascii="Times New Roman" w:hAnsi="Times New Roman"/>
                <w:sz w:val="18"/>
                <w:szCs w:val="18"/>
              </w:rPr>
              <w:t>-1.0</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0.5</w:t>
            </w:r>
            <w:r>
              <w:rPr>
                <w:rFonts w:hint="eastAsia" w:ascii="Times New Roman" w:hAnsi="Times New Roman"/>
                <w:sz w:val="18"/>
                <w:szCs w:val="18"/>
              </w:rPr>
              <w:t>-1.0</w:t>
            </w:r>
          </w:p>
        </w:tc>
        <w:tc>
          <w:tcPr>
            <w:tcW w:w="397"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0.8-1.5</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0.5</w:t>
            </w:r>
            <w:r>
              <w:rPr>
                <w:rFonts w:hint="eastAsia" w:ascii="Times New Roman" w:hAnsi="Times New Roman"/>
                <w:sz w:val="18"/>
                <w:szCs w:val="18"/>
              </w:rPr>
              <w:t>-1.0</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0.5</w:t>
            </w:r>
            <w:r>
              <w:rPr>
                <w:rFonts w:hint="eastAsia" w:ascii="Times New Roman" w:hAnsi="Times New Roman"/>
                <w:sz w:val="18"/>
                <w:szCs w:val="18"/>
              </w:rPr>
              <w:t>～1.0</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1.5</w:t>
            </w:r>
            <w:r>
              <w:rPr>
                <w:rFonts w:hint="eastAsia" w:ascii="Times New Roman" w:hAnsi="Times New Roman"/>
                <w:sz w:val="18"/>
                <w:szCs w:val="18"/>
              </w:rPr>
              <w:t>-</w:t>
            </w:r>
            <w:r>
              <w:rPr>
                <w:rFonts w:ascii="Times New Roman" w:hAnsi="Times New Roman"/>
                <w:sz w:val="18"/>
                <w:szCs w:val="18"/>
              </w:rPr>
              <w:t>3.5</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1.5</w:t>
            </w:r>
            <w:r>
              <w:rPr>
                <w:rFonts w:hint="eastAsia" w:ascii="Times New Roman" w:hAnsi="Times New Roman"/>
                <w:sz w:val="18"/>
                <w:szCs w:val="18"/>
              </w:rPr>
              <w:t>-</w:t>
            </w:r>
            <w:r>
              <w:rPr>
                <w:rFonts w:ascii="Times New Roman" w:hAnsi="Times New Roman"/>
                <w:sz w:val="18"/>
                <w:szCs w:val="18"/>
              </w:rPr>
              <w:t>3.5</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1.6</w:t>
            </w:r>
            <w:r>
              <w:rPr>
                <w:rFonts w:hint="eastAsia" w:ascii="Times New Roman" w:hAnsi="Times New Roman"/>
                <w:sz w:val="18"/>
                <w:szCs w:val="18"/>
              </w:rPr>
              <w:t>-</w:t>
            </w:r>
            <w:r>
              <w:rPr>
                <w:rFonts w:ascii="Times New Roman" w:hAnsi="Times New Roman"/>
                <w:sz w:val="18"/>
                <w:szCs w:val="18"/>
              </w:rPr>
              <w:t>3.75</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0.5</w:t>
            </w:r>
            <w:r>
              <w:rPr>
                <w:rFonts w:hint="eastAsia" w:ascii="Times New Roman" w:hAnsi="Times New Roman"/>
                <w:sz w:val="18"/>
                <w:szCs w:val="18"/>
              </w:rPr>
              <w:t>-2</w:t>
            </w:r>
            <w:r>
              <w:rPr>
                <w:rFonts w:ascii="Times New Roman" w:hAnsi="Times New Roman"/>
                <w:sz w:val="18"/>
                <w:szCs w:val="18"/>
              </w:rPr>
              <w:t>.5</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2.4</w:t>
            </w:r>
            <w:r>
              <w:rPr>
                <w:rFonts w:hint="eastAsia" w:ascii="Times New Roman" w:hAnsi="Times New Roman"/>
                <w:sz w:val="18"/>
                <w:szCs w:val="18"/>
              </w:rPr>
              <w:t>-</w:t>
            </w:r>
            <w:r>
              <w:rPr>
                <w:rFonts w:ascii="Times New Roman" w:hAnsi="Times New Roman"/>
                <w:sz w:val="18"/>
                <w:szCs w:val="18"/>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存档数据情况</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全球覆盖20次以上</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全球覆盖，5次以上</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部分地区覆盖</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全球覆盖，25次以上</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全球覆盖15次以上</w:t>
            </w:r>
          </w:p>
        </w:tc>
        <w:tc>
          <w:tcPr>
            <w:tcW w:w="397"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有中国东部2007-2013年间多期存档数据</w:t>
            </w:r>
          </w:p>
        </w:tc>
        <w:tc>
          <w:tcPr>
            <w:tcW w:w="656"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大部分地区需要编程观测</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大部分地区需要编程观测</w:t>
            </w:r>
          </w:p>
        </w:tc>
        <w:tc>
          <w:tcPr>
            <w:tcW w:w="418"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有</w:t>
            </w:r>
            <w:r>
              <w:rPr>
                <w:rFonts w:ascii="Times New Roman" w:hAnsi="Times New Roman"/>
                <w:sz w:val="18"/>
                <w:szCs w:val="18"/>
              </w:rPr>
              <w:t>全球观测计划</w:t>
            </w:r>
            <w:r>
              <w:rPr>
                <w:rFonts w:hint="eastAsia" w:ascii="Times New Roman" w:hAnsi="Times New Roman"/>
                <w:sz w:val="18"/>
                <w:szCs w:val="18"/>
              </w:rPr>
              <w:t>，不少于48天ScanSAR同轨观测一次，</w:t>
            </w:r>
            <w:r>
              <w:rPr>
                <w:rFonts w:ascii="Times New Roman" w:hAnsi="Times New Roman"/>
                <w:sz w:val="18"/>
                <w:szCs w:val="18"/>
              </w:rPr>
              <w:t>目前有</w:t>
            </w:r>
            <w:r>
              <w:rPr>
                <w:rFonts w:hint="eastAsia" w:ascii="Times New Roman" w:hAnsi="Times New Roman"/>
                <w:sz w:val="18"/>
                <w:szCs w:val="18"/>
              </w:rPr>
              <w:t>30次以上存档数据</w:t>
            </w:r>
          </w:p>
        </w:tc>
        <w:tc>
          <w:tcPr>
            <w:tcW w:w="421"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有</w:t>
            </w:r>
            <w:r>
              <w:rPr>
                <w:rFonts w:ascii="Times New Roman" w:hAnsi="Times New Roman"/>
                <w:sz w:val="18"/>
                <w:szCs w:val="18"/>
              </w:rPr>
              <w:t>全球观测计划</w:t>
            </w:r>
          </w:p>
        </w:tc>
      </w:tr>
    </w:tbl>
    <w:p>
      <w:pPr>
        <w:widowControl/>
        <w:tabs>
          <w:tab w:val="left" w:pos="360"/>
        </w:tabs>
        <w:spacing w:before="120" w:beforeLines="50" w:after="120" w:afterLines="50"/>
        <w:jc w:val="center"/>
        <w:rPr>
          <w:rFonts w:ascii="黑体" w:hAnsi="黑体" w:eastAsia="黑体"/>
          <w:kern w:val="0"/>
          <w:szCs w:val="21"/>
        </w:r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w:t>
      </w:r>
      <w:r>
        <w:rPr>
          <w:rFonts w:hint="eastAsia" w:ascii="黑体" w:hAnsi="黑体" w:eastAsia="黑体"/>
          <w:kern w:val="0"/>
          <w:szCs w:val="21"/>
        </w:rPr>
        <w:t>4（续）</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19"/>
        <w:gridCol w:w="973"/>
        <w:gridCol w:w="732"/>
        <w:gridCol w:w="1140"/>
        <w:gridCol w:w="836"/>
        <w:gridCol w:w="830"/>
        <w:gridCol w:w="1411"/>
        <w:gridCol w:w="1609"/>
        <w:gridCol w:w="2785"/>
        <w:gridCol w:w="1199"/>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星载SAR系统</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ERS-1/2</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JERS-1</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RADARSAT-1</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ENVISAT -ASAR</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ALOS-</w:t>
            </w:r>
          </w:p>
          <w:p>
            <w:pPr>
              <w:adjustRightInd w:val="0"/>
              <w:snapToGrid w:val="0"/>
              <w:jc w:val="center"/>
              <w:rPr>
                <w:rFonts w:ascii="Times New Roman" w:hAnsi="Times New Roman"/>
                <w:sz w:val="18"/>
                <w:szCs w:val="18"/>
              </w:rPr>
            </w:pPr>
            <w:r>
              <w:rPr>
                <w:rFonts w:ascii="Times New Roman" w:hAnsi="Times New Roman"/>
                <w:sz w:val="18"/>
                <w:szCs w:val="18"/>
              </w:rPr>
              <w:t>PALSAR</w:t>
            </w:r>
          </w:p>
        </w:tc>
        <w:tc>
          <w:tcPr>
            <w:tcW w:w="492"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RADARSAT-2</w:t>
            </w:r>
          </w:p>
        </w:tc>
        <w:tc>
          <w:tcPr>
            <w:tcW w:w="56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TerraSAR-X/TanDEM-X</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COSMO- SkyMed</w:t>
            </w:r>
          </w:p>
          <w:p>
            <w:pPr>
              <w:adjustRightInd w:val="0"/>
              <w:snapToGrid w:val="0"/>
              <w:jc w:val="center"/>
              <w:rPr>
                <w:rFonts w:ascii="Times New Roman" w:hAnsi="Times New Roman"/>
                <w:sz w:val="18"/>
                <w:szCs w:val="18"/>
                <w:vertAlign w:val="superscript"/>
              </w:rPr>
            </w:pPr>
            <w:r>
              <w:rPr>
                <w:rFonts w:ascii="Times New Roman" w:hAnsi="Times New Roman"/>
                <w:sz w:val="18"/>
                <w:szCs w:val="18"/>
              </w:rPr>
              <w:t>星座</w:t>
            </w:r>
            <w:r>
              <w:rPr>
                <w:rFonts w:hint="eastAsia" w:ascii="Times New Roman" w:hAnsi="Times New Roman"/>
                <w:sz w:val="18"/>
                <w:szCs w:val="18"/>
              </w:rPr>
              <w:t>（4）</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Sentinel-1A</w:t>
            </w:r>
          </w:p>
          <w:p>
            <w:pPr>
              <w:adjustRightInd w:val="0"/>
              <w:snapToGrid w:val="0"/>
              <w:jc w:val="center"/>
              <w:rPr>
                <w:rFonts w:ascii="Times New Roman" w:hAnsi="Times New Roman"/>
                <w:sz w:val="18"/>
                <w:szCs w:val="18"/>
              </w:rPr>
            </w:pPr>
            <w:r>
              <w:rPr>
                <w:rFonts w:ascii="Times New Roman" w:hAnsi="Times New Roman"/>
                <w:sz w:val="18"/>
                <w:szCs w:val="18"/>
              </w:rPr>
              <w:t>（1B）</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 xml:space="preserve">ALOS-2 </w:t>
            </w:r>
            <w:r>
              <w:rPr>
                <w:rFonts w:hint="eastAsia" w:ascii="Times New Roman" w:hAnsi="Times New Roman"/>
                <w:sz w:val="18"/>
                <w:szCs w:val="18"/>
              </w:rPr>
              <w:t>（</w:t>
            </w:r>
            <w:r>
              <w:rPr>
                <w:rFonts w:ascii="Times New Roman" w:hAnsi="Times New Roman"/>
                <w:sz w:val="18"/>
                <w:szCs w:val="18"/>
              </w:rPr>
              <w:t>PALSAR-2</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影像幅宽（km）</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100</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80</w:t>
            </w:r>
          </w:p>
        </w:tc>
        <w:tc>
          <w:tcPr>
            <w:tcW w:w="397"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50-500</w:t>
            </w:r>
          </w:p>
        </w:tc>
        <w:tc>
          <w:tcPr>
            <w:tcW w:w="29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100-400</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30-350</w:t>
            </w:r>
          </w:p>
        </w:tc>
        <w:tc>
          <w:tcPr>
            <w:tcW w:w="492"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 xml:space="preserve">聚焦模式18 </w:t>
            </w:r>
          </w:p>
          <w:p>
            <w:pPr>
              <w:adjustRightInd w:val="0"/>
              <w:snapToGrid w:val="0"/>
              <w:jc w:val="center"/>
              <w:rPr>
                <w:rFonts w:ascii="Times New Roman" w:hAnsi="Times New Roman"/>
                <w:sz w:val="18"/>
                <w:szCs w:val="18"/>
              </w:rPr>
            </w:pPr>
            <w:r>
              <w:rPr>
                <w:rFonts w:ascii="Times New Roman" w:hAnsi="Times New Roman"/>
                <w:sz w:val="18"/>
                <w:szCs w:val="18"/>
              </w:rPr>
              <w:t>超级条带模式</w:t>
            </w:r>
            <w:r>
              <w:rPr>
                <w:rFonts w:hint="eastAsia" w:ascii="Times New Roman" w:hAnsi="Times New Roman"/>
                <w:sz w:val="18"/>
                <w:szCs w:val="18"/>
              </w:rPr>
              <w:t>20</w:t>
            </w:r>
          </w:p>
          <w:p>
            <w:pPr>
              <w:adjustRightInd w:val="0"/>
              <w:snapToGrid w:val="0"/>
              <w:jc w:val="center"/>
              <w:rPr>
                <w:rFonts w:ascii="Times New Roman" w:hAnsi="Times New Roman"/>
                <w:sz w:val="18"/>
                <w:szCs w:val="18"/>
              </w:rPr>
            </w:pPr>
            <w:r>
              <w:rPr>
                <w:rFonts w:ascii="Times New Roman" w:hAnsi="Times New Roman"/>
                <w:sz w:val="18"/>
                <w:szCs w:val="18"/>
              </w:rPr>
              <w:t>条带模式</w:t>
            </w:r>
            <w:r>
              <w:rPr>
                <w:rFonts w:hint="eastAsia" w:ascii="Times New Roman" w:hAnsi="Times New Roman"/>
                <w:sz w:val="18"/>
                <w:szCs w:val="18"/>
              </w:rPr>
              <w:t>50</w:t>
            </w:r>
          </w:p>
          <w:p>
            <w:pPr>
              <w:adjustRightInd w:val="0"/>
              <w:snapToGrid w:val="0"/>
              <w:jc w:val="center"/>
              <w:rPr>
                <w:rFonts w:ascii="Times New Roman" w:hAnsi="Times New Roman"/>
                <w:sz w:val="18"/>
                <w:szCs w:val="18"/>
              </w:rPr>
            </w:pPr>
            <w:r>
              <w:rPr>
                <w:rFonts w:hint="eastAsia" w:ascii="Times New Roman" w:hAnsi="Times New Roman"/>
                <w:sz w:val="18"/>
                <w:szCs w:val="18"/>
              </w:rPr>
              <w:t>其他模式50-500</w:t>
            </w:r>
          </w:p>
        </w:tc>
        <w:tc>
          <w:tcPr>
            <w:tcW w:w="56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凝视模式10</w:t>
            </w:r>
          </w:p>
          <w:p>
            <w:pPr>
              <w:adjustRightInd w:val="0"/>
              <w:snapToGrid w:val="0"/>
              <w:jc w:val="center"/>
              <w:rPr>
                <w:rFonts w:ascii="Times New Roman" w:hAnsi="Times New Roman"/>
                <w:sz w:val="18"/>
                <w:szCs w:val="18"/>
              </w:rPr>
            </w:pPr>
            <w:r>
              <w:rPr>
                <w:rFonts w:ascii="Times New Roman" w:hAnsi="Times New Roman"/>
                <w:sz w:val="18"/>
                <w:szCs w:val="18"/>
              </w:rPr>
              <w:t>聚束模式 20</w:t>
            </w:r>
          </w:p>
          <w:p>
            <w:pPr>
              <w:adjustRightInd w:val="0"/>
              <w:snapToGrid w:val="0"/>
              <w:jc w:val="center"/>
              <w:rPr>
                <w:rFonts w:ascii="Times New Roman" w:hAnsi="Times New Roman"/>
                <w:sz w:val="18"/>
                <w:szCs w:val="18"/>
              </w:rPr>
            </w:pPr>
            <w:r>
              <w:rPr>
                <w:rFonts w:ascii="Times New Roman" w:hAnsi="Times New Roman"/>
                <w:sz w:val="18"/>
                <w:szCs w:val="18"/>
              </w:rPr>
              <w:t>条带模式30</w:t>
            </w:r>
          </w:p>
          <w:p>
            <w:pPr>
              <w:adjustRightInd w:val="0"/>
              <w:snapToGrid w:val="0"/>
              <w:jc w:val="center"/>
              <w:rPr>
                <w:rFonts w:ascii="Times New Roman" w:hAnsi="Times New Roman"/>
                <w:sz w:val="18"/>
                <w:szCs w:val="18"/>
              </w:rPr>
            </w:pPr>
            <w:r>
              <w:rPr>
                <w:rFonts w:ascii="Times New Roman" w:hAnsi="Times New Roman"/>
                <w:sz w:val="18"/>
                <w:szCs w:val="18"/>
              </w:rPr>
              <w:t>扫描模式150</w:t>
            </w:r>
          </w:p>
          <w:p>
            <w:pPr>
              <w:adjustRightInd w:val="0"/>
              <w:snapToGrid w:val="0"/>
              <w:jc w:val="center"/>
              <w:rPr>
                <w:rFonts w:ascii="Times New Roman" w:hAnsi="Times New Roman"/>
                <w:sz w:val="18"/>
                <w:szCs w:val="18"/>
              </w:rPr>
            </w:pPr>
            <w:r>
              <w:rPr>
                <w:rFonts w:hint="eastAsia" w:ascii="Times New Roman" w:hAnsi="Times New Roman"/>
                <w:sz w:val="18"/>
                <w:szCs w:val="18"/>
              </w:rPr>
              <w:t>宽扫描270</w:t>
            </w:r>
          </w:p>
        </w:tc>
        <w:tc>
          <w:tcPr>
            <w:tcW w:w="971"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聚束模式7-10</w:t>
            </w:r>
          </w:p>
          <w:p>
            <w:pPr>
              <w:adjustRightInd w:val="0"/>
              <w:snapToGrid w:val="0"/>
              <w:jc w:val="center"/>
              <w:rPr>
                <w:rFonts w:ascii="Times New Roman" w:hAnsi="Times New Roman"/>
                <w:sz w:val="18"/>
                <w:szCs w:val="18"/>
              </w:rPr>
            </w:pPr>
            <w:r>
              <w:rPr>
                <w:rFonts w:hint="eastAsia" w:ascii="Times New Roman" w:hAnsi="Times New Roman"/>
                <w:sz w:val="18"/>
                <w:szCs w:val="18"/>
              </w:rPr>
              <w:t>条带模式30-40</w:t>
            </w:r>
          </w:p>
          <w:p>
            <w:pPr>
              <w:adjustRightInd w:val="0"/>
              <w:snapToGrid w:val="0"/>
              <w:jc w:val="center"/>
              <w:rPr>
                <w:rFonts w:ascii="Times New Roman" w:hAnsi="Times New Roman"/>
                <w:sz w:val="18"/>
                <w:szCs w:val="18"/>
              </w:rPr>
            </w:pPr>
            <w:r>
              <w:rPr>
                <w:rFonts w:hint="eastAsia" w:ascii="Times New Roman" w:hAnsi="Times New Roman"/>
                <w:sz w:val="18"/>
                <w:szCs w:val="18"/>
              </w:rPr>
              <w:t>扫描模式100-200</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聚束模式20</w:t>
            </w:r>
          </w:p>
          <w:p>
            <w:pPr>
              <w:adjustRightInd w:val="0"/>
              <w:snapToGrid w:val="0"/>
              <w:jc w:val="center"/>
              <w:rPr>
                <w:rFonts w:ascii="Times New Roman" w:hAnsi="Times New Roman"/>
                <w:sz w:val="18"/>
                <w:szCs w:val="18"/>
              </w:rPr>
            </w:pPr>
            <w:r>
              <w:rPr>
                <w:rFonts w:ascii="Times New Roman" w:hAnsi="Times New Roman"/>
                <w:sz w:val="18"/>
                <w:szCs w:val="18"/>
              </w:rPr>
              <w:t>条带模式80</w:t>
            </w:r>
          </w:p>
          <w:p>
            <w:pPr>
              <w:adjustRightInd w:val="0"/>
              <w:snapToGrid w:val="0"/>
              <w:jc w:val="center"/>
              <w:rPr>
                <w:rFonts w:ascii="Times New Roman" w:hAnsi="Times New Roman"/>
                <w:sz w:val="18"/>
                <w:szCs w:val="18"/>
              </w:rPr>
            </w:pPr>
            <w:r>
              <w:rPr>
                <w:rFonts w:ascii="Times New Roman" w:hAnsi="Times New Roman"/>
                <w:sz w:val="18"/>
                <w:szCs w:val="18"/>
              </w:rPr>
              <w:t>扫描模式250</w:t>
            </w:r>
          </w:p>
          <w:p>
            <w:pPr>
              <w:adjustRightInd w:val="0"/>
              <w:snapToGrid w:val="0"/>
              <w:jc w:val="center"/>
              <w:rPr>
                <w:rFonts w:ascii="Times New Roman" w:hAnsi="Times New Roman"/>
                <w:sz w:val="18"/>
                <w:szCs w:val="18"/>
              </w:rPr>
            </w:pPr>
            <w:r>
              <w:rPr>
                <w:rFonts w:ascii="Times New Roman" w:hAnsi="Times New Roman"/>
                <w:sz w:val="18"/>
                <w:szCs w:val="18"/>
              </w:rPr>
              <w:t>加宽扫描400</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聚束模式25</w:t>
            </w:r>
          </w:p>
          <w:p>
            <w:pPr>
              <w:adjustRightInd w:val="0"/>
              <w:snapToGrid w:val="0"/>
              <w:jc w:val="center"/>
              <w:rPr>
                <w:rFonts w:ascii="Times New Roman" w:hAnsi="Times New Roman"/>
                <w:sz w:val="18"/>
                <w:szCs w:val="18"/>
              </w:rPr>
            </w:pPr>
            <w:r>
              <w:rPr>
                <w:rFonts w:ascii="Times New Roman" w:hAnsi="Times New Roman"/>
                <w:sz w:val="18"/>
                <w:szCs w:val="18"/>
              </w:rPr>
              <w:t>条带模式50-50</w:t>
            </w:r>
          </w:p>
          <w:p>
            <w:pPr>
              <w:adjustRightInd w:val="0"/>
              <w:snapToGrid w:val="0"/>
              <w:jc w:val="center"/>
              <w:rPr>
                <w:rFonts w:ascii="Times New Roman" w:hAnsi="Times New Roman"/>
                <w:sz w:val="18"/>
                <w:szCs w:val="18"/>
              </w:rPr>
            </w:pPr>
            <w:r>
              <w:rPr>
                <w:rFonts w:ascii="Times New Roman" w:hAnsi="Times New Roman"/>
                <w:sz w:val="18"/>
                <w:szCs w:val="18"/>
              </w:rPr>
              <w:t>扫描模式350-490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可否编程定制</w:t>
            </w:r>
          </w:p>
        </w:tc>
        <w:tc>
          <w:tcPr>
            <w:tcW w:w="33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否</w:t>
            </w:r>
          </w:p>
        </w:tc>
        <w:tc>
          <w:tcPr>
            <w:tcW w:w="255"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否</w:t>
            </w:r>
          </w:p>
        </w:tc>
        <w:tc>
          <w:tcPr>
            <w:tcW w:w="397"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否</w:t>
            </w:r>
          </w:p>
        </w:tc>
        <w:tc>
          <w:tcPr>
            <w:tcW w:w="291"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否</w:t>
            </w:r>
          </w:p>
        </w:tc>
        <w:tc>
          <w:tcPr>
            <w:tcW w:w="289"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否</w:t>
            </w:r>
          </w:p>
        </w:tc>
        <w:tc>
          <w:tcPr>
            <w:tcW w:w="492"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是</w:t>
            </w:r>
          </w:p>
        </w:tc>
        <w:tc>
          <w:tcPr>
            <w:tcW w:w="56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是</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是</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需协商</w:t>
            </w:r>
          </w:p>
        </w:tc>
        <w:tc>
          <w:tcPr>
            <w:tcW w:w="421"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主要优点</w:t>
            </w:r>
          </w:p>
        </w:tc>
        <w:tc>
          <w:tcPr>
            <w:tcW w:w="339" w:type="pct"/>
            <w:vAlign w:val="center"/>
          </w:tcPr>
          <w:p>
            <w:pPr>
              <w:adjustRightInd w:val="0"/>
              <w:snapToGrid w:val="0"/>
              <w:jc w:val="left"/>
              <w:rPr>
                <w:rFonts w:ascii="Times New Roman" w:hAnsi="Times New Roman"/>
                <w:sz w:val="18"/>
                <w:szCs w:val="18"/>
              </w:rPr>
            </w:pPr>
            <w:r>
              <w:rPr>
                <w:rFonts w:ascii="Times New Roman" w:hAnsi="Times New Roman"/>
                <w:sz w:val="18"/>
                <w:szCs w:val="18"/>
              </w:rPr>
              <w:t>具有</w:t>
            </w:r>
            <w:r>
              <w:rPr>
                <w:rFonts w:hint="eastAsia" w:ascii="Times New Roman" w:hAnsi="Times New Roman"/>
                <w:sz w:val="18"/>
                <w:szCs w:val="18"/>
              </w:rPr>
              <w:t>较</w:t>
            </w:r>
            <w:r>
              <w:rPr>
                <w:rFonts w:ascii="Times New Roman" w:hAnsi="Times New Roman"/>
                <w:sz w:val="18"/>
                <w:szCs w:val="18"/>
              </w:rPr>
              <w:t>早的存档数据</w:t>
            </w:r>
          </w:p>
        </w:tc>
        <w:tc>
          <w:tcPr>
            <w:tcW w:w="255" w:type="pct"/>
            <w:vAlign w:val="center"/>
          </w:tcPr>
          <w:p>
            <w:pPr>
              <w:adjustRightInd w:val="0"/>
              <w:snapToGrid w:val="0"/>
              <w:jc w:val="left"/>
              <w:rPr>
                <w:rFonts w:ascii="Times New Roman" w:hAnsi="Times New Roman"/>
                <w:sz w:val="18"/>
                <w:szCs w:val="18"/>
              </w:rPr>
            </w:pPr>
            <w:r>
              <w:rPr>
                <w:rFonts w:ascii="Times New Roman" w:hAnsi="Times New Roman"/>
                <w:sz w:val="18"/>
                <w:szCs w:val="18"/>
              </w:rPr>
              <w:t>具有</w:t>
            </w:r>
            <w:r>
              <w:rPr>
                <w:rFonts w:hint="eastAsia" w:ascii="Times New Roman" w:hAnsi="Times New Roman"/>
                <w:sz w:val="18"/>
                <w:szCs w:val="18"/>
              </w:rPr>
              <w:t>较</w:t>
            </w:r>
            <w:r>
              <w:rPr>
                <w:rFonts w:ascii="Times New Roman" w:hAnsi="Times New Roman"/>
                <w:sz w:val="18"/>
                <w:szCs w:val="18"/>
              </w:rPr>
              <w:t>早的一批存档数据</w:t>
            </w:r>
          </w:p>
        </w:tc>
        <w:tc>
          <w:tcPr>
            <w:tcW w:w="397" w:type="pct"/>
            <w:vAlign w:val="center"/>
          </w:tcPr>
          <w:p>
            <w:pPr>
              <w:adjustRightInd w:val="0"/>
              <w:snapToGrid w:val="0"/>
              <w:jc w:val="left"/>
              <w:rPr>
                <w:rFonts w:ascii="Times New Roman" w:hAnsi="Times New Roman"/>
                <w:sz w:val="18"/>
                <w:szCs w:val="18"/>
              </w:rPr>
            </w:pPr>
            <w:r>
              <w:rPr>
                <w:rFonts w:ascii="Times New Roman" w:hAnsi="Times New Roman"/>
                <w:sz w:val="18"/>
                <w:szCs w:val="18"/>
              </w:rPr>
              <w:t>为</w:t>
            </w:r>
            <w:r>
              <w:rPr>
                <w:rFonts w:hint="eastAsia" w:ascii="Times New Roman" w:hAnsi="Times New Roman"/>
                <w:sz w:val="18"/>
                <w:szCs w:val="18"/>
              </w:rPr>
              <w:t>2007年前唯一的高分辨率中短波数据。</w:t>
            </w:r>
          </w:p>
        </w:tc>
        <w:tc>
          <w:tcPr>
            <w:tcW w:w="291" w:type="pct"/>
            <w:vAlign w:val="center"/>
          </w:tcPr>
          <w:p>
            <w:pPr>
              <w:adjustRightInd w:val="0"/>
              <w:snapToGrid w:val="0"/>
              <w:jc w:val="left"/>
              <w:rPr>
                <w:rFonts w:ascii="Times New Roman" w:hAnsi="Times New Roman"/>
                <w:sz w:val="18"/>
                <w:szCs w:val="18"/>
              </w:rPr>
            </w:pPr>
            <w:r>
              <w:rPr>
                <w:rFonts w:ascii="Times New Roman" w:hAnsi="Times New Roman"/>
                <w:sz w:val="18"/>
                <w:szCs w:val="18"/>
              </w:rPr>
              <w:t>存档数据多、价格低、覆盖历史时段长</w:t>
            </w:r>
          </w:p>
        </w:tc>
        <w:tc>
          <w:tcPr>
            <w:tcW w:w="289" w:type="pct"/>
            <w:vAlign w:val="center"/>
          </w:tcPr>
          <w:p>
            <w:pPr>
              <w:adjustRightInd w:val="0"/>
              <w:snapToGrid w:val="0"/>
              <w:jc w:val="left"/>
              <w:rPr>
                <w:rFonts w:ascii="Times New Roman" w:hAnsi="Times New Roman"/>
                <w:sz w:val="18"/>
                <w:szCs w:val="18"/>
              </w:rPr>
            </w:pPr>
            <w:r>
              <w:rPr>
                <w:rFonts w:ascii="Times New Roman" w:hAnsi="Times New Roman"/>
                <w:sz w:val="18"/>
                <w:szCs w:val="18"/>
              </w:rPr>
              <w:t>覆盖范围广、存档数据丰富、波段长，适合高山峡谷区地质灾害监测</w:t>
            </w:r>
          </w:p>
        </w:tc>
        <w:tc>
          <w:tcPr>
            <w:tcW w:w="492" w:type="pct"/>
            <w:vAlign w:val="center"/>
          </w:tcPr>
          <w:p>
            <w:pPr>
              <w:adjustRightInd w:val="0"/>
              <w:snapToGrid w:val="0"/>
              <w:jc w:val="left"/>
              <w:rPr>
                <w:rFonts w:ascii="Times New Roman" w:hAnsi="Times New Roman"/>
                <w:sz w:val="18"/>
                <w:szCs w:val="18"/>
              </w:rPr>
            </w:pPr>
            <w:r>
              <w:rPr>
                <w:rFonts w:ascii="Times New Roman" w:hAnsi="Times New Roman"/>
                <w:sz w:val="18"/>
                <w:szCs w:val="18"/>
              </w:rPr>
              <w:t>数据质量较好，高分辨率单景数据覆盖范围大</w:t>
            </w:r>
            <w:r>
              <w:rPr>
                <w:rFonts w:hint="eastAsia" w:ascii="Times New Roman" w:hAnsi="Times New Roman"/>
                <w:sz w:val="18"/>
                <w:szCs w:val="18"/>
              </w:rPr>
              <w:t>，有计划全球拍摄</w:t>
            </w:r>
          </w:p>
        </w:tc>
        <w:tc>
          <w:tcPr>
            <w:tcW w:w="56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轨道精度高</w:t>
            </w:r>
            <w:r>
              <w:rPr>
                <w:rFonts w:hint="eastAsia" w:ascii="Times New Roman" w:hAnsi="Times New Roman"/>
                <w:sz w:val="18"/>
                <w:szCs w:val="18"/>
              </w:rPr>
              <w:t>、</w:t>
            </w:r>
            <w:r>
              <w:rPr>
                <w:rFonts w:ascii="Times New Roman" w:hAnsi="Times New Roman"/>
                <w:sz w:val="18"/>
                <w:szCs w:val="18"/>
              </w:rPr>
              <w:t>数据质量好、重返周期短</w:t>
            </w:r>
          </w:p>
        </w:tc>
        <w:tc>
          <w:tcPr>
            <w:tcW w:w="97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存档数据丰富、数据质量好、重返周期最短</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覆盖范围广、重复周期短、存档数据丰富</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覆盖范围广、重复周期短、波段长，适合高山峡谷区地质灾害监测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4"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主要缺点</w:t>
            </w:r>
          </w:p>
        </w:tc>
        <w:tc>
          <w:tcPr>
            <w:tcW w:w="339" w:type="pct"/>
            <w:vAlign w:val="center"/>
          </w:tcPr>
          <w:p>
            <w:pPr>
              <w:adjustRightInd w:val="0"/>
              <w:snapToGrid w:val="0"/>
              <w:jc w:val="left"/>
              <w:rPr>
                <w:rFonts w:ascii="Times New Roman" w:hAnsi="Times New Roman"/>
                <w:sz w:val="18"/>
                <w:szCs w:val="18"/>
              </w:rPr>
            </w:pPr>
            <w:r>
              <w:rPr>
                <w:rFonts w:ascii="Times New Roman" w:hAnsi="Times New Roman"/>
                <w:sz w:val="18"/>
                <w:szCs w:val="18"/>
              </w:rPr>
              <w:t>稳定性较差，处理技术难度大</w:t>
            </w:r>
          </w:p>
        </w:tc>
        <w:tc>
          <w:tcPr>
            <w:tcW w:w="255" w:type="pct"/>
            <w:vAlign w:val="center"/>
          </w:tcPr>
          <w:p>
            <w:pPr>
              <w:adjustRightInd w:val="0"/>
              <w:snapToGrid w:val="0"/>
              <w:jc w:val="left"/>
              <w:rPr>
                <w:rFonts w:ascii="Times New Roman" w:hAnsi="Times New Roman"/>
                <w:sz w:val="18"/>
                <w:szCs w:val="18"/>
              </w:rPr>
            </w:pPr>
            <w:r>
              <w:rPr>
                <w:rFonts w:ascii="Times New Roman" w:hAnsi="Times New Roman"/>
                <w:sz w:val="18"/>
                <w:szCs w:val="18"/>
              </w:rPr>
              <w:t>分辨率低，SAR数据</w:t>
            </w:r>
            <w:r>
              <w:rPr>
                <w:rFonts w:hint="eastAsia" w:ascii="Times New Roman" w:hAnsi="Times New Roman"/>
                <w:sz w:val="18"/>
                <w:szCs w:val="18"/>
              </w:rPr>
              <w:t>比较</w:t>
            </w:r>
            <w:r>
              <w:rPr>
                <w:rFonts w:ascii="Times New Roman" w:hAnsi="Times New Roman"/>
                <w:sz w:val="18"/>
                <w:szCs w:val="18"/>
              </w:rPr>
              <w:t>轨道精度较低</w:t>
            </w:r>
          </w:p>
        </w:tc>
        <w:tc>
          <w:tcPr>
            <w:tcW w:w="397" w:type="pct"/>
            <w:vAlign w:val="center"/>
          </w:tcPr>
          <w:p>
            <w:pPr>
              <w:adjustRightInd w:val="0"/>
              <w:snapToGrid w:val="0"/>
              <w:jc w:val="left"/>
              <w:rPr>
                <w:rFonts w:ascii="Times New Roman" w:hAnsi="Times New Roman"/>
                <w:sz w:val="18"/>
                <w:szCs w:val="18"/>
              </w:rPr>
            </w:pPr>
            <w:r>
              <w:rPr>
                <w:rFonts w:ascii="Times New Roman" w:hAnsi="Times New Roman"/>
                <w:sz w:val="18"/>
                <w:szCs w:val="18"/>
              </w:rPr>
              <w:t>与其他中分辨率SAR数据</w:t>
            </w:r>
            <w:r>
              <w:rPr>
                <w:rFonts w:hint="eastAsia" w:ascii="Times New Roman" w:hAnsi="Times New Roman"/>
                <w:sz w:val="18"/>
                <w:szCs w:val="18"/>
              </w:rPr>
              <w:t>比较</w:t>
            </w:r>
            <w:r>
              <w:rPr>
                <w:rFonts w:ascii="Times New Roman" w:hAnsi="Times New Roman"/>
                <w:sz w:val="18"/>
                <w:szCs w:val="18"/>
              </w:rPr>
              <w:t>轨道精度较低</w:t>
            </w:r>
          </w:p>
        </w:tc>
        <w:tc>
          <w:tcPr>
            <w:tcW w:w="291" w:type="pct"/>
            <w:vAlign w:val="center"/>
          </w:tcPr>
          <w:p>
            <w:pPr>
              <w:adjustRightInd w:val="0"/>
              <w:snapToGrid w:val="0"/>
              <w:jc w:val="left"/>
              <w:rPr>
                <w:rFonts w:ascii="Times New Roman" w:hAnsi="Times New Roman"/>
                <w:sz w:val="18"/>
                <w:szCs w:val="18"/>
              </w:rPr>
            </w:pPr>
            <w:r>
              <w:rPr>
                <w:rFonts w:ascii="Times New Roman" w:hAnsi="Times New Roman"/>
                <w:sz w:val="18"/>
                <w:szCs w:val="18"/>
              </w:rPr>
              <w:t>在高山峡谷区干涉效果差</w:t>
            </w:r>
          </w:p>
        </w:tc>
        <w:tc>
          <w:tcPr>
            <w:tcW w:w="289" w:type="pct"/>
            <w:vAlign w:val="center"/>
          </w:tcPr>
          <w:p>
            <w:pPr>
              <w:adjustRightInd w:val="0"/>
              <w:snapToGrid w:val="0"/>
              <w:jc w:val="left"/>
              <w:rPr>
                <w:rFonts w:ascii="Times New Roman" w:hAnsi="Times New Roman"/>
                <w:sz w:val="18"/>
                <w:szCs w:val="18"/>
              </w:rPr>
            </w:pPr>
            <w:r>
              <w:rPr>
                <w:rFonts w:hint="eastAsia" w:ascii="Times New Roman" w:hAnsi="Times New Roman"/>
                <w:sz w:val="18"/>
                <w:szCs w:val="18"/>
              </w:rPr>
              <w:t>空间</w:t>
            </w:r>
            <w:r>
              <w:rPr>
                <w:rFonts w:ascii="Times New Roman" w:hAnsi="Times New Roman"/>
                <w:sz w:val="18"/>
                <w:szCs w:val="18"/>
              </w:rPr>
              <w:t>基线较长</w:t>
            </w:r>
            <w:r>
              <w:rPr>
                <w:rFonts w:hint="eastAsia" w:ascii="Times New Roman" w:hAnsi="Times New Roman"/>
                <w:sz w:val="18"/>
                <w:szCs w:val="18"/>
              </w:rPr>
              <w:t>，</w:t>
            </w:r>
            <w:r>
              <w:rPr>
                <w:rFonts w:ascii="Times New Roman" w:hAnsi="Times New Roman"/>
                <w:sz w:val="18"/>
                <w:szCs w:val="18"/>
              </w:rPr>
              <w:t>且有系统变化</w:t>
            </w:r>
          </w:p>
        </w:tc>
        <w:tc>
          <w:tcPr>
            <w:tcW w:w="492" w:type="pct"/>
            <w:vAlign w:val="center"/>
          </w:tcPr>
          <w:p>
            <w:pPr>
              <w:adjustRightInd w:val="0"/>
              <w:snapToGrid w:val="0"/>
              <w:jc w:val="left"/>
              <w:rPr>
                <w:rFonts w:ascii="Times New Roman" w:hAnsi="Times New Roman"/>
                <w:sz w:val="18"/>
                <w:szCs w:val="18"/>
              </w:rPr>
            </w:pPr>
            <w:r>
              <w:rPr>
                <w:rFonts w:ascii="Times New Roman" w:hAnsi="Times New Roman"/>
                <w:sz w:val="18"/>
                <w:szCs w:val="18"/>
              </w:rPr>
              <w:t>编程数据价格较高</w:t>
            </w:r>
          </w:p>
        </w:tc>
        <w:tc>
          <w:tcPr>
            <w:tcW w:w="56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存档数据较少</w:t>
            </w:r>
          </w:p>
        </w:tc>
        <w:tc>
          <w:tcPr>
            <w:tcW w:w="971" w:type="pct"/>
            <w:vAlign w:val="center"/>
          </w:tcPr>
          <w:p>
            <w:pPr>
              <w:adjustRightInd w:val="0"/>
              <w:snapToGrid w:val="0"/>
              <w:jc w:val="center"/>
              <w:rPr>
                <w:rFonts w:ascii="Times New Roman" w:hAnsi="Times New Roman"/>
                <w:sz w:val="18"/>
                <w:szCs w:val="18"/>
              </w:rPr>
            </w:pPr>
            <w:r>
              <w:rPr>
                <w:rFonts w:hint="eastAsia" w:ascii="Times New Roman" w:hAnsi="Times New Roman"/>
                <w:sz w:val="18"/>
                <w:szCs w:val="18"/>
              </w:rPr>
              <w:t>空间</w:t>
            </w:r>
            <w:r>
              <w:rPr>
                <w:rFonts w:ascii="Times New Roman" w:hAnsi="Times New Roman"/>
                <w:sz w:val="18"/>
                <w:szCs w:val="18"/>
              </w:rPr>
              <w:t>基线较</w:t>
            </w:r>
            <w:r>
              <w:rPr>
                <w:rFonts w:hint="eastAsia" w:ascii="Times New Roman" w:hAnsi="Times New Roman"/>
                <w:sz w:val="18"/>
                <w:szCs w:val="18"/>
              </w:rPr>
              <w:t>长</w:t>
            </w:r>
          </w:p>
        </w:tc>
        <w:tc>
          <w:tcPr>
            <w:tcW w:w="418"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主要是低分辨率模式，一般不接受编程预定</w:t>
            </w:r>
            <w:r>
              <w:rPr>
                <w:rFonts w:hint="eastAsia" w:ascii="Times New Roman" w:hAnsi="Times New Roman"/>
                <w:sz w:val="18"/>
                <w:szCs w:val="18"/>
              </w:rPr>
              <w:t>，</w:t>
            </w:r>
            <w:r>
              <w:rPr>
                <w:rFonts w:ascii="Times New Roman" w:hAnsi="Times New Roman"/>
                <w:sz w:val="18"/>
                <w:szCs w:val="18"/>
              </w:rPr>
              <w:t>方位向配准难度较大</w:t>
            </w:r>
          </w:p>
        </w:tc>
        <w:tc>
          <w:tcPr>
            <w:tcW w:w="421" w:type="pct"/>
            <w:vAlign w:val="center"/>
          </w:tcPr>
          <w:p>
            <w:pPr>
              <w:adjustRightInd w:val="0"/>
              <w:snapToGrid w:val="0"/>
              <w:jc w:val="center"/>
              <w:rPr>
                <w:rFonts w:ascii="Times New Roman" w:hAnsi="Times New Roman"/>
                <w:sz w:val="18"/>
                <w:szCs w:val="18"/>
              </w:rPr>
            </w:pPr>
            <w:r>
              <w:rPr>
                <w:rFonts w:ascii="Times New Roman" w:hAnsi="Times New Roman"/>
                <w:sz w:val="18"/>
                <w:szCs w:val="18"/>
              </w:rPr>
              <w:t>价格相对较高</w:t>
            </w:r>
          </w:p>
        </w:tc>
      </w:tr>
    </w:tbl>
    <w:p>
      <w:pPr>
        <w:sectPr>
          <w:pgSz w:w="16838" w:h="11906" w:orient="landscape"/>
          <w:pgMar w:top="1418" w:right="1134" w:bottom="1134" w:left="1418" w:header="851" w:footer="992" w:gutter="0"/>
          <w:cols w:space="425" w:num="1"/>
          <w:docGrid w:linePitch="312" w:charSpace="0"/>
        </w:sectPr>
      </w:pP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5  遥感数据技术参数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A-5  光学遥感数据技术参数要求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1633"/>
        <w:gridCol w:w="2341"/>
        <w:gridCol w:w="4939"/>
        <w:gridCol w:w="4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 w:type="pct"/>
            <w:gridSpan w:val="2"/>
            <w:vAlign w:val="center"/>
          </w:tcPr>
          <w:p>
            <w:pPr>
              <w:jc w:val="center"/>
              <w:rPr>
                <w:rFonts w:ascii="Times New Roman" w:hAnsi="Times New Roman"/>
                <w:sz w:val="18"/>
                <w:szCs w:val="18"/>
              </w:rPr>
            </w:pPr>
            <w:r>
              <w:rPr>
                <w:rFonts w:ascii="Times New Roman" w:hAnsi="Times New Roman"/>
                <w:sz w:val="18"/>
                <w:szCs w:val="18"/>
              </w:rPr>
              <w:t>有效载荷</w:t>
            </w:r>
          </w:p>
        </w:tc>
        <w:tc>
          <w:tcPr>
            <w:tcW w:w="807" w:type="pct"/>
            <w:vAlign w:val="center"/>
          </w:tcPr>
          <w:p>
            <w:pPr>
              <w:jc w:val="center"/>
              <w:rPr>
                <w:rFonts w:ascii="Times New Roman" w:hAnsi="Times New Roman"/>
                <w:sz w:val="18"/>
                <w:szCs w:val="18"/>
              </w:rPr>
            </w:pPr>
            <w:r>
              <w:rPr>
                <w:rFonts w:ascii="Times New Roman" w:hAnsi="Times New Roman"/>
                <w:sz w:val="18"/>
                <w:szCs w:val="18"/>
              </w:rPr>
              <w:t>波段号</w:t>
            </w:r>
          </w:p>
        </w:tc>
        <w:tc>
          <w:tcPr>
            <w:tcW w:w="1703" w:type="pct"/>
            <w:vAlign w:val="center"/>
          </w:tcPr>
          <w:p>
            <w:pPr>
              <w:jc w:val="center"/>
              <w:rPr>
                <w:rFonts w:ascii="Times New Roman" w:hAnsi="Times New Roman"/>
                <w:sz w:val="18"/>
                <w:szCs w:val="18"/>
              </w:rPr>
            </w:pPr>
            <w:r>
              <w:rPr>
                <w:rFonts w:ascii="Times New Roman" w:hAnsi="Times New Roman"/>
                <w:sz w:val="18"/>
                <w:szCs w:val="18"/>
              </w:rPr>
              <w:t>光谱范围</w:t>
            </w:r>
          </w:p>
          <w:p>
            <w:pPr>
              <w:jc w:val="center"/>
              <w:rPr>
                <w:rFonts w:ascii="Times New Roman" w:hAnsi="Times New Roman"/>
                <w:sz w:val="18"/>
                <w:szCs w:val="18"/>
              </w:rPr>
            </w:pPr>
            <w:r>
              <w:rPr>
                <w:rFonts w:ascii="Times New Roman" w:hAnsi="Times New Roman"/>
                <w:sz w:val="18"/>
                <w:szCs w:val="18"/>
              </w:rPr>
              <w:t>μm</w:t>
            </w:r>
            <w:r>
              <w:rPr>
                <w:rFonts w:ascii="Times New Roman" w:hAnsi="Times New Roman"/>
                <w:sz w:val="18"/>
                <w:szCs w:val="18"/>
              </w:rPr>
              <w:fldChar w:fldCharType="begin"/>
            </w:r>
            <w:r>
              <w:rPr>
                <w:rFonts w:ascii="Times New Roman" w:hAnsi="Times New Roman"/>
                <w:sz w:val="18"/>
                <w:szCs w:val="18"/>
              </w:rPr>
              <w:instrText xml:space="preserve"> QUOTE </w:instrText>
            </w:r>
            <m:oMath>
              <m:r>
                <m:rPr>
                  <m:sty m:val="p"/>
                </m:rPr>
                <w:rPr>
                  <w:rFonts w:ascii="Cambria Math" w:hAnsi="Cambria Math" w:eastAsia="仿宋"/>
                  <w:sz w:val="28"/>
                </w:rPr>
                <m:t xml:space="preserve">μm</m:t>
              </m:r>
            </m:oMath>
            <w:r>
              <w:rPr>
                <w:rFonts w:ascii="Times New Roman" w:hAnsi="Times New Roman"/>
                <w:sz w:val="18"/>
                <w:szCs w:val="18"/>
              </w:rPr>
              <w:instrText xml:space="preserve"> </w:instrText>
            </w:r>
            <w:r>
              <w:rPr>
                <w:rFonts w:ascii="Times New Roman" w:hAnsi="Times New Roman"/>
                <w:sz w:val="18"/>
                <w:szCs w:val="18"/>
              </w:rPr>
              <w:fldChar w:fldCharType="end"/>
            </w:r>
          </w:p>
        </w:tc>
        <w:tc>
          <w:tcPr>
            <w:tcW w:w="1524" w:type="pct"/>
            <w:vAlign w:val="center"/>
          </w:tcPr>
          <w:p>
            <w:pPr>
              <w:jc w:val="center"/>
              <w:rPr>
                <w:rFonts w:ascii="Times New Roman" w:hAnsi="Times New Roman"/>
                <w:sz w:val="18"/>
                <w:szCs w:val="18"/>
              </w:rPr>
            </w:pPr>
            <w:r>
              <w:rPr>
                <w:rFonts w:ascii="Times New Roman" w:hAnsi="Times New Roman"/>
                <w:sz w:val="18"/>
                <w:szCs w:val="18"/>
              </w:rPr>
              <w:t>空间分辨率</w:t>
            </w:r>
          </w:p>
          <w:p>
            <w:pPr>
              <w:jc w:val="center"/>
              <w:rPr>
                <w:rFonts w:ascii="Times New Roman" w:hAnsi="Times New Roman"/>
                <w:sz w:val="18"/>
                <w:szCs w:val="18"/>
              </w:rPr>
            </w:pPr>
            <w:r>
              <w:rPr>
                <w:rFonts w:hint="eastAsia" w:ascii="Times New Roman" w:hAnsi="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restart"/>
            <w:vAlign w:val="center"/>
          </w:tcPr>
          <w:p>
            <w:pPr>
              <w:jc w:val="center"/>
              <w:rPr>
                <w:rFonts w:ascii="Times New Roman" w:hAnsi="Times New Roman"/>
                <w:sz w:val="18"/>
                <w:szCs w:val="18"/>
              </w:rPr>
            </w:pPr>
            <w:r>
              <w:rPr>
                <w:rFonts w:ascii="Times New Roman" w:hAnsi="Times New Roman"/>
                <w:sz w:val="18"/>
                <w:szCs w:val="18"/>
              </w:rPr>
              <w:t>PMS</w:t>
            </w:r>
          </w:p>
        </w:tc>
        <w:tc>
          <w:tcPr>
            <w:tcW w:w="563" w:type="pct"/>
            <w:vAlign w:val="center"/>
          </w:tcPr>
          <w:p>
            <w:pPr>
              <w:jc w:val="center"/>
              <w:rPr>
                <w:rFonts w:ascii="Times New Roman" w:hAnsi="Times New Roman"/>
                <w:sz w:val="18"/>
                <w:szCs w:val="18"/>
              </w:rPr>
            </w:pPr>
            <w:r>
              <w:rPr>
                <w:rFonts w:ascii="Times New Roman" w:hAnsi="Times New Roman"/>
                <w:sz w:val="18"/>
                <w:szCs w:val="18"/>
              </w:rPr>
              <w:t>PAN</w:t>
            </w:r>
          </w:p>
        </w:tc>
        <w:tc>
          <w:tcPr>
            <w:tcW w:w="807" w:type="pct"/>
            <w:vAlign w:val="center"/>
          </w:tcPr>
          <w:p>
            <w:pPr>
              <w:jc w:val="center"/>
              <w:rPr>
                <w:rFonts w:ascii="Times New Roman" w:hAnsi="Times New Roman"/>
                <w:sz w:val="18"/>
                <w:szCs w:val="18"/>
              </w:rPr>
            </w:pPr>
            <w:r>
              <w:rPr>
                <w:rFonts w:hint="eastAsia" w:ascii="Times New Roman" w:hAnsi="Times New Roman"/>
                <w:sz w:val="18"/>
                <w:szCs w:val="18"/>
              </w:rPr>
              <w:t>\</w:t>
            </w:r>
          </w:p>
        </w:tc>
        <w:tc>
          <w:tcPr>
            <w:tcW w:w="1703" w:type="pct"/>
            <w:vAlign w:val="center"/>
          </w:tcPr>
          <w:p>
            <w:pPr>
              <w:jc w:val="center"/>
              <w:rPr>
                <w:rFonts w:ascii="Times New Roman" w:hAnsi="Times New Roman"/>
                <w:sz w:val="18"/>
                <w:szCs w:val="18"/>
              </w:rPr>
            </w:pPr>
            <w:r>
              <w:rPr>
                <w:rFonts w:ascii="Times New Roman" w:hAnsi="Times New Roman"/>
                <w:sz w:val="18"/>
                <w:szCs w:val="18"/>
              </w:rPr>
              <w:t>0.45</w:t>
            </w:r>
            <w:r>
              <w:rPr>
                <w:rFonts w:hint="eastAsia" w:ascii="Times New Roman" w:hAnsi="Times New Roman"/>
                <w:sz w:val="18"/>
                <w:szCs w:val="18"/>
              </w:rPr>
              <w:t>-</w:t>
            </w:r>
            <w:r>
              <w:rPr>
                <w:rFonts w:ascii="Times New Roman" w:hAnsi="Times New Roman"/>
                <w:sz w:val="18"/>
                <w:szCs w:val="18"/>
              </w:rPr>
              <w:t>0.90</w:t>
            </w:r>
          </w:p>
        </w:tc>
        <w:tc>
          <w:tcPr>
            <w:tcW w:w="1524" w:type="pct"/>
            <w:vAlign w:val="center"/>
          </w:tcPr>
          <w:p>
            <w:pPr>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vAlign w:val="center"/>
          </w:tcPr>
          <w:p>
            <w:pPr>
              <w:jc w:val="center"/>
              <w:rPr>
                <w:rFonts w:ascii="Times New Roman" w:hAnsi="Times New Roman"/>
                <w:sz w:val="18"/>
                <w:szCs w:val="18"/>
              </w:rPr>
            </w:pPr>
          </w:p>
        </w:tc>
        <w:tc>
          <w:tcPr>
            <w:tcW w:w="563" w:type="pct"/>
            <w:vMerge w:val="restart"/>
            <w:vAlign w:val="center"/>
          </w:tcPr>
          <w:p>
            <w:pPr>
              <w:jc w:val="center"/>
              <w:rPr>
                <w:rFonts w:ascii="Times New Roman" w:hAnsi="Times New Roman"/>
                <w:sz w:val="18"/>
                <w:szCs w:val="18"/>
              </w:rPr>
            </w:pPr>
            <w:r>
              <w:rPr>
                <w:rFonts w:ascii="Times New Roman" w:hAnsi="Times New Roman"/>
                <w:sz w:val="18"/>
                <w:szCs w:val="18"/>
              </w:rPr>
              <w:t>MSS</w:t>
            </w:r>
          </w:p>
        </w:tc>
        <w:tc>
          <w:tcPr>
            <w:tcW w:w="807" w:type="pct"/>
            <w:vAlign w:val="center"/>
          </w:tcPr>
          <w:p>
            <w:pPr>
              <w:jc w:val="center"/>
              <w:rPr>
                <w:rFonts w:ascii="Times New Roman" w:hAnsi="Times New Roman"/>
                <w:sz w:val="18"/>
                <w:szCs w:val="18"/>
              </w:rPr>
            </w:pPr>
            <w:r>
              <w:rPr>
                <w:rFonts w:ascii="Times New Roman" w:hAnsi="Times New Roman"/>
                <w:sz w:val="18"/>
                <w:szCs w:val="18"/>
              </w:rPr>
              <w:t>B1</w:t>
            </w:r>
          </w:p>
        </w:tc>
        <w:tc>
          <w:tcPr>
            <w:tcW w:w="1703" w:type="pct"/>
            <w:vAlign w:val="center"/>
          </w:tcPr>
          <w:p>
            <w:pPr>
              <w:jc w:val="center"/>
              <w:rPr>
                <w:rFonts w:ascii="Times New Roman" w:hAnsi="Times New Roman"/>
                <w:sz w:val="18"/>
                <w:szCs w:val="18"/>
              </w:rPr>
            </w:pPr>
            <w:r>
              <w:rPr>
                <w:rFonts w:ascii="Times New Roman" w:hAnsi="Times New Roman"/>
                <w:sz w:val="18"/>
                <w:szCs w:val="18"/>
              </w:rPr>
              <w:t>0.45</w:t>
            </w:r>
            <w:r>
              <w:rPr>
                <w:rFonts w:hint="eastAsia" w:ascii="Times New Roman" w:hAnsi="Times New Roman"/>
                <w:sz w:val="18"/>
                <w:szCs w:val="18"/>
              </w:rPr>
              <w:t>-</w:t>
            </w:r>
            <w:r>
              <w:rPr>
                <w:rFonts w:ascii="Times New Roman" w:hAnsi="Times New Roman"/>
                <w:sz w:val="18"/>
                <w:szCs w:val="18"/>
              </w:rPr>
              <w:t>0.52</w:t>
            </w:r>
          </w:p>
        </w:tc>
        <w:tc>
          <w:tcPr>
            <w:tcW w:w="1524" w:type="pct"/>
            <w:vMerge w:val="restart"/>
            <w:vAlign w:val="center"/>
          </w:tcPr>
          <w:p>
            <w:pPr>
              <w:jc w:val="center"/>
              <w:rPr>
                <w:rFonts w:ascii="Times New Roman" w:hAnsi="Times New Roman"/>
                <w:sz w:val="18"/>
                <w:szCs w:val="18"/>
              </w:rPr>
            </w:pPr>
            <w:r>
              <w:rPr>
                <w:rFonts w:ascii="Times New Roman" w:hAnsi="Times New Roman"/>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vAlign w:val="center"/>
          </w:tcPr>
          <w:p>
            <w:pPr>
              <w:jc w:val="center"/>
              <w:rPr>
                <w:rFonts w:ascii="Times New Roman" w:hAnsi="Times New Roman"/>
                <w:sz w:val="18"/>
                <w:szCs w:val="18"/>
              </w:rPr>
            </w:pPr>
          </w:p>
        </w:tc>
        <w:tc>
          <w:tcPr>
            <w:tcW w:w="563" w:type="pct"/>
            <w:vMerge w:val="continue"/>
            <w:vAlign w:val="center"/>
          </w:tcPr>
          <w:p>
            <w:pPr>
              <w:jc w:val="center"/>
              <w:rPr>
                <w:rFonts w:ascii="Times New Roman" w:hAnsi="Times New Roman"/>
                <w:sz w:val="18"/>
                <w:szCs w:val="18"/>
              </w:rPr>
            </w:pPr>
          </w:p>
        </w:tc>
        <w:tc>
          <w:tcPr>
            <w:tcW w:w="807" w:type="pct"/>
            <w:vAlign w:val="center"/>
          </w:tcPr>
          <w:p>
            <w:pPr>
              <w:jc w:val="center"/>
              <w:rPr>
                <w:rFonts w:ascii="Times New Roman" w:hAnsi="Times New Roman"/>
                <w:sz w:val="18"/>
                <w:szCs w:val="18"/>
              </w:rPr>
            </w:pPr>
            <w:r>
              <w:rPr>
                <w:rFonts w:ascii="Times New Roman" w:hAnsi="Times New Roman"/>
                <w:sz w:val="18"/>
                <w:szCs w:val="18"/>
              </w:rPr>
              <w:t>B2</w:t>
            </w:r>
          </w:p>
        </w:tc>
        <w:tc>
          <w:tcPr>
            <w:tcW w:w="1703" w:type="pct"/>
            <w:vAlign w:val="center"/>
          </w:tcPr>
          <w:p>
            <w:pPr>
              <w:jc w:val="center"/>
              <w:rPr>
                <w:rFonts w:ascii="Times New Roman" w:hAnsi="Times New Roman"/>
                <w:sz w:val="18"/>
                <w:szCs w:val="18"/>
              </w:rPr>
            </w:pPr>
            <w:r>
              <w:rPr>
                <w:rFonts w:ascii="Times New Roman" w:hAnsi="Times New Roman"/>
                <w:sz w:val="18"/>
                <w:szCs w:val="18"/>
              </w:rPr>
              <w:t>0.52</w:t>
            </w:r>
            <w:r>
              <w:rPr>
                <w:rFonts w:hint="eastAsia" w:ascii="Times New Roman" w:hAnsi="Times New Roman"/>
                <w:sz w:val="18"/>
                <w:szCs w:val="18"/>
              </w:rPr>
              <w:t>-</w:t>
            </w:r>
            <w:r>
              <w:rPr>
                <w:rFonts w:ascii="Times New Roman" w:hAnsi="Times New Roman"/>
                <w:sz w:val="18"/>
                <w:szCs w:val="18"/>
              </w:rPr>
              <w:t>0.59</w:t>
            </w:r>
          </w:p>
        </w:tc>
        <w:tc>
          <w:tcPr>
            <w:tcW w:w="1524" w:type="pct"/>
            <w:vMerge w:val="continue"/>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vAlign w:val="center"/>
          </w:tcPr>
          <w:p>
            <w:pPr>
              <w:jc w:val="center"/>
              <w:rPr>
                <w:rFonts w:ascii="Times New Roman" w:hAnsi="Times New Roman"/>
                <w:sz w:val="18"/>
                <w:szCs w:val="18"/>
              </w:rPr>
            </w:pPr>
          </w:p>
        </w:tc>
        <w:tc>
          <w:tcPr>
            <w:tcW w:w="563" w:type="pct"/>
            <w:vMerge w:val="continue"/>
            <w:vAlign w:val="center"/>
          </w:tcPr>
          <w:p>
            <w:pPr>
              <w:jc w:val="center"/>
              <w:rPr>
                <w:rFonts w:ascii="Times New Roman" w:hAnsi="Times New Roman"/>
                <w:sz w:val="18"/>
                <w:szCs w:val="18"/>
              </w:rPr>
            </w:pPr>
          </w:p>
        </w:tc>
        <w:tc>
          <w:tcPr>
            <w:tcW w:w="807" w:type="pct"/>
            <w:vAlign w:val="center"/>
          </w:tcPr>
          <w:p>
            <w:pPr>
              <w:jc w:val="center"/>
              <w:rPr>
                <w:rFonts w:ascii="Times New Roman" w:hAnsi="Times New Roman"/>
                <w:sz w:val="18"/>
                <w:szCs w:val="18"/>
              </w:rPr>
            </w:pPr>
            <w:r>
              <w:rPr>
                <w:rFonts w:ascii="Times New Roman" w:hAnsi="Times New Roman"/>
                <w:sz w:val="18"/>
                <w:szCs w:val="18"/>
              </w:rPr>
              <w:t>B3</w:t>
            </w:r>
          </w:p>
        </w:tc>
        <w:tc>
          <w:tcPr>
            <w:tcW w:w="1703" w:type="pct"/>
            <w:vAlign w:val="center"/>
          </w:tcPr>
          <w:p>
            <w:pPr>
              <w:jc w:val="center"/>
              <w:rPr>
                <w:rFonts w:ascii="Times New Roman" w:hAnsi="Times New Roman"/>
                <w:sz w:val="18"/>
                <w:szCs w:val="18"/>
              </w:rPr>
            </w:pPr>
            <w:r>
              <w:rPr>
                <w:rFonts w:ascii="Times New Roman" w:hAnsi="Times New Roman"/>
                <w:sz w:val="18"/>
                <w:szCs w:val="18"/>
              </w:rPr>
              <w:t>0.63</w:t>
            </w:r>
            <w:r>
              <w:rPr>
                <w:rFonts w:hint="eastAsia" w:ascii="Times New Roman" w:hAnsi="Times New Roman"/>
                <w:sz w:val="18"/>
                <w:szCs w:val="18"/>
              </w:rPr>
              <w:t>-</w:t>
            </w:r>
            <w:r>
              <w:rPr>
                <w:rFonts w:ascii="Times New Roman" w:hAnsi="Times New Roman"/>
                <w:sz w:val="18"/>
                <w:szCs w:val="18"/>
              </w:rPr>
              <w:t>0.69</w:t>
            </w:r>
          </w:p>
        </w:tc>
        <w:tc>
          <w:tcPr>
            <w:tcW w:w="1524" w:type="pct"/>
            <w:vMerge w:val="continue"/>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vAlign w:val="center"/>
          </w:tcPr>
          <w:p>
            <w:pPr>
              <w:jc w:val="center"/>
              <w:rPr>
                <w:rFonts w:ascii="Times New Roman" w:hAnsi="Times New Roman"/>
                <w:sz w:val="18"/>
                <w:szCs w:val="18"/>
              </w:rPr>
            </w:pPr>
          </w:p>
        </w:tc>
        <w:tc>
          <w:tcPr>
            <w:tcW w:w="563" w:type="pct"/>
            <w:vMerge w:val="continue"/>
            <w:vAlign w:val="center"/>
          </w:tcPr>
          <w:p>
            <w:pPr>
              <w:jc w:val="center"/>
              <w:rPr>
                <w:rFonts w:ascii="Times New Roman" w:hAnsi="Times New Roman"/>
                <w:sz w:val="18"/>
                <w:szCs w:val="18"/>
              </w:rPr>
            </w:pPr>
          </w:p>
        </w:tc>
        <w:tc>
          <w:tcPr>
            <w:tcW w:w="807" w:type="pct"/>
            <w:vAlign w:val="center"/>
          </w:tcPr>
          <w:p>
            <w:pPr>
              <w:jc w:val="center"/>
              <w:rPr>
                <w:rFonts w:ascii="Times New Roman" w:hAnsi="Times New Roman"/>
                <w:sz w:val="18"/>
                <w:szCs w:val="18"/>
              </w:rPr>
            </w:pPr>
            <w:r>
              <w:rPr>
                <w:rFonts w:ascii="Times New Roman" w:hAnsi="Times New Roman"/>
                <w:sz w:val="18"/>
                <w:szCs w:val="18"/>
              </w:rPr>
              <w:t>B4</w:t>
            </w:r>
          </w:p>
        </w:tc>
        <w:tc>
          <w:tcPr>
            <w:tcW w:w="1703" w:type="pct"/>
            <w:vAlign w:val="center"/>
          </w:tcPr>
          <w:p>
            <w:pPr>
              <w:jc w:val="center"/>
              <w:rPr>
                <w:rFonts w:ascii="Times New Roman" w:hAnsi="Times New Roman"/>
                <w:sz w:val="18"/>
                <w:szCs w:val="18"/>
              </w:rPr>
            </w:pPr>
            <w:r>
              <w:rPr>
                <w:rFonts w:ascii="Times New Roman" w:hAnsi="Times New Roman"/>
                <w:sz w:val="18"/>
                <w:szCs w:val="18"/>
              </w:rPr>
              <w:t>0.77</w:t>
            </w:r>
            <w:r>
              <w:rPr>
                <w:rFonts w:hint="eastAsia" w:ascii="Times New Roman" w:hAnsi="Times New Roman"/>
                <w:sz w:val="18"/>
                <w:szCs w:val="18"/>
              </w:rPr>
              <w:t>-</w:t>
            </w:r>
            <w:r>
              <w:rPr>
                <w:rFonts w:ascii="Times New Roman" w:hAnsi="Times New Roman"/>
                <w:sz w:val="18"/>
                <w:szCs w:val="18"/>
              </w:rPr>
              <w:t>0.89</w:t>
            </w:r>
          </w:p>
        </w:tc>
        <w:tc>
          <w:tcPr>
            <w:tcW w:w="1524" w:type="pct"/>
            <w:vMerge w:val="continue"/>
            <w:vAlign w:val="center"/>
          </w:tcPr>
          <w:p>
            <w:pPr>
              <w:jc w:val="center"/>
              <w:rPr>
                <w:rFonts w:ascii="Times New Roman" w:hAnsi="Times New Roman"/>
                <w:sz w:val="18"/>
                <w:szCs w:val="18"/>
              </w:rPr>
            </w:pP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6  滑坡专业监测精度</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w:t>
      </w:r>
      <w:r>
        <w:rPr>
          <w:rFonts w:hint="eastAsia" w:ascii="黑体" w:hAnsi="黑体" w:eastAsia="黑体"/>
          <w:kern w:val="0"/>
          <w:szCs w:val="21"/>
        </w:rPr>
        <w:t xml:space="preserve">6  </w:t>
      </w:r>
      <w:r>
        <w:rPr>
          <w:rFonts w:ascii="黑体" w:hAnsi="黑体" w:eastAsia="黑体"/>
          <w:kern w:val="0"/>
          <w:szCs w:val="21"/>
        </w:rPr>
        <w:t>滑坡专业监测精度要求表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702"/>
        <w:gridCol w:w="1337"/>
        <w:gridCol w:w="1088"/>
        <w:gridCol w:w="1134"/>
        <w:gridCol w:w="1703"/>
        <w:gridCol w:w="1558"/>
        <w:gridCol w:w="992"/>
        <w:gridCol w:w="1137"/>
        <w:gridCol w:w="1273"/>
        <w:gridCol w:w="1276"/>
        <w:gridCol w:w="902"/>
        <w:gridCol w:w="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restart"/>
            <w:vAlign w:val="center"/>
          </w:tcPr>
          <w:p>
            <w:pPr>
              <w:jc w:val="center"/>
              <w:rPr>
                <w:rFonts w:ascii="Times New Roman" w:hAnsi="Times New Roman"/>
                <w:sz w:val="18"/>
                <w:szCs w:val="18"/>
              </w:rPr>
            </w:pPr>
            <w:r>
              <w:rPr>
                <w:rFonts w:ascii="Times New Roman" w:hAnsi="Times New Roman"/>
                <w:sz w:val="18"/>
                <w:szCs w:val="18"/>
              </w:rPr>
              <w:t>滑坡性质</w:t>
            </w:r>
          </w:p>
        </w:tc>
        <w:tc>
          <w:tcPr>
            <w:tcW w:w="242" w:type="pct"/>
            <w:vMerge w:val="restart"/>
            <w:vAlign w:val="center"/>
          </w:tcPr>
          <w:p>
            <w:pPr>
              <w:jc w:val="center"/>
              <w:rPr>
                <w:rFonts w:ascii="Times New Roman" w:hAnsi="Times New Roman"/>
                <w:sz w:val="18"/>
                <w:szCs w:val="18"/>
              </w:rPr>
            </w:pPr>
            <w:r>
              <w:rPr>
                <w:rFonts w:ascii="Times New Roman" w:hAnsi="Times New Roman"/>
                <w:sz w:val="18"/>
                <w:szCs w:val="18"/>
              </w:rPr>
              <w:t>监测等级</w:t>
            </w:r>
          </w:p>
        </w:tc>
        <w:tc>
          <w:tcPr>
            <w:tcW w:w="4479" w:type="pct"/>
            <w:gridSpan w:val="11"/>
            <w:vAlign w:val="center"/>
          </w:tcPr>
          <w:p>
            <w:pPr>
              <w:jc w:val="center"/>
              <w:rPr>
                <w:rFonts w:ascii="Times New Roman" w:hAnsi="Times New Roman"/>
                <w:sz w:val="18"/>
                <w:szCs w:val="18"/>
              </w:rPr>
            </w:pPr>
            <w:r>
              <w:rPr>
                <w:rFonts w:ascii="Times New Roman" w:hAnsi="Times New Roman"/>
                <w:sz w:val="18"/>
                <w:szCs w:val="18"/>
              </w:rPr>
              <w:t>监测精度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vAlign w:val="center"/>
          </w:tcPr>
          <w:p>
            <w:pPr>
              <w:jc w:val="center"/>
              <w:rPr>
                <w:rFonts w:ascii="Times New Roman" w:hAnsi="Times New Roman"/>
                <w:sz w:val="18"/>
                <w:szCs w:val="18"/>
              </w:rPr>
            </w:pPr>
          </w:p>
        </w:tc>
        <w:tc>
          <w:tcPr>
            <w:tcW w:w="242" w:type="pct"/>
            <w:vMerge w:val="continue"/>
            <w:vAlign w:val="center"/>
          </w:tcPr>
          <w:p>
            <w:pPr>
              <w:jc w:val="center"/>
              <w:rPr>
                <w:rFonts w:ascii="Times New Roman" w:hAnsi="Times New Roman"/>
                <w:sz w:val="18"/>
                <w:szCs w:val="18"/>
              </w:rPr>
            </w:pPr>
          </w:p>
        </w:tc>
        <w:tc>
          <w:tcPr>
            <w:tcW w:w="461" w:type="pct"/>
            <w:vMerge w:val="restart"/>
            <w:vAlign w:val="center"/>
          </w:tcPr>
          <w:p>
            <w:pPr>
              <w:jc w:val="center"/>
              <w:rPr>
                <w:rFonts w:ascii="Times New Roman" w:hAnsi="Times New Roman"/>
                <w:sz w:val="18"/>
                <w:szCs w:val="18"/>
              </w:rPr>
            </w:pPr>
            <w:r>
              <w:rPr>
                <w:rFonts w:ascii="Times New Roman" w:hAnsi="Times New Roman"/>
                <w:sz w:val="18"/>
                <w:szCs w:val="18"/>
              </w:rPr>
              <w:t>水平位移点位中误差</w:t>
            </w:r>
          </w:p>
          <w:p>
            <w:pPr>
              <w:jc w:val="center"/>
              <w:rPr>
                <w:rFonts w:ascii="Times New Roman" w:hAnsi="Times New Roman"/>
                <w:sz w:val="18"/>
                <w:szCs w:val="18"/>
              </w:rPr>
            </w:pPr>
            <w:r>
              <w:rPr>
                <w:rFonts w:ascii="Times New Roman" w:hAnsi="Times New Roman"/>
                <w:sz w:val="18"/>
                <w:szCs w:val="18"/>
              </w:rPr>
              <w:t>mm</w:t>
            </w:r>
          </w:p>
        </w:tc>
        <w:tc>
          <w:tcPr>
            <w:tcW w:w="375" w:type="pct"/>
            <w:vMerge w:val="restart"/>
            <w:vAlign w:val="center"/>
          </w:tcPr>
          <w:p>
            <w:pPr>
              <w:jc w:val="center"/>
              <w:rPr>
                <w:rFonts w:ascii="Times New Roman" w:hAnsi="Times New Roman"/>
                <w:sz w:val="18"/>
                <w:szCs w:val="18"/>
              </w:rPr>
            </w:pPr>
            <w:r>
              <w:rPr>
                <w:rFonts w:ascii="Times New Roman" w:hAnsi="Times New Roman"/>
                <w:sz w:val="18"/>
                <w:szCs w:val="18"/>
              </w:rPr>
              <w:t>深部位移mm</w:t>
            </w:r>
          </w:p>
        </w:tc>
        <w:tc>
          <w:tcPr>
            <w:tcW w:w="391" w:type="pct"/>
            <w:vMerge w:val="restart"/>
            <w:vAlign w:val="center"/>
          </w:tcPr>
          <w:p>
            <w:pPr>
              <w:jc w:val="center"/>
              <w:rPr>
                <w:rFonts w:ascii="Times New Roman" w:hAnsi="Times New Roman"/>
                <w:sz w:val="18"/>
                <w:szCs w:val="18"/>
              </w:rPr>
            </w:pPr>
            <w:r>
              <w:rPr>
                <w:rFonts w:ascii="Times New Roman" w:hAnsi="Times New Roman"/>
                <w:sz w:val="18"/>
                <w:szCs w:val="18"/>
              </w:rPr>
              <w:t>地表裂缝mm</w:t>
            </w:r>
          </w:p>
        </w:tc>
        <w:tc>
          <w:tcPr>
            <w:tcW w:w="1466" w:type="pct"/>
            <w:gridSpan w:val="3"/>
            <w:vAlign w:val="center"/>
          </w:tcPr>
          <w:p>
            <w:pPr>
              <w:jc w:val="center"/>
              <w:rPr>
                <w:rFonts w:ascii="Times New Roman" w:hAnsi="Times New Roman"/>
                <w:sz w:val="18"/>
                <w:szCs w:val="18"/>
              </w:rPr>
            </w:pPr>
            <w:r>
              <w:rPr>
                <w:rFonts w:ascii="Times New Roman" w:hAnsi="Times New Roman"/>
                <w:sz w:val="18"/>
                <w:szCs w:val="18"/>
              </w:rPr>
              <w:t>建（构）筑物</w:t>
            </w:r>
          </w:p>
        </w:tc>
        <w:tc>
          <w:tcPr>
            <w:tcW w:w="392" w:type="pct"/>
            <w:vMerge w:val="restart"/>
            <w:vAlign w:val="center"/>
          </w:tcPr>
          <w:p>
            <w:pPr>
              <w:jc w:val="center"/>
              <w:rPr>
                <w:rFonts w:ascii="Times New Roman" w:hAnsi="Times New Roman"/>
                <w:sz w:val="18"/>
                <w:szCs w:val="18"/>
              </w:rPr>
            </w:pPr>
            <w:r>
              <w:rPr>
                <w:rFonts w:ascii="Times New Roman" w:hAnsi="Times New Roman"/>
                <w:sz w:val="18"/>
                <w:szCs w:val="18"/>
              </w:rPr>
              <w:t>滑坡推力</w:t>
            </w:r>
          </w:p>
          <w:p>
            <w:pPr>
              <w:jc w:val="center"/>
              <w:rPr>
                <w:rFonts w:ascii="Times New Roman" w:hAnsi="Times New Roman"/>
                <w:sz w:val="18"/>
                <w:szCs w:val="18"/>
              </w:rPr>
            </w:pPr>
            <w:r>
              <w:rPr>
                <w:rFonts w:ascii="Times New Roman" w:hAnsi="Times New Roman"/>
                <w:sz w:val="18"/>
                <w:szCs w:val="18"/>
              </w:rPr>
              <w:t>%F.S</w:t>
            </w:r>
          </w:p>
        </w:tc>
        <w:tc>
          <w:tcPr>
            <w:tcW w:w="439" w:type="pct"/>
            <w:vMerge w:val="restart"/>
            <w:vAlign w:val="center"/>
          </w:tcPr>
          <w:p>
            <w:pPr>
              <w:jc w:val="center"/>
              <w:rPr>
                <w:rFonts w:ascii="Times New Roman" w:hAnsi="Times New Roman"/>
                <w:sz w:val="18"/>
                <w:szCs w:val="18"/>
              </w:rPr>
            </w:pPr>
            <w:r>
              <w:rPr>
                <w:rFonts w:ascii="Times New Roman" w:hAnsi="Times New Roman"/>
                <w:sz w:val="18"/>
                <w:szCs w:val="18"/>
              </w:rPr>
              <w:t>孔隙水压力</w:t>
            </w:r>
          </w:p>
          <w:p>
            <w:pPr>
              <w:jc w:val="center"/>
              <w:rPr>
                <w:rFonts w:ascii="Times New Roman" w:hAnsi="Times New Roman"/>
                <w:sz w:val="18"/>
                <w:szCs w:val="18"/>
              </w:rPr>
            </w:pPr>
            <w:r>
              <w:rPr>
                <w:rFonts w:ascii="Times New Roman" w:hAnsi="Times New Roman"/>
                <w:sz w:val="18"/>
                <w:szCs w:val="18"/>
              </w:rPr>
              <w:t>%F.S</w:t>
            </w:r>
          </w:p>
        </w:tc>
        <w:tc>
          <w:tcPr>
            <w:tcW w:w="440" w:type="pct"/>
            <w:vMerge w:val="restart"/>
            <w:vAlign w:val="center"/>
          </w:tcPr>
          <w:p>
            <w:pPr>
              <w:jc w:val="center"/>
              <w:rPr>
                <w:rFonts w:ascii="Times New Roman" w:hAnsi="Times New Roman"/>
                <w:sz w:val="18"/>
                <w:szCs w:val="18"/>
              </w:rPr>
            </w:pPr>
            <w:r>
              <w:rPr>
                <w:rFonts w:ascii="Times New Roman" w:hAnsi="Times New Roman"/>
                <w:sz w:val="18"/>
                <w:szCs w:val="18"/>
              </w:rPr>
              <w:t>地下水水位</w:t>
            </w:r>
          </w:p>
          <w:p>
            <w:pPr>
              <w:jc w:val="center"/>
              <w:rPr>
                <w:rFonts w:ascii="Times New Roman" w:hAnsi="Times New Roman"/>
                <w:sz w:val="18"/>
                <w:szCs w:val="18"/>
              </w:rPr>
            </w:pPr>
            <w:r>
              <w:rPr>
                <w:rFonts w:ascii="Times New Roman" w:hAnsi="Times New Roman"/>
                <w:sz w:val="18"/>
                <w:szCs w:val="18"/>
              </w:rPr>
              <w:t>%F.S</w:t>
            </w:r>
          </w:p>
        </w:tc>
        <w:tc>
          <w:tcPr>
            <w:tcW w:w="311" w:type="pct"/>
            <w:vMerge w:val="restart"/>
            <w:vAlign w:val="center"/>
          </w:tcPr>
          <w:p>
            <w:pPr>
              <w:jc w:val="center"/>
              <w:rPr>
                <w:rFonts w:ascii="Times New Roman" w:hAnsi="Times New Roman"/>
                <w:sz w:val="18"/>
                <w:szCs w:val="18"/>
              </w:rPr>
            </w:pPr>
            <w:r>
              <w:rPr>
                <w:rFonts w:ascii="Times New Roman" w:hAnsi="Times New Roman"/>
                <w:sz w:val="18"/>
                <w:szCs w:val="18"/>
              </w:rPr>
              <w:t>土体含水率</w:t>
            </w:r>
          </w:p>
        </w:tc>
        <w:tc>
          <w:tcPr>
            <w:tcW w:w="204" w:type="pct"/>
            <w:vMerge w:val="restart"/>
            <w:vAlign w:val="center"/>
          </w:tcPr>
          <w:p>
            <w:pPr>
              <w:jc w:val="center"/>
              <w:rPr>
                <w:rFonts w:ascii="Times New Roman" w:hAnsi="Times New Roman"/>
                <w:sz w:val="18"/>
                <w:szCs w:val="18"/>
              </w:rPr>
            </w:pPr>
            <w:r>
              <w:rPr>
                <w:rFonts w:ascii="Times New Roman" w:hAnsi="Times New Roman"/>
                <w:sz w:val="18"/>
                <w:szCs w:val="18"/>
              </w:rPr>
              <w:t>降雨量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vAlign w:val="center"/>
          </w:tcPr>
          <w:p>
            <w:pPr>
              <w:jc w:val="center"/>
              <w:rPr>
                <w:rFonts w:ascii="Times New Roman" w:hAnsi="Times New Roman"/>
                <w:sz w:val="18"/>
                <w:szCs w:val="18"/>
              </w:rPr>
            </w:pPr>
          </w:p>
        </w:tc>
        <w:tc>
          <w:tcPr>
            <w:tcW w:w="242" w:type="pct"/>
            <w:vMerge w:val="continue"/>
            <w:vAlign w:val="center"/>
          </w:tcPr>
          <w:p>
            <w:pPr>
              <w:jc w:val="center"/>
              <w:rPr>
                <w:rFonts w:ascii="Times New Roman" w:hAnsi="Times New Roman"/>
                <w:sz w:val="18"/>
                <w:szCs w:val="18"/>
              </w:rPr>
            </w:pPr>
          </w:p>
        </w:tc>
        <w:tc>
          <w:tcPr>
            <w:tcW w:w="461" w:type="pct"/>
            <w:vMerge w:val="continue"/>
            <w:vAlign w:val="center"/>
          </w:tcPr>
          <w:p>
            <w:pPr>
              <w:jc w:val="center"/>
              <w:rPr>
                <w:rFonts w:ascii="Times New Roman" w:hAnsi="Times New Roman"/>
                <w:sz w:val="18"/>
                <w:szCs w:val="18"/>
              </w:rPr>
            </w:pPr>
          </w:p>
        </w:tc>
        <w:tc>
          <w:tcPr>
            <w:tcW w:w="375" w:type="pct"/>
            <w:vMerge w:val="continue"/>
            <w:vAlign w:val="center"/>
          </w:tcPr>
          <w:p>
            <w:pPr>
              <w:jc w:val="center"/>
              <w:rPr>
                <w:rFonts w:ascii="Times New Roman" w:hAnsi="Times New Roman"/>
                <w:sz w:val="18"/>
                <w:szCs w:val="18"/>
              </w:rPr>
            </w:pPr>
          </w:p>
        </w:tc>
        <w:tc>
          <w:tcPr>
            <w:tcW w:w="391" w:type="pct"/>
            <w:vMerge w:val="continue"/>
            <w:vAlign w:val="center"/>
          </w:tcPr>
          <w:p>
            <w:pPr>
              <w:jc w:val="center"/>
              <w:rPr>
                <w:rFonts w:ascii="Times New Roman" w:hAnsi="Times New Roman"/>
                <w:sz w:val="18"/>
                <w:szCs w:val="18"/>
              </w:rPr>
            </w:pPr>
          </w:p>
        </w:tc>
        <w:tc>
          <w:tcPr>
            <w:tcW w:w="587" w:type="pct"/>
            <w:vAlign w:val="center"/>
          </w:tcPr>
          <w:p>
            <w:pPr>
              <w:jc w:val="center"/>
              <w:rPr>
                <w:rFonts w:ascii="Times New Roman" w:hAnsi="Times New Roman"/>
                <w:sz w:val="18"/>
                <w:szCs w:val="18"/>
              </w:rPr>
            </w:pPr>
            <w:r>
              <w:rPr>
                <w:rFonts w:ascii="Times New Roman" w:hAnsi="Times New Roman"/>
                <w:sz w:val="18"/>
                <w:szCs w:val="18"/>
              </w:rPr>
              <w:t>水平位移点中误差</w:t>
            </w:r>
          </w:p>
          <w:p>
            <w:pPr>
              <w:jc w:val="center"/>
              <w:rPr>
                <w:rFonts w:ascii="Times New Roman" w:hAnsi="Times New Roman"/>
                <w:sz w:val="18"/>
                <w:szCs w:val="18"/>
              </w:rPr>
            </w:pPr>
            <w:r>
              <w:rPr>
                <w:rFonts w:ascii="Times New Roman" w:hAnsi="Times New Roman"/>
                <w:sz w:val="18"/>
                <w:szCs w:val="18"/>
              </w:rPr>
              <w:t>mm</w:t>
            </w:r>
          </w:p>
        </w:tc>
        <w:tc>
          <w:tcPr>
            <w:tcW w:w="537" w:type="pct"/>
            <w:vAlign w:val="center"/>
          </w:tcPr>
          <w:p>
            <w:pPr>
              <w:jc w:val="center"/>
              <w:rPr>
                <w:rFonts w:ascii="Times New Roman" w:hAnsi="Times New Roman"/>
                <w:sz w:val="18"/>
                <w:szCs w:val="18"/>
              </w:rPr>
            </w:pPr>
            <w:r>
              <w:rPr>
                <w:rFonts w:ascii="Times New Roman" w:hAnsi="Times New Roman"/>
                <w:sz w:val="18"/>
                <w:szCs w:val="18"/>
              </w:rPr>
              <w:t>测站高差中误差</w:t>
            </w:r>
          </w:p>
          <w:p>
            <w:pPr>
              <w:jc w:val="center"/>
              <w:rPr>
                <w:rFonts w:ascii="Times New Roman" w:hAnsi="Times New Roman"/>
                <w:sz w:val="18"/>
                <w:szCs w:val="18"/>
              </w:rPr>
            </w:pPr>
            <w:r>
              <w:rPr>
                <w:rFonts w:ascii="Times New Roman" w:hAnsi="Times New Roman"/>
                <w:sz w:val="18"/>
                <w:szCs w:val="18"/>
              </w:rPr>
              <w:t>mm</w:t>
            </w:r>
          </w:p>
        </w:tc>
        <w:tc>
          <w:tcPr>
            <w:tcW w:w="342" w:type="pct"/>
            <w:vAlign w:val="center"/>
          </w:tcPr>
          <w:p>
            <w:pPr>
              <w:jc w:val="center"/>
              <w:rPr>
                <w:rFonts w:ascii="Times New Roman" w:hAnsi="Times New Roman"/>
                <w:sz w:val="18"/>
                <w:szCs w:val="18"/>
              </w:rPr>
            </w:pPr>
            <w:r>
              <w:rPr>
                <w:rFonts w:ascii="Times New Roman" w:hAnsi="Times New Roman"/>
                <w:sz w:val="18"/>
                <w:szCs w:val="18"/>
              </w:rPr>
              <w:t>裂缝</w:t>
            </w:r>
          </w:p>
          <w:p>
            <w:pPr>
              <w:jc w:val="center"/>
              <w:rPr>
                <w:rFonts w:ascii="Times New Roman" w:hAnsi="Times New Roman"/>
                <w:sz w:val="18"/>
                <w:szCs w:val="18"/>
              </w:rPr>
            </w:pPr>
            <w:r>
              <w:rPr>
                <w:rFonts w:ascii="Times New Roman" w:hAnsi="Times New Roman"/>
                <w:sz w:val="18"/>
                <w:szCs w:val="18"/>
              </w:rPr>
              <w:t>mm</w:t>
            </w:r>
          </w:p>
        </w:tc>
        <w:tc>
          <w:tcPr>
            <w:tcW w:w="392" w:type="pct"/>
            <w:vMerge w:val="continue"/>
            <w:vAlign w:val="center"/>
          </w:tcPr>
          <w:p>
            <w:pPr>
              <w:jc w:val="center"/>
              <w:rPr>
                <w:rFonts w:ascii="Times New Roman" w:hAnsi="Times New Roman"/>
                <w:sz w:val="18"/>
                <w:szCs w:val="18"/>
              </w:rPr>
            </w:pPr>
          </w:p>
        </w:tc>
        <w:tc>
          <w:tcPr>
            <w:tcW w:w="439" w:type="pct"/>
            <w:vMerge w:val="continue"/>
            <w:vAlign w:val="center"/>
          </w:tcPr>
          <w:p>
            <w:pPr>
              <w:jc w:val="center"/>
              <w:rPr>
                <w:rFonts w:ascii="Times New Roman" w:hAnsi="Times New Roman"/>
                <w:sz w:val="18"/>
                <w:szCs w:val="18"/>
              </w:rPr>
            </w:pPr>
          </w:p>
        </w:tc>
        <w:tc>
          <w:tcPr>
            <w:tcW w:w="440" w:type="pct"/>
            <w:vMerge w:val="continue"/>
            <w:vAlign w:val="center"/>
          </w:tcPr>
          <w:p>
            <w:pPr>
              <w:jc w:val="center"/>
              <w:rPr>
                <w:rFonts w:ascii="Times New Roman" w:hAnsi="Times New Roman"/>
                <w:sz w:val="18"/>
                <w:szCs w:val="18"/>
              </w:rPr>
            </w:pPr>
          </w:p>
        </w:tc>
        <w:tc>
          <w:tcPr>
            <w:tcW w:w="311" w:type="pct"/>
            <w:vMerge w:val="continue"/>
            <w:vAlign w:val="center"/>
          </w:tcPr>
          <w:p>
            <w:pPr>
              <w:jc w:val="center"/>
              <w:rPr>
                <w:rFonts w:ascii="Times New Roman" w:hAnsi="Times New Roman"/>
                <w:sz w:val="18"/>
                <w:szCs w:val="18"/>
              </w:rPr>
            </w:pPr>
          </w:p>
        </w:tc>
        <w:tc>
          <w:tcPr>
            <w:tcW w:w="204" w:type="pct"/>
            <w:vMerge w:val="continue"/>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restart"/>
            <w:vAlign w:val="center"/>
          </w:tcPr>
          <w:p>
            <w:pPr>
              <w:jc w:val="center"/>
              <w:rPr>
                <w:rFonts w:ascii="Times New Roman" w:hAnsi="Times New Roman"/>
                <w:sz w:val="18"/>
                <w:szCs w:val="18"/>
              </w:rPr>
            </w:pPr>
            <w:r>
              <w:rPr>
                <w:rFonts w:ascii="Times New Roman" w:hAnsi="Times New Roman"/>
                <w:sz w:val="18"/>
                <w:szCs w:val="18"/>
              </w:rPr>
              <w:t>岩质滑坡</w:t>
            </w:r>
          </w:p>
        </w:tc>
        <w:tc>
          <w:tcPr>
            <w:tcW w:w="242" w:type="pct"/>
            <w:vAlign w:val="center"/>
          </w:tcPr>
          <w:p>
            <w:pPr>
              <w:jc w:val="center"/>
              <w:rPr>
                <w:rFonts w:ascii="Times New Roman" w:hAnsi="Times New Roman"/>
                <w:sz w:val="18"/>
                <w:szCs w:val="18"/>
              </w:rPr>
            </w:pPr>
            <w:r>
              <w:rPr>
                <w:rFonts w:ascii="Times New Roman" w:hAnsi="Times New Roman"/>
                <w:sz w:val="18"/>
                <w:szCs w:val="18"/>
              </w:rPr>
              <w:t>一级</w:t>
            </w:r>
          </w:p>
        </w:tc>
        <w:tc>
          <w:tcPr>
            <w:tcW w:w="461" w:type="pct"/>
            <w:vAlign w:val="center"/>
          </w:tcPr>
          <w:p>
            <w:pPr>
              <w:jc w:val="center"/>
              <w:rPr>
                <w:rFonts w:ascii="Times New Roman" w:hAnsi="Times New Roman"/>
                <w:sz w:val="18"/>
                <w:szCs w:val="18"/>
              </w:rPr>
            </w:pPr>
            <w:r>
              <w:rPr>
                <w:rFonts w:ascii="Times New Roman" w:hAnsi="Times New Roman"/>
                <w:sz w:val="18"/>
                <w:szCs w:val="18"/>
              </w:rPr>
              <w:t>3</w:t>
            </w:r>
          </w:p>
        </w:tc>
        <w:tc>
          <w:tcPr>
            <w:tcW w:w="375" w:type="pct"/>
            <w:vMerge w:val="restart"/>
            <w:vAlign w:val="center"/>
          </w:tcPr>
          <w:p>
            <w:pPr>
              <w:jc w:val="center"/>
              <w:rPr>
                <w:rFonts w:ascii="Times New Roman" w:hAnsi="Times New Roman"/>
                <w:sz w:val="18"/>
                <w:szCs w:val="18"/>
              </w:rPr>
            </w:pPr>
            <w:r>
              <w:rPr>
                <w:rFonts w:ascii="Times New Roman" w:hAnsi="Times New Roman"/>
                <w:sz w:val="18"/>
                <w:szCs w:val="18"/>
              </w:rPr>
              <w:t>0.2</w:t>
            </w:r>
          </w:p>
        </w:tc>
        <w:tc>
          <w:tcPr>
            <w:tcW w:w="391" w:type="pct"/>
            <w:vMerge w:val="restart"/>
            <w:vAlign w:val="center"/>
          </w:tcPr>
          <w:p>
            <w:pPr>
              <w:jc w:val="center"/>
              <w:rPr>
                <w:rFonts w:ascii="Times New Roman" w:hAnsi="Times New Roman"/>
                <w:sz w:val="18"/>
                <w:szCs w:val="18"/>
              </w:rPr>
            </w:pPr>
            <w:r>
              <w:rPr>
                <w:rFonts w:ascii="Times New Roman" w:hAnsi="Times New Roman"/>
                <w:sz w:val="18"/>
                <w:szCs w:val="18"/>
              </w:rPr>
              <w:t>0.1</w:t>
            </w:r>
          </w:p>
        </w:tc>
        <w:tc>
          <w:tcPr>
            <w:tcW w:w="587" w:type="pct"/>
            <w:vMerge w:val="restart"/>
            <w:vAlign w:val="center"/>
          </w:tcPr>
          <w:p>
            <w:pPr>
              <w:jc w:val="center"/>
              <w:rPr>
                <w:rFonts w:ascii="Times New Roman" w:hAnsi="Times New Roman"/>
                <w:sz w:val="18"/>
                <w:szCs w:val="18"/>
              </w:rPr>
            </w:pPr>
            <w:r>
              <w:rPr>
                <w:rFonts w:ascii="Times New Roman" w:hAnsi="Times New Roman"/>
                <w:sz w:val="18"/>
                <w:szCs w:val="18"/>
              </w:rPr>
              <w:t>3</w:t>
            </w:r>
          </w:p>
        </w:tc>
        <w:tc>
          <w:tcPr>
            <w:tcW w:w="537" w:type="pct"/>
            <w:vMerge w:val="restart"/>
            <w:vAlign w:val="center"/>
          </w:tcPr>
          <w:p>
            <w:pPr>
              <w:jc w:val="center"/>
              <w:rPr>
                <w:rFonts w:ascii="Times New Roman" w:hAnsi="Times New Roman"/>
                <w:sz w:val="18"/>
                <w:szCs w:val="18"/>
              </w:rPr>
            </w:pPr>
            <w:r>
              <w:rPr>
                <w:rFonts w:ascii="Times New Roman" w:hAnsi="Times New Roman"/>
                <w:sz w:val="18"/>
                <w:szCs w:val="18"/>
              </w:rPr>
              <w:t>0.5</w:t>
            </w:r>
          </w:p>
        </w:tc>
        <w:tc>
          <w:tcPr>
            <w:tcW w:w="342" w:type="pct"/>
            <w:vMerge w:val="restart"/>
            <w:vAlign w:val="center"/>
          </w:tcPr>
          <w:p>
            <w:pPr>
              <w:jc w:val="center"/>
              <w:rPr>
                <w:rFonts w:ascii="Times New Roman" w:hAnsi="Times New Roman"/>
                <w:sz w:val="18"/>
                <w:szCs w:val="18"/>
              </w:rPr>
            </w:pPr>
            <w:r>
              <w:rPr>
                <w:rFonts w:ascii="Times New Roman" w:hAnsi="Times New Roman"/>
                <w:sz w:val="18"/>
                <w:szCs w:val="18"/>
              </w:rPr>
              <w:t>0.1</w:t>
            </w:r>
          </w:p>
        </w:tc>
        <w:tc>
          <w:tcPr>
            <w:tcW w:w="392" w:type="pct"/>
            <w:vMerge w:val="restart"/>
            <w:vAlign w:val="center"/>
          </w:tcPr>
          <w:p>
            <w:pPr>
              <w:jc w:val="center"/>
              <w:rPr>
                <w:rFonts w:ascii="Times New Roman" w:hAnsi="Times New Roman"/>
                <w:sz w:val="18"/>
                <w:szCs w:val="18"/>
              </w:rPr>
            </w:pPr>
            <w:r>
              <w:rPr>
                <w:rFonts w:ascii="Times New Roman" w:hAnsi="Times New Roman"/>
                <w:sz w:val="18"/>
                <w:szCs w:val="18"/>
              </w:rPr>
              <w:t>5</w:t>
            </w:r>
          </w:p>
        </w:tc>
        <w:tc>
          <w:tcPr>
            <w:tcW w:w="439" w:type="pct"/>
            <w:vMerge w:val="restart"/>
            <w:vAlign w:val="center"/>
          </w:tcPr>
          <w:p>
            <w:pPr>
              <w:jc w:val="center"/>
              <w:rPr>
                <w:rFonts w:ascii="Times New Roman" w:hAnsi="Times New Roman"/>
                <w:sz w:val="18"/>
                <w:szCs w:val="18"/>
              </w:rPr>
            </w:pPr>
            <w:r>
              <w:rPr>
                <w:rFonts w:ascii="Times New Roman" w:hAnsi="Times New Roman"/>
                <w:sz w:val="18"/>
                <w:szCs w:val="18"/>
              </w:rPr>
              <w:t>0.1</w:t>
            </w:r>
          </w:p>
        </w:tc>
        <w:tc>
          <w:tcPr>
            <w:tcW w:w="440" w:type="pct"/>
            <w:vMerge w:val="restart"/>
            <w:vAlign w:val="center"/>
          </w:tcPr>
          <w:p>
            <w:pPr>
              <w:jc w:val="center"/>
              <w:rPr>
                <w:rFonts w:ascii="Times New Roman" w:hAnsi="Times New Roman"/>
                <w:sz w:val="18"/>
                <w:szCs w:val="18"/>
              </w:rPr>
            </w:pPr>
            <w:r>
              <w:rPr>
                <w:rFonts w:ascii="Times New Roman" w:hAnsi="Times New Roman"/>
                <w:sz w:val="18"/>
                <w:szCs w:val="18"/>
              </w:rPr>
              <w:t>0.25</w:t>
            </w:r>
          </w:p>
        </w:tc>
        <w:tc>
          <w:tcPr>
            <w:tcW w:w="311" w:type="pct"/>
            <w:vMerge w:val="restart"/>
            <w:vAlign w:val="center"/>
          </w:tcPr>
          <w:p>
            <w:pPr>
              <w:jc w:val="center"/>
              <w:rPr>
                <w:rFonts w:ascii="Times New Roman" w:hAnsi="Times New Roman"/>
                <w:sz w:val="18"/>
                <w:szCs w:val="18"/>
              </w:rPr>
            </w:pPr>
            <w:r>
              <w:rPr>
                <w:rFonts w:hint="eastAsia" w:ascii="Times New Roman" w:hAnsi="Times New Roman"/>
                <w:sz w:val="18"/>
                <w:szCs w:val="18"/>
              </w:rPr>
              <w:t>\</w:t>
            </w:r>
          </w:p>
        </w:tc>
        <w:tc>
          <w:tcPr>
            <w:tcW w:w="204" w:type="pct"/>
            <w:vMerge w:val="restart"/>
            <w:vAlign w:val="center"/>
          </w:tcPr>
          <w:p>
            <w:pPr>
              <w:jc w:val="center"/>
              <w:rPr>
                <w:rFonts w:ascii="Times New Roman" w:hAnsi="Times New Roman"/>
                <w:sz w:val="18"/>
                <w:szCs w:val="18"/>
              </w:rPr>
            </w:pPr>
            <w:r>
              <w:rPr>
                <w:rFonts w:ascii="Times New Roman" w:hAnsi="Times New Roman"/>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vAlign w:val="center"/>
          </w:tcPr>
          <w:p>
            <w:pPr>
              <w:jc w:val="center"/>
              <w:rPr>
                <w:rFonts w:ascii="Times New Roman" w:hAnsi="Times New Roman"/>
                <w:sz w:val="18"/>
                <w:szCs w:val="18"/>
              </w:rPr>
            </w:pPr>
          </w:p>
        </w:tc>
        <w:tc>
          <w:tcPr>
            <w:tcW w:w="242" w:type="pct"/>
            <w:vAlign w:val="center"/>
          </w:tcPr>
          <w:p>
            <w:pPr>
              <w:jc w:val="center"/>
              <w:rPr>
                <w:rFonts w:ascii="Times New Roman" w:hAnsi="Times New Roman"/>
                <w:sz w:val="18"/>
                <w:szCs w:val="18"/>
              </w:rPr>
            </w:pPr>
            <w:r>
              <w:rPr>
                <w:rFonts w:ascii="Times New Roman" w:hAnsi="Times New Roman"/>
                <w:sz w:val="18"/>
                <w:szCs w:val="18"/>
              </w:rPr>
              <w:t>二级</w:t>
            </w:r>
          </w:p>
        </w:tc>
        <w:tc>
          <w:tcPr>
            <w:tcW w:w="461" w:type="pct"/>
            <w:vAlign w:val="center"/>
          </w:tcPr>
          <w:p>
            <w:pPr>
              <w:jc w:val="center"/>
              <w:rPr>
                <w:rFonts w:ascii="Times New Roman" w:hAnsi="Times New Roman"/>
                <w:sz w:val="18"/>
                <w:szCs w:val="18"/>
              </w:rPr>
            </w:pPr>
            <w:r>
              <w:rPr>
                <w:rFonts w:ascii="Times New Roman" w:hAnsi="Times New Roman"/>
                <w:sz w:val="18"/>
                <w:szCs w:val="18"/>
              </w:rPr>
              <w:t>4</w:t>
            </w:r>
          </w:p>
        </w:tc>
        <w:tc>
          <w:tcPr>
            <w:tcW w:w="375" w:type="pct"/>
            <w:vMerge w:val="continue"/>
            <w:vAlign w:val="center"/>
          </w:tcPr>
          <w:p>
            <w:pPr>
              <w:jc w:val="center"/>
              <w:rPr>
                <w:rFonts w:ascii="Times New Roman" w:hAnsi="Times New Roman"/>
                <w:sz w:val="18"/>
                <w:szCs w:val="18"/>
              </w:rPr>
            </w:pPr>
          </w:p>
        </w:tc>
        <w:tc>
          <w:tcPr>
            <w:tcW w:w="391" w:type="pct"/>
            <w:vMerge w:val="continue"/>
            <w:vAlign w:val="center"/>
          </w:tcPr>
          <w:p>
            <w:pPr>
              <w:jc w:val="center"/>
              <w:rPr>
                <w:rFonts w:ascii="Times New Roman" w:hAnsi="Times New Roman"/>
                <w:sz w:val="18"/>
                <w:szCs w:val="18"/>
              </w:rPr>
            </w:pPr>
          </w:p>
        </w:tc>
        <w:tc>
          <w:tcPr>
            <w:tcW w:w="587" w:type="pct"/>
            <w:vMerge w:val="continue"/>
            <w:vAlign w:val="center"/>
          </w:tcPr>
          <w:p>
            <w:pPr>
              <w:jc w:val="center"/>
              <w:rPr>
                <w:rFonts w:ascii="Times New Roman" w:hAnsi="Times New Roman"/>
                <w:sz w:val="18"/>
                <w:szCs w:val="18"/>
              </w:rPr>
            </w:pPr>
          </w:p>
        </w:tc>
        <w:tc>
          <w:tcPr>
            <w:tcW w:w="537" w:type="pct"/>
            <w:vMerge w:val="continue"/>
            <w:vAlign w:val="center"/>
          </w:tcPr>
          <w:p>
            <w:pPr>
              <w:jc w:val="center"/>
              <w:rPr>
                <w:rFonts w:ascii="Times New Roman" w:hAnsi="Times New Roman"/>
                <w:sz w:val="18"/>
                <w:szCs w:val="18"/>
              </w:rPr>
            </w:pPr>
          </w:p>
        </w:tc>
        <w:tc>
          <w:tcPr>
            <w:tcW w:w="342" w:type="pct"/>
            <w:vMerge w:val="continue"/>
            <w:vAlign w:val="center"/>
          </w:tcPr>
          <w:p>
            <w:pPr>
              <w:jc w:val="center"/>
              <w:rPr>
                <w:rFonts w:ascii="Times New Roman" w:hAnsi="Times New Roman"/>
                <w:sz w:val="18"/>
                <w:szCs w:val="18"/>
              </w:rPr>
            </w:pPr>
          </w:p>
        </w:tc>
        <w:tc>
          <w:tcPr>
            <w:tcW w:w="392" w:type="pct"/>
            <w:vMerge w:val="continue"/>
            <w:vAlign w:val="center"/>
          </w:tcPr>
          <w:p>
            <w:pPr>
              <w:jc w:val="center"/>
              <w:rPr>
                <w:rFonts w:ascii="Times New Roman" w:hAnsi="Times New Roman"/>
                <w:sz w:val="18"/>
                <w:szCs w:val="18"/>
              </w:rPr>
            </w:pPr>
          </w:p>
        </w:tc>
        <w:tc>
          <w:tcPr>
            <w:tcW w:w="439" w:type="pct"/>
            <w:vMerge w:val="continue"/>
            <w:vAlign w:val="center"/>
          </w:tcPr>
          <w:p>
            <w:pPr>
              <w:jc w:val="center"/>
              <w:rPr>
                <w:rFonts w:ascii="Times New Roman" w:hAnsi="Times New Roman"/>
                <w:sz w:val="18"/>
                <w:szCs w:val="18"/>
              </w:rPr>
            </w:pPr>
          </w:p>
        </w:tc>
        <w:tc>
          <w:tcPr>
            <w:tcW w:w="440" w:type="pct"/>
            <w:vMerge w:val="continue"/>
            <w:vAlign w:val="center"/>
          </w:tcPr>
          <w:p>
            <w:pPr>
              <w:jc w:val="center"/>
              <w:rPr>
                <w:rFonts w:ascii="Times New Roman" w:hAnsi="Times New Roman"/>
                <w:sz w:val="18"/>
                <w:szCs w:val="18"/>
              </w:rPr>
            </w:pPr>
          </w:p>
        </w:tc>
        <w:tc>
          <w:tcPr>
            <w:tcW w:w="311" w:type="pct"/>
            <w:vMerge w:val="continue"/>
            <w:vAlign w:val="center"/>
          </w:tcPr>
          <w:p>
            <w:pPr>
              <w:jc w:val="center"/>
              <w:rPr>
                <w:rFonts w:ascii="Times New Roman" w:hAnsi="Times New Roman"/>
                <w:sz w:val="18"/>
                <w:szCs w:val="18"/>
              </w:rPr>
            </w:pPr>
          </w:p>
        </w:tc>
        <w:tc>
          <w:tcPr>
            <w:tcW w:w="204" w:type="pct"/>
            <w:vMerge w:val="continue"/>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vAlign w:val="center"/>
          </w:tcPr>
          <w:p>
            <w:pPr>
              <w:jc w:val="center"/>
              <w:rPr>
                <w:rFonts w:ascii="Times New Roman" w:hAnsi="Times New Roman"/>
                <w:sz w:val="18"/>
                <w:szCs w:val="18"/>
              </w:rPr>
            </w:pPr>
          </w:p>
        </w:tc>
        <w:tc>
          <w:tcPr>
            <w:tcW w:w="242" w:type="pct"/>
            <w:vAlign w:val="center"/>
          </w:tcPr>
          <w:p>
            <w:pPr>
              <w:jc w:val="center"/>
              <w:rPr>
                <w:rFonts w:ascii="Times New Roman" w:hAnsi="Times New Roman"/>
                <w:sz w:val="18"/>
                <w:szCs w:val="18"/>
              </w:rPr>
            </w:pPr>
            <w:r>
              <w:rPr>
                <w:rFonts w:ascii="Times New Roman" w:hAnsi="Times New Roman"/>
                <w:sz w:val="18"/>
                <w:szCs w:val="18"/>
              </w:rPr>
              <w:t>三级</w:t>
            </w:r>
          </w:p>
        </w:tc>
        <w:tc>
          <w:tcPr>
            <w:tcW w:w="461" w:type="pct"/>
            <w:vAlign w:val="center"/>
          </w:tcPr>
          <w:p>
            <w:pPr>
              <w:jc w:val="center"/>
              <w:rPr>
                <w:rFonts w:ascii="Times New Roman" w:hAnsi="Times New Roman"/>
                <w:sz w:val="18"/>
                <w:szCs w:val="18"/>
              </w:rPr>
            </w:pPr>
            <w:r>
              <w:rPr>
                <w:rFonts w:ascii="Times New Roman" w:hAnsi="Times New Roman"/>
                <w:sz w:val="18"/>
                <w:szCs w:val="18"/>
              </w:rPr>
              <w:t>6</w:t>
            </w:r>
          </w:p>
        </w:tc>
        <w:tc>
          <w:tcPr>
            <w:tcW w:w="375" w:type="pct"/>
            <w:vMerge w:val="continue"/>
            <w:vAlign w:val="center"/>
          </w:tcPr>
          <w:p>
            <w:pPr>
              <w:jc w:val="center"/>
              <w:rPr>
                <w:rFonts w:ascii="Times New Roman" w:hAnsi="Times New Roman"/>
                <w:sz w:val="18"/>
                <w:szCs w:val="18"/>
              </w:rPr>
            </w:pPr>
          </w:p>
        </w:tc>
        <w:tc>
          <w:tcPr>
            <w:tcW w:w="391" w:type="pct"/>
            <w:vAlign w:val="center"/>
          </w:tcPr>
          <w:p>
            <w:pPr>
              <w:jc w:val="center"/>
              <w:rPr>
                <w:rFonts w:ascii="Times New Roman" w:hAnsi="Times New Roman"/>
                <w:sz w:val="18"/>
                <w:szCs w:val="18"/>
              </w:rPr>
            </w:pPr>
            <w:r>
              <w:rPr>
                <w:rFonts w:ascii="Times New Roman" w:hAnsi="Times New Roman"/>
                <w:sz w:val="18"/>
                <w:szCs w:val="18"/>
              </w:rPr>
              <w:t>0.5</w:t>
            </w:r>
          </w:p>
        </w:tc>
        <w:tc>
          <w:tcPr>
            <w:tcW w:w="587" w:type="pct"/>
            <w:vMerge w:val="continue"/>
            <w:vAlign w:val="center"/>
          </w:tcPr>
          <w:p>
            <w:pPr>
              <w:jc w:val="center"/>
              <w:rPr>
                <w:rFonts w:ascii="Times New Roman" w:hAnsi="Times New Roman"/>
                <w:sz w:val="18"/>
                <w:szCs w:val="18"/>
              </w:rPr>
            </w:pPr>
          </w:p>
        </w:tc>
        <w:tc>
          <w:tcPr>
            <w:tcW w:w="537" w:type="pct"/>
            <w:vMerge w:val="continue"/>
            <w:vAlign w:val="center"/>
          </w:tcPr>
          <w:p>
            <w:pPr>
              <w:jc w:val="center"/>
              <w:rPr>
                <w:rFonts w:ascii="Times New Roman" w:hAnsi="Times New Roman"/>
                <w:sz w:val="18"/>
                <w:szCs w:val="18"/>
              </w:rPr>
            </w:pPr>
          </w:p>
        </w:tc>
        <w:tc>
          <w:tcPr>
            <w:tcW w:w="342" w:type="pct"/>
            <w:vMerge w:val="continue"/>
            <w:vAlign w:val="center"/>
          </w:tcPr>
          <w:p>
            <w:pPr>
              <w:jc w:val="center"/>
              <w:rPr>
                <w:rFonts w:ascii="Times New Roman" w:hAnsi="Times New Roman"/>
                <w:sz w:val="18"/>
                <w:szCs w:val="18"/>
              </w:rPr>
            </w:pPr>
          </w:p>
        </w:tc>
        <w:tc>
          <w:tcPr>
            <w:tcW w:w="392" w:type="pct"/>
            <w:vMerge w:val="continue"/>
            <w:vAlign w:val="center"/>
          </w:tcPr>
          <w:p>
            <w:pPr>
              <w:jc w:val="center"/>
              <w:rPr>
                <w:rFonts w:ascii="Times New Roman" w:hAnsi="Times New Roman"/>
                <w:sz w:val="18"/>
                <w:szCs w:val="18"/>
              </w:rPr>
            </w:pPr>
          </w:p>
        </w:tc>
        <w:tc>
          <w:tcPr>
            <w:tcW w:w="439" w:type="pct"/>
            <w:vMerge w:val="continue"/>
            <w:vAlign w:val="center"/>
          </w:tcPr>
          <w:p>
            <w:pPr>
              <w:jc w:val="center"/>
              <w:rPr>
                <w:rFonts w:ascii="Times New Roman" w:hAnsi="Times New Roman"/>
                <w:sz w:val="18"/>
                <w:szCs w:val="18"/>
              </w:rPr>
            </w:pPr>
          </w:p>
        </w:tc>
        <w:tc>
          <w:tcPr>
            <w:tcW w:w="440" w:type="pct"/>
            <w:vAlign w:val="center"/>
          </w:tcPr>
          <w:p>
            <w:pPr>
              <w:jc w:val="center"/>
              <w:rPr>
                <w:rFonts w:ascii="Times New Roman" w:hAnsi="Times New Roman"/>
                <w:sz w:val="18"/>
                <w:szCs w:val="18"/>
              </w:rPr>
            </w:pPr>
            <w:r>
              <w:rPr>
                <w:rFonts w:ascii="Times New Roman" w:hAnsi="Times New Roman"/>
                <w:sz w:val="18"/>
                <w:szCs w:val="18"/>
              </w:rPr>
              <w:t>0.5</w:t>
            </w:r>
          </w:p>
        </w:tc>
        <w:tc>
          <w:tcPr>
            <w:tcW w:w="311" w:type="pct"/>
            <w:vMerge w:val="continue"/>
            <w:vAlign w:val="center"/>
          </w:tcPr>
          <w:p>
            <w:pPr>
              <w:jc w:val="center"/>
              <w:rPr>
                <w:rFonts w:ascii="Times New Roman" w:hAnsi="Times New Roman"/>
                <w:sz w:val="18"/>
                <w:szCs w:val="18"/>
              </w:rPr>
            </w:pPr>
          </w:p>
        </w:tc>
        <w:tc>
          <w:tcPr>
            <w:tcW w:w="204" w:type="pct"/>
            <w:vMerge w:val="continue"/>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restart"/>
            <w:vAlign w:val="center"/>
          </w:tcPr>
          <w:p>
            <w:pPr>
              <w:jc w:val="center"/>
              <w:rPr>
                <w:rFonts w:ascii="Times New Roman" w:hAnsi="Times New Roman"/>
                <w:sz w:val="18"/>
                <w:szCs w:val="18"/>
              </w:rPr>
            </w:pPr>
            <w:r>
              <w:rPr>
                <w:rFonts w:ascii="Times New Roman" w:hAnsi="Times New Roman"/>
                <w:sz w:val="18"/>
                <w:szCs w:val="18"/>
              </w:rPr>
              <w:t>土质滑坡</w:t>
            </w:r>
          </w:p>
        </w:tc>
        <w:tc>
          <w:tcPr>
            <w:tcW w:w="242" w:type="pct"/>
            <w:vAlign w:val="center"/>
          </w:tcPr>
          <w:p>
            <w:pPr>
              <w:jc w:val="center"/>
              <w:rPr>
                <w:rFonts w:ascii="Times New Roman" w:hAnsi="Times New Roman"/>
                <w:sz w:val="18"/>
                <w:szCs w:val="18"/>
              </w:rPr>
            </w:pPr>
            <w:r>
              <w:rPr>
                <w:rFonts w:ascii="Times New Roman" w:hAnsi="Times New Roman"/>
                <w:sz w:val="18"/>
                <w:szCs w:val="18"/>
              </w:rPr>
              <w:t>一级</w:t>
            </w:r>
          </w:p>
        </w:tc>
        <w:tc>
          <w:tcPr>
            <w:tcW w:w="461" w:type="pct"/>
            <w:vAlign w:val="center"/>
          </w:tcPr>
          <w:p>
            <w:pPr>
              <w:jc w:val="center"/>
              <w:rPr>
                <w:rFonts w:ascii="Times New Roman" w:hAnsi="Times New Roman"/>
                <w:sz w:val="18"/>
                <w:szCs w:val="18"/>
              </w:rPr>
            </w:pPr>
            <w:r>
              <w:rPr>
                <w:rFonts w:ascii="Times New Roman" w:hAnsi="Times New Roman"/>
                <w:sz w:val="18"/>
                <w:szCs w:val="18"/>
              </w:rPr>
              <w:t>4</w:t>
            </w:r>
          </w:p>
        </w:tc>
        <w:tc>
          <w:tcPr>
            <w:tcW w:w="375" w:type="pct"/>
            <w:vMerge w:val="restart"/>
            <w:vAlign w:val="center"/>
          </w:tcPr>
          <w:p>
            <w:pPr>
              <w:jc w:val="center"/>
              <w:rPr>
                <w:rFonts w:ascii="Times New Roman" w:hAnsi="Times New Roman"/>
                <w:sz w:val="18"/>
                <w:szCs w:val="18"/>
              </w:rPr>
            </w:pPr>
            <w:r>
              <w:rPr>
                <w:rFonts w:ascii="Times New Roman" w:hAnsi="Times New Roman"/>
                <w:sz w:val="18"/>
                <w:szCs w:val="18"/>
              </w:rPr>
              <w:t>0.5</w:t>
            </w:r>
          </w:p>
        </w:tc>
        <w:tc>
          <w:tcPr>
            <w:tcW w:w="391" w:type="pct"/>
            <w:vAlign w:val="center"/>
          </w:tcPr>
          <w:p>
            <w:pPr>
              <w:jc w:val="center"/>
              <w:rPr>
                <w:rFonts w:ascii="Times New Roman" w:hAnsi="Times New Roman"/>
                <w:sz w:val="18"/>
                <w:szCs w:val="18"/>
              </w:rPr>
            </w:pPr>
            <w:r>
              <w:rPr>
                <w:rFonts w:ascii="Times New Roman" w:hAnsi="Times New Roman"/>
                <w:sz w:val="18"/>
                <w:szCs w:val="18"/>
              </w:rPr>
              <w:t>1</w:t>
            </w:r>
          </w:p>
        </w:tc>
        <w:tc>
          <w:tcPr>
            <w:tcW w:w="587" w:type="pct"/>
            <w:vMerge w:val="continue"/>
            <w:vAlign w:val="center"/>
          </w:tcPr>
          <w:p>
            <w:pPr>
              <w:jc w:val="center"/>
              <w:rPr>
                <w:rFonts w:ascii="Times New Roman" w:hAnsi="Times New Roman"/>
                <w:sz w:val="18"/>
                <w:szCs w:val="18"/>
              </w:rPr>
            </w:pPr>
          </w:p>
        </w:tc>
        <w:tc>
          <w:tcPr>
            <w:tcW w:w="537" w:type="pct"/>
            <w:vMerge w:val="continue"/>
            <w:vAlign w:val="center"/>
          </w:tcPr>
          <w:p>
            <w:pPr>
              <w:jc w:val="center"/>
              <w:rPr>
                <w:rFonts w:ascii="Times New Roman" w:hAnsi="Times New Roman"/>
                <w:sz w:val="18"/>
                <w:szCs w:val="18"/>
              </w:rPr>
            </w:pPr>
          </w:p>
        </w:tc>
        <w:tc>
          <w:tcPr>
            <w:tcW w:w="342" w:type="pct"/>
            <w:vMerge w:val="continue"/>
            <w:vAlign w:val="center"/>
          </w:tcPr>
          <w:p>
            <w:pPr>
              <w:jc w:val="center"/>
              <w:rPr>
                <w:rFonts w:ascii="Times New Roman" w:hAnsi="Times New Roman"/>
                <w:sz w:val="18"/>
                <w:szCs w:val="18"/>
              </w:rPr>
            </w:pPr>
          </w:p>
        </w:tc>
        <w:tc>
          <w:tcPr>
            <w:tcW w:w="392" w:type="pct"/>
            <w:vMerge w:val="continue"/>
            <w:vAlign w:val="center"/>
          </w:tcPr>
          <w:p>
            <w:pPr>
              <w:jc w:val="center"/>
              <w:rPr>
                <w:rFonts w:ascii="Times New Roman" w:hAnsi="Times New Roman"/>
                <w:sz w:val="18"/>
                <w:szCs w:val="18"/>
              </w:rPr>
            </w:pPr>
          </w:p>
        </w:tc>
        <w:tc>
          <w:tcPr>
            <w:tcW w:w="439" w:type="pct"/>
            <w:vMerge w:val="continue"/>
            <w:vAlign w:val="center"/>
          </w:tcPr>
          <w:p>
            <w:pPr>
              <w:jc w:val="center"/>
              <w:rPr>
                <w:rFonts w:ascii="Times New Roman" w:hAnsi="Times New Roman"/>
                <w:sz w:val="18"/>
                <w:szCs w:val="18"/>
              </w:rPr>
            </w:pPr>
          </w:p>
        </w:tc>
        <w:tc>
          <w:tcPr>
            <w:tcW w:w="440" w:type="pct"/>
            <w:vMerge w:val="restart"/>
            <w:vAlign w:val="center"/>
          </w:tcPr>
          <w:p>
            <w:pPr>
              <w:jc w:val="center"/>
              <w:rPr>
                <w:rFonts w:ascii="Times New Roman" w:hAnsi="Times New Roman"/>
                <w:sz w:val="18"/>
                <w:szCs w:val="18"/>
              </w:rPr>
            </w:pPr>
            <w:r>
              <w:rPr>
                <w:rFonts w:ascii="Times New Roman" w:hAnsi="Times New Roman"/>
                <w:sz w:val="18"/>
                <w:szCs w:val="18"/>
              </w:rPr>
              <w:t>0.25</w:t>
            </w:r>
          </w:p>
        </w:tc>
        <w:tc>
          <w:tcPr>
            <w:tcW w:w="311" w:type="pct"/>
            <w:vMerge w:val="restart"/>
            <w:vAlign w:val="center"/>
          </w:tcPr>
          <w:p>
            <w:pPr>
              <w:jc w:val="center"/>
              <w:rPr>
                <w:rFonts w:ascii="Times New Roman" w:hAnsi="Times New Roman"/>
                <w:sz w:val="18"/>
                <w:szCs w:val="18"/>
              </w:rPr>
            </w:pPr>
            <w:r>
              <w:rPr>
                <w:rFonts w:ascii="Times New Roman" w:hAnsi="Times New Roman"/>
                <w:sz w:val="18"/>
                <w:szCs w:val="18"/>
              </w:rPr>
              <w:t>0.5%</w:t>
            </w:r>
          </w:p>
        </w:tc>
        <w:tc>
          <w:tcPr>
            <w:tcW w:w="204" w:type="pct"/>
            <w:vMerge w:val="continue"/>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vAlign w:val="center"/>
          </w:tcPr>
          <w:p>
            <w:pPr>
              <w:jc w:val="center"/>
              <w:rPr>
                <w:rFonts w:ascii="Times New Roman" w:hAnsi="Times New Roman"/>
                <w:sz w:val="18"/>
                <w:szCs w:val="18"/>
              </w:rPr>
            </w:pPr>
          </w:p>
        </w:tc>
        <w:tc>
          <w:tcPr>
            <w:tcW w:w="242" w:type="pct"/>
            <w:vAlign w:val="center"/>
          </w:tcPr>
          <w:p>
            <w:pPr>
              <w:jc w:val="center"/>
              <w:rPr>
                <w:rFonts w:ascii="Times New Roman" w:hAnsi="Times New Roman"/>
                <w:sz w:val="18"/>
                <w:szCs w:val="18"/>
              </w:rPr>
            </w:pPr>
            <w:r>
              <w:rPr>
                <w:rFonts w:ascii="Times New Roman" w:hAnsi="Times New Roman"/>
                <w:sz w:val="18"/>
                <w:szCs w:val="18"/>
              </w:rPr>
              <w:t>二级</w:t>
            </w:r>
          </w:p>
        </w:tc>
        <w:tc>
          <w:tcPr>
            <w:tcW w:w="461" w:type="pct"/>
            <w:vAlign w:val="center"/>
          </w:tcPr>
          <w:p>
            <w:pPr>
              <w:jc w:val="center"/>
              <w:rPr>
                <w:rFonts w:ascii="Times New Roman" w:hAnsi="Times New Roman"/>
                <w:sz w:val="18"/>
                <w:szCs w:val="18"/>
              </w:rPr>
            </w:pPr>
            <w:r>
              <w:rPr>
                <w:rFonts w:ascii="Times New Roman" w:hAnsi="Times New Roman"/>
                <w:sz w:val="18"/>
                <w:szCs w:val="18"/>
              </w:rPr>
              <w:t>6</w:t>
            </w:r>
          </w:p>
        </w:tc>
        <w:tc>
          <w:tcPr>
            <w:tcW w:w="375" w:type="pct"/>
            <w:vMerge w:val="continue"/>
            <w:vAlign w:val="center"/>
          </w:tcPr>
          <w:p>
            <w:pPr>
              <w:jc w:val="center"/>
              <w:rPr>
                <w:rFonts w:ascii="Times New Roman" w:hAnsi="Times New Roman"/>
                <w:sz w:val="18"/>
                <w:szCs w:val="18"/>
              </w:rPr>
            </w:pPr>
          </w:p>
        </w:tc>
        <w:tc>
          <w:tcPr>
            <w:tcW w:w="391" w:type="pct"/>
            <w:vAlign w:val="center"/>
          </w:tcPr>
          <w:p>
            <w:pPr>
              <w:jc w:val="center"/>
              <w:rPr>
                <w:rFonts w:ascii="Times New Roman" w:hAnsi="Times New Roman"/>
                <w:sz w:val="18"/>
                <w:szCs w:val="18"/>
              </w:rPr>
            </w:pPr>
            <w:r>
              <w:rPr>
                <w:rFonts w:ascii="Times New Roman" w:hAnsi="Times New Roman"/>
                <w:sz w:val="18"/>
                <w:szCs w:val="18"/>
              </w:rPr>
              <w:t>2</w:t>
            </w:r>
          </w:p>
        </w:tc>
        <w:tc>
          <w:tcPr>
            <w:tcW w:w="587" w:type="pct"/>
            <w:vMerge w:val="continue"/>
            <w:vAlign w:val="center"/>
          </w:tcPr>
          <w:p>
            <w:pPr>
              <w:jc w:val="center"/>
              <w:rPr>
                <w:rFonts w:ascii="Times New Roman" w:hAnsi="Times New Roman"/>
                <w:sz w:val="18"/>
                <w:szCs w:val="18"/>
              </w:rPr>
            </w:pPr>
          </w:p>
        </w:tc>
        <w:tc>
          <w:tcPr>
            <w:tcW w:w="537" w:type="pct"/>
            <w:vMerge w:val="continue"/>
            <w:vAlign w:val="center"/>
          </w:tcPr>
          <w:p>
            <w:pPr>
              <w:jc w:val="center"/>
              <w:rPr>
                <w:rFonts w:ascii="Times New Roman" w:hAnsi="Times New Roman"/>
                <w:sz w:val="18"/>
                <w:szCs w:val="18"/>
              </w:rPr>
            </w:pPr>
          </w:p>
        </w:tc>
        <w:tc>
          <w:tcPr>
            <w:tcW w:w="342" w:type="pct"/>
            <w:vMerge w:val="continue"/>
            <w:vAlign w:val="center"/>
          </w:tcPr>
          <w:p>
            <w:pPr>
              <w:jc w:val="center"/>
              <w:rPr>
                <w:rFonts w:ascii="Times New Roman" w:hAnsi="Times New Roman"/>
                <w:sz w:val="18"/>
                <w:szCs w:val="18"/>
              </w:rPr>
            </w:pPr>
          </w:p>
        </w:tc>
        <w:tc>
          <w:tcPr>
            <w:tcW w:w="392" w:type="pct"/>
            <w:vMerge w:val="continue"/>
            <w:vAlign w:val="center"/>
          </w:tcPr>
          <w:p>
            <w:pPr>
              <w:jc w:val="center"/>
              <w:rPr>
                <w:rFonts w:ascii="Times New Roman" w:hAnsi="Times New Roman"/>
                <w:sz w:val="18"/>
                <w:szCs w:val="18"/>
              </w:rPr>
            </w:pPr>
          </w:p>
        </w:tc>
        <w:tc>
          <w:tcPr>
            <w:tcW w:w="439" w:type="pct"/>
            <w:vMerge w:val="continue"/>
            <w:vAlign w:val="center"/>
          </w:tcPr>
          <w:p>
            <w:pPr>
              <w:jc w:val="center"/>
              <w:rPr>
                <w:rFonts w:ascii="Times New Roman" w:hAnsi="Times New Roman"/>
                <w:sz w:val="18"/>
                <w:szCs w:val="18"/>
              </w:rPr>
            </w:pPr>
          </w:p>
        </w:tc>
        <w:tc>
          <w:tcPr>
            <w:tcW w:w="440" w:type="pct"/>
            <w:vMerge w:val="continue"/>
            <w:vAlign w:val="center"/>
          </w:tcPr>
          <w:p>
            <w:pPr>
              <w:jc w:val="center"/>
              <w:rPr>
                <w:rFonts w:ascii="Times New Roman" w:hAnsi="Times New Roman"/>
                <w:sz w:val="18"/>
                <w:szCs w:val="18"/>
              </w:rPr>
            </w:pPr>
          </w:p>
        </w:tc>
        <w:tc>
          <w:tcPr>
            <w:tcW w:w="311" w:type="pct"/>
            <w:vMerge w:val="continue"/>
            <w:vAlign w:val="center"/>
          </w:tcPr>
          <w:p>
            <w:pPr>
              <w:jc w:val="center"/>
              <w:rPr>
                <w:rFonts w:ascii="Times New Roman" w:hAnsi="Times New Roman"/>
                <w:sz w:val="18"/>
                <w:szCs w:val="18"/>
              </w:rPr>
            </w:pPr>
          </w:p>
        </w:tc>
        <w:tc>
          <w:tcPr>
            <w:tcW w:w="204" w:type="pct"/>
            <w:vMerge w:val="continue"/>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vAlign w:val="center"/>
          </w:tcPr>
          <w:p>
            <w:pPr>
              <w:jc w:val="center"/>
              <w:rPr>
                <w:rFonts w:ascii="Times New Roman" w:hAnsi="Times New Roman"/>
                <w:sz w:val="18"/>
                <w:szCs w:val="18"/>
              </w:rPr>
            </w:pPr>
          </w:p>
        </w:tc>
        <w:tc>
          <w:tcPr>
            <w:tcW w:w="242" w:type="pct"/>
            <w:vAlign w:val="center"/>
          </w:tcPr>
          <w:p>
            <w:pPr>
              <w:jc w:val="center"/>
              <w:rPr>
                <w:rFonts w:ascii="Times New Roman" w:hAnsi="Times New Roman"/>
                <w:sz w:val="18"/>
                <w:szCs w:val="18"/>
              </w:rPr>
            </w:pPr>
            <w:r>
              <w:rPr>
                <w:rFonts w:ascii="Times New Roman" w:hAnsi="Times New Roman"/>
                <w:sz w:val="18"/>
                <w:szCs w:val="18"/>
              </w:rPr>
              <w:t>三级</w:t>
            </w:r>
          </w:p>
        </w:tc>
        <w:tc>
          <w:tcPr>
            <w:tcW w:w="461" w:type="pct"/>
            <w:vAlign w:val="center"/>
          </w:tcPr>
          <w:p>
            <w:pPr>
              <w:jc w:val="center"/>
              <w:rPr>
                <w:rFonts w:ascii="Times New Roman" w:hAnsi="Times New Roman"/>
                <w:sz w:val="18"/>
                <w:szCs w:val="18"/>
              </w:rPr>
            </w:pPr>
            <w:r>
              <w:rPr>
                <w:rFonts w:ascii="Times New Roman" w:hAnsi="Times New Roman"/>
                <w:sz w:val="18"/>
                <w:szCs w:val="18"/>
              </w:rPr>
              <w:t>12</w:t>
            </w:r>
          </w:p>
        </w:tc>
        <w:tc>
          <w:tcPr>
            <w:tcW w:w="375" w:type="pct"/>
            <w:vMerge w:val="continue"/>
            <w:vAlign w:val="center"/>
          </w:tcPr>
          <w:p>
            <w:pPr>
              <w:jc w:val="center"/>
              <w:rPr>
                <w:rFonts w:ascii="Times New Roman" w:hAnsi="Times New Roman"/>
                <w:sz w:val="18"/>
                <w:szCs w:val="18"/>
              </w:rPr>
            </w:pPr>
          </w:p>
        </w:tc>
        <w:tc>
          <w:tcPr>
            <w:tcW w:w="391" w:type="pct"/>
            <w:vAlign w:val="center"/>
          </w:tcPr>
          <w:p>
            <w:pPr>
              <w:jc w:val="center"/>
              <w:rPr>
                <w:rFonts w:ascii="Times New Roman" w:hAnsi="Times New Roman"/>
                <w:sz w:val="18"/>
                <w:szCs w:val="18"/>
              </w:rPr>
            </w:pPr>
            <w:r>
              <w:rPr>
                <w:rFonts w:ascii="Times New Roman" w:hAnsi="Times New Roman"/>
                <w:sz w:val="18"/>
                <w:szCs w:val="18"/>
              </w:rPr>
              <w:t>3</w:t>
            </w:r>
          </w:p>
        </w:tc>
        <w:tc>
          <w:tcPr>
            <w:tcW w:w="587" w:type="pct"/>
            <w:vMerge w:val="continue"/>
            <w:vAlign w:val="center"/>
          </w:tcPr>
          <w:p>
            <w:pPr>
              <w:jc w:val="center"/>
              <w:rPr>
                <w:rFonts w:ascii="Times New Roman" w:hAnsi="Times New Roman"/>
                <w:sz w:val="18"/>
                <w:szCs w:val="18"/>
              </w:rPr>
            </w:pPr>
          </w:p>
        </w:tc>
        <w:tc>
          <w:tcPr>
            <w:tcW w:w="537" w:type="pct"/>
            <w:vMerge w:val="continue"/>
            <w:vAlign w:val="center"/>
          </w:tcPr>
          <w:p>
            <w:pPr>
              <w:jc w:val="center"/>
              <w:rPr>
                <w:rFonts w:ascii="Times New Roman" w:hAnsi="Times New Roman"/>
                <w:sz w:val="18"/>
                <w:szCs w:val="18"/>
              </w:rPr>
            </w:pPr>
          </w:p>
        </w:tc>
        <w:tc>
          <w:tcPr>
            <w:tcW w:w="342" w:type="pct"/>
            <w:vMerge w:val="continue"/>
            <w:vAlign w:val="center"/>
          </w:tcPr>
          <w:p>
            <w:pPr>
              <w:jc w:val="center"/>
              <w:rPr>
                <w:rFonts w:ascii="Times New Roman" w:hAnsi="Times New Roman"/>
                <w:sz w:val="18"/>
                <w:szCs w:val="18"/>
              </w:rPr>
            </w:pPr>
          </w:p>
        </w:tc>
        <w:tc>
          <w:tcPr>
            <w:tcW w:w="392" w:type="pct"/>
            <w:vMerge w:val="continue"/>
            <w:vAlign w:val="center"/>
          </w:tcPr>
          <w:p>
            <w:pPr>
              <w:jc w:val="center"/>
              <w:rPr>
                <w:rFonts w:ascii="Times New Roman" w:hAnsi="Times New Roman"/>
                <w:sz w:val="18"/>
                <w:szCs w:val="18"/>
              </w:rPr>
            </w:pPr>
          </w:p>
        </w:tc>
        <w:tc>
          <w:tcPr>
            <w:tcW w:w="439" w:type="pct"/>
            <w:vMerge w:val="continue"/>
            <w:vAlign w:val="center"/>
          </w:tcPr>
          <w:p>
            <w:pPr>
              <w:jc w:val="center"/>
              <w:rPr>
                <w:rFonts w:ascii="Times New Roman" w:hAnsi="Times New Roman"/>
                <w:sz w:val="18"/>
                <w:szCs w:val="18"/>
              </w:rPr>
            </w:pPr>
          </w:p>
        </w:tc>
        <w:tc>
          <w:tcPr>
            <w:tcW w:w="440" w:type="pct"/>
            <w:vAlign w:val="center"/>
          </w:tcPr>
          <w:p>
            <w:pPr>
              <w:jc w:val="center"/>
              <w:rPr>
                <w:rFonts w:ascii="Times New Roman" w:hAnsi="Times New Roman"/>
                <w:sz w:val="18"/>
                <w:szCs w:val="18"/>
              </w:rPr>
            </w:pPr>
            <w:r>
              <w:rPr>
                <w:rFonts w:ascii="Times New Roman" w:hAnsi="Times New Roman"/>
                <w:sz w:val="18"/>
                <w:szCs w:val="18"/>
              </w:rPr>
              <w:t>0.5</w:t>
            </w:r>
          </w:p>
        </w:tc>
        <w:tc>
          <w:tcPr>
            <w:tcW w:w="311" w:type="pct"/>
            <w:vMerge w:val="continue"/>
            <w:vAlign w:val="center"/>
          </w:tcPr>
          <w:p>
            <w:pPr>
              <w:jc w:val="center"/>
              <w:rPr>
                <w:rFonts w:ascii="Times New Roman" w:hAnsi="Times New Roman"/>
                <w:sz w:val="18"/>
                <w:szCs w:val="18"/>
              </w:rPr>
            </w:pPr>
          </w:p>
        </w:tc>
        <w:tc>
          <w:tcPr>
            <w:tcW w:w="204" w:type="pct"/>
            <w:vMerge w:val="continue"/>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3"/>
            <w:vAlign w:val="center"/>
          </w:tcPr>
          <w:p>
            <w:pPr>
              <w:jc w:val="left"/>
              <w:rPr>
                <w:rFonts w:ascii="Times New Roman" w:hAnsi="Times New Roman"/>
                <w:sz w:val="18"/>
                <w:szCs w:val="18"/>
              </w:rPr>
            </w:pPr>
            <w:r>
              <w:rPr>
                <w:rFonts w:ascii="黑体" w:hAnsi="黑体" w:eastAsia="黑体"/>
                <w:sz w:val="18"/>
                <w:szCs w:val="18"/>
              </w:rPr>
              <w:t>注1：</w:t>
            </w:r>
            <w:r>
              <w:rPr>
                <w:rFonts w:ascii="Times New Roman" w:hAnsi="Times New Roman"/>
                <w:sz w:val="18"/>
                <w:szCs w:val="18"/>
              </w:rPr>
              <w:t>%F.S是指传感器满量程的百分数（FS=FULLSCALES），作为传感器的精度指标</w:t>
            </w:r>
            <w:r>
              <w:rPr>
                <w:rFonts w:hint="eastAsia" w:ascii="Times New Roman" w:hAnsi="Times New Roman"/>
                <w:sz w:val="18"/>
                <w:szCs w:val="18"/>
              </w:rPr>
              <w:t>。</w:t>
            </w:r>
          </w:p>
          <w:p>
            <w:pPr>
              <w:jc w:val="left"/>
              <w:rPr>
                <w:rFonts w:ascii="Times New Roman" w:hAnsi="Times New Roman"/>
                <w:sz w:val="18"/>
                <w:szCs w:val="18"/>
              </w:rPr>
            </w:pPr>
            <w:r>
              <w:rPr>
                <w:rFonts w:ascii="黑体" w:hAnsi="黑体" w:eastAsia="黑体"/>
                <w:sz w:val="18"/>
                <w:szCs w:val="18"/>
              </w:rPr>
              <w:t>注</w:t>
            </w:r>
            <w:r>
              <w:rPr>
                <w:rFonts w:hint="eastAsia" w:ascii="黑体" w:hAnsi="黑体" w:eastAsia="黑体"/>
                <w:sz w:val="18"/>
                <w:szCs w:val="18"/>
              </w:rPr>
              <w:t>2</w:t>
            </w:r>
            <w:r>
              <w:rPr>
                <w:rFonts w:ascii="黑体" w:hAnsi="黑体" w:eastAsia="黑体"/>
                <w:sz w:val="18"/>
                <w:szCs w:val="18"/>
              </w:rPr>
              <w:t>：</w:t>
            </w:r>
            <w:r>
              <w:rPr>
                <w:rFonts w:ascii="Times New Roman" w:hAnsi="Times New Roman"/>
                <w:sz w:val="18"/>
                <w:szCs w:val="18"/>
              </w:rPr>
              <w:t>三级滑坡水平位移及地表裂缝监测精度参照《工程测量规范》（GB 500026</w:t>
            </w:r>
            <w:r>
              <w:rPr>
                <w:rFonts w:hint="eastAsia" w:ascii="宋体" w:hAnsi="宋体"/>
                <w:sz w:val="18"/>
                <w:szCs w:val="18"/>
              </w:rPr>
              <w:t>―</w:t>
            </w:r>
            <w:r>
              <w:rPr>
                <w:rFonts w:ascii="Times New Roman" w:hAnsi="Times New Roman"/>
                <w:sz w:val="18"/>
                <w:szCs w:val="18"/>
              </w:rPr>
              <w:t>2007）表10.9.2滑坡监测精度要求执行，二级、一级监中测精度以三级监测精度为基础逐渐提高</w:t>
            </w:r>
            <w:r>
              <w:rPr>
                <w:rFonts w:hint="eastAsia" w:ascii="Times New Roman" w:hAnsi="Times New Roman"/>
                <w:sz w:val="18"/>
                <w:szCs w:val="18"/>
              </w:rPr>
              <w:t>。</w:t>
            </w:r>
          </w:p>
          <w:p>
            <w:pPr>
              <w:jc w:val="left"/>
              <w:rPr>
                <w:rFonts w:ascii="Times New Roman" w:hAnsi="Times New Roman"/>
                <w:sz w:val="18"/>
                <w:szCs w:val="18"/>
              </w:rPr>
            </w:pPr>
            <w:r>
              <w:rPr>
                <w:rFonts w:ascii="黑体" w:hAnsi="黑体" w:eastAsia="黑体"/>
                <w:sz w:val="18"/>
                <w:szCs w:val="18"/>
              </w:rPr>
              <w:t>注</w:t>
            </w:r>
            <w:r>
              <w:rPr>
                <w:rFonts w:hint="eastAsia" w:ascii="黑体" w:hAnsi="黑体" w:eastAsia="黑体"/>
                <w:sz w:val="18"/>
                <w:szCs w:val="18"/>
              </w:rPr>
              <w:t>3</w:t>
            </w:r>
            <w:r>
              <w:rPr>
                <w:rFonts w:ascii="黑体" w:hAnsi="黑体" w:eastAsia="黑体"/>
                <w:sz w:val="18"/>
                <w:szCs w:val="18"/>
              </w:rPr>
              <w:t>：</w:t>
            </w:r>
            <w:r>
              <w:rPr>
                <w:rFonts w:ascii="Times New Roman" w:hAnsi="Times New Roman"/>
                <w:sz w:val="18"/>
                <w:szCs w:val="18"/>
              </w:rPr>
              <w:t>深部位移、滑坡推力、孔隙水压力、地下水位以及降雨量监测精度参照目前主流监测设备达到的精度而定</w:t>
            </w:r>
            <w:r>
              <w:rPr>
                <w:rFonts w:hint="eastAsia" w:ascii="Times New Roman" w:hAnsi="Times New Roman"/>
                <w:sz w:val="18"/>
                <w:szCs w:val="18"/>
              </w:rPr>
              <w:t>。</w:t>
            </w:r>
          </w:p>
          <w:p>
            <w:pPr>
              <w:jc w:val="left"/>
              <w:rPr>
                <w:rFonts w:ascii="Times New Roman" w:hAnsi="Times New Roman"/>
                <w:sz w:val="18"/>
                <w:szCs w:val="18"/>
              </w:rPr>
            </w:pPr>
            <w:r>
              <w:rPr>
                <w:rFonts w:ascii="黑体" w:hAnsi="黑体" w:eastAsia="黑体"/>
                <w:sz w:val="18"/>
                <w:szCs w:val="18"/>
              </w:rPr>
              <w:t>注</w:t>
            </w:r>
            <w:r>
              <w:rPr>
                <w:rFonts w:hint="eastAsia" w:ascii="黑体" w:hAnsi="黑体" w:eastAsia="黑体"/>
                <w:sz w:val="18"/>
                <w:szCs w:val="18"/>
              </w:rPr>
              <w:t>4</w:t>
            </w:r>
            <w:r>
              <w:rPr>
                <w:rFonts w:ascii="黑体" w:hAnsi="黑体" w:eastAsia="黑体"/>
                <w:sz w:val="18"/>
                <w:szCs w:val="18"/>
              </w:rPr>
              <w:t>：</w:t>
            </w:r>
            <w:r>
              <w:rPr>
                <w:rFonts w:ascii="Times New Roman" w:hAnsi="Times New Roman"/>
                <w:sz w:val="18"/>
                <w:szCs w:val="18"/>
              </w:rPr>
              <w:t>建（构）筑物变形监测参照《建筑变形测量规范》（JGJ8</w:t>
            </w:r>
            <w:r>
              <w:rPr>
                <w:rFonts w:hint="eastAsia" w:ascii="宋体" w:hAnsi="宋体"/>
                <w:sz w:val="18"/>
                <w:szCs w:val="18"/>
              </w:rPr>
              <w:t>―</w:t>
            </w:r>
            <w:r>
              <w:rPr>
                <w:rFonts w:ascii="Times New Roman" w:hAnsi="Times New Roman"/>
                <w:sz w:val="18"/>
                <w:szCs w:val="18"/>
              </w:rPr>
              <w:t>2007）二级监测精度执行。</w:t>
            </w:r>
          </w:p>
        </w:tc>
      </w:tr>
    </w:tbl>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6838" w:h="11906" w:orient="landscape"/>
          <w:pgMar w:top="1418" w:right="1134" w:bottom="1134" w:left="1418" w:header="851" w:footer="992" w:gutter="0"/>
          <w:cols w:space="425" w:num="1"/>
          <w:docGrid w:linePitch="312" w:charSpace="0"/>
        </w:sectPr>
      </w:pP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7  崩塌（危岩）、泥石流、地面塌陷专业监测精度</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w:t>
      </w:r>
      <w:r>
        <w:rPr>
          <w:rFonts w:hint="eastAsia" w:ascii="黑体" w:hAnsi="黑体" w:eastAsia="黑体"/>
          <w:kern w:val="0"/>
          <w:szCs w:val="21"/>
        </w:rPr>
        <w:t xml:space="preserve">7  </w:t>
      </w:r>
      <w:r>
        <w:rPr>
          <w:rFonts w:ascii="黑体" w:hAnsi="黑体" w:eastAsia="黑体"/>
          <w:kern w:val="0"/>
          <w:szCs w:val="21"/>
        </w:rPr>
        <w:t>崩塌（危岩）、泥石流、地面塌陷专业监测精度要求表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8"/>
        <w:gridCol w:w="3177"/>
        <w:gridCol w:w="2066"/>
        <w:gridCol w:w="1392"/>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4" w:type="pct"/>
            <w:gridSpan w:val="2"/>
            <w:vMerge w:val="restar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监测内容</w:t>
            </w:r>
          </w:p>
        </w:tc>
        <w:tc>
          <w:tcPr>
            <w:tcW w:w="2536" w:type="pct"/>
            <w:gridSpan w:val="3"/>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监测等级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4" w:type="pct"/>
            <w:gridSpan w:val="2"/>
            <w:vMerge w:val="continue"/>
            <w:shd w:val="clear" w:color="auto" w:fill="auto"/>
            <w:tcMar>
              <w:right w:w="0" w:type="dxa"/>
            </w:tcMar>
            <w:vAlign w:val="center"/>
          </w:tcPr>
          <w:p>
            <w:pPr>
              <w:widowControl/>
              <w:jc w:val="center"/>
              <w:rPr>
                <w:rFonts w:ascii="Times New Roman" w:hAnsi="Times New Roman"/>
                <w:kern w:val="0"/>
                <w:sz w:val="18"/>
                <w:szCs w:val="18"/>
              </w:rPr>
            </w:pPr>
          </w:p>
        </w:tc>
        <w:tc>
          <w:tcPr>
            <w:tcW w:w="1091"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一级</w:t>
            </w:r>
          </w:p>
        </w:tc>
        <w:tc>
          <w:tcPr>
            <w:tcW w:w="735"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二级</w:t>
            </w:r>
          </w:p>
        </w:tc>
        <w:tc>
          <w:tcPr>
            <w:tcW w:w="710"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restar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变形</w:t>
            </w:r>
          </w:p>
          <w:p>
            <w:pPr>
              <w:widowControl/>
              <w:jc w:val="center"/>
              <w:rPr>
                <w:rFonts w:ascii="Times New Roman" w:hAnsi="Times New Roman"/>
                <w:kern w:val="0"/>
                <w:sz w:val="18"/>
                <w:szCs w:val="18"/>
              </w:rPr>
            </w:pPr>
            <w:r>
              <w:rPr>
                <w:rFonts w:ascii="Times New Roman" w:hAnsi="Times New Roman"/>
                <w:kern w:val="0"/>
                <w:sz w:val="18"/>
                <w:szCs w:val="18"/>
              </w:rPr>
              <w:t>监测</w:t>
            </w: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地表绝对位移</w:t>
            </w:r>
          </w:p>
          <w:p>
            <w:pPr>
              <w:widowControl/>
              <w:jc w:val="center"/>
              <w:rPr>
                <w:rFonts w:ascii="Times New Roman" w:hAnsi="Times New Roman"/>
                <w:kern w:val="0"/>
                <w:sz w:val="18"/>
                <w:szCs w:val="18"/>
              </w:rPr>
            </w:pPr>
            <w:r>
              <w:rPr>
                <w:rFonts w:ascii="Times New Roman" w:hAnsi="Times New Roman"/>
                <w:kern w:val="0"/>
                <w:sz w:val="18"/>
                <w:szCs w:val="18"/>
              </w:rPr>
              <w:t>mm</w:t>
            </w:r>
          </w:p>
        </w:tc>
        <w:tc>
          <w:tcPr>
            <w:tcW w:w="1091"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3</w:t>
            </w:r>
          </w:p>
        </w:tc>
        <w:tc>
          <w:tcPr>
            <w:tcW w:w="735"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3</w:t>
            </w:r>
          </w:p>
        </w:tc>
        <w:tc>
          <w:tcPr>
            <w:tcW w:w="710"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continue"/>
            <w:shd w:val="clear" w:color="auto" w:fill="auto"/>
            <w:tcMar>
              <w:right w:w="0" w:type="dxa"/>
            </w:tcMar>
            <w:vAlign w:val="center"/>
          </w:tcPr>
          <w:p>
            <w:pPr>
              <w:widowControl/>
              <w:jc w:val="center"/>
              <w:rPr>
                <w:rFonts w:ascii="Times New Roman" w:hAnsi="Times New Roman"/>
                <w:kern w:val="0"/>
                <w:sz w:val="18"/>
                <w:szCs w:val="18"/>
              </w:rPr>
            </w:pP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裂缝相对位移</w:t>
            </w:r>
          </w:p>
          <w:p>
            <w:pPr>
              <w:widowControl/>
              <w:jc w:val="center"/>
              <w:rPr>
                <w:rFonts w:ascii="Times New Roman" w:hAnsi="Times New Roman"/>
                <w:kern w:val="0"/>
                <w:sz w:val="18"/>
                <w:szCs w:val="18"/>
              </w:rPr>
            </w:pPr>
            <w:r>
              <w:rPr>
                <w:rFonts w:ascii="Times New Roman" w:hAnsi="Times New Roman"/>
                <w:kern w:val="0"/>
                <w:sz w:val="18"/>
                <w:szCs w:val="18"/>
              </w:rPr>
              <w:t>mm</w:t>
            </w:r>
          </w:p>
        </w:tc>
        <w:tc>
          <w:tcPr>
            <w:tcW w:w="1091"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0.1</w:t>
            </w:r>
          </w:p>
        </w:tc>
        <w:tc>
          <w:tcPr>
            <w:tcW w:w="735"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0.1</w:t>
            </w:r>
          </w:p>
        </w:tc>
        <w:tc>
          <w:tcPr>
            <w:tcW w:w="710"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continue"/>
            <w:shd w:val="clear" w:color="auto" w:fill="auto"/>
            <w:tcMar>
              <w:right w:w="0" w:type="dxa"/>
            </w:tcMar>
            <w:vAlign w:val="center"/>
          </w:tcPr>
          <w:p>
            <w:pPr>
              <w:widowControl/>
              <w:jc w:val="center"/>
              <w:rPr>
                <w:rFonts w:ascii="Times New Roman" w:hAnsi="Times New Roman"/>
                <w:kern w:val="0"/>
                <w:sz w:val="18"/>
                <w:szCs w:val="18"/>
              </w:rPr>
            </w:pP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建（构）筑物变形</w:t>
            </w:r>
          </w:p>
          <w:p>
            <w:pPr>
              <w:widowControl/>
              <w:jc w:val="center"/>
              <w:rPr>
                <w:rFonts w:ascii="Times New Roman" w:hAnsi="Times New Roman"/>
                <w:kern w:val="0"/>
                <w:sz w:val="18"/>
                <w:szCs w:val="18"/>
              </w:rPr>
            </w:pPr>
            <w:r>
              <w:rPr>
                <w:rFonts w:ascii="Times New Roman" w:hAnsi="Times New Roman"/>
                <w:kern w:val="0"/>
                <w:sz w:val="18"/>
                <w:szCs w:val="18"/>
              </w:rPr>
              <w:t>mm</w:t>
            </w:r>
          </w:p>
        </w:tc>
        <w:tc>
          <w:tcPr>
            <w:tcW w:w="2536" w:type="pct"/>
            <w:gridSpan w:val="3"/>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continue"/>
            <w:shd w:val="clear" w:color="auto" w:fill="auto"/>
            <w:tcMar>
              <w:right w:w="0" w:type="dxa"/>
            </w:tcMar>
            <w:vAlign w:val="center"/>
          </w:tcPr>
          <w:p>
            <w:pPr>
              <w:widowControl/>
              <w:jc w:val="center"/>
              <w:rPr>
                <w:rFonts w:ascii="Times New Roman" w:hAnsi="Times New Roman"/>
                <w:kern w:val="0"/>
                <w:sz w:val="18"/>
                <w:szCs w:val="18"/>
              </w:rPr>
            </w:pP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深部位移变形</w:t>
            </w:r>
          </w:p>
          <w:p>
            <w:pPr>
              <w:widowControl/>
              <w:jc w:val="center"/>
              <w:rPr>
                <w:rFonts w:ascii="Times New Roman" w:hAnsi="Times New Roman"/>
                <w:kern w:val="0"/>
                <w:sz w:val="18"/>
                <w:szCs w:val="18"/>
              </w:rPr>
            </w:pPr>
            <w:r>
              <w:rPr>
                <w:rFonts w:ascii="Times New Roman" w:hAnsi="Times New Roman"/>
                <w:kern w:val="0"/>
                <w:sz w:val="18"/>
                <w:szCs w:val="18"/>
              </w:rPr>
              <w:t>mm</w:t>
            </w:r>
          </w:p>
        </w:tc>
        <w:tc>
          <w:tcPr>
            <w:tcW w:w="2536" w:type="pct"/>
            <w:gridSpan w:val="3"/>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continue"/>
            <w:shd w:val="clear" w:color="auto" w:fill="auto"/>
            <w:tcMar>
              <w:right w:w="0" w:type="dxa"/>
            </w:tcMar>
            <w:vAlign w:val="center"/>
          </w:tcPr>
          <w:p>
            <w:pPr>
              <w:widowControl/>
              <w:jc w:val="center"/>
              <w:rPr>
                <w:rFonts w:ascii="Times New Roman" w:hAnsi="Times New Roman"/>
                <w:kern w:val="0"/>
                <w:sz w:val="18"/>
                <w:szCs w:val="18"/>
              </w:rPr>
            </w:pP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沉降变形</w:t>
            </w:r>
          </w:p>
          <w:p>
            <w:pPr>
              <w:widowControl/>
              <w:jc w:val="center"/>
              <w:rPr>
                <w:rFonts w:ascii="Times New Roman" w:hAnsi="Times New Roman"/>
                <w:kern w:val="0"/>
                <w:sz w:val="18"/>
                <w:szCs w:val="18"/>
              </w:rPr>
            </w:pPr>
            <w:r>
              <w:rPr>
                <w:rFonts w:ascii="Times New Roman" w:hAnsi="Times New Roman"/>
                <w:kern w:val="0"/>
                <w:sz w:val="18"/>
                <w:szCs w:val="18"/>
              </w:rPr>
              <w:t>mm</w:t>
            </w:r>
          </w:p>
        </w:tc>
        <w:tc>
          <w:tcPr>
            <w:tcW w:w="2536" w:type="pct"/>
            <w:gridSpan w:val="3"/>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应力监测</w:t>
            </w: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岩土体应力</w:t>
            </w:r>
          </w:p>
          <w:p>
            <w:pPr>
              <w:widowControl/>
              <w:jc w:val="center"/>
              <w:rPr>
                <w:rFonts w:ascii="Times New Roman" w:hAnsi="Times New Roman"/>
                <w:kern w:val="0"/>
                <w:sz w:val="18"/>
                <w:szCs w:val="18"/>
              </w:rPr>
            </w:pPr>
            <w:r>
              <w:rPr>
                <w:rFonts w:ascii="Times New Roman" w:hAnsi="Times New Roman"/>
                <w:w w:val="99"/>
                <w:kern w:val="0"/>
                <w:sz w:val="18"/>
                <w:szCs w:val="18"/>
              </w:rPr>
              <w:t>kPa</w:t>
            </w:r>
          </w:p>
        </w:tc>
        <w:tc>
          <w:tcPr>
            <w:tcW w:w="1091"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5</w:t>
            </w:r>
          </w:p>
        </w:tc>
        <w:tc>
          <w:tcPr>
            <w:tcW w:w="735"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5</w:t>
            </w:r>
          </w:p>
        </w:tc>
        <w:tc>
          <w:tcPr>
            <w:tcW w:w="710"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restar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影响因</w:t>
            </w:r>
          </w:p>
          <w:p>
            <w:pPr>
              <w:widowControl/>
              <w:jc w:val="center"/>
              <w:rPr>
                <w:rFonts w:ascii="Times New Roman" w:hAnsi="Times New Roman"/>
                <w:kern w:val="0"/>
                <w:sz w:val="18"/>
                <w:szCs w:val="18"/>
              </w:rPr>
            </w:pPr>
            <w:r>
              <w:rPr>
                <w:rFonts w:ascii="Times New Roman" w:hAnsi="Times New Roman"/>
                <w:kern w:val="0"/>
                <w:sz w:val="18"/>
                <w:szCs w:val="18"/>
              </w:rPr>
              <w:t>素监测</w:t>
            </w: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降雨量</w:t>
            </w:r>
          </w:p>
          <w:p>
            <w:pPr>
              <w:widowControl/>
              <w:jc w:val="center"/>
              <w:rPr>
                <w:rFonts w:ascii="Times New Roman" w:hAnsi="Times New Roman"/>
                <w:kern w:val="0"/>
                <w:sz w:val="18"/>
                <w:szCs w:val="18"/>
              </w:rPr>
            </w:pPr>
            <w:r>
              <w:rPr>
                <w:rFonts w:ascii="Times New Roman" w:hAnsi="Times New Roman"/>
                <w:kern w:val="0"/>
                <w:sz w:val="18"/>
                <w:szCs w:val="18"/>
              </w:rPr>
              <w:t>mm</w:t>
            </w:r>
          </w:p>
        </w:tc>
        <w:tc>
          <w:tcPr>
            <w:tcW w:w="2536" w:type="pct"/>
            <w:gridSpan w:val="3"/>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continue"/>
            <w:shd w:val="clear" w:color="auto" w:fill="auto"/>
            <w:tcMar>
              <w:right w:w="0" w:type="dxa"/>
            </w:tcMar>
            <w:vAlign w:val="center"/>
          </w:tcPr>
          <w:p>
            <w:pPr>
              <w:widowControl/>
              <w:jc w:val="center"/>
              <w:rPr>
                <w:rFonts w:ascii="Times New Roman" w:hAnsi="Times New Roman"/>
                <w:kern w:val="0"/>
                <w:sz w:val="18"/>
                <w:szCs w:val="18"/>
              </w:rPr>
            </w:pP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地下水位</w:t>
            </w:r>
          </w:p>
          <w:p>
            <w:pPr>
              <w:widowControl/>
              <w:jc w:val="center"/>
              <w:rPr>
                <w:rFonts w:ascii="Times New Roman" w:hAnsi="Times New Roman"/>
                <w:kern w:val="0"/>
                <w:sz w:val="18"/>
                <w:szCs w:val="18"/>
              </w:rPr>
            </w:pPr>
            <w:r>
              <w:rPr>
                <w:rFonts w:ascii="Times New Roman" w:hAnsi="Times New Roman"/>
                <w:kern w:val="0"/>
                <w:sz w:val="18"/>
                <w:szCs w:val="18"/>
              </w:rPr>
              <w:t>mm</w:t>
            </w:r>
          </w:p>
        </w:tc>
        <w:tc>
          <w:tcPr>
            <w:tcW w:w="1091"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10</w:t>
            </w:r>
          </w:p>
        </w:tc>
        <w:tc>
          <w:tcPr>
            <w:tcW w:w="735"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10</w:t>
            </w:r>
          </w:p>
        </w:tc>
        <w:tc>
          <w:tcPr>
            <w:tcW w:w="710"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continue"/>
            <w:shd w:val="clear" w:color="auto" w:fill="auto"/>
            <w:tcMar>
              <w:right w:w="0" w:type="dxa"/>
            </w:tcMar>
            <w:vAlign w:val="center"/>
          </w:tcPr>
          <w:p>
            <w:pPr>
              <w:widowControl/>
              <w:jc w:val="center"/>
              <w:rPr>
                <w:rFonts w:ascii="Times New Roman" w:hAnsi="Times New Roman"/>
                <w:kern w:val="0"/>
                <w:sz w:val="18"/>
                <w:szCs w:val="18"/>
              </w:rPr>
            </w:pP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孔隙水压力</w:t>
            </w:r>
          </w:p>
          <w:p>
            <w:pPr>
              <w:widowControl/>
              <w:jc w:val="center"/>
              <w:rPr>
                <w:rFonts w:ascii="Times New Roman" w:hAnsi="Times New Roman"/>
                <w:kern w:val="0"/>
                <w:sz w:val="18"/>
                <w:szCs w:val="18"/>
              </w:rPr>
            </w:pPr>
            <w:r>
              <w:rPr>
                <w:rFonts w:ascii="Times New Roman" w:hAnsi="Times New Roman"/>
                <w:kern w:val="0"/>
                <w:sz w:val="18"/>
                <w:szCs w:val="18"/>
              </w:rPr>
              <w:t>%F·S</w:t>
            </w:r>
          </w:p>
        </w:tc>
        <w:tc>
          <w:tcPr>
            <w:tcW w:w="2536" w:type="pct"/>
            <w:gridSpan w:val="3"/>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continue"/>
            <w:shd w:val="clear" w:color="auto" w:fill="auto"/>
            <w:tcMar>
              <w:right w:w="0" w:type="dxa"/>
            </w:tcMar>
            <w:vAlign w:val="center"/>
          </w:tcPr>
          <w:p>
            <w:pPr>
              <w:widowControl/>
              <w:jc w:val="center"/>
              <w:rPr>
                <w:rFonts w:ascii="Times New Roman" w:hAnsi="Times New Roman"/>
                <w:kern w:val="0"/>
                <w:sz w:val="18"/>
                <w:szCs w:val="18"/>
              </w:rPr>
            </w:pP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含水率</w:t>
            </w:r>
          </w:p>
          <w:p>
            <w:pPr>
              <w:widowControl/>
              <w:jc w:val="center"/>
              <w:rPr>
                <w:rFonts w:ascii="Times New Roman" w:hAnsi="Times New Roman"/>
                <w:kern w:val="0"/>
                <w:sz w:val="18"/>
                <w:szCs w:val="18"/>
              </w:rPr>
            </w:pPr>
            <w:r>
              <w:rPr>
                <w:rFonts w:ascii="Times New Roman" w:hAnsi="Times New Roman"/>
                <w:kern w:val="0"/>
                <w:sz w:val="18"/>
                <w:szCs w:val="18"/>
              </w:rPr>
              <w:t>%</w:t>
            </w:r>
          </w:p>
        </w:tc>
        <w:tc>
          <w:tcPr>
            <w:tcW w:w="2536" w:type="pct"/>
            <w:gridSpan w:val="3"/>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其它监测</w:t>
            </w:r>
          </w:p>
        </w:tc>
        <w:tc>
          <w:tcPr>
            <w:tcW w:w="1678" w:type="pct"/>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视频</w:t>
            </w:r>
          </w:p>
        </w:tc>
        <w:tc>
          <w:tcPr>
            <w:tcW w:w="2536" w:type="pct"/>
            <w:gridSpan w:val="3"/>
            <w:shd w:val="clear" w:color="auto" w:fill="auto"/>
            <w:tcMar>
              <w:right w:w="0" w:type="dxa"/>
            </w:tcMar>
            <w:vAlign w:val="center"/>
          </w:tcPr>
          <w:p>
            <w:pPr>
              <w:widowControl/>
              <w:jc w:val="center"/>
              <w:rPr>
                <w:rFonts w:ascii="Times New Roman" w:hAnsi="Times New Roman"/>
                <w:kern w:val="0"/>
                <w:sz w:val="18"/>
                <w:szCs w:val="18"/>
              </w:rPr>
            </w:pPr>
            <w:r>
              <w:rPr>
                <w:rFonts w:ascii="Times New Roman" w:hAnsi="Times New Roman"/>
                <w:kern w:val="0"/>
                <w:sz w:val="18"/>
                <w:szCs w:val="18"/>
              </w:rPr>
              <w:t>彩色480线、黑白600线、信噪比＞50 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shd w:val="clear" w:color="auto" w:fill="auto"/>
            <w:tcMar>
              <w:right w:w="0" w:type="dxa"/>
            </w:tcMar>
            <w:vAlign w:val="center"/>
          </w:tcPr>
          <w:p>
            <w:pPr>
              <w:widowControl/>
              <w:jc w:val="left"/>
              <w:rPr>
                <w:rFonts w:ascii="Times New Roman" w:hAnsi="Times New Roman"/>
                <w:kern w:val="0"/>
                <w:sz w:val="18"/>
                <w:szCs w:val="18"/>
              </w:rPr>
            </w:pPr>
            <w:r>
              <w:rPr>
                <w:rFonts w:ascii="黑体" w:hAnsi="黑体" w:eastAsia="黑体"/>
                <w:kern w:val="0"/>
                <w:sz w:val="18"/>
                <w:szCs w:val="18"/>
              </w:rPr>
              <w:t>注：</w:t>
            </w:r>
            <w:r>
              <w:rPr>
                <w:rFonts w:ascii="Times New Roman" w:hAnsi="Times New Roman"/>
                <w:kern w:val="0"/>
                <w:sz w:val="18"/>
                <w:szCs w:val="18"/>
              </w:rPr>
              <w:t>其它未列出或不常用监测内容的精度，</w:t>
            </w:r>
            <w:r>
              <w:rPr>
                <w:rFonts w:ascii="Times New Roman" w:hAnsi="Times New Roman"/>
                <w:sz w:val="18"/>
                <w:szCs w:val="18"/>
              </w:rPr>
              <w:t>参照目前主流、成熟的监测设备达到精度而定。</w:t>
            </w: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8  全站仪参数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表A-8  全站仪参数</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1"/>
        <w:gridCol w:w="4351"/>
        <w:gridCol w:w="1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3" w:type="pct"/>
            <w:shd w:val="clear" w:color="auto" w:fill="auto"/>
            <w:vAlign w:val="center"/>
          </w:tcPr>
          <w:p>
            <w:pPr>
              <w:jc w:val="center"/>
              <w:rPr>
                <w:rFonts w:ascii="Times New Roman" w:hAnsi="Times New Roman"/>
                <w:sz w:val="18"/>
                <w:szCs w:val="18"/>
              </w:rPr>
            </w:pPr>
            <w:r>
              <w:rPr>
                <w:rFonts w:ascii="Times New Roman" w:hAnsi="Times New Roman"/>
                <w:sz w:val="18"/>
                <w:szCs w:val="18"/>
              </w:rPr>
              <w:t>参数类型</w:t>
            </w:r>
          </w:p>
        </w:tc>
        <w:tc>
          <w:tcPr>
            <w:tcW w:w="2273" w:type="pct"/>
            <w:shd w:val="clear" w:color="auto" w:fill="auto"/>
            <w:vAlign w:val="center"/>
          </w:tcPr>
          <w:p>
            <w:pPr>
              <w:jc w:val="center"/>
              <w:rPr>
                <w:rFonts w:ascii="Times New Roman" w:hAnsi="Times New Roman"/>
                <w:sz w:val="18"/>
                <w:szCs w:val="18"/>
              </w:rPr>
            </w:pPr>
            <w:r>
              <w:rPr>
                <w:rFonts w:ascii="Times New Roman" w:hAnsi="Times New Roman"/>
                <w:sz w:val="18"/>
                <w:szCs w:val="18"/>
              </w:rPr>
              <w:t>技术参数</w:t>
            </w:r>
          </w:p>
        </w:tc>
        <w:tc>
          <w:tcPr>
            <w:tcW w:w="1044" w:type="pct"/>
            <w:shd w:val="clear" w:color="auto" w:fill="auto"/>
            <w:vAlign w:val="center"/>
          </w:tcPr>
          <w:p>
            <w:pPr>
              <w:jc w:val="center"/>
              <w:rPr>
                <w:rFonts w:ascii="Times New Roman" w:hAnsi="Times New Roman"/>
                <w:sz w:val="18"/>
                <w:szCs w:val="18"/>
              </w:rPr>
            </w:pPr>
            <w:r>
              <w:rPr>
                <w:rFonts w:ascii="Times New Roman" w:hAnsi="Times New Roman"/>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测角</w:t>
            </w:r>
          </w:p>
        </w:tc>
        <w:tc>
          <w:tcPr>
            <w:tcW w:w="227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0.5″</w:t>
            </w:r>
          </w:p>
        </w:tc>
        <w:tc>
          <w:tcPr>
            <w:tcW w:w="1044" w:type="pct"/>
            <w:shd w:val="clear" w:color="auto" w:fill="auto"/>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棱镜测距模式</w:t>
            </w:r>
          </w:p>
        </w:tc>
        <w:tc>
          <w:tcPr>
            <w:tcW w:w="2273" w:type="pct"/>
            <w:shd w:val="clear" w:color="auto" w:fill="auto"/>
            <w:vAlign w:val="center"/>
          </w:tcPr>
          <w:p>
            <w:pPr>
              <w:widowControl/>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0.8 mm+1 ppm</w:t>
            </w:r>
          </w:p>
        </w:tc>
        <w:tc>
          <w:tcPr>
            <w:tcW w:w="1044" w:type="pct"/>
            <w:shd w:val="clear" w:color="auto" w:fill="auto"/>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圆棱镜自动照准</w:t>
            </w:r>
          </w:p>
        </w:tc>
        <w:tc>
          <w:tcPr>
            <w:tcW w:w="2273" w:type="pct"/>
            <w:shd w:val="clear" w:color="auto" w:fill="auto"/>
            <w:vAlign w:val="center"/>
          </w:tcPr>
          <w:p>
            <w:pPr>
              <w:widowControl/>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2 500</w:t>
            </w:r>
            <w:r>
              <w:rPr>
                <w:rFonts w:hint="eastAsia" w:ascii="Times New Roman" w:hAnsi="Times New Roman"/>
                <w:kern w:val="0"/>
                <w:sz w:val="18"/>
                <w:szCs w:val="18"/>
              </w:rPr>
              <w:t>m</w:t>
            </w:r>
          </w:p>
        </w:tc>
        <w:tc>
          <w:tcPr>
            <w:tcW w:w="1044" w:type="pct"/>
            <w:shd w:val="clear" w:color="auto" w:fill="auto"/>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273" w:type="pct"/>
            <w:shd w:val="clear" w:color="auto" w:fill="auto"/>
            <w:vAlign w:val="center"/>
          </w:tcPr>
          <w:p>
            <w:pPr>
              <w:widowControl/>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IP65</w:t>
            </w:r>
          </w:p>
        </w:tc>
        <w:tc>
          <w:tcPr>
            <w:tcW w:w="1044" w:type="pct"/>
            <w:shd w:val="clear" w:color="auto" w:fill="auto"/>
            <w:vAlign w:val="center"/>
          </w:tcPr>
          <w:p>
            <w:pPr>
              <w:widowControl/>
              <w:jc w:val="center"/>
              <w:rPr>
                <w:rFonts w:ascii="Times New Roman" w:hAnsi="Times New Roman"/>
                <w:kern w:val="0"/>
                <w:sz w:val="18"/>
                <w:szCs w:val="18"/>
              </w:rPr>
            </w:pPr>
          </w:p>
        </w:tc>
      </w:tr>
    </w:tbl>
    <w:p>
      <w:pPr>
        <w:widowControl/>
        <w:tabs>
          <w:tab w:val="left" w:pos="360"/>
        </w:tabs>
        <w:spacing w:before="120" w:beforeLines="50" w:after="120" w:afterLines="50"/>
        <w:jc w:val="left"/>
        <w:rPr>
          <w:rFonts w:ascii="黑体" w:hAnsi="黑体" w:eastAsia="黑体"/>
          <w:bCs/>
          <w:kern w:val="44"/>
          <w:szCs w:val="21"/>
        </w:rPr>
        <w:sectPr>
          <w:pgSz w:w="11906" w:h="16838"/>
          <w:pgMar w:top="1418" w:right="1134" w:bottom="1134" w:left="1418" w:header="851" w:footer="992" w:gutter="0"/>
          <w:cols w:space="425" w:num="1"/>
          <w:docGrid w:linePitch="312" w:charSpace="0"/>
        </w:sectPr>
      </w:pP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9  GNSS监测设备技术参数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表A-9  GNSS监测设备</w:t>
      </w:r>
      <w:r>
        <w:rPr>
          <w:rFonts w:ascii="黑体" w:hAnsi="黑体" w:eastAsia="黑体"/>
          <w:kern w:val="0"/>
          <w:szCs w:val="21"/>
        </w:rPr>
        <w:t>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4"/>
        <w:gridCol w:w="833"/>
        <w:gridCol w:w="601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7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vMerge w:val="restar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通 道</w:t>
            </w:r>
          </w:p>
        </w:tc>
        <w:tc>
          <w:tcPr>
            <w:tcW w:w="435" w:type="pct"/>
            <w:vMerge w:val="restart"/>
            <w:shd w:val="clear" w:color="auto" w:fill="auto"/>
            <w:noWrap/>
            <w:vAlign w:val="center"/>
          </w:tcPr>
          <w:p>
            <w:pPr>
              <w:widowControl/>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220</w:t>
            </w:r>
          </w:p>
        </w:tc>
        <w:tc>
          <w:tcPr>
            <w:tcW w:w="3141"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GPS：L1、L2、L5</w:t>
            </w:r>
          </w:p>
        </w:tc>
        <w:tc>
          <w:tcPr>
            <w:tcW w:w="711" w:type="pct"/>
            <w:vMerge w:val="restar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vMerge w:val="continue"/>
            <w:shd w:val="clear" w:color="auto" w:fill="auto"/>
            <w:vAlign w:val="center"/>
          </w:tcPr>
          <w:p>
            <w:pPr>
              <w:widowControl/>
              <w:jc w:val="center"/>
              <w:rPr>
                <w:rFonts w:ascii="Times New Roman" w:hAnsi="Times New Roman"/>
                <w:kern w:val="0"/>
                <w:sz w:val="18"/>
                <w:szCs w:val="18"/>
              </w:rPr>
            </w:pPr>
          </w:p>
        </w:tc>
        <w:tc>
          <w:tcPr>
            <w:tcW w:w="435" w:type="pct"/>
            <w:vMerge w:val="continue"/>
            <w:shd w:val="clear" w:color="auto" w:fill="auto"/>
            <w:noWrap/>
            <w:vAlign w:val="center"/>
          </w:tcPr>
          <w:p>
            <w:pPr>
              <w:widowControl/>
              <w:jc w:val="center"/>
              <w:rPr>
                <w:rFonts w:ascii="Times New Roman" w:hAnsi="Times New Roman"/>
                <w:kern w:val="0"/>
                <w:sz w:val="18"/>
                <w:szCs w:val="18"/>
              </w:rPr>
            </w:pPr>
          </w:p>
        </w:tc>
        <w:tc>
          <w:tcPr>
            <w:tcW w:w="3141" w:type="pct"/>
            <w:shd w:val="clear" w:color="auto" w:fill="auto"/>
            <w:vAlign w:val="center"/>
          </w:tcPr>
          <w:p>
            <w:pPr>
              <w:jc w:val="center"/>
              <w:rPr>
                <w:rFonts w:ascii="Times New Roman" w:hAnsi="Times New Roman"/>
                <w:kern w:val="0"/>
                <w:sz w:val="18"/>
                <w:szCs w:val="18"/>
              </w:rPr>
            </w:pPr>
            <w:r>
              <w:rPr>
                <w:rFonts w:ascii="Times New Roman" w:hAnsi="Times New Roman"/>
                <w:kern w:val="0"/>
                <w:sz w:val="18"/>
                <w:szCs w:val="18"/>
              </w:rPr>
              <w:t>GLONASS：L1、L2</w:t>
            </w:r>
          </w:p>
        </w:tc>
        <w:tc>
          <w:tcPr>
            <w:tcW w:w="711" w:type="pct"/>
            <w:vMerge w:val="continue"/>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vMerge w:val="continue"/>
            <w:shd w:val="clear" w:color="auto" w:fill="auto"/>
            <w:vAlign w:val="center"/>
          </w:tcPr>
          <w:p>
            <w:pPr>
              <w:widowControl/>
              <w:jc w:val="center"/>
              <w:rPr>
                <w:rFonts w:ascii="Times New Roman" w:hAnsi="Times New Roman"/>
                <w:kern w:val="0"/>
                <w:sz w:val="18"/>
                <w:szCs w:val="18"/>
              </w:rPr>
            </w:pPr>
          </w:p>
        </w:tc>
        <w:tc>
          <w:tcPr>
            <w:tcW w:w="435" w:type="pct"/>
            <w:vMerge w:val="continue"/>
            <w:shd w:val="clear" w:color="auto" w:fill="auto"/>
            <w:noWrap/>
            <w:vAlign w:val="center"/>
          </w:tcPr>
          <w:p>
            <w:pPr>
              <w:widowControl/>
              <w:jc w:val="center"/>
              <w:rPr>
                <w:rFonts w:ascii="Times New Roman" w:hAnsi="Times New Roman"/>
                <w:kern w:val="0"/>
                <w:sz w:val="18"/>
                <w:szCs w:val="18"/>
              </w:rPr>
            </w:pPr>
          </w:p>
        </w:tc>
        <w:tc>
          <w:tcPr>
            <w:tcW w:w="3141" w:type="pct"/>
            <w:shd w:val="clear" w:color="auto" w:fill="auto"/>
            <w:vAlign w:val="center"/>
          </w:tcPr>
          <w:p>
            <w:pPr>
              <w:jc w:val="center"/>
              <w:rPr>
                <w:rFonts w:ascii="Times New Roman" w:hAnsi="Times New Roman"/>
                <w:kern w:val="0"/>
                <w:sz w:val="18"/>
                <w:szCs w:val="18"/>
              </w:rPr>
            </w:pPr>
            <w:r>
              <w:rPr>
                <w:rFonts w:ascii="Times New Roman" w:hAnsi="Times New Roman"/>
                <w:kern w:val="0"/>
                <w:sz w:val="18"/>
                <w:szCs w:val="18"/>
              </w:rPr>
              <w:t>BDS：B1、B2、B3</w:t>
            </w:r>
          </w:p>
        </w:tc>
        <w:tc>
          <w:tcPr>
            <w:tcW w:w="711" w:type="pct"/>
            <w:vMerge w:val="continue"/>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vMerge w:val="continue"/>
            <w:shd w:val="clear" w:color="auto" w:fill="auto"/>
            <w:vAlign w:val="center"/>
          </w:tcPr>
          <w:p>
            <w:pPr>
              <w:widowControl/>
              <w:jc w:val="center"/>
              <w:rPr>
                <w:rFonts w:ascii="Times New Roman" w:hAnsi="Times New Roman"/>
                <w:kern w:val="0"/>
                <w:sz w:val="18"/>
                <w:szCs w:val="18"/>
              </w:rPr>
            </w:pPr>
          </w:p>
        </w:tc>
        <w:tc>
          <w:tcPr>
            <w:tcW w:w="435" w:type="pct"/>
            <w:vMerge w:val="continue"/>
            <w:shd w:val="clear" w:color="auto" w:fill="auto"/>
            <w:noWrap/>
            <w:vAlign w:val="center"/>
          </w:tcPr>
          <w:p>
            <w:pPr>
              <w:widowControl/>
              <w:jc w:val="center"/>
              <w:rPr>
                <w:rFonts w:ascii="Times New Roman" w:hAnsi="Times New Roman"/>
                <w:kern w:val="0"/>
                <w:sz w:val="18"/>
                <w:szCs w:val="18"/>
              </w:rPr>
            </w:pPr>
          </w:p>
        </w:tc>
        <w:tc>
          <w:tcPr>
            <w:tcW w:w="3141" w:type="pct"/>
            <w:shd w:val="clear" w:color="auto" w:fill="auto"/>
            <w:vAlign w:val="center"/>
          </w:tcPr>
          <w:p>
            <w:pPr>
              <w:jc w:val="center"/>
              <w:rPr>
                <w:rFonts w:ascii="Times New Roman" w:hAnsi="Times New Roman"/>
                <w:kern w:val="0"/>
                <w:sz w:val="18"/>
                <w:szCs w:val="18"/>
              </w:rPr>
            </w:pPr>
            <w:r>
              <w:rPr>
                <w:rFonts w:ascii="Times New Roman" w:hAnsi="Times New Roman"/>
                <w:kern w:val="0"/>
                <w:sz w:val="18"/>
                <w:szCs w:val="18"/>
              </w:rPr>
              <w:t>GALileo:E1、E2</w:t>
            </w:r>
          </w:p>
        </w:tc>
        <w:tc>
          <w:tcPr>
            <w:tcW w:w="711" w:type="pct"/>
            <w:vMerge w:val="continue"/>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vMerge w:val="continue"/>
            <w:shd w:val="clear" w:color="auto" w:fill="auto"/>
            <w:vAlign w:val="center"/>
          </w:tcPr>
          <w:p>
            <w:pPr>
              <w:widowControl/>
              <w:jc w:val="center"/>
              <w:rPr>
                <w:rFonts w:ascii="Times New Roman" w:hAnsi="Times New Roman"/>
                <w:kern w:val="0"/>
                <w:sz w:val="18"/>
                <w:szCs w:val="18"/>
              </w:rPr>
            </w:pPr>
          </w:p>
        </w:tc>
        <w:tc>
          <w:tcPr>
            <w:tcW w:w="435" w:type="pct"/>
            <w:vMerge w:val="continue"/>
            <w:shd w:val="clear" w:color="auto" w:fill="auto"/>
            <w:noWrap/>
            <w:vAlign w:val="center"/>
          </w:tcPr>
          <w:p>
            <w:pPr>
              <w:widowControl/>
              <w:jc w:val="center"/>
              <w:rPr>
                <w:rFonts w:ascii="Times New Roman" w:hAnsi="Times New Roman"/>
                <w:kern w:val="0"/>
                <w:sz w:val="18"/>
                <w:szCs w:val="18"/>
              </w:rPr>
            </w:pPr>
          </w:p>
        </w:tc>
        <w:tc>
          <w:tcPr>
            <w:tcW w:w="3141" w:type="pct"/>
            <w:shd w:val="clear" w:color="auto" w:fill="auto"/>
            <w:vAlign w:val="center"/>
          </w:tcPr>
          <w:p>
            <w:pPr>
              <w:jc w:val="center"/>
              <w:rPr>
                <w:rFonts w:ascii="Times New Roman" w:hAnsi="Times New Roman"/>
                <w:kern w:val="0"/>
                <w:sz w:val="18"/>
                <w:szCs w:val="18"/>
              </w:rPr>
            </w:pPr>
            <w:r>
              <w:rPr>
                <w:rFonts w:ascii="Times New Roman" w:hAnsi="Times New Roman"/>
                <w:kern w:val="0"/>
                <w:sz w:val="18"/>
                <w:szCs w:val="18"/>
              </w:rPr>
              <w:t>SBAS：WAAS，EGNOS，MSAS</w:t>
            </w:r>
          </w:p>
        </w:tc>
        <w:tc>
          <w:tcPr>
            <w:tcW w:w="711" w:type="pct"/>
            <w:vMerge w:val="continue"/>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vMerge w:val="restar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定位精度</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平面：优于±3 mm+1 ppm</w:t>
            </w:r>
          </w:p>
        </w:tc>
        <w:tc>
          <w:tcPr>
            <w:tcW w:w="711" w:type="pct"/>
            <w:vMerge w:val="restar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设备标称精度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vMerge w:val="continue"/>
            <w:vAlign w:val="center"/>
          </w:tcPr>
          <w:p>
            <w:pPr>
              <w:widowControl/>
              <w:jc w:val="center"/>
              <w:rPr>
                <w:rFonts w:ascii="Times New Roman" w:hAnsi="Times New Roman"/>
                <w:kern w:val="0"/>
                <w:sz w:val="18"/>
                <w:szCs w:val="18"/>
              </w:rPr>
            </w:pP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高程：优于±5 mm+1 ppm</w:t>
            </w:r>
          </w:p>
        </w:tc>
        <w:tc>
          <w:tcPr>
            <w:tcW w:w="711" w:type="pct"/>
            <w:vMerge w:val="continue"/>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星频要求</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3 星多频</w:t>
            </w:r>
          </w:p>
        </w:tc>
        <w:tc>
          <w:tcPr>
            <w:tcW w:w="711"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采样频率</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10 Hz</w:t>
            </w:r>
          </w:p>
        </w:tc>
        <w:tc>
          <w:tcPr>
            <w:tcW w:w="711"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供电</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内置电池可实现20小时连续作业，可外接电源。</w:t>
            </w:r>
          </w:p>
        </w:tc>
        <w:tc>
          <w:tcPr>
            <w:tcW w:w="711"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存贮容量</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内置存贮设备容量</w:t>
            </w:r>
            <w:r>
              <w:rPr>
                <w:rFonts w:hint="eastAsia" w:ascii="宋体" w:hAnsi="宋体"/>
                <w:kern w:val="0"/>
                <w:sz w:val="18"/>
                <w:szCs w:val="18"/>
              </w:rPr>
              <w:t>≥</w:t>
            </w:r>
            <w:r>
              <w:rPr>
                <w:rFonts w:ascii="Times New Roman" w:hAnsi="Times New Roman"/>
                <w:kern w:val="0"/>
                <w:sz w:val="18"/>
                <w:szCs w:val="18"/>
              </w:rPr>
              <w:t>16 GB，支持外接移动设备（U盘、移动硬盘）</w:t>
            </w:r>
          </w:p>
        </w:tc>
        <w:tc>
          <w:tcPr>
            <w:tcW w:w="711"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操作系统</w:t>
            </w:r>
          </w:p>
        </w:tc>
        <w:tc>
          <w:tcPr>
            <w:tcW w:w="3576" w:type="pct"/>
            <w:gridSpan w:val="2"/>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Linux或Android，支持Web管理</w:t>
            </w:r>
          </w:p>
        </w:tc>
        <w:tc>
          <w:tcPr>
            <w:tcW w:w="711"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监测模式</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支持动态静态监测模式，两种模式可切换</w:t>
            </w:r>
          </w:p>
        </w:tc>
        <w:tc>
          <w:tcPr>
            <w:tcW w:w="711"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 ℃，60 ℃]区间</w:t>
            </w:r>
          </w:p>
        </w:tc>
        <w:tc>
          <w:tcPr>
            <w:tcW w:w="711"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抗100%冷凝</w:t>
            </w:r>
          </w:p>
        </w:tc>
        <w:tc>
          <w:tcPr>
            <w:tcW w:w="711"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3"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3576" w:type="pct"/>
            <w:gridSpan w:val="2"/>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不低于IP65</w:t>
            </w:r>
          </w:p>
        </w:tc>
        <w:tc>
          <w:tcPr>
            <w:tcW w:w="711" w:type="pct"/>
            <w:shd w:val="clear" w:color="auto" w:fill="auto"/>
            <w:noWrap/>
            <w:vAlign w:val="center"/>
          </w:tcPr>
          <w:p>
            <w:pPr>
              <w:widowControl/>
              <w:jc w:val="center"/>
              <w:rPr>
                <w:rFonts w:ascii="Times New Roman" w:hAnsi="Times New Roman"/>
                <w:kern w:val="0"/>
                <w:sz w:val="18"/>
                <w:szCs w:val="18"/>
              </w:rPr>
            </w:pPr>
          </w:p>
        </w:tc>
      </w:tr>
    </w:tbl>
    <w:p/>
    <w:p>
      <w:pPr>
        <w:keepNext/>
        <w:keepLines/>
        <w:adjustRightInd w:val="0"/>
        <w:snapToGrid w:val="0"/>
        <w:spacing w:before="120" w:beforeLines="50" w:after="120" w:afterLines="50"/>
        <w:jc w:val="left"/>
        <w:rPr>
          <w:rFonts w:ascii="Times New Roman" w:hAnsi="Times New Roman"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10  地表相对位移（裂缝，拉线，激光测距）监测设备技术参数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 xml:space="preserve">表A-10  </w:t>
      </w:r>
      <w:r>
        <w:rPr>
          <w:rFonts w:ascii="黑体" w:hAnsi="黑体" w:eastAsia="黑体"/>
          <w:kern w:val="0"/>
          <w:szCs w:val="21"/>
        </w:rPr>
        <w:t>地表</w:t>
      </w:r>
      <w:r>
        <w:rPr>
          <w:rFonts w:hint="eastAsia" w:ascii="黑体" w:hAnsi="黑体" w:eastAsia="黑体"/>
          <w:kern w:val="0"/>
          <w:szCs w:val="21"/>
        </w:rPr>
        <w:t>相对</w:t>
      </w:r>
      <w:r>
        <w:rPr>
          <w:rFonts w:ascii="黑体" w:hAnsi="黑体" w:eastAsia="黑体"/>
          <w:kern w:val="0"/>
          <w:szCs w:val="21"/>
        </w:rPr>
        <w:t>位移</w:t>
      </w:r>
      <w:r>
        <w:rPr>
          <w:rFonts w:hint="eastAsia" w:ascii="黑体" w:hAnsi="黑体" w:eastAsia="黑体"/>
          <w:kern w:val="0"/>
          <w:szCs w:val="21"/>
        </w:rPr>
        <w:t>（裂缝，拉线，激光测距）</w:t>
      </w:r>
      <w:r>
        <w:rPr>
          <w:rFonts w:ascii="黑体" w:hAnsi="黑体" w:eastAsia="黑体"/>
          <w:kern w:val="0"/>
          <w:szCs w:val="21"/>
        </w:rPr>
        <w:t>监测设备技术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5137"/>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精度</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监测一级二级0.01 mm，监测三级0.05 mm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3 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采样频率</w:t>
            </w:r>
          </w:p>
        </w:tc>
        <w:tc>
          <w:tcPr>
            <w:tcW w:w="2684" w:type="pct"/>
            <w:shd w:val="clear" w:color="auto" w:fill="auto"/>
            <w:noWrap/>
            <w:vAlign w:val="center"/>
          </w:tcPr>
          <w:p>
            <w:pPr>
              <w:widowControl/>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 xml:space="preserve">1 次/1h </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可依据需求设定采样频率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存贮容量</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内置存贮设备容量</w:t>
            </w:r>
            <w:r>
              <w:rPr>
                <w:rFonts w:hint="eastAsia" w:ascii="宋体" w:hAnsi="宋体"/>
                <w:kern w:val="0"/>
                <w:sz w:val="18"/>
                <w:szCs w:val="18"/>
              </w:rPr>
              <w:t>≥</w:t>
            </w:r>
            <w:r>
              <w:rPr>
                <w:rFonts w:ascii="Times New Roman" w:hAnsi="Times New Roman"/>
                <w:kern w:val="0"/>
                <w:sz w:val="18"/>
                <w:szCs w:val="18"/>
              </w:rPr>
              <w:t>512</w:t>
            </w:r>
            <w:r>
              <w:rPr>
                <w:rFonts w:hint="eastAsia" w:ascii="Times New Roman" w:hAnsi="Times New Roman"/>
                <w:kern w:val="0"/>
                <w:sz w:val="18"/>
                <w:szCs w:val="18"/>
              </w:rPr>
              <w:t xml:space="preserve"> </w:t>
            </w:r>
            <w:r>
              <w:rPr>
                <w:rFonts w:ascii="Times New Roman" w:hAnsi="Times New Roman"/>
                <w:kern w:val="0"/>
                <w:sz w:val="18"/>
                <w:szCs w:val="18"/>
              </w:rPr>
              <w:t>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操作系统</w:t>
            </w:r>
          </w:p>
        </w:tc>
        <w:tc>
          <w:tcPr>
            <w:tcW w:w="26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内嵌Linux操作系统，支持Web管理</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监测模式</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支持动态静态监测模式，两种模式可切换</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数据接口</w:t>
            </w:r>
          </w:p>
        </w:tc>
        <w:tc>
          <w:tcPr>
            <w:tcW w:w="26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具备RS485或RS232接口</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 ℃</w:t>
            </w:r>
            <w:r>
              <w:rPr>
                <w:rFonts w:hint="eastAsia" w:ascii="Times New Roman" w:hAnsi="Times New Roman"/>
                <w:kern w:val="0"/>
                <w:sz w:val="18"/>
                <w:szCs w:val="18"/>
              </w:rPr>
              <w:t>，</w:t>
            </w:r>
            <w:r>
              <w:rPr>
                <w:rFonts w:ascii="Times New Roman" w:hAnsi="Times New Roman"/>
                <w:kern w:val="0"/>
                <w:sz w:val="18"/>
                <w:szCs w:val="18"/>
              </w:rPr>
              <w:t>70 ℃]区间</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不低于90% RH</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不低于IP65</w:t>
            </w:r>
          </w:p>
        </w:tc>
        <w:tc>
          <w:tcPr>
            <w:tcW w:w="1557" w:type="pct"/>
            <w:shd w:val="clear" w:color="auto" w:fill="auto"/>
            <w:noWrap/>
            <w:vAlign w:val="center"/>
          </w:tcPr>
          <w:p>
            <w:pPr>
              <w:widowControl/>
              <w:jc w:val="center"/>
              <w:rPr>
                <w:rFonts w:ascii="Times New Roman" w:hAnsi="Times New Roman"/>
                <w:kern w:val="0"/>
                <w:sz w:val="18"/>
                <w:szCs w:val="18"/>
              </w:rPr>
            </w:pPr>
          </w:p>
        </w:tc>
      </w:tr>
    </w:tbl>
    <w:p>
      <w:pPr>
        <w:sectPr>
          <w:pgSz w:w="11906" w:h="16838"/>
          <w:pgMar w:top="1418" w:right="1134" w:bottom="1134" w:left="1418" w:header="851" w:footer="992" w:gutter="0"/>
          <w:cols w:space="425" w:num="1"/>
          <w:docGrid w:linePitch="312" w:charSpace="0"/>
        </w:sectPr>
      </w:pPr>
    </w:p>
    <w:p>
      <w:pPr>
        <w:keepNext/>
        <w:keepLines/>
        <w:adjustRightInd w:val="0"/>
        <w:snapToGrid w:val="0"/>
        <w:spacing w:before="120" w:beforeLines="50" w:after="120" w:afterLines="50"/>
        <w:jc w:val="left"/>
        <w:rPr>
          <w:rFonts w:ascii="Times New Roman" w:hAnsi="黑体"/>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11  深部位移自动化监测设备技术参数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 xml:space="preserve">表A-11  </w:t>
      </w:r>
      <w:r>
        <w:rPr>
          <w:rFonts w:ascii="黑体" w:hAnsi="黑体" w:eastAsia="黑体"/>
          <w:kern w:val="0"/>
          <w:szCs w:val="21"/>
        </w:rPr>
        <w:t>深部位移自动化监测设备技术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7"/>
        <w:gridCol w:w="5246"/>
        <w:gridCol w:w="2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29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监测精度</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0.2 mm/0.001°</w:t>
            </w:r>
          </w:p>
        </w:tc>
        <w:tc>
          <w:tcPr>
            <w:tcW w:w="1299"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0.5 m或±15°</w:t>
            </w:r>
          </w:p>
        </w:tc>
        <w:tc>
          <w:tcPr>
            <w:tcW w:w="1299"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主要传感器</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多轴传感器</w:t>
            </w:r>
          </w:p>
        </w:tc>
        <w:tc>
          <w:tcPr>
            <w:tcW w:w="129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支持多层分段式部署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监测层位</w:t>
            </w:r>
          </w:p>
        </w:tc>
        <w:tc>
          <w:tcPr>
            <w:tcW w:w="2741"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对于滑面较明确时，可按不少于3只传感器配置</w:t>
            </w:r>
          </w:p>
        </w:tc>
        <w:tc>
          <w:tcPr>
            <w:tcW w:w="1299"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存贮容量</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内置存贮设备容量</w:t>
            </w:r>
            <w:r>
              <w:rPr>
                <w:rFonts w:hint="eastAsia" w:ascii="宋体" w:hAnsi="宋体"/>
                <w:kern w:val="0"/>
                <w:sz w:val="18"/>
                <w:szCs w:val="18"/>
              </w:rPr>
              <w:t>≥</w:t>
            </w:r>
            <w:r>
              <w:rPr>
                <w:rFonts w:ascii="Times New Roman" w:hAnsi="Times New Roman"/>
                <w:kern w:val="0"/>
                <w:sz w:val="18"/>
                <w:szCs w:val="18"/>
              </w:rPr>
              <w:t>512M</w:t>
            </w:r>
          </w:p>
        </w:tc>
        <w:tc>
          <w:tcPr>
            <w:tcW w:w="1299"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60℃]区间</w:t>
            </w:r>
          </w:p>
        </w:tc>
        <w:tc>
          <w:tcPr>
            <w:tcW w:w="1299"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不低于90% RH</w:t>
            </w:r>
          </w:p>
        </w:tc>
        <w:tc>
          <w:tcPr>
            <w:tcW w:w="1299"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不低于IP65</w:t>
            </w:r>
          </w:p>
        </w:tc>
        <w:tc>
          <w:tcPr>
            <w:tcW w:w="1299" w:type="pct"/>
            <w:shd w:val="clear" w:color="auto" w:fill="auto"/>
            <w:noWrap/>
            <w:vAlign w:val="center"/>
          </w:tcPr>
          <w:p>
            <w:pPr>
              <w:widowControl/>
              <w:jc w:val="center"/>
              <w:rPr>
                <w:rFonts w:ascii="Times New Roman" w:hAnsi="Times New Roman"/>
                <w:kern w:val="0"/>
                <w:sz w:val="18"/>
                <w:szCs w:val="18"/>
              </w:rPr>
            </w:pP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12  多维形变自动化监测设备技术参数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 xml:space="preserve">表A-12  </w:t>
      </w:r>
      <w:r>
        <w:rPr>
          <w:rFonts w:ascii="黑体" w:hAnsi="黑体" w:eastAsia="黑体"/>
          <w:kern w:val="0"/>
          <w:szCs w:val="21"/>
        </w:rPr>
        <w:t>多维形变自动化监测设备技术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6146"/>
        <w:gridCol w:w="1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003"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restar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监测精度</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位移：0.5 mm</w:t>
            </w:r>
          </w:p>
        </w:tc>
        <w:tc>
          <w:tcPr>
            <w:tcW w:w="1003" w:type="pct"/>
            <w:vMerge w:val="restar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设备标称精度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vMerge w:val="continue"/>
            <w:vAlign w:val="center"/>
          </w:tcPr>
          <w:p>
            <w:pPr>
              <w:widowControl/>
              <w:jc w:val="center"/>
              <w:rPr>
                <w:rFonts w:ascii="Times New Roman" w:hAnsi="Times New Roman"/>
                <w:kern w:val="0"/>
                <w:sz w:val="18"/>
                <w:szCs w:val="18"/>
              </w:rPr>
            </w:pP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倾斜：0.001°</w:t>
            </w:r>
          </w:p>
        </w:tc>
        <w:tc>
          <w:tcPr>
            <w:tcW w:w="1003" w:type="pct"/>
            <w:vMerge w:val="continue"/>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w:t>
            </w:r>
            <w:r>
              <w:rPr>
                <w:rFonts w:hint="eastAsia" w:ascii="Times New Roman" w:hAnsi="Times New Roman"/>
                <w:kern w:val="0"/>
                <w:sz w:val="18"/>
                <w:szCs w:val="18"/>
              </w:rPr>
              <w:t>-</w:t>
            </w:r>
            <w:r>
              <w:rPr>
                <w:rFonts w:ascii="Times New Roman" w:hAnsi="Times New Roman"/>
                <w:kern w:val="0"/>
                <w:sz w:val="18"/>
                <w:szCs w:val="18"/>
              </w:rPr>
              <w:t>2 cm/±30°</w:t>
            </w:r>
          </w:p>
        </w:tc>
        <w:tc>
          <w:tcPr>
            <w:tcW w:w="100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主要传感器</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一维或二维 PSD 位移传感器、倾角传感器</w:t>
            </w:r>
          </w:p>
        </w:tc>
        <w:tc>
          <w:tcPr>
            <w:tcW w:w="100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存贮容量</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内置存贮设备容量</w:t>
            </w:r>
            <w:r>
              <w:rPr>
                <w:rFonts w:hint="eastAsia" w:ascii="宋体" w:hAnsi="宋体"/>
                <w:kern w:val="0"/>
                <w:sz w:val="18"/>
                <w:szCs w:val="18"/>
              </w:rPr>
              <w:t>≥</w:t>
            </w:r>
            <w:r>
              <w:rPr>
                <w:rFonts w:ascii="Times New Roman" w:hAnsi="Times New Roman"/>
                <w:kern w:val="0"/>
                <w:sz w:val="18"/>
                <w:szCs w:val="18"/>
              </w:rPr>
              <w:t>1</w:t>
            </w:r>
            <w:r>
              <w:rPr>
                <w:rFonts w:hint="eastAsia" w:ascii="Times New Roman" w:hAnsi="Times New Roman"/>
                <w:kern w:val="0"/>
                <w:sz w:val="18"/>
                <w:szCs w:val="18"/>
              </w:rPr>
              <w:t xml:space="preserve"> </w:t>
            </w:r>
            <w:r>
              <w:rPr>
                <w:rFonts w:ascii="Times New Roman" w:hAnsi="Times New Roman"/>
                <w:kern w:val="0"/>
                <w:sz w:val="18"/>
                <w:szCs w:val="18"/>
              </w:rPr>
              <w:t>G</w:t>
            </w:r>
          </w:p>
        </w:tc>
        <w:tc>
          <w:tcPr>
            <w:tcW w:w="100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操作系统</w:t>
            </w:r>
          </w:p>
        </w:tc>
        <w:tc>
          <w:tcPr>
            <w:tcW w:w="3211"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内嵌Linux操作系统，支持Web管理</w:t>
            </w:r>
          </w:p>
        </w:tc>
        <w:tc>
          <w:tcPr>
            <w:tcW w:w="100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监测模式</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支持动态静态监测模式，两种模式可切换</w:t>
            </w:r>
          </w:p>
        </w:tc>
        <w:tc>
          <w:tcPr>
            <w:tcW w:w="100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数据接口</w:t>
            </w:r>
          </w:p>
        </w:tc>
        <w:tc>
          <w:tcPr>
            <w:tcW w:w="3211"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具备RS485 或RS232接口</w:t>
            </w:r>
          </w:p>
        </w:tc>
        <w:tc>
          <w:tcPr>
            <w:tcW w:w="100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70℃]区间</w:t>
            </w:r>
          </w:p>
        </w:tc>
        <w:tc>
          <w:tcPr>
            <w:tcW w:w="100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不低于90% RH</w:t>
            </w:r>
          </w:p>
        </w:tc>
        <w:tc>
          <w:tcPr>
            <w:tcW w:w="100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不低于IP65</w:t>
            </w:r>
          </w:p>
        </w:tc>
        <w:tc>
          <w:tcPr>
            <w:tcW w:w="100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6"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功耗</w:t>
            </w:r>
          </w:p>
        </w:tc>
        <w:tc>
          <w:tcPr>
            <w:tcW w:w="321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200 mW</w:t>
            </w:r>
          </w:p>
        </w:tc>
        <w:tc>
          <w:tcPr>
            <w:tcW w:w="1003" w:type="pct"/>
            <w:shd w:val="clear" w:color="auto" w:fill="auto"/>
            <w:noWrap/>
            <w:vAlign w:val="center"/>
          </w:tcPr>
          <w:p>
            <w:pPr>
              <w:widowControl/>
              <w:jc w:val="center"/>
              <w:rPr>
                <w:rFonts w:ascii="Times New Roman" w:hAnsi="Times New Roman"/>
                <w:kern w:val="0"/>
                <w:sz w:val="18"/>
                <w:szCs w:val="18"/>
              </w:rPr>
            </w:pP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13  应力自动化监测设备技术参数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表A-13  应</w:t>
      </w:r>
      <w:r>
        <w:rPr>
          <w:rFonts w:ascii="黑体" w:hAnsi="黑体" w:eastAsia="黑体"/>
          <w:kern w:val="0"/>
          <w:szCs w:val="21"/>
        </w:rPr>
        <w:t>力自动化监测设备技术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1"/>
        <w:gridCol w:w="5089"/>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精度</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0.1% F·S</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满量程的 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2.5 psi～3 500 psi</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PSIA 磅/平方英寸</w:t>
            </w:r>
          </w:p>
          <w:p>
            <w:pPr>
              <w:widowControl/>
              <w:jc w:val="center"/>
              <w:rPr>
                <w:rFonts w:ascii="Times New Roman" w:hAnsi="Times New Roman"/>
                <w:kern w:val="0"/>
                <w:sz w:val="18"/>
                <w:szCs w:val="18"/>
              </w:rPr>
            </w:pPr>
            <w:r>
              <w:rPr>
                <w:rFonts w:ascii="Times New Roman" w:hAnsi="Times New Roman"/>
                <w:kern w:val="0"/>
                <w:sz w:val="18"/>
                <w:szCs w:val="18"/>
              </w:rPr>
              <w:t>1</w:t>
            </w:r>
            <w:r>
              <w:rPr>
                <w:rFonts w:hint="eastAsia" w:ascii="Times New Roman" w:hAnsi="Times New Roman"/>
                <w:kern w:val="0"/>
                <w:sz w:val="18"/>
                <w:szCs w:val="18"/>
              </w:rPr>
              <w:t xml:space="preserve"> </w:t>
            </w:r>
            <w:r>
              <w:rPr>
                <w:rFonts w:ascii="Times New Roman" w:hAnsi="Times New Roman"/>
                <w:kern w:val="0"/>
                <w:sz w:val="18"/>
                <w:szCs w:val="18"/>
              </w:rPr>
              <w:t>lb/in</w:t>
            </w:r>
            <w:r>
              <w:rPr>
                <w:rFonts w:ascii="Times New Roman" w:hAnsi="Times New Roman"/>
                <w:kern w:val="0"/>
                <w:sz w:val="18"/>
                <w:szCs w:val="18"/>
                <w:vertAlign w:val="superscript"/>
              </w:rPr>
              <w:t>2</w:t>
            </w:r>
            <w:r>
              <w:rPr>
                <w:rFonts w:ascii="Times New Roman" w:hAnsi="Times New Roman"/>
                <w:kern w:val="0"/>
                <w:sz w:val="18"/>
                <w:szCs w:val="18"/>
              </w:rPr>
              <w:t>=6.8948</w:t>
            </w:r>
            <w:r>
              <w:rPr>
                <w:rFonts w:hint="eastAsia" w:ascii="Times New Roman" w:hAnsi="Times New Roman"/>
                <w:kern w:val="0"/>
                <w:sz w:val="18"/>
                <w:szCs w:val="18"/>
              </w:rPr>
              <w:t xml:space="preserve"> </w:t>
            </w:r>
            <w:r>
              <w:rPr>
                <w:rFonts w:ascii="Times New Roman" w:hAnsi="Times New Roman"/>
                <w:kern w:val="0"/>
                <w:sz w:val="18"/>
                <w:szCs w:val="18"/>
              </w:rPr>
              <w:t>kpa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存贮容量</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内置存贮设备容量</w:t>
            </w:r>
            <w:r>
              <w:rPr>
                <w:rFonts w:hint="eastAsia" w:ascii="宋体" w:hAnsi="宋体"/>
                <w:kern w:val="0"/>
                <w:sz w:val="18"/>
                <w:szCs w:val="18"/>
              </w:rPr>
              <w:t>≥</w:t>
            </w:r>
            <w:r>
              <w:rPr>
                <w:rFonts w:ascii="Times New Roman" w:hAnsi="Times New Roman"/>
                <w:kern w:val="0"/>
                <w:sz w:val="18"/>
                <w:szCs w:val="18"/>
              </w:rPr>
              <w:t>512</w:t>
            </w:r>
            <w:r>
              <w:rPr>
                <w:rFonts w:hint="eastAsia" w:ascii="Times New Roman" w:hAnsi="Times New Roman"/>
                <w:kern w:val="0"/>
                <w:sz w:val="18"/>
                <w:szCs w:val="18"/>
              </w:rPr>
              <w:t xml:space="preserve"> </w:t>
            </w:r>
            <w:r>
              <w:rPr>
                <w:rFonts w:ascii="Times New Roman" w:hAnsi="Times New Roman"/>
                <w:kern w:val="0"/>
                <w:sz w:val="18"/>
                <w:szCs w:val="18"/>
              </w:rPr>
              <w:t>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70℃]区间</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不低于90%RH</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不低于IP65</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响应时间</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＜1</w:t>
            </w:r>
            <w:r>
              <w:rPr>
                <w:rFonts w:hint="eastAsia" w:ascii="Times New Roman" w:hAnsi="Times New Roman"/>
                <w:kern w:val="0"/>
                <w:sz w:val="18"/>
                <w:szCs w:val="18"/>
              </w:rPr>
              <w:t xml:space="preserve"> </w:t>
            </w:r>
            <w:r>
              <w:rPr>
                <w:rFonts w:ascii="Times New Roman" w:hAnsi="Times New Roman"/>
                <w:kern w:val="0"/>
                <w:sz w:val="18"/>
                <w:szCs w:val="18"/>
              </w:rPr>
              <w:t>ms</w:t>
            </w:r>
          </w:p>
        </w:tc>
        <w:tc>
          <w:tcPr>
            <w:tcW w:w="1557" w:type="pct"/>
            <w:shd w:val="clear" w:color="auto" w:fill="auto"/>
            <w:noWrap/>
            <w:vAlign w:val="center"/>
          </w:tcPr>
          <w:p>
            <w:pPr>
              <w:widowControl/>
              <w:jc w:val="center"/>
              <w:rPr>
                <w:rFonts w:ascii="Times New Roman" w:hAnsi="Times New Roman"/>
                <w:kern w:val="0"/>
                <w:sz w:val="18"/>
                <w:szCs w:val="18"/>
              </w:rPr>
            </w:pP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14  孔隙水压力监测设备技术参数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表A-14  孔隙水压力</w:t>
      </w:r>
      <w:r>
        <w:rPr>
          <w:rFonts w:ascii="黑体" w:hAnsi="黑体" w:eastAsia="黑体"/>
          <w:kern w:val="0"/>
          <w:szCs w:val="21"/>
        </w:rPr>
        <w:t>监测设备技术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5246"/>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分辨率</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0.1 KPa</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根据监测设计初步估算结果选定</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可选0</w:t>
            </w:r>
            <w:r>
              <w:rPr>
                <w:rFonts w:hint="eastAsia" w:ascii="Times New Roman" w:hAnsi="Times New Roman"/>
                <w:kern w:val="0"/>
                <w:sz w:val="18"/>
                <w:szCs w:val="18"/>
              </w:rPr>
              <w:t>-</w:t>
            </w:r>
            <w:r>
              <w:rPr>
                <w:rFonts w:ascii="Times New Roman" w:hAnsi="Times New Roman"/>
                <w:kern w:val="0"/>
                <w:sz w:val="18"/>
                <w:szCs w:val="18"/>
              </w:rPr>
              <w:t>1.6</w:t>
            </w:r>
            <w:r>
              <w:rPr>
                <w:rFonts w:hint="eastAsia" w:ascii="Times New Roman" w:hAnsi="Times New Roman"/>
                <w:kern w:val="0"/>
                <w:sz w:val="18"/>
                <w:szCs w:val="18"/>
              </w:rPr>
              <w:t xml:space="preserve"> </w:t>
            </w:r>
            <w:r>
              <w:rPr>
                <w:rFonts w:ascii="Times New Roman" w:hAnsi="Times New Roman"/>
                <w:kern w:val="0"/>
                <w:sz w:val="18"/>
                <w:szCs w:val="18"/>
              </w:rPr>
              <w:t>KPa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存贮容量</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内置存贮设备容量</w:t>
            </w:r>
            <w:r>
              <w:rPr>
                <w:rFonts w:hint="eastAsia" w:ascii="宋体" w:hAnsi="宋体"/>
                <w:kern w:val="0"/>
                <w:sz w:val="18"/>
                <w:szCs w:val="18"/>
              </w:rPr>
              <w:t>≥</w:t>
            </w:r>
            <w:r>
              <w:rPr>
                <w:rFonts w:ascii="Times New Roman" w:hAnsi="Times New Roman"/>
                <w:kern w:val="0"/>
                <w:sz w:val="18"/>
                <w:szCs w:val="18"/>
              </w:rPr>
              <w:t>512</w:t>
            </w:r>
            <w:r>
              <w:rPr>
                <w:rFonts w:hint="eastAsia" w:ascii="Times New Roman" w:hAnsi="Times New Roman"/>
                <w:kern w:val="0"/>
                <w:sz w:val="18"/>
                <w:szCs w:val="18"/>
              </w:rPr>
              <w:t xml:space="preserve"> </w:t>
            </w:r>
            <w:r>
              <w:rPr>
                <w:rFonts w:ascii="Times New Roman" w:hAnsi="Times New Roman"/>
                <w:kern w:val="0"/>
                <w:sz w:val="18"/>
                <w:szCs w:val="18"/>
              </w:rPr>
              <w:t>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60℃]区间</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 90% RH</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 IP68</w:t>
            </w:r>
          </w:p>
        </w:tc>
        <w:tc>
          <w:tcPr>
            <w:tcW w:w="1557" w:type="pct"/>
            <w:shd w:val="clear" w:color="auto" w:fill="auto"/>
            <w:noWrap/>
            <w:vAlign w:val="center"/>
          </w:tcPr>
          <w:p>
            <w:pPr>
              <w:widowControl/>
              <w:jc w:val="center"/>
              <w:rPr>
                <w:rFonts w:ascii="Times New Roman" w:hAnsi="Times New Roman"/>
                <w:kern w:val="0"/>
                <w:sz w:val="18"/>
                <w:szCs w:val="18"/>
              </w:rPr>
            </w:pP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15  降雨量自动化监测设备技术参数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 xml:space="preserve">表A-15  </w:t>
      </w:r>
      <w:r>
        <w:rPr>
          <w:rFonts w:ascii="黑体" w:hAnsi="黑体" w:eastAsia="黑体"/>
          <w:kern w:val="0"/>
          <w:szCs w:val="21"/>
        </w:rPr>
        <w:t>降雨量自动化监测设备技术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5246"/>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监测精度</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2%</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相对精度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雨强范围</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0.01 mm～4 mm/min</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存贮容量</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内置存贮设备容量</w:t>
            </w:r>
            <w:r>
              <w:rPr>
                <w:rFonts w:hint="eastAsia" w:ascii="宋体" w:hAnsi="宋体"/>
                <w:kern w:val="0"/>
                <w:sz w:val="18"/>
                <w:szCs w:val="18"/>
              </w:rPr>
              <w:t>≥</w:t>
            </w:r>
            <w:r>
              <w:rPr>
                <w:rFonts w:ascii="Times New Roman" w:hAnsi="Times New Roman"/>
                <w:kern w:val="0"/>
                <w:sz w:val="18"/>
                <w:szCs w:val="18"/>
              </w:rPr>
              <w:t>512</w:t>
            </w:r>
            <w:r>
              <w:rPr>
                <w:rFonts w:hint="eastAsia" w:ascii="Times New Roman" w:hAnsi="Times New Roman"/>
                <w:kern w:val="0"/>
                <w:sz w:val="18"/>
                <w:szCs w:val="18"/>
              </w:rPr>
              <w:t xml:space="preserve"> </w:t>
            </w:r>
            <w:r>
              <w:rPr>
                <w:rFonts w:ascii="Times New Roman" w:hAnsi="Times New Roman"/>
                <w:kern w:val="0"/>
                <w:sz w:val="18"/>
                <w:szCs w:val="18"/>
              </w:rPr>
              <w:t>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60℃]区间</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不低于90%RH</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74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不低于IP65</w:t>
            </w:r>
          </w:p>
        </w:tc>
        <w:tc>
          <w:tcPr>
            <w:tcW w:w="1557" w:type="pct"/>
            <w:shd w:val="clear" w:color="auto" w:fill="auto"/>
            <w:noWrap/>
            <w:vAlign w:val="center"/>
          </w:tcPr>
          <w:p>
            <w:pPr>
              <w:widowControl/>
              <w:jc w:val="center"/>
              <w:rPr>
                <w:rFonts w:ascii="Times New Roman" w:hAnsi="Times New Roman"/>
                <w:kern w:val="0"/>
                <w:sz w:val="18"/>
                <w:szCs w:val="18"/>
              </w:rPr>
            </w:pP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16  地下水位自动化监测设备技术参数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表A-16  地下水位自动化监测设备</w:t>
      </w:r>
      <w:r>
        <w:rPr>
          <w:rFonts w:ascii="黑体" w:hAnsi="黑体" w:eastAsia="黑体"/>
          <w:kern w:val="0"/>
          <w:szCs w:val="21"/>
        </w:rPr>
        <w:t>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1"/>
        <w:gridCol w:w="5089"/>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精度</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0.1%</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相对精度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能够测量100 m内水位变幅</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存贮容量</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内置存贮设备容量</w:t>
            </w:r>
            <w:r>
              <w:rPr>
                <w:rFonts w:hint="eastAsia" w:ascii="宋体" w:hAnsi="宋体"/>
                <w:kern w:val="0"/>
                <w:sz w:val="18"/>
                <w:szCs w:val="18"/>
              </w:rPr>
              <w:t>≥</w:t>
            </w:r>
            <w:r>
              <w:rPr>
                <w:rFonts w:ascii="Times New Roman" w:hAnsi="Times New Roman"/>
                <w:kern w:val="0"/>
                <w:sz w:val="18"/>
                <w:szCs w:val="18"/>
              </w:rPr>
              <w:t>512</w:t>
            </w:r>
            <w:r>
              <w:rPr>
                <w:rFonts w:hint="eastAsia" w:ascii="Times New Roman" w:hAnsi="Times New Roman"/>
                <w:kern w:val="0"/>
                <w:sz w:val="18"/>
                <w:szCs w:val="18"/>
              </w:rPr>
              <w:t xml:space="preserve"> </w:t>
            </w:r>
            <w:r>
              <w:rPr>
                <w:rFonts w:ascii="Times New Roman" w:hAnsi="Times New Roman"/>
                <w:kern w:val="0"/>
                <w:sz w:val="18"/>
                <w:szCs w:val="18"/>
              </w:rPr>
              <w:t>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60℃]区间</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不低于100%RH</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659"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不低于IP68</w:t>
            </w:r>
          </w:p>
        </w:tc>
        <w:tc>
          <w:tcPr>
            <w:tcW w:w="1557" w:type="pct"/>
            <w:shd w:val="clear" w:color="auto" w:fill="auto"/>
            <w:noWrap/>
            <w:vAlign w:val="center"/>
          </w:tcPr>
          <w:p>
            <w:pPr>
              <w:widowControl/>
              <w:jc w:val="center"/>
              <w:rPr>
                <w:rFonts w:ascii="Times New Roman" w:hAnsi="Times New Roman"/>
                <w:kern w:val="0"/>
                <w:sz w:val="18"/>
                <w:szCs w:val="18"/>
              </w:rPr>
            </w:pPr>
          </w:p>
        </w:tc>
      </w:tr>
    </w:tbl>
    <w:p>
      <w:pPr>
        <w:sectPr>
          <w:pgSz w:w="11906" w:h="16838"/>
          <w:pgMar w:top="1418" w:right="1134" w:bottom="1134" w:left="1418" w:header="851" w:footer="992" w:gutter="0"/>
          <w:cols w:space="425" w:num="1"/>
          <w:docGrid w:linePitch="312" w:charSpace="0"/>
        </w:sectPr>
      </w:pP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17  土体含水率自动化监测设备技术参数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w:t>
      </w:r>
      <w:r>
        <w:rPr>
          <w:rFonts w:hint="eastAsia" w:ascii="黑体" w:hAnsi="黑体" w:eastAsia="黑体"/>
          <w:kern w:val="0"/>
          <w:szCs w:val="21"/>
        </w:rPr>
        <w:t>17  土体含水率自动化监测设备</w:t>
      </w:r>
      <w:r>
        <w:rPr>
          <w:rFonts w:ascii="黑体" w:hAnsi="黑体" w:eastAsia="黑体"/>
          <w:kern w:val="0"/>
          <w:szCs w:val="21"/>
        </w:rPr>
        <w:t>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7017"/>
        <w:gridCol w:w="1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3666"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550"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精度</w:t>
            </w:r>
          </w:p>
        </w:tc>
        <w:tc>
          <w:tcPr>
            <w:tcW w:w="3666"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±3</w:t>
            </w:r>
            <w:r>
              <w:rPr>
                <w:rFonts w:hint="eastAsia" w:ascii="Times New Roman" w:hAnsi="Times New Roman"/>
                <w:kern w:val="0"/>
                <w:sz w:val="18"/>
                <w:szCs w:val="18"/>
              </w:rPr>
              <w:t xml:space="preserve"> </w:t>
            </w:r>
            <w:r>
              <w:rPr>
                <w:rFonts w:ascii="Times New Roman" w:hAnsi="Times New Roman"/>
                <w:kern w:val="0"/>
                <w:sz w:val="18"/>
                <w:szCs w:val="18"/>
              </w:rPr>
              <w:t>%</w:t>
            </w:r>
          </w:p>
        </w:tc>
        <w:tc>
          <w:tcPr>
            <w:tcW w:w="550"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3666"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0-100</w:t>
            </w:r>
            <w:r>
              <w:rPr>
                <w:rFonts w:hint="eastAsia" w:ascii="Times New Roman" w:hAnsi="Times New Roman"/>
                <w:kern w:val="0"/>
                <w:sz w:val="18"/>
                <w:szCs w:val="18"/>
              </w:rPr>
              <w:t xml:space="preserve"> </w:t>
            </w:r>
            <w:r>
              <w:rPr>
                <w:rFonts w:ascii="Times New Roman" w:hAnsi="Times New Roman"/>
                <w:kern w:val="0"/>
                <w:sz w:val="18"/>
                <w:szCs w:val="18"/>
              </w:rPr>
              <w:t>%</w:t>
            </w:r>
          </w:p>
        </w:tc>
        <w:tc>
          <w:tcPr>
            <w:tcW w:w="550"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存贮容量</w:t>
            </w:r>
          </w:p>
        </w:tc>
        <w:tc>
          <w:tcPr>
            <w:tcW w:w="3666"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内置存贮设备容量</w:t>
            </w:r>
            <w:r>
              <w:rPr>
                <w:rFonts w:hint="eastAsia" w:ascii="宋体" w:hAnsi="宋体"/>
                <w:kern w:val="0"/>
                <w:sz w:val="18"/>
                <w:szCs w:val="18"/>
              </w:rPr>
              <w:t>≥</w:t>
            </w:r>
            <w:r>
              <w:rPr>
                <w:rFonts w:ascii="Times New Roman" w:hAnsi="Times New Roman"/>
                <w:kern w:val="0"/>
                <w:sz w:val="18"/>
                <w:szCs w:val="18"/>
              </w:rPr>
              <w:t>512</w:t>
            </w:r>
            <w:r>
              <w:rPr>
                <w:rFonts w:hint="eastAsia" w:ascii="Times New Roman" w:hAnsi="Times New Roman"/>
                <w:kern w:val="0"/>
                <w:sz w:val="18"/>
                <w:szCs w:val="18"/>
              </w:rPr>
              <w:t xml:space="preserve"> </w:t>
            </w:r>
            <w:r>
              <w:rPr>
                <w:rFonts w:ascii="Times New Roman" w:hAnsi="Times New Roman"/>
                <w:kern w:val="0"/>
                <w:sz w:val="18"/>
                <w:szCs w:val="18"/>
              </w:rPr>
              <w:t>M</w:t>
            </w:r>
          </w:p>
        </w:tc>
        <w:tc>
          <w:tcPr>
            <w:tcW w:w="550"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响应时间</w:t>
            </w:r>
          </w:p>
        </w:tc>
        <w:tc>
          <w:tcPr>
            <w:tcW w:w="3666"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小于1秒</w:t>
            </w:r>
          </w:p>
        </w:tc>
        <w:tc>
          <w:tcPr>
            <w:tcW w:w="550"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3666"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60℃]区间</w:t>
            </w:r>
          </w:p>
        </w:tc>
        <w:tc>
          <w:tcPr>
            <w:tcW w:w="550"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3666"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不低于100%RH</w:t>
            </w:r>
          </w:p>
        </w:tc>
        <w:tc>
          <w:tcPr>
            <w:tcW w:w="550"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3666"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不低于IP68</w:t>
            </w:r>
          </w:p>
        </w:tc>
        <w:tc>
          <w:tcPr>
            <w:tcW w:w="550" w:type="pct"/>
            <w:shd w:val="clear" w:color="auto" w:fill="auto"/>
            <w:noWrap/>
            <w:vAlign w:val="center"/>
          </w:tcPr>
          <w:p>
            <w:pPr>
              <w:widowControl/>
              <w:jc w:val="center"/>
              <w:rPr>
                <w:rFonts w:ascii="Times New Roman" w:hAnsi="Times New Roman"/>
                <w:kern w:val="0"/>
                <w:sz w:val="18"/>
                <w:szCs w:val="18"/>
              </w:rPr>
            </w:pP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18  视频监测设备技术参数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w:t>
      </w:r>
      <w:r>
        <w:rPr>
          <w:rFonts w:hint="eastAsia" w:ascii="黑体" w:hAnsi="黑体" w:eastAsia="黑体"/>
          <w:kern w:val="0"/>
          <w:szCs w:val="21"/>
        </w:rPr>
        <w:t>18  视频监测设备</w:t>
      </w:r>
      <w:r>
        <w:rPr>
          <w:rFonts w:ascii="黑体" w:hAnsi="黑体" w:eastAsia="黑体"/>
          <w:kern w:val="0"/>
          <w:szCs w:val="21"/>
        </w:rPr>
        <w:t>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7"/>
        <w:gridCol w:w="5093"/>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摄像机</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像素300万以上，支持2048*1536分辨率</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日夜模式</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自动ICR彩转黑</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聚焦模式</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自动聚焦，手动可选</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可视距离</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白天＞2 000 m夜晚＞800 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水平解析度</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1 200 TVL</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信噪比</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＞52</w:t>
            </w:r>
            <w:r>
              <w:rPr>
                <w:rFonts w:hint="eastAsia" w:ascii="Times New Roman" w:hAnsi="Times New Roman"/>
                <w:kern w:val="0"/>
                <w:sz w:val="18"/>
                <w:szCs w:val="18"/>
              </w:rPr>
              <w:t xml:space="preserve"> </w:t>
            </w:r>
            <w:r>
              <w:rPr>
                <w:rFonts w:ascii="Times New Roman" w:hAnsi="Times New Roman"/>
                <w:kern w:val="0"/>
                <w:sz w:val="18"/>
                <w:szCs w:val="18"/>
              </w:rPr>
              <w:t>dB</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支持3D降噪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云台旋转</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水平360°无限位，垂直+40°</w:t>
            </w:r>
            <w:r>
              <w:rPr>
                <w:rFonts w:hint="eastAsia" w:ascii="宋体" w:hAnsi="宋体"/>
                <w:kern w:val="0"/>
                <w:sz w:val="18"/>
                <w:szCs w:val="18"/>
              </w:rPr>
              <w:t>～</w:t>
            </w:r>
            <w:r>
              <w:rPr>
                <w:rFonts w:ascii="Times New Roman" w:hAnsi="Times New Roman"/>
                <w:kern w:val="0"/>
                <w:sz w:val="18"/>
                <w:szCs w:val="18"/>
              </w:rPr>
              <w:t>90°</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不小于[-45℃</w:t>
            </w:r>
            <w:r>
              <w:rPr>
                <w:rFonts w:hint="eastAsia" w:ascii="Times New Roman" w:hAnsi="Times New Roman"/>
                <w:kern w:val="0"/>
                <w:sz w:val="18"/>
                <w:szCs w:val="18"/>
              </w:rPr>
              <w:t>，</w:t>
            </w:r>
            <w:r>
              <w:rPr>
                <w:rFonts w:ascii="Times New Roman" w:hAnsi="Times New Roman"/>
                <w:kern w:val="0"/>
                <w:sz w:val="18"/>
                <w:szCs w:val="18"/>
              </w:rPr>
              <w:t>70℃]区间</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不低于90%RH</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不低于IP66</w:t>
            </w:r>
          </w:p>
        </w:tc>
        <w:tc>
          <w:tcPr>
            <w:tcW w:w="1557" w:type="pct"/>
            <w:shd w:val="clear" w:color="auto" w:fill="auto"/>
            <w:noWrap/>
            <w:vAlign w:val="center"/>
          </w:tcPr>
          <w:p>
            <w:pPr>
              <w:widowControl/>
              <w:jc w:val="center"/>
              <w:rPr>
                <w:rFonts w:ascii="Times New Roman" w:hAnsi="Times New Roman"/>
                <w:kern w:val="0"/>
                <w:sz w:val="18"/>
                <w:szCs w:val="18"/>
              </w:rPr>
            </w:pP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19  泥水位监测设备技术参数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w:t>
      </w:r>
      <w:r>
        <w:rPr>
          <w:rFonts w:hint="eastAsia" w:ascii="黑体" w:hAnsi="黑体" w:eastAsia="黑体"/>
          <w:kern w:val="0"/>
          <w:szCs w:val="21"/>
        </w:rPr>
        <w:t>19  泥水位监测设备</w:t>
      </w:r>
      <w:r>
        <w:rPr>
          <w:rFonts w:ascii="黑体" w:hAnsi="黑体" w:eastAsia="黑体"/>
          <w:kern w:val="0"/>
          <w:szCs w:val="21"/>
        </w:rPr>
        <w:t>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7015"/>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633"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精度</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±5 cm</w:t>
            </w:r>
          </w:p>
        </w:tc>
        <w:tc>
          <w:tcPr>
            <w:tcW w:w="63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0.5-30 m</w:t>
            </w:r>
          </w:p>
        </w:tc>
        <w:tc>
          <w:tcPr>
            <w:tcW w:w="63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分辨率</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1 mm</w:t>
            </w:r>
          </w:p>
        </w:tc>
        <w:tc>
          <w:tcPr>
            <w:tcW w:w="63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波速角</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＜8°</w:t>
            </w:r>
          </w:p>
        </w:tc>
        <w:tc>
          <w:tcPr>
            <w:tcW w:w="63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测量频率</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4次/秒</w:t>
            </w:r>
          </w:p>
        </w:tc>
        <w:tc>
          <w:tcPr>
            <w:tcW w:w="63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发射频率</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26 GHz</w:t>
            </w:r>
          </w:p>
        </w:tc>
        <w:tc>
          <w:tcPr>
            <w:tcW w:w="63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80℃]区间</w:t>
            </w:r>
          </w:p>
        </w:tc>
        <w:tc>
          <w:tcPr>
            <w:tcW w:w="63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不低于90%RH</w:t>
            </w:r>
          </w:p>
        </w:tc>
        <w:tc>
          <w:tcPr>
            <w:tcW w:w="633"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3665"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不低于IP68</w:t>
            </w:r>
          </w:p>
        </w:tc>
        <w:tc>
          <w:tcPr>
            <w:tcW w:w="633" w:type="pct"/>
            <w:shd w:val="clear" w:color="auto" w:fill="auto"/>
            <w:noWrap/>
            <w:vAlign w:val="center"/>
          </w:tcPr>
          <w:p>
            <w:pPr>
              <w:widowControl/>
              <w:jc w:val="center"/>
              <w:rPr>
                <w:rFonts w:ascii="Times New Roman" w:hAnsi="Times New Roman"/>
                <w:kern w:val="0"/>
                <w:sz w:val="18"/>
                <w:szCs w:val="18"/>
              </w:rPr>
            </w:pPr>
          </w:p>
        </w:tc>
      </w:tr>
    </w:tbl>
    <w:p>
      <w:pPr>
        <w:sectPr>
          <w:pgSz w:w="11906" w:h="16838"/>
          <w:pgMar w:top="1418" w:right="1134" w:bottom="1134" w:left="1418" w:header="851" w:footer="992" w:gutter="0"/>
          <w:cols w:space="425" w:num="1"/>
          <w:docGrid w:linePitch="312" w:charSpace="0"/>
        </w:sectPr>
      </w:pP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20  次声监测设备技术参数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w:t>
      </w:r>
      <w:r>
        <w:rPr>
          <w:rFonts w:hint="eastAsia" w:ascii="黑体" w:hAnsi="黑体" w:eastAsia="黑体"/>
          <w:kern w:val="0"/>
          <w:szCs w:val="21"/>
        </w:rPr>
        <w:t>20  次声监测设备</w:t>
      </w:r>
      <w:r>
        <w:rPr>
          <w:rFonts w:ascii="黑体" w:hAnsi="黑体" w:eastAsia="黑体"/>
          <w:kern w:val="0"/>
          <w:szCs w:val="21"/>
        </w:rPr>
        <w:t>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7"/>
        <w:gridCol w:w="5093"/>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工作电压</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9-15 V</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灵敏度</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22.8 V/ms±5%</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-1.2</w:t>
            </w:r>
            <w:r>
              <w:rPr>
                <w:rFonts w:hint="eastAsia" w:ascii="Times New Roman" w:hAnsi="Times New Roman"/>
                <w:kern w:val="0"/>
                <w:sz w:val="18"/>
                <w:szCs w:val="18"/>
              </w:rPr>
              <w:t>-</w:t>
            </w:r>
            <w:r>
              <w:rPr>
                <w:rFonts w:ascii="Times New Roman" w:hAnsi="Times New Roman"/>
                <w:kern w:val="0"/>
                <w:sz w:val="18"/>
                <w:szCs w:val="18"/>
              </w:rPr>
              <w:t>1.2 V</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通频带</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10-200 Hz</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频谱分析</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频谱</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具备现场分析能力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60℃]区间</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不低于90%RH</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2"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661"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不低于IP66</w:t>
            </w:r>
          </w:p>
        </w:tc>
        <w:tc>
          <w:tcPr>
            <w:tcW w:w="1557" w:type="pct"/>
            <w:shd w:val="clear" w:color="auto" w:fill="auto"/>
            <w:noWrap/>
            <w:vAlign w:val="center"/>
          </w:tcPr>
          <w:p>
            <w:pPr>
              <w:widowControl/>
              <w:jc w:val="center"/>
              <w:rPr>
                <w:rFonts w:ascii="Times New Roman" w:hAnsi="Times New Roman"/>
                <w:kern w:val="0"/>
                <w:sz w:val="18"/>
                <w:szCs w:val="18"/>
              </w:rPr>
            </w:pPr>
          </w:p>
        </w:tc>
      </w:tr>
    </w:tbl>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A</w:t>
      </w:r>
      <w:r>
        <w:rPr>
          <w:rFonts w:ascii="黑体" w:hAnsi="黑体" w:eastAsia="黑体"/>
          <w:bCs/>
          <w:kern w:val="44"/>
          <w:szCs w:val="21"/>
        </w:rPr>
        <w:t>.</w:t>
      </w:r>
      <w:r>
        <w:rPr>
          <w:rFonts w:hint="eastAsia" w:ascii="黑体" w:hAnsi="黑体" w:eastAsia="黑体"/>
          <w:bCs/>
          <w:kern w:val="44"/>
          <w:szCs w:val="21"/>
        </w:rPr>
        <w:t>21  沉降监测设备技术参数</w:t>
      </w:r>
      <w:r>
        <w:rPr>
          <w:rFonts w:ascii="黑体" w:hAnsi="黑体" w:eastAsia="黑体"/>
          <w:bCs/>
          <w:kern w:val="44"/>
          <w:szCs w:val="21"/>
        </w:rPr>
        <w:t>要求</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A</w:t>
      </w:r>
      <w:r>
        <w:rPr>
          <w:rFonts w:ascii="黑体" w:hAnsi="黑体" w:eastAsia="黑体"/>
          <w:kern w:val="0"/>
          <w:szCs w:val="21"/>
        </w:rPr>
        <w:t>-</w:t>
      </w:r>
      <w:r>
        <w:rPr>
          <w:rFonts w:hint="eastAsia" w:ascii="黑体" w:hAnsi="黑体" w:eastAsia="黑体"/>
          <w:kern w:val="0"/>
          <w:szCs w:val="21"/>
        </w:rPr>
        <w:t>21  沉降监测设备</w:t>
      </w:r>
      <w:r>
        <w:rPr>
          <w:rFonts w:ascii="黑体" w:hAnsi="黑体" w:eastAsia="黑体"/>
          <w:kern w:val="0"/>
          <w:szCs w:val="21"/>
        </w:rPr>
        <w:t>技术</w:t>
      </w:r>
      <w:r>
        <w:rPr>
          <w:rFonts w:hint="eastAsia" w:ascii="黑体" w:hAnsi="黑体" w:eastAsia="黑体"/>
          <w:kern w:val="0"/>
          <w:szCs w:val="21"/>
        </w:rPr>
        <w:t>参数</w:t>
      </w:r>
      <w:r>
        <w:rPr>
          <w:rFonts w:ascii="黑体" w:hAnsi="黑体" w:eastAsia="黑体"/>
          <w:kern w:val="0"/>
          <w:szCs w:val="21"/>
        </w:rPr>
        <w:t>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5137"/>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参数类型</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技术参数</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精度</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±0.1%F.S</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量程</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0-5 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绝缘电阻</w:t>
            </w:r>
          </w:p>
        </w:tc>
        <w:tc>
          <w:tcPr>
            <w:tcW w:w="2684" w:type="pct"/>
            <w:shd w:val="clear" w:color="auto" w:fill="auto"/>
            <w:noWrap/>
            <w:vAlign w:val="center"/>
          </w:tcPr>
          <w:p>
            <w:pPr>
              <w:widowControl/>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50</w:t>
            </w:r>
            <w:r>
              <w:rPr>
                <w:rFonts w:hint="eastAsia" w:ascii="Times New Roman" w:hAnsi="Times New Roman"/>
                <w:kern w:val="0"/>
                <w:sz w:val="18"/>
                <w:szCs w:val="18"/>
              </w:rPr>
              <w:t xml:space="preserve"> </w:t>
            </w:r>
            <w:r>
              <w:rPr>
                <w:rFonts w:ascii="Times New Roman" w:hAnsi="Times New Roman"/>
                <w:kern w:val="0"/>
                <w:sz w:val="18"/>
                <w:szCs w:val="18"/>
              </w:rPr>
              <w:t>Ω</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灵敏度</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＜0.08 mm/F</w:t>
            </w:r>
          </w:p>
        </w:tc>
        <w:tc>
          <w:tcPr>
            <w:tcW w:w="1557"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频率模数F=Hz</w:t>
            </w:r>
            <w:r>
              <w:rPr>
                <w:rFonts w:ascii="Times New Roman" w:hAnsi="Times New Roman"/>
                <w:kern w:val="0"/>
                <w:sz w:val="18"/>
                <w:szCs w:val="18"/>
                <w:vertAlign w:val="superscript"/>
              </w:rPr>
              <w:t>2</w:t>
            </w:r>
            <w:r>
              <w:rPr>
                <w:rFonts w:ascii="Times New Roman" w:hAnsi="Times New Roman"/>
                <w:kern w:val="0"/>
                <w:sz w:val="18"/>
                <w:szCs w:val="18"/>
              </w:rPr>
              <w:t>×10</w:t>
            </w:r>
            <w:r>
              <w:rPr>
                <w:rFonts w:ascii="Times New Roman" w:hAnsi="Times New Roman"/>
                <w:kern w:val="0"/>
                <w:sz w:val="18"/>
                <w:szCs w:val="18"/>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分辨率</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0.01 mm</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耐水压</w:t>
            </w:r>
          </w:p>
        </w:tc>
        <w:tc>
          <w:tcPr>
            <w:tcW w:w="2684" w:type="pct"/>
            <w:shd w:val="clear" w:color="auto" w:fill="auto"/>
            <w:noWrap/>
            <w:vAlign w:val="center"/>
          </w:tcPr>
          <w:p>
            <w:pPr>
              <w:widowControl/>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1 MPa</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过载能力</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150%</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工作温度</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不小于[-20℃</w:t>
            </w:r>
            <w:r>
              <w:rPr>
                <w:rFonts w:hint="eastAsia" w:ascii="Times New Roman" w:hAnsi="Times New Roman"/>
                <w:kern w:val="0"/>
                <w:sz w:val="18"/>
                <w:szCs w:val="18"/>
              </w:rPr>
              <w:t>，</w:t>
            </w:r>
            <w:r>
              <w:rPr>
                <w:rFonts w:ascii="Times New Roman" w:hAnsi="Times New Roman"/>
                <w:kern w:val="0"/>
                <w:sz w:val="18"/>
                <w:szCs w:val="18"/>
              </w:rPr>
              <w:t>60℃]区间</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工作湿度</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不低于90%RH</w:t>
            </w:r>
          </w:p>
        </w:tc>
        <w:tc>
          <w:tcPr>
            <w:tcW w:w="1557" w:type="pct"/>
            <w:shd w:val="clear" w:color="auto" w:fill="auto"/>
            <w:noWrap/>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59" w:type="pct"/>
            <w:shd w:val="clear" w:color="auto" w:fill="auto"/>
            <w:vAlign w:val="center"/>
          </w:tcPr>
          <w:p>
            <w:pPr>
              <w:widowControl/>
              <w:jc w:val="center"/>
              <w:rPr>
                <w:rFonts w:ascii="Times New Roman" w:hAnsi="Times New Roman"/>
                <w:kern w:val="0"/>
                <w:sz w:val="18"/>
                <w:szCs w:val="18"/>
              </w:rPr>
            </w:pPr>
            <w:r>
              <w:rPr>
                <w:rFonts w:ascii="Times New Roman" w:hAnsi="Times New Roman"/>
                <w:kern w:val="0"/>
                <w:sz w:val="18"/>
                <w:szCs w:val="18"/>
              </w:rPr>
              <w:t>防水防尘</w:t>
            </w:r>
          </w:p>
        </w:tc>
        <w:tc>
          <w:tcPr>
            <w:tcW w:w="2684" w:type="pct"/>
            <w:shd w:val="clear" w:color="auto" w:fill="auto"/>
            <w:noWrap/>
            <w:vAlign w:val="center"/>
          </w:tcPr>
          <w:p>
            <w:pPr>
              <w:widowControl/>
              <w:jc w:val="center"/>
              <w:rPr>
                <w:rFonts w:ascii="Times New Roman" w:hAnsi="Times New Roman"/>
                <w:kern w:val="0"/>
                <w:sz w:val="18"/>
                <w:szCs w:val="18"/>
              </w:rPr>
            </w:pPr>
            <w:r>
              <w:rPr>
                <w:rFonts w:ascii="Times New Roman" w:hAnsi="Times New Roman"/>
                <w:kern w:val="0"/>
                <w:sz w:val="18"/>
                <w:szCs w:val="18"/>
              </w:rPr>
              <w:t>不低于IP67</w:t>
            </w:r>
          </w:p>
        </w:tc>
        <w:tc>
          <w:tcPr>
            <w:tcW w:w="1557" w:type="pct"/>
            <w:shd w:val="clear" w:color="auto" w:fill="auto"/>
            <w:noWrap/>
            <w:vAlign w:val="center"/>
          </w:tcPr>
          <w:p>
            <w:pPr>
              <w:widowControl/>
              <w:jc w:val="center"/>
              <w:rPr>
                <w:rFonts w:ascii="Times New Roman" w:hAnsi="Times New Roman"/>
                <w:kern w:val="0"/>
                <w:sz w:val="18"/>
                <w:szCs w:val="18"/>
              </w:rPr>
            </w:pPr>
          </w:p>
        </w:tc>
      </w:tr>
    </w:tbl>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黑体" w:hAnsi="黑体" w:eastAsia="黑体"/>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bookmarkStart w:id="123" w:name="_Toc33177712"/>
      <w:r>
        <w:rPr>
          <w:rFonts w:ascii="黑体" w:hAnsi="黑体" w:eastAsia="黑体"/>
          <w:kern w:val="0"/>
          <w:szCs w:val="21"/>
        </w:rPr>
        <w:t xml:space="preserve">附  录  </w:t>
      </w:r>
      <w:r>
        <w:rPr>
          <w:rFonts w:hint="eastAsia" w:ascii="黑体" w:hAnsi="黑体" w:eastAsia="黑体"/>
          <w:kern w:val="0"/>
          <w:szCs w:val="21"/>
        </w:rPr>
        <w:t>B</w:t>
      </w: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r>
        <w:rPr>
          <w:rFonts w:ascii="黑体" w:hAnsi="黑体" w:eastAsia="黑体"/>
          <w:kern w:val="0"/>
          <w:szCs w:val="21"/>
        </w:rPr>
        <w:t>（</w:t>
      </w:r>
      <w:r>
        <w:rPr>
          <w:rFonts w:hint="eastAsia" w:ascii="黑体" w:hAnsi="黑体" w:eastAsia="黑体"/>
          <w:kern w:val="0"/>
          <w:szCs w:val="21"/>
        </w:rPr>
        <w:t>资料</w:t>
      </w:r>
      <w:r>
        <w:rPr>
          <w:rFonts w:ascii="黑体" w:hAnsi="黑体" w:eastAsia="黑体"/>
          <w:kern w:val="0"/>
          <w:szCs w:val="21"/>
        </w:rPr>
        <w:t>性附录）</w:t>
      </w:r>
    </w:p>
    <w:p>
      <w:pPr>
        <w:keepNext/>
        <w:widowControl/>
        <w:shd w:val="clear" w:color="FFFFFF" w:fill="FFFFFF"/>
        <w:tabs>
          <w:tab w:val="left" w:pos="360"/>
          <w:tab w:val="left" w:pos="6405"/>
        </w:tabs>
        <w:jc w:val="center"/>
        <w:outlineLvl w:val="0"/>
        <w:rPr>
          <w:rFonts w:ascii="黑体" w:hAnsi="黑体" w:eastAsia="黑体"/>
          <w:kern w:val="0"/>
          <w:szCs w:val="21"/>
        </w:rPr>
      </w:pPr>
      <w:r>
        <w:rPr>
          <w:rFonts w:ascii="黑体" w:hAnsi="黑体" w:eastAsia="黑体"/>
          <w:kern w:val="0"/>
          <w:szCs w:val="21"/>
        </w:rPr>
        <w:t>监测工程施工监理验收记录表</w:t>
      </w:r>
      <w:bookmarkEnd w:id="123"/>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B</w:t>
      </w:r>
      <w:r>
        <w:rPr>
          <w:rFonts w:ascii="黑体" w:hAnsi="黑体" w:eastAsia="黑体"/>
          <w:kern w:val="0"/>
          <w:szCs w:val="21"/>
        </w:rPr>
        <w:t>-1</w:t>
      </w:r>
      <w:r>
        <w:rPr>
          <w:rFonts w:hint="eastAsia" w:ascii="黑体" w:hAnsi="黑体" w:eastAsia="黑体"/>
          <w:kern w:val="0"/>
          <w:szCs w:val="21"/>
        </w:rPr>
        <w:t xml:space="preserve">  </w:t>
      </w:r>
      <w:r>
        <w:rPr>
          <w:rFonts w:ascii="黑体" w:hAnsi="黑体" w:eastAsia="黑体"/>
          <w:kern w:val="0"/>
          <w:szCs w:val="21"/>
        </w:rPr>
        <w:t>人工地表位移观测墩施工验收表</w:t>
      </w:r>
    </w:p>
    <w:p>
      <w:pPr>
        <w:spacing w:line="240" w:lineRule="exact"/>
        <w:jc w:val="left"/>
        <w:rPr>
          <w:rFonts w:ascii="Times New Roman" w:hAnsi="Times New Roman"/>
          <w:kern w:val="0"/>
          <w:sz w:val="18"/>
          <w:szCs w:val="18"/>
        </w:rPr>
      </w:pPr>
      <w:r>
        <w:rPr>
          <w:rFonts w:ascii="Times New Roman" w:hAnsi="Times New Roman"/>
          <w:kern w:val="0"/>
          <w:sz w:val="18"/>
          <w:szCs w:val="18"/>
        </w:rPr>
        <w:t>工程名称合同号</w:t>
      </w:r>
      <w:r>
        <w:rPr>
          <w:rFonts w:hint="eastAsia" w:ascii="Times New Roman" w:hAnsi="Times New Roman"/>
          <w:kern w:val="0"/>
          <w:sz w:val="18"/>
          <w:szCs w:val="18"/>
        </w:rPr>
        <w:t>：</w:t>
      </w:r>
    </w:p>
    <w:p>
      <w:pPr>
        <w:spacing w:line="240" w:lineRule="exact"/>
        <w:jc w:val="left"/>
        <w:rPr>
          <w:rFonts w:ascii="Times New Roman" w:hAnsi="Times New Roman"/>
          <w:kern w:val="0"/>
          <w:sz w:val="18"/>
          <w:szCs w:val="18"/>
        </w:rPr>
      </w:pPr>
    </w:p>
    <w:p>
      <w:pPr>
        <w:spacing w:line="240" w:lineRule="exact"/>
        <w:jc w:val="left"/>
        <w:rPr>
          <w:rFonts w:ascii="Times New Roman" w:hAnsi="Times New Roman"/>
          <w:kern w:val="0"/>
          <w:sz w:val="18"/>
          <w:szCs w:val="18"/>
        </w:rPr>
      </w:pPr>
      <w:r>
        <w:rPr>
          <w:rFonts w:ascii="Times New Roman" w:hAnsi="Times New Roman"/>
          <w:kern w:val="0"/>
          <w:sz w:val="18"/>
          <w:szCs w:val="18"/>
        </w:rPr>
        <w:t>监测单位：</w:t>
      </w:r>
    </w:p>
    <w:p>
      <w:pPr>
        <w:spacing w:line="240" w:lineRule="exact"/>
        <w:jc w:val="left"/>
        <w:rPr>
          <w:rFonts w:ascii="Times New Roman" w:hAnsi="Times New Roman"/>
          <w:kern w:val="0"/>
          <w:sz w:val="18"/>
          <w:szCs w:val="18"/>
        </w:rPr>
      </w:pPr>
    </w:p>
    <w:p>
      <w:pPr>
        <w:spacing w:line="240" w:lineRule="exact"/>
        <w:jc w:val="left"/>
        <w:rPr>
          <w:rFonts w:ascii="Times New Roman" w:hAnsi="Times New Roman"/>
          <w:kern w:val="0"/>
          <w:sz w:val="18"/>
          <w:szCs w:val="18"/>
        </w:rPr>
      </w:pPr>
      <w:r>
        <w:rPr>
          <w:rFonts w:ascii="Times New Roman" w:hAnsi="Times New Roman"/>
          <w:kern w:val="0"/>
          <w:sz w:val="18"/>
          <w:szCs w:val="18"/>
        </w:rPr>
        <w:t>监理单位：</w:t>
      </w:r>
    </w:p>
    <w:p>
      <w:pPr>
        <w:spacing w:line="240" w:lineRule="exact"/>
        <w:jc w:val="left"/>
        <w:rPr>
          <w:rFonts w:ascii="Times New Roman" w:hAnsi="Times New Roman"/>
          <w:kern w:val="0"/>
          <w:sz w:val="18"/>
          <w:szCs w:val="18"/>
        </w:rPr>
      </w:pP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7"/>
        <w:gridCol w:w="247"/>
        <w:gridCol w:w="1309"/>
        <w:gridCol w:w="471"/>
        <w:gridCol w:w="471"/>
        <w:gridCol w:w="105"/>
        <w:gridCol w:w="352"/>
        <w:gridCol w:w="471"/>
        <w:gridCol w:w="107"/>
        <w:gridCol w:w="350"/>
        <w:gridCol w:w="471"/>
        <w:gridCol w:w="471"/>
        <w:gridCol w:w="8"/>
        <w:gridCol w:w="452"/>
        <w:gridCol w:w="471"/>
        <w:gridCol w:w="509"/>
        <w:gridCol w:w="1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127"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验收部位</w:t>
            </w:r>
          </w:p>
        </w:tc>
        <w:tc>
          <w:tcPr>
            <w:tcW w:w="1360" w:type="pct"/>
            <w:gridSpan w:val="5"/>
            <w:shd w:val="clear" w:color="auto" w:fill="auto"/>
            <w:noWrap/>
            <w:vAlign w:val="center"/>
          </w:tcPr>
          <w:p>
            <w:pPr>
              <w:jc w:val="center"/>
              <w:rPr>
                <w:rFonts w:ascii="Times New Roman" w:hAnsi="Times New Roman"/>
                <w:kern w:val="0"/>
                <w:sz w:val="18"/>
                <w:szCs w:val="18"/>
              </w:rPr>
            </w:pPr>
          </w:p>
        </w:tc>
        <w:tc>
          <w:tcPr>
            <w:tcW w:w="486" w:type="pct"/>
            <w:gridSpan w:val="3"/>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施工员</w:t>
            </w:r>
          </w:p>
        </w:tc>
        <w:tc>
          <w:tcPr>
            <w:tcW w:w="679" w:type="pct"/>
            <w:gridSpan w:val="4"/>
            <w:shd w:val="clear" w:color="auto" w:fill="auto"/>
            <w:noWrap/>
            <w:vAlign w:val="center"/>
          </w:tcPr>
          <w:p>
            <w:pPr>
              <w:jc w:val="center"/>
              <w:rPr>
                <w:rFonts w:ascii="Times New Roman" w:hAnsi="Times New Roman"/>
                <w:kern w:val="0"/>
                <w:sz w:val="18"/>
                <w:szCs w:val="18"/>
              </w:rPr>
            </w:pPr>
          </w:p>
        </w:tc>
        <w:tc>
          <w:tcPr>
            <w:tcW w:w="748" w:type="pct"/>
            <w:gridSpan w:val="3"/>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施工组长</w:t>
            </w:r>
          </w:p>
        </w:tc>
        <w:tc>
          <w:tcPr>
            <w:tcW w:w="600" w:type="pct"/>
            <w:shd w:val="clear" w:color="auto" w:fill="auto"/>
            <w:noWrap/>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127"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验收位置坐标</w:t>
            </w:r>
          </w:p>
        </w:tc>
        <w:tc>
          <w:tcPr>
            <w:tcW w:w="3873" w:type="pct"/>
            <w:gridSpan w:val="16"/>
            <w:shd w:val="clear" w:color="auto" w:fill="auto"/>
            <w:noWrap/>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40" w:type="pct"/>
            <w:gridSpan w:val="3"/>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施工执行标准名称及编号</w:t>
            </w:r>
          </w:p>
        </w:tc>
        <w:tc>
          <w:tcPr>
            <w:tcW w:w="3060" w:type="pct"/>
            <w:gridSpan w:val="14"/>
            <w:shd w:val="clear" w:color="auto" w:fill="auto"/>
            <w:noWrap/>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40" w:type="pct"/>
            <w:gridSpan w:val="3"/>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施工质量验收规范的规定</w:t>
            </w:r>
          </w:p>
        </w:tc>
        <w:tc>
          <w:tcPr>
            <w:tcW w:w="2458" w:type="pct"/>
            <w:gridSpan w:val="13"/>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施工单位检查评定记录（实测）</w:t>
            </w:r>
          </w:p>
        </w:tc>
        <w:tc>
          <w:tcPr>
            <w:tcW w:w="602" w:type="pct"/>
            <w:vMerge w:val="restar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检查方法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项目</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允许偏差</w:t>
            </w:r>
          </w:p>
          <w:p>
            <w:pPr>
              <w:jc w:val="center"/>
              <w:rPr>
                <w:rFonts w:ascii="Times New Roman" w:hAnsi="Times New Roman"/>
                <w:kern w:val="0"/>
                <w:sz w:val="18"/>
                <w:szCs w:val="18"/>
              </w:rPr>
            </w:pPr>
            <w:r>
              <w:rPr>
                <w:rFonts w:ascii="Times New Roman" w:hAnsi="Times New Roman"/>
                <w:kern w:val="0"/>
                <w:sz w:val="18"/>
                <w:szCs w:val="18"/>
              </w:rPr>
              <w:t>mm</w:t>
            </w:r>
          </w:p>
        </w:tc>
        <w:tc>
          <w:tcPr>
            <w:tcW w:w="246"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1</w:t>
            </w:r>
          </w:p>
        </w:tc>
        <w:tc>
          <w:tcPr>
            <w:tcW w:w="246"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2</w:t>
            </w:r>
          </w:p>
        </w:tc>
        <w:tc>
          <w:tcPr>
            <w:tcW w:w="239"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3</w:t>
            </w:r>
          </w:p>
        </w:tc>
        <w:tc>
          <w:tcPr>
            <w:tcW w:w="246"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4</w:t>
            </w:r>
          </w:p>
        </w:tc>
        <w:tc>
          <w:tcPr>
            <w:tcW w:w="239"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5</w:t>
            </w:r>
          </w:p>
        </w:tc>
        <w:tc>
          <w:tcPr>
            <w:tcW w:w="246"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6</w:t>
            </w:r>
          </w:p>
        </w:tc>
        <w:tc>
          <w:tcPr>
            <w:tcW w:w="246"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7</w:t>
            </w:r>
          </w:p>
        </w:tc>
        <w:tc>
          <w:tcPr>
            <w:tcW w:w="240"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8</w:t>
            </w:r>
          </w:p>
        </w:tc>
        <w:tc>
          <w:tcPr>
            <w:tcW w:w="246"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9</w:t>
            </w:r>
          </w:p>
        </w:tc>
        <w:tc>
          <w:tcPr>
            <w:tcW w:w="266"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10</w:t>
            </w:r>
          </w:p>
        </w:tc>
        <w:tc>
          <w:tcPr>
            <w:tcW w:w="602" w:type="pct"/>
            <w:vMerge w:val="continue"/>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X坐标</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5 000</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手持GPS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Y坐标</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5 000</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手持GPS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基坑尺寸长、宽、高</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100</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钢卷尺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标墩尺寸长、宽、高</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10</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钢卷尺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对中盘水平偏差</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0.5格</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水平尺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钢筋制作偏差</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±20</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钢卷尺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表面平整度</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3</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直尺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棱角方正</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2</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三角尺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混凝土强度</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设计</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试配强度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56"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砂浆强度</w:t>
            </w:r>
          </w:p>
        </w:tc>
        <w:tc>
          <w:tcPr>
            <w:tcW w:w="684"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设计</w:t>
            </w: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39"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40" w:type="pct"/>
            <w:gridSpan w:val="2"/>
            <w:shd w:val="clear" w:color="auto" w:fill="auto"/>
            <w:noWrap/>
            <w:vAlign w:val="center"/>
          </w:tcPr>
          <w:p>
            <w:pPr>
              <w:jc w:val="center"/>
              <w:rPr>
                <w:rFonts w:ascii="Times New Roman" w:hAnsi="Times New Roman"/>
                <w:kern w:val="0"/>
                <w:sz w:val="18"/>
                <w:szCs w:val="18"/>
              </w:rPr>
            </w:pPr>
          </w:p>
        </w:tc>
        <w:tc>
          <w:tcPr>
            <w:tcW w:w="246" w:type="pct"/>
            <w:shd w:val="clear" w:color="auto" w:fill="auto"/>
            <w:noWrap/>
            <w:vAlign w:val="center"/>
          </w:tcPr>
          <w:p>
            <w:pPr>
              <w:jc w:val="center"/>
              <w:rPr>
                <w:rFonts w:ascii="Times New Roman" w:hAnsi="Times New Roman"/>
                <w:kern w:val="0"/>
                <w:sz w:val="18"/>
                <w:szCs w:val="18"/>
              </w:rPr>
            </w:pPr>
          </w:p>
        </w:tc>
        <w:tc>
          <w:tcPr>
            <w:tcW w:w="266" w:type="pct"/>
            <w:shd w:val="clear" w:color="auto" w:fill="auto"/>
            <w:noWrap/>
            <w:vAlign w:val="center"/>
          </w:tcPr>
          <w:p>
            <w:pPr>
              <w:jc w:val="center"/>
              <w:rPr>
                <w:rFonts w:ascii="Times New Roman" w:hAnsi="Times New Roman"/>
                <w:kern w:val="0"/>
                <w:sz w:val="18"/>
                <w:szCs w:val="18"/>
              </w:rPr>
            </w:pPr>
          </w:p>
        </w:tc>
        <w:tc>
          <w:tcPr>
            <w:tcW w:w="602"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试配强度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940" w:type="pct"/>
            <w:gridSpan w:val="3"/>
            <w:vMerge w:val="restar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监测单位自检评定结果</w:t>
            </w:r>
          </w:p>
        </w:tc>
        <w:tc>
          <w:tcPr>
            <w:tcW w:w="3060" w:type="pct"/>
            <w:gridSpan w:val="14"/>
            <w:vMerge w:val="restart"/>
            <w:shd w:val="clear" w:color="auto" w:fill="auto"/>
            <w:noWrap/>
            <w:vAlign w:val="bottom"/>
          </w:tcPr>
          <w:p>
            <w:pPr>
              <w:jc w:val="left"/>
              <w:rPr>
                <w:rFonts w:ascii="Times New Roman" w:hAnsi="Times New Roman"/>
                <w:kern w:val="0"/>
                <w:sz w:val="18"/>
                <w:szCs w:val="18"/>
              </w:rPr>
            </w:pPr>
            <w:r>
              <w:rPr>
                <w:rFonts w:ascii="Times New Roman" w:hAnsi="Times New Roman"/>
                <w:kern w:val="0"/>
                <w:sz w:val="18"/>
                <w:szCs w:val="18"/>
              </w:rPr>
              <w:t>质检员：           技术负责：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940" w:type="pct"/>
            <w:gridSpan w:val="3"/>
            <w:vMerge w:val="continue"/>
            <w:vAlign w:val="center"/>
          </w:tcPr>
          <w:p>
            <w:pPr>
              <w:jc w:val="center"/>
              <w:rPr>
                <w:rFonts w:ascii="Times New Roman" w:hAnsi="Times New Roman"/>
                <w:kern w:val="0"/>
                <w:sz w:val="18"/>
                <w:szCs w:val="18"/>
              </w:rPr>
            </w:pPr>
          </w:p>
        </w:tc>
        <w:tc>
          <w:tcPr>
            <w:tcW w:w="3060" w:type="pct"/>
            <w:gridSpan w:val="14"/>
            <w:vMerge w:val="continue"/>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940" w:type="pct"/>
            <w:gridSpan w:val="3"/>
            <w:vMerge w:val="continue"/>
            <w:vAlign w:val="center"/>
          </w:tcPr>
          <w:p>
            <w:pPr>
              <w:jc w:val="center"/>
              <w:rPr>
                <w:rFonts w:ascii="Times New Roman" w:hAnsi="Times New Roman"/>
                <w:kern w:val="0"/>
                <w:sz w:val="18"/>
                <w:szCs w:val="18"/>
              </w:rPr>
            </w:pPr>
          </w:p>
        </w:tc>
        <w:tc>
          <w:tcPr>
            <w:tcW w:w="3060" w:type="pct"/>
            <w:gridSpan w:val="14"/>
            <w:vMerge w:val="continue"/>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940" w:type="pct"/>
            <w:gridSpan w:val="3"/>
            <w:vMerge w:val="restar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监理单位验收结论</w:t>
            </w:r>
          </w:p>
        </w:tc>
        <w:tc>
          <w:tcPr>
            <w:tcW w:w="3060" w:type="pct"/>
            <w:gridSpan w:val="14"/>
            <w:vMerge w:val="restart"/>
            <w:shd w:val="clear" w:color="auto" w:fill="auto"/>
            <w:noWrap/>
            <w:vAlign w:val="center"/>
          </w:tcPr>
          <w:p>
            <w:pPr>
              <w:jc w:val="center"/>
              <w:rPr>
                <w:rFonts w:ascii="Times New Roman" w:hAnsi="Times New Roman"/>
                <w:kern w:val="0"/>
                <w:sz w:val="18"/>
                <w:szCs w:val="18"/>
              </w:rPr>
            </w:pPr>
          </w:p>
          <w:p>
            <w:pPr>
              <w:jc w:val="center"/>
              <w:rPr>
                <w:rFonts w:ascii="Times New Roman" w:hAnsi="Times New Roman"/>
                <w:kern w:val="0"/>
                <w:sz w:val="18"/>
                <w:szCs w:val="18"/>
              </w:rPr>
            </w:pPr>
          </w:p>
          <w:p>
            <w:pPr>
              <w:jc w:val="center"/>
              <w:rPr>
                <w:rFonts w:ascii="Times New Roman" w:hAnsi="Times New Roman"/>
                <w:kern w:val="0"/>
                <w:sz w:val="18"/>
                <w:szCs w:val="18"/>
              </w:rPr>
            </w:pPr>
          </w:p>
          <w:p>
            <w:pPr>
              <w:jc w:val="center"/>
              <w:rPr>
                <w:rFonts w:ascii="Times New Roman" w:hAnsi="Times New Roman"/>
                <w:kern w:val="0"/>
                <w:sz w:val="18"/>
                <w:szCs w:val="18"/>
              </w:rPr>
            </w:pPr>
          </w:p>
          <w:p>
            <w:pPr>
              <w:jc w:val="center"/>
              <w:rPr>
                <w:rFonts w:ascii="Times New Roman" w:hAnsi="Times New Roman"/>
                <w:kern w:val="0"/>
                <w:sz w:val="18"/>
                <w:szCs w:val="18"/>
              </w:rPr>
            </w:pPr>
          </w:p>
          <w:p>
            <w:pPr>
              <w:jc w:val="left"/>
              <w:rPr>
                <w:rFonts w:ascii="Times New Roman" w:hAnsi="Times New Roman"/>
                <w:kern w:val="0"/>
                <w:sz w:val="18"/>
                <w:szCs w:val="18"/>
              </w:rPr>
            </w:pPr>
            <w:r>
              <w:rPr>
                <w:rFonts w:ascii="Times New Roman" w:hAnsi="Times New Roman"/>
                <w:kern w:val="0"/>
                <w:sz w:val="18"/>
                <w:szCs w:val="18"/>
              </w:rPr>
              <w:t>监理工程师：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1940" w:type="pct"/>
            <w:gridSpan w:val="3"/>
            <w:vMerge w:val="continue"/>
            <w:vAlign w:val="center"/>
          </w:tcPr>
          <w:p>
            <w:pPr>
              <w:jc w:val="center"/>
              <w:rPr>
                <w:rFonts w:ascii="Times New Roman" w:hAnsi="Times New Roman"/>
                <w:kern w:val="0"/>
                <w:sz w:val="18"/>
                <w:szCs w:val="18"/>
              </w:rPr>
            </w:pPr>
          </w:p>
        </w:tc>
        <w:tc>
          <w:tcPr>
            <w:tcW w:w="3060" w:type="pct"/>
            <w:gridSpan w:val="14"/>
            <w:vMerge w:val="continue"/>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940" w:type="pct"/>
            <w:gridSpan w:val="3"/>
            <w:vMerge w:val="restar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项目业主单位验收结论</w:t>
            </w:r>
          </w:p>
        </w:tc>
        <w:tc>
          <w:tcPr>
            <w:tcW w:w="3060" w:type="pct"/>
            <w:gridSpan w:val="14"/>
            <w:vMerge w:val="restart"/>
            <w:shd w:val="clear" w:color="auto" w:fill="auto"/>
            <w:noWrap/>
            <w:vAlign w:val="center"/>
          </w:tcPr>
          <w:p>
            <w:pPr>
              <w:jc w:val="center"/>
              <w:rPr>
                <w:rFonts w:ascii="Times New Roman" w:hAnsi="Times New Roman"/>
                <w:kern w:val="0"/>
                <w:sz w:val="18"/>
                <w:szCs w:val="18"/>
              </w:rPr>
            </w:pPr>
          </w:p>
          <w:p>
            <w:pPr>
              <w:jc w:val="center"/>
              <w:rPr>
                <w:rFonts w:ascii="Times New Roman" w:hAnsi="Times New Roman"/>
                <w:kern w:val="0"/>
                <w:sz w:val="18"/>
                <w:szCs w:val="18"/>
              </w:rPr>
            </w:pPr>
          </w:p>
          <w:p>
            <w:pPr>
              <w:jc w:val="center"/>
              <w:rPr>
                <w:rFonts w:ascii="Times New Roman" w:hAnsi="Times New Roman"/>
                <w:kern w:val="0"/>
                <w:sz w:val="18"/>
                <w:szCs w:val="18"/>
              </w:rPr>
            </w:pPr>
          </w:p>
          <w:p>
            <w:pPr>
              <w:jc w:val="center"/>
              <w:rPr>
                <w:rFonts w:ascii="Times New Roman" w:hAnsi="Times New Roman"/>
                <w:kern w:val="0"/>
                <w:sz w:val="18"/>
                <w:szCs w:val="18"/>
              </w:rPr>
            </w:pPr>
          </w:p>
          <w:p>
            <w:pPr>
              <w:jc w:val="left"/>
              <w:rPr>
                <w:rFonts w:ascii="Times New Roman" w:hAnsi="Times New Roman"/>
                <w:kern w:val="0"/>
                <w:sz w:val="18"/>
                <w:szCs w:val="18"/>
              </w:rPr>
            </w:pPr>
            <w:r>
              <w:rPr>
                <w:rFonts w:ascii="Times New Roman" w:hAnsi="Times New Roman"/>
                <w:kern w:val="0"/>
                <w:sz w:val="18"/>
                <w:szCs w:val="18"/>
              </w:rPr>
              <w:t>业主现场代表：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940" w:type="pct"/>
            <w:gridSpan w:val="3"/>
            <w:vMerge w:val="continue"/>
            <w:vAlign w:val="center"/>
          </w:tcPr>
          <w:p>
            <w:pPr>
              <w:jc w:val="left"/>
              <w:rPr>
                <w:rFonts w:ascii="Times New Roman" w:hAnsi="Times New Roman"/>
                <w:kern w:val="0"/>
                <w:sz w:val="18"/>
                <w:szCs w:val="18"/>
              </w:rPr>
            </w:pPr>
          </w:p>
        </w:tc>
        <w:tc>
          <w:tcPr>
            <w:tcW w:w="3060" w:type="pct"/>
            <w:gridSpan w:val="14"/>
            <w:vMerge w:val="continue"/>
            <w:vAlign w:val="center"/>
          </w:tcPr>
          <w:p>
            <w:pPr>
              <w:jc w:val="lef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 w:type="pct"/>
            <w:gridSpan w:val="17"/>
            <w:vAlign w:val="center"/>
          </w:tcPr>
          <w:p>
            <w:pPr>
              <w:tabs>
                <w:tab w:val="center" w:pos="4201"/>
                <w:tab w:val="right" w:leader="dot" w:pos="9298"/>
              </w:tabs>
              <w:autoSpaceDE w:val="0"/>
              <w:autoSpaceDN w:val="0"/>
              <w:spacing w:line="360" w:lineRule="auto"/>
              <w:jc w:val="left"/>
              <w:rPr>
                <w:rFonts w:ascii="Times New Roman" w:hAnsi="Times New Roman"/>
                <w:kern w:val="0"/>
                <w:sz w:val="18"/>
                <w:szCs w:val="18"/>
              </w:rPr>
            </w:pPr>
            <w:r>
              <w:rPr>
                <w:rFonts w:hint="eastAsia" w:ascii="黑体" w:hAnsi="黑体" w:eastAsia="黑体"/>
                <w:kern w:val="0"/>
                <w:sz w:val="18"/>
                <w:szCs w:val="18"/>
              </w:rPr>
              <w:t>注</w:t>
            </w:r>
            <w:r>
              <w:rPr>
                <w:rFonts w:ascii="黑体" w:hAnsi="黑体" w:eastAsia="黑体"/>
                <w:kern w:val="0"/>
                <w:sz w:val="18"/>
                <w:szCs w:val="18"/>
              </w:rPr>
              <w:t>：</w:t>
            </w:r>
            <w:r>
              <w:rPr>
                <w:rFonts w:ascii="Times New Roman" w:hAnsi="Times New Roman"/>
                <w:kern w:val="0"/>
                <w:sz w:val="18"/>
                <w:szCs w:val="18"/>
              </w:rPr>
              <w:t>适用于人工地表位移观测墩施工验收。一式三份，业主、监理、监测单位各一份。</w:t>
            </w:r>
          </w:p>
        </w:tc>
      </w:tr>
    </w:tbl>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B</w:t>
      </w:r>
      <w:r>
        <w:rPr>
          <w:rFonts w:ascii="黑体" w:hAnsi="黑体" w:eastAsia="黑体"/>
          <w:kern w:val="0"/>
          <w:szCs w:val="21"/>
        </w:rPr>
        <w:t>-2</w:t>
      </w:r>
      <w:r>
        <w:rPr>
          <w:rFonts w:hint="eastAsia" w:ascii="黑体" w:hAnsi="黑体" w:eastAsia="黑体"/>
          <w:kern w:val="0"/>
          <w:szCs w:val="21"/>
        </w:rPr>
        <w:t xml:space="preserve">  </w:t>
      </w:r>
      <w:r>
        <w:rPr>
          <w:rFonts w:ascii="黑体" w:hAnsi="黑体" w:eastAsia="黑体"/>
          <w:kern w:val="0"/>
          <w:szCs w:val="21"/>
        </w:rPr>
        <w:t>自动化地表监测传感器及辅助设施安装验收记录表</w:t>
      </w:r>
    </w:p>
    <w:p>
      <w:pPr>
        <w:spacing w:line="240" w:lineRule="exact"/>
        <w:jc w:val="left"/>
        <w:rPr>
          <w:rFonts w:ascii="Times New Roman" w:hAnsi="Times New Roman"/>
          <w:kern w:val="0"/>
          <w:sz w:val="18"/>
          <w:szCs w:val="18"/>
        </w:rPr>
      </w:pPr>
      <w:r>
        <w:rPr>
          <w:rFonts w:ascii="Times New Roman" w:hAnsi="Times New Roman"/>
          <w:kern w:val="0"/>
          <w:sz w:val="18"/>
          <w:szCs w:val="18"/>
        </w:rPr>
        <w:t>工程名称合同号</w:t>
      </w:r>
      <w:r>
        <w:rPr>
          <w:rFonts w:hint="eastAsia" w:ascii="Times New Roman" w:hAnsi="Times New Roman"/>
          <w:kern w:val="0"/>
          <w:sz w:val="18"/>
          <w:szCs w:val="18"/>
        </w:rPr>
        <w:t>：</w:t>
      </w:r>
    </w:p>
    <w:p>
      <w:pPr>
        <w:spacing w:line="240" w:lineRule="exact"/>
        <w:jc w:val="left"/>
        <w:rPr>
          <w:rFonts w:ascii="Times New Roman" w:hAnsi="Times New Roman"/>
          <w:kern w:val="0"/>
          <w:sz w:val="18"/>
          <w:szCs w:val="18"/>
        </w:rPr>
      </w:pPr>
    </w:p>
    <w:p>
      <w:pPr>
        <w:spacing w:line="240" w:lineRule="exact"/>
        <w:jc w:val="left"/>
        <w:rPr>
          <w:rFonts w:ascii="Times New Roman" w:hAnsi="Times New Roman"/>
          <w:kern w:val="0"/>
          <w:sz w:val="18"/>
          <w:szCs w:val="18"/>
        </w:rPr>
      </w:pPr>
      <w:r>
        <w:rPr>
          <w:rFonts w:ascii="Times New Roman" w:hAnsi="Times New Roman"/>
          <w:kern w:val="0"/>
          <w:sz w:val="18"/>
          <w:szCs w:val="18"/>
        </w:rPr>
        <w:t>监测单位：</w:t>
      </w:r>
    </w:p>
    <w:p>
      <w:pPr>
        <w:spacing w:line="240" w:lineRule="exact"/>
        <w:jc w:val="left"/>
        <w:rPr>
          <w:rFonts w:ascii="Times New Roman" w:hAnsi="Times New Roman"/>
          <w:kern w:val="0"/>
          <w:sz w:val="18"/>
          <w:szCs w:val="18"/>
        </w:rPr>
      </w:pPr>
    </w:p>
    <w:p>
      <w:pPr>
        <w:spacing w:line="240" w:lineRule="exact"/>
        <w:jc w:val="left"/>
        <w:rPr>
          <w:rFonts w:ascii="Times New Roman" w:hAnsi="Times New Roman"/>
          <w:kern w:val="0"/>
          <w:sz w:val="18"/>
          <w:szCs w:val="18"/>
        </w:rPr>
      </w:pPr>
      <w:r>
        <w:rPr>
          <w:rFonts w:ascii="Times New Roman" w:hAnsi="Times New Roman"/>
          <w:kern w:val="0"/>
          <w:sz w:val="18"/>
          <w:szCs w:val="18"/>
        </w:rPr>
        <w:t>监理单位：</w:t>
      </w:r>
    </w:p>
    <w:p>
      <w:pPr>
        <w:spacing w:line="256" w:lineRule="exact"/>
        <w:jc w:val="left"/>
        <w:rPr>
          <w:rFonts w:ascii="Times New Roman" w:hAnsi="Times New Roman"/>
          <w:kern w:val="0"/>
          <w:sz w:val="18"/>
          <w:szCs w:val="18"/>
        </w:rPr>
      </w:pP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1518"/>
        <w:gridCol w:w="1238"/>
        <w:gridCol w:w="1795"/>
        <w:gridCol w:w="1931"/>
        <w:gridCol w:w="1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灾害点名称</w:t>
            </w:r>
          </w:p>
        </w:tc>
        <w:tc>
          <w:tcPr>
            <w:tcW w:w="4323" w:type="pct"/>
            <w:gridSpan w:val="5"/>
            <w:shd w:val="clear" w:color="auto" w:fill="auto"/>
            <w:noWrap/>
            <w:vAlign w:val="center"/>
          </w:tcPr>
          <w:p>
            <w:pPr>
              <w:rPr>
                <w:rFonts w:ascii="Times New Roman" w:hAnsi="Times New Roman"/>
                <w:kern w:val="0"/>
                <w:sz w:val="18"/>
                <w:szCs w:val="18"/>
              </w:rPr>
            </w:pPr>
            <w:r>
              <w:rPr>
                <w:rFonts w:ascii="Times New Roman" w:hAnsi="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验收位置坐标</w:t>
            </w:r>
          </w:p>
        </w:tc>
        <w:tc>
          <w:tcPr>
            <w:tcW w:w="4323" w:type="pct"/>
            <w:gridSpan w:val="5"/>
            <w:shd w:val="clear" w:color="auto" w:fill="auto"/>
            <w:noWrap/>
            <w:vAlign w:val="center"/>
          </w:tcPr>
          <w:p>
            <w:pP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（1）总体外观检查细则</w:t>
            </w:r>
          </w:p>
        </w:tc>
        <w:tc>
          <w:tcPr>
            <w:tcW w:w="793"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总体安装高度</w:t>
            </w:r>
          </w:p>
        </w:tc>
        <w:tc>
          <w:tcPr>
            <w:tcW w:w="647"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各部件布置</w:t>
            </w:r>
          </w:p>
        </w:tc>
        <w:tc>
          <w:tcPr>
            <w:tcW w:w="938"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太阳能电池板</w:t>
            </w:r>
          </w:p>
        </w:tc>
        <w:tc>
          <w:tcPr>
            <w:tcW w:w="1009"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混凝土浇筑质量</w:t>
            </w:r>
          </w:p>
        </w:tc>
        <w:tc>
          <w:tcPr>
            <w:tcW w:w="936"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砂浆灌孔质量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677" w:type="pct"/>
            <w:vMerge w:val="continue"/>
            <w:vAlign w:val="center"/>
          </w:tcPr>
          <w:p>
            <w:pPr>
              <w:rPr>
                <w:rFonts w:ascii="Times New Roman" w:hAnsi="Times New Roman"/>
                <w:kern w:val="0"/>
                <w:sz w:val="18"/>
                <w:szCs w:val="18"/>
              </w:rPr>
            </w:pPr>
          </w:p>
        </w:tc>
        <w:tc>
          <w:tcPr>
            <w:tcW w:w="793"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c>
          <w:tcPr>
            <w:tcW w:w="647"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c>
          <w:tcPr>
            <w:tcW w:w="938"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c>
          <w:tcPr>
            <w:tcW w:w="1009"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c>
          <w:tcPr>
            <w:tcW w:w="936"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（2）传感器安装调试检查细则</w:t>
            </w:r>
          </w:p>
        </w:tc>
        <w:tc>
          <w:tcPr>
            <w:tcW w:w="793"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防雷</w:t>
            </w:r>
          </w:p>
        </w:tc>
        <w:tc>
          <w:tcPr>
            <w:tcW w:w="647"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防水</w:t>
            </w:r>
          </w:p>
        </w:tc>
        <w:tc>
          <w:tcPr>
            <w:tcW w:w="938"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防盗</w:t>
            </w:r>
          </w:p>
        </w:tc>
        <w:tc>
          <w:tcPr>
            <w:tcW w:w="1009"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供电模式</w:t>
            </w:r>
          </w:p>
        </w:tc>
        <w:tc>
          <w:tcPr>
            <w:tcW w:w="936"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现场调试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677" w:type="pct"/>
            <w:vMerge w:val="continue"/>
            <w:vAlign w:val="center"/>
          </w:tcPr>
          <w:p>
            <w:pPr>
              <w:rPr>
                <w:rFonts w:ascii="Times New Roman" w:hAnsi="Times New Roman"/>
                <w:kern w:val="0"/>
                <w:sz w:val="18"/>
                <w:szCs w:val="18"/>
              </w:rPr>
            </w:pPr>
          </w:p>
        </w:tc>
        <w:tc>
          <w:tcPr>
            <w:tcW w:w="793"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c>
          <w:tcPr>
            <w:tcW w:w="647"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c>
          <w:tcPr>
            <w:tcW w:w="938"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c>
          <w:tcPr>
            <w:tcW w:w="1009"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c>
          <w:tcPr>
            <w:tcW w:w="936" w:type="pct"/>
            <w:shd w:val="clear" w:color="auto" w:fill="auto"/>
            <w:noWrap/>
            <w:vAlign w:val="center"/>
          </w:tcPr>
          <w:p>
            <w:pPr>
              <w:spacing w:line="360" w:lineRule="auto"/>
              <w:rPr>
                <w:rFonts w:ascii="Times New Roman" w:hAnsi="Times New Roman"/>
                <w:kern w:val="0"/>
                <w:sz w:val="18"/>
                <w:szCs w:val="18"/>
              </w:rPr>
            </w:pPr>
            <w:r>
              <w:rPr>
                <w:rFonts w:ascii="Times New Roman" w:hAnsi="Times New Roman"/>
                <w:kern w:val="0"/>
                <w:sz w:val="18"/>
                <w:szCs w:val="18"/>
              </w:rPr>
              <w:t>□合格</w:t>
            </w:r>
          </w:p>
          <w:p>
            <w:pPr>
              <w:spacing w:line="360" w:lineRule="auto"/>
              <w:rPr>
                <w:rFonts w:ascii="Times New Roman" w:hAnsi="Times New Roman"/>
                <w:kern w:val="0"/>
                <w:sz w:val="18"/>
                <w:szCs w:val="18"/>
              </w:rPr>
            </w:pPr>
            <w:r>
              <w:rPr>
                <w:rFonts w:ascii="Times New Roman" w:hAnsi="Times New Roman"/>
                <w:kern w:val="0"/>
                <w:sz w:val="18"/>
                <w:szCs w:val="18"/>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0" w:type="pct"/>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最终质量评定</w:t>
            </w:r>
          </w:p>
        </w:tc>
        <w:tc>
          <w:tcPr>
            <w:tcW w:w="3530" w:type="pct"/>
            <w:gridSpan w:val="4"/>
            <w:shd w:val="clear" w:color="auto" w:fill="auto"/>
            <w:noWrap/>
            <w:vAlign w:val="center"/>
          </w:tcPr>
          <w:p>
            <w:pPr>
              <w:ind w:firstLine="540" w:firstLineChars="300"/>
              <w:rPr>
                <w:rFonts w:ascii="Times New Roman" w:hAnsi="Times New Roman"/>
                <w:kern w:val="0"/>
                <w:sz w:val="18"/>
                <w:szCs w:val="18"/>
              </w:rPr>
            </w:pPr>
            <w:r>
              <w:rPr>
                <w:rFonts w:ascii="Times New Roman" w:hAnsi="Times New Roman"/>
                <w:kern w:val="0"/>
                <w:sz w:val="18"/>
                <w:szCs w:val="18"/>
              </w:rPr>
              <w:t>□合格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677" w:type="pct"/>
            <w:vMerge w:val="restar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签署</w:t>
            </w:r>
          </w:p>
        </w:tc>
        <w:tc>
          <w:tcPr>
            <w:tcW w:w="1440" w:type="pct"/>
            <w:gridSpan w:val="2"/>
            <w:vMerge w:val="restart"/>
            <w:shd w:val="clear" w:color="auto" w:fill="auto"/>
            <w:noWrap/>
            <w:vAlign w:val="bottom"/>
          </w:tcPr>
          <w:p>
            <w:pPr>
              <w:rPr>
                <w:rFonts w:ascii="Times New Roman" w:hAnsi="Times New Roman"/>
                <w:kern w:val="0"/>
                <w:sz w:val="18"/>
                <w:szCs w:val="18"/>
              </w:rPr>
            </w:pPr>
            <w:r>
              <w:rPr>
                <w:rFonts w:ascii="Times New Roman" w:hAnsi="Times New Roman"/>
                <w:kern w:val="0"/>
                <w:sz w:val="18"/>
                <w:szCs w:val="18"/>
              </w:rPr>
              <w:t>安装单位（盖章）：</w:t>
            </w:r>
          </w:p>
        </w:tc>
        <w:tc>
          <w:tcPr>
            <w:tcW w:w="2883" w:type="pct"/>
            <w:gridSpan w:val="3"/>
            <w:vMerge w:val="restart"/>
            <w:shd w:val="clear" w:color="auto" w:fill="auto"/>
            <w:noWrap/>
            <w:vAlign w:val="bottom"/>
          </w:tcPr>
          <w:p>
            <w:pPr>
              <w:rPr>
                <w:rFonts w:ascii="Times New Roman" w:hAnsi="Times New Roman"/>
                <w:kern w:val="0"/>
                <w:sz w:val="18"/>
                <w:szCs w:val="18"/>
              </w:rPr>
            </w:pPr>
            <w:r>
              <w:rPr>
                <w:rFonts w:ascii="Times New Roman" w:hAnsi="Times New Roman"/>
                <w:kern w:val="0"/>
                <w:sz w:val="18"/>
                <w:szCs w:val="18"/>
              </w:rPr>
              <w:t>监理单位（盖章）：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1" w:hRule="atLeast"/>
          <w:jc w:val="center"/>
        </w:trPr>
        <w:tc>
          <w:tcPr>
            <w:tcW w:w="677" w:type="pct"/>
            <w:vMerge w:val="continue"/>
            <w:vAlign w:val="center"/>
          </w:tcPr>
          <w:p>
            <w:pPr>
              <w:rPr>
                <w:rFonts w:ascii="Times New Roman" w:hAnsi="Times New Roman"/>
                <w:kern w:val="0"/>
                <w:sz w:val="18"/>
                <w:szCs w:val="18"/>
              </w:rPr>
            </w:pPr>
          </w:p>
        </w:tc>
        <w:tc>
          <w:tcPr>
            <w:tcW w:w="1440" w:type="pct"/>
            <w:gridSpan w:val="2"/>
            <w:vMerge w:val="continue"/>
            <w:vAlign w:val="center"/>
          </w:tcPr>
          <w:p>
            <w:pPr>
              <w:rPr>
                <w:rFonts w:ascii="Times New Roman" w:hAnsi="Times New Roman"/>
                <w:kern w:val="0"/>
                <w:sz w:val="18"/>
                <w:szCs w:val="18"/>
              </w:rPr>
            </w:pPr>
          </w:p>
        </w:tc>
        <w:tc>
          <w:tcPr>
            <w:tcW w:w="2883" w:type="pct"/>
            <w:gridSpan w:val="3"/>
            <w:vMerge w:val="continue"/>
            <w:vAlign w:val="center"/>
          </w:tcPr>
          <w:p>
            <w:pP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pct"/>
            <w:vMerge w:val="continue"/>
            <w:vAlign w:val="center"/>
          </w:tcPr>
          <w:p>
            <w:pPr>
              <w:rPr>
                <w:rFonts w:ascii="Times New Roman" w:hAnsi="Times New Roman"/>
                <w:kern w:val="0"/>
                <w:sz w:val="18"/>
                <w:szCs w:val="18"/>
              </w:rPr>
            </w:pPr>
          </w:p>
        </w:tc>
        <w:tc>
          <w:tcPr>
            <w:tcW w:w="793"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安装人员</w:t>
            </w:r>
          </w:p>
        </w:tc>
        <w:tc>
          <w:tcPr>
            <w:tcW w:w="647" w:type="pct"/>
            <w:shd w:val="clear" w:color="auto" w:fill="auto"/>
            <w:noWrap/>
            <w:vAlign w:val="center"/>
          </w:tcPr>
          <w:p>
            <w:pPr>
              <w:jc w:val="center"/>
              <w:rPr>
                <w:rFonts w:ascii="Times New Roman" w:hAnsi="Times New Roman"/>
                <w:kern w:val="0"/>
                <w:sz w:val="18"/>
                <w:szCs w:val="18"/>
              </w:rPr>
            </w:pPr>
          </w:p>
        </w:tc>
        <w:tc>
          <w:tcPr>
            <w:tcW w:w="938"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监理工程师</w:t>
            </w:r>
          </w:p>
        </w:tc>
        <w:tc>
          <w:tcPr>
            <w:tcW w:w="1945" w:type="pct"/>
            <w:gridSpan w:val="2"/>
            <w:shd w:val="clear" w:color="auto" w:fill="auto"/>
            <w:noWrap/>
            <w:vAlign w:val="center"/>
          </w:tcPr>
          <w:p>
            <w:pPr>
              <w:rPr>
                <w:rFonts w:ascii="Times New Roman" w:hAnsi="Times New Roman"/>
                <w:kern w:val="0"/>
                <w:sz w:val="18"/>
                <w:szCs w:val="18"/>
              </w:rPr>
            </w:pPr>
            <w:r>
              <w:rPr>
                <w:rFonts w:ascii="Times New Roman" w:hAnsi="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pct"/>
            <w:vMerge w:val="continue"/>
            <w:vAlign w:val="center"/>
          </w:tcPr>
          <w:p>
            <w:pPr>
              <w:rPr>
                <w:rFonts w:ascii="Times New Roman" w:hAnsi="Times New Roman"/>
                <w:kern w:val="0"/>
                <w:sz w:val="18"/>
                <w:szCs w:val="18"/>
              </w:rPr>
            </w:pPr>
          </w:p>
        </w:tc>
        <w:tc>
          <w:tcPr>
            <w:tcW w:w="793"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安装时间</w:t>
            </w:r>
          </w:p>
        </w:tc>
        <w:tc>
          <w:tcPr>
            <w:tcW w:w="647" w:type="pct"/>
            <w:shd w:val="clear" w:color="auto" w:fill="auto"/>
            <w:noWrap/>
            <w:vAlign w:val="center"/>
          </w:tcPr>
          <w:p>
            <w:pPr>
              <w:jc w:val="center"/>
              <w:rPr>
                <w:rFonts w:ascii="Times New Roman" w:hAnsi="Times New Roman"/>
                <w:kern w:val="0"/>
                <w:sz w:val="18"/>
                <w:szCs w:val="18"/>
              </w:rPr>
            </w:pPr>
          </w:p>
        </w:tc>
        <w:tc>
          <w:tcPr>
            <w:tcW w:w="938" w:type="pc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验收时间</w:t>
            </w:r>
          </w:p>
        </w:tc>
        <w:tc>
          <w:tcPr>
            <w:tcW w:w="1945" w:type="pct"/>
            <w:gridSpan w:val="2"/>
            <w:shd w:val="clear" w:color="auto" w:fill="auto"/>
            <w:noWrap/>
            <w:vAlign w:val="center"/>
          </w:tcPr>
          <w:p>
            <w:pPr>
              <w:rPr>
                <w:rFonts w:ascii="Times New Roman" w:hAnsi="Times New Roman"/>
                <w:kern w:val="0"/>
                <w:sz w:val="18"/>
                <w:szCs w:val="18"/>
              </w:rPr>
            </w:pPr>
            <w:r>
              <w:rPr>
                <w:rFonts w:ascii="Times New Roman" w:hAnsi="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 w:type="pct"/>
            <w:gridSpan w:val="6"/>
            <w:vAlign w:val="center"/>
          </w:tcPr>
          <w:p>
            <w:pPr>
              <w:tabs>
                <w:tab w:val="center" w:pos="4201"/>
                <w:tab w:val="right" w:leader="dot" w:pos="9298"/>
              </w:tabs>
              <w:autoSpaceDE w:val="0"/>
              <w:autoSpaceDN w:val="0"/>
              <w:spacing w:line="360" w:lineRule="auto"/>
              <w:ind w:left="360" w:hanging="360" w:hangingChars="200"/>
              <w:jc w:val="left"/>
              <w:rPr>
                <w:rFonts w:ascii="Times New Roman" w:hAnsi="Times New Roman"/>
                <w:kern w:val="0"/>
                <w:sz w:val="18"/>
                <w:szCs w:val="18"/>
              </w:rPr>
            </w:pPr>
            <w:r>
              <w:rPr>
                <w:rFonts w:ascii="黑体" w:hAnsi="黑体" w:eastAsia="黑体"/>
                <w:kern w:val="0"/>
                <w:sz w:val="18"/>
                <w:szCs w:val="18"/>
              </w:rPr>
              <w:t>注：</w:t>
            </w:r>
            <w:r>
              <w:rPr>
                <w:rFonts w:ascii="Times New Roman" w:hAnsi="Times New Roman"/>
                <w:kern w:val="0"/>
                <w:sz w:val="18"/>
                <w:szCs w:val="18"/>
              </w:rPr>
              <w:t>第（2）项中任一项不合格，最终质量评定为不合格。第（1）项中大于等于叁项不合格，一式三份，业主、监理、实施单位各一份。</w:t>
            </w:r>
          </w:p>
        </w:tc>
      </w:tr>
    </w:tbl>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B</w:t>
      </w:r>
      <w:r>
        <w:rPr>
          <w:rFonts w:ascii="黑体" w:hAnsi="黑体" w:eastAsia="黑体"/>
          <w:kern w:val="0"/>
          <w:szCs w:val="21"/>
        </w:rPr>
        <w:t>-3</w:t>
      </w:r>
      <w:r>
        <w:rPr>
          <w:rFonts w:hint="eastAsia" w:ascii="黑体" w:hAnsi="黑体" w:eastAsia="黑体"/>
          <w:kern w:val="0"/>
          <w:szCs w:val="21"/>
        </w:rPr>
        <w:t xml:space="preserve">  </w:t>
      </w:r>
      <w:r>
        <w:rPr>
          <w:rFonts w:ascii="黑体" w:hAnsi="黑体" w:eastAsia="黑体"/>
          <w:kern w:val="0"/>
          <w:szCs w:val="21"/>
        </w:rPr>
        <w:t>监测钻孔质量评定验收记录表</w:t>
      </w:r>
    </w:p>
    <w:p>
      <w:pPr>
        <w:spacing w:line="240" w:lineRule="exact"/>
        <w:jc w:val="left"/>
        <w:rPr>
          <w:rFonts w:ascii="Times New Roman" w:hAnsi="Times New Roman"/>
          <w:kern w:val="0"/>
          <w:sz w:val="18"/>
          <w:szCs w:val="18"/>
        </w:rPr>
      </w:pPr>
      <w:r>
        <w:rPr>
          <w:rFonts w:ascii="Times New Roman" w:hAnsi="Times New Roman"/>
          <w:kern w:val="0"/>
          <w:sz w:val="18"/>
          <w:szCs w:val="18"/>
        </w:rPr>
        <w:t>工程名称合同号</w:t>
      </w:r>
      <w:r>
        <w:rPr>
          <w:rFonts w:hint="eastAsia" w:ascii="Times New Roman" w:hAnsi="Times New Roman"/>
          <w:kern w:val="0"/>
          <w:sz w:val="18"/>
          <w:szCs w:val="18"/>
        </w:rPr>
        <w:t>：</w:t>
      </w:r>
    </w:p>
    <w:p>
      <w:pPr>
        <w:spacing w:line="240" w:lineRule="exact"/>
        <w:jc w:val="left"/>
        <w:rPr>
          <w:rFonts w:ascii="Times New Roman" w:hAnsi="Times New Roman"/>
          <w:kern w:val="0"/>
          <w:sz w:val="18"/>
          <w:szCs w:val="18"/>
        </w:rPr>
      </w:pPr>
    </w:p>
    <w:p>
      <w:pPr>
        <w:spacing w:line="240" w:lineRule="exact"/>
        <w:jc w:val="left"/>
        <w:rPr>
          <w:rFonts w:ascii="Times New Roman" w:hAnsi="Times New Roman"/>
          <w:kern w:val="0"/>
          <w:sz w:val="18"/>
          <w:szCs w:val="18"/>
        </w:rPr>
      </w:pPr>
      <w:r>
        <w:rPr>
          <w:rFonts w:ascii="Times New Roman" w:hAnsi="Times New Roman"/>
          <w:kern w:val="0"/>
          <w:sz w:val="18"/>
          <w:szCs w:val="18"/>
        </w:rPr>
        <w:t>监测单位：</w:t>
      </w:r>
    </w:p>
    <w:p>
      <w:pPr>
        <w:spacing w:line="240" w:lineRule="exact"/>
        <w:jc w:val="left"/>
        <w:rPr>
          <w:rFonts w:ascii="Times New Roman" w:hAnsi="Times New Roman"/>
          <w:kern w:val="0"/>
          <w:sz w:val="18"/>
          <w:szCs w:val="18"/>
        </w:rPr>
      </w:pPr>
    </w:p>
    <w:p>
      <w:pPr>
        <w:spacing w:line="240" w:lineRule="exact"/>
        <w:jc w:val="left"/>
        <w:rPr>
          <w:rFonts w:ascii="Times New Roman" w:hAnsi="Times New Roman"/>
          <w:kern w:val="0"/>
          <w:sz w:val="18"/>
          <w:szCs w:val="18"/>
        </w:rPr>
      </w:pPr>
      <w:r>
        <w:rPr>
          <w:rFonts w:ascii="Times New Roman" w:hAnsi="Times New Roman"/>
          <w:kern w:val="0"/>
          <w:sz w:val="18"/>
          <w:szCs w:val="18"/>
        </w:rPr>
        <w:t>监理单位：</w:t>
      </w:r>
    </w:p>
    <w:p>
      <w:pPr>
        <w:spacing w:line="256" w:lineRule="exact"/>
        <w:jc w:val="left"/>
        <w:rPr>
          <w:rFonts w:ascii="Times New Roman" w:hAnsi="Times New Roman"/>
          <w:kern w:val="0"/>
          <w:sz w:val="18"/>
          <w:szCs w:val="18"/>
        </w:rPr>
      </w:pPr>
    </w:p>
    <w:tbl>
      <w:tblPr>
        <w:tblStyle w:val="14"/>
        <w:tblpPr w:leftFromText="180" w:rightFromText="180" w:vertAnchor="text"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563"/>
        <w:gridCol w:w="1336"/>
        <w:gridCol w:w="2883"/>
        <w:gridCol w:w="1592"/>
        <w:gridCol w:w="2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272" w:type="pct"/>
            <w:gridSpan w:val="3"/>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钻孔时间</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终孔孔深（m）</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272" w:type="pct"/>
            <w:gridSpan w:val="3"/>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钻孔孔号</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仪器型号</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272" w:type="pct"/>
            <w:gridSpan w:val="3"/>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验收项目</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设计要求</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完成情况</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是否达到地质要求标准分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97" w:type="pct"/>
            <w:vMerge w:val="restar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主控项目</w:t>
            </w:r>
          </w:p>
        </w:tc>
        <w:tc>
          <w:tcPr>
            <w:tcW w:w="209" w:type="pct"/>
            <w:vMerge w:val="restar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钻孔</w:t>
            </w:r>
          </w:p>
        </w:tc>
        <w:tc>
          <w:tcPr>
            <w:tcW w:w="76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孔位</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设计要求</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97"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209"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76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孔径要求</w:t>
            </w:r>
          </w:p>
          <w:p>
            <w:pPr>
              <w:spacing w:line="0" w:lineRule="atLeast"/>
              <w:ind w:right="-13"/>
              <w:jc w:val="center"/>
              <w:rPr>
                <w:rFonts w:ascii="Times New Roman" w:hAnsi="Times New Roman"/>
                <w:kern w:val="0"/>
                <w:sz w:val="18"/>
                <w:szCs w:val="18"/>
              </w:rPr>
            </w:pPr>
            <w:r>
              <w:rPr>
                <w:rFonts w:ascii="Times New Roman" w:hAnsi="Times New Roman"/>
                <w:kern w:val="0"/>
                <w:sz w:val="18"/>
                <w:szCs w:val="18"/>
              </w:rPr>
              <w:t>m</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终孔孔径Ф110 mm</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97"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209"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76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终孔孔深</w:t>
            </w:r>
          </w:p>
          <w:p>
            <w:pPr>
              <w:spacing w:line="0" w:lineRule="atLeast"/>
              <w:ind w:right="-13"/>
              <w:jc w:val="center"/>
              <w:rPr>
                <w:rFonts w:ascii="Times New Roman" w:hAnsi="Times New Roman"/>
                <w:kern w:val="0"/>
                <w:sz w:val="18"/>
                <w:szCs w:val="18"/>
              </w:rPr>
            </w:pPr>
            <w:r>
              <w:rPr>
                <w:rFonts w:ascii="Times New Roman" w:hAnsi="Times New Roman"/>
                <w:kern w:val="0"/>
                <w:sz w:val="18"/>
                <w:szCs w:val="18"/>
              </w:rPr>
              <w:t>m</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地质要求</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97"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209"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76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孔斜</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1°/50</w:t>
            </w:r>
            <w:r>
              <w:rPr>
                <w:rFonts w:hint="eastAsia" w:ascii="Times New Roman" w:hAnsi="Times New Roman"/>
                <w:kern w:val="0"/>
                <w:sz w:val="18"/>
                <w:szCs w:val="18"/>
              </w:rPr>
              <w:t xml:space="preserve"> </w:t>
            </w:r>
            <w:r>
              <w:rPr>
                <w:rFonts w:ascii="Times New Roman" w:hAnsi="Times New Roman"/>
                <w:kern w:val="0"/>
                <w:sz w:val="18"/>
                <w:szCs w:val="18"/>
              </w:rPr>
              <w:t>m（2°/50-100 m）</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297"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20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资料</w:t>
            </w:r>
          </w:p>
        </w:tc>
        <w:tc>
          <w:tcPr>
            <w:tcW w:w="76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地质编录</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及时、正确、描述详细</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97" w:type="pct"/>
            <w:vMerge w:val="restar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一般项目</w:t>
            </w:r>
          </w:p>
        </w:tc>
        <w:tc>
          <w:tcPr>
            <w:tcW w:w="975" w:type="pct"/>
            <w:gridSpan w:val="2"/>
            <w:vMerge w:val="restar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岩芯采取率</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滑体土滑＞75%岩滑、滑床＞85%</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97"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975" w:type="pct"/>
            <w:gridSpan w:val="2"/>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滑带＞90%</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97"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975" w:type="pct"/>
            <w:gridSpan w:val="2"/>
            <w:vMerge w:val="restar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地下水位观测</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打穿滑带前测稳定水位</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97"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975" w:type="pct"/>
            <w:gridSpan w:val="2"/>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终孔后测全孔水位</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297" w:type="pct"/>
            <w:vMerge w:val="continue"/>
            <w:shd w:val="clear" w:color="auto" w:fill="auto"/>
            <w:vAlign w:val="center"/>
          </w:tcPr>
          <w:p>
            <w:pPr>
              <w:spacing w:line="0" w:lineRule="atLeast"/>
              <w:ind w:right="-13"/>
              <w:jc w:val="center"/>
              <w:rPr>
                <w:rFonts w:ascii="Times New Roman" w:hAnsi="Times New Roman"/>
                <w:kern w:val="0"/>
                <w:sz w:val="18"/>
                <w:szCs w:val="18"/>
              </w:rPr>
            </w:pPr>
          </w:p>
        </w:tc>
        <w:tc>
          <w:tcPr>
            <w:tcW w:w="975" w:type="pct"/>
            <w:gridSpan w:val="2"/>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班报表记录</w:t>
            </w:r>
          </w:p>
        </w:tc>
        <w:tc>
          <w:tcPr>
            <w:tcW w:w="1574"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整齐、及时、正确、完整</w:t>
            </w:r>
          </w:p>
        </w:tc>
        <w:tc>
          <w:tcPr>
            <w:tcW w:w="899"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w:t>
            </w:r>
          </w:p>
        </w:tc>
        <w:tc>
          <w:tcPr>
            <w:tcW w:w="1255" w:type="pc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  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272" w:type="pct"/>
            <w:gridSpan w:val="3"/>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质量评定</w:t>
            </w:r>
          </w:p>
        </w:tc>
        <w:tc>
          <w:tcPr>
            <w:tcW w:w="3728" w:type="pct"/>
            <w:gridSpan w:val="3"/>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□合格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97" w:type="pct"/>
            <w:vMerge w:val="restart"/>
            <w:shd w:val="clear" w:color="auto" w:fill="auto"/>
            <w:noWrap/>
            <w:vAlign w:val="center"/>
          </w:tcPr>
          <w:p>
            <w:pPr>
              <w:spacing w:line="0" w:lineRule="atLeast"/>
              <w:ind w:right="-13"/>
              <w:jc w:val="center"/>
              <w:rPr>
                <w:rFonts w:ascii="Times New Roman" w:hAnsi="Times New Roman"/>
                <w:kern w:val="0"/>
                <w:sz w:val="18"/>
                <w:szCs w:val="18"/>
              </w:rPr>
            </w:pPr>
            <w:r>
              <w:rPr>
                <w:rFonts w:ascii="Times New Roman" w:hAnsi="Times New Roman"/>
                <w:kern w:val="0"/>
                <w:sz w:val="18"/>
                <w:szCs w:val="18"/>
              </w:rPr>
              <w:t>验收签认</w:t>
            </w:r>
          </w:p>
        </w:tc>
        <w:tc>
          <w:tcPr>
            <w:tcW w:w="2549" w:type="pct"/>
            <w:gridSpan w:val="3"/>
            <w:vMerge w:val="restart"/>
            <w:shd w:val="clear" w:color="auto" w:fill="auto"/>
          </w:tcPr>
          <w:p>
            <w:pPr>
              <w:spacing w:line="0" w:lineRule="atLeast"/>
              <w:ind w:right="-13"/>
              <w:jc w:val="left"/>
              <w:rPr>
                <w:rFonts w:ascii="Times New Roman" w:hAnsi="Times New Roman"/>
                <w:kern w:val="0"/>
                <w:sz w:val="18"/>
                <w:szCs w:val="18"/>
              </w:rPr>
            </w:pPr>
            <w:r>
              <w:rPr>
                <w:rFonts w:ascii="Times New Roman" w:hAnsi="Times New Roman"/>
                <w:kern w:val="0"/>
                <w:sz w:val="18"/>
                <w:szCs w:val="18"/>
              </w:rPr>
              <w:t>钻机机长：</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              </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   </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监理工程师：</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               </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           </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主任监理工程师： </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 </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                                                         日期：           年      月      日                                                          </w:t>
            </w:r>
          </w:p>
        </w:tc>
        <w:tc>
          <w:tcPr>
            <w:tcW w:w="2155" w:type="pct"/>
            <w:gridSpan w:val="2"/>
            <w:vMerge w:val="restart"/>
            <w:shd w:val="clear" w:color="auto" w:fill="auto"/>
          </w:tcPr>
          <w:p>
            <w:pPr>
              <w:spacing w:line="0" w:lineRule="atLeast"/>
              <w:ind w:right="-13"/>
              <w:jc w:val="left"/>
              <w:rPr>
                <w:rFonts w:ascii="Times New Roman" w:hAnsi="Times New Roman"/>
                <w:kern w:val="0"/>
                <w:sz w:val="18"/>
                <w:szCs w:val="18"/>
              </w:rPr>
            </w:pPr>
            <w:r>
              <w:rPr>
                <w:rFonts w:ascii="Times New Roman" w:hAnsi="Times New Roman"/>
                <w:kern w:val="0"/>
                <w:sz w:val="18"/>
                <w:szCs w:val="18"/>
              </w:rPr>
              <w:t>看钻地质员：</w:t>
            </w:r>
          </w:p>
          <w:p>
            <w:pPr>
              <w:spacing w:line="0" w:lineRule="atLeast"/>
              <w:ind w:right="-13"/>
              <w:jc w:val="left"/>
              <w:rPr>
                <w:rFonts w:ascii="Times New Roman" w:hAnsi="Times New Roman"/>
                <w:kern w:val="0"/>
                <w:sz w:val="18"/>
                <w:szCs w:val="18"/>
              </w:rPr>
            </w:pP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                                             </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监测单位负责人： </w:t>
            </w: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                                    </w:t>
            </w:r>
          </w:p>
          <w:p>
            <w:pPr>
              <w:spacing w:line="0" w:lineRule="atLeast"/>
              <w:ind w:right="-13"/>
              <w:jc w:val="left"/>
              <w:rPr>
                <w:rFonts w:ascii="Times New Roman" w:hAnsi="Times New Roman"/>
                <w:kern w:val="0"/>
                <w:sz w:val="18"/>
                <w:szCs w:val="18"/>
              </w:rPr>
            </w:pPr>
          </w:p>
          <w:p>
            <w:pPr>
              <w:spacing w:line="0" w:lineRule="atLeast"/>
              <w:ind w:right="-13"/>
              <w:jc w:val="left"/>
              <w:rPr>
                <w:rFonts w:ascii="Times New Roman" w:hAnsi="Times New Roman"/>
                <w:kern w:val="0"/>
                <w:sz w:val="18"/>
                <w:szCs w:val="18"/>
              </w:rPr>
            </w:pPr>
          </w:p>
          <w:p>
            <w:pPr>
              <w:spacing w:line="0" w:lineRule="atLeast"/>
              <w:ind w:right="-13"/>
              <w:jc w:val="left"/>
              <w:rPr>
                <w:rFonts w:ascii="Times New Roman" w:hAnsi="Times New Roman"/>
                <w:kern w:val="0"/>
                <w:sz w:val="18"/>
                <w:szCs w:val="18"/>
              </w:rPr>
            </w:pPr>
          </w:p>
          <w:p>
            <w:pPr>
              <w:spacing w:line="0" w:lineRule="atLeast"/>
              <w:ind w:right="-13"/>
              <w:jc w:val="left"/>
              <w:rPr>
                <w:rFonts w:ascii="Times New Roman" w:hAnsi="Times New Roman"/>
                <w:kern w:val="0"/>
                <w:sz w:val="18"/>
                <w:szCs w:val="18"/>
              </w:rPr>
            </w:pPr>
          </w:p>
          <w:p>
            <w:pPr>
              <w:spacing w:line="0" w:lineRule="atLeast"/>
              <w:ind w:right="-13"/>
              <w:jc w:val="left"/>
              <w:rPr>
                <w:rFonts w:ascii="Times New Roman" w:hAnsi="Times New Roman"/>
                <w:kern w:val="0"/>
                <w:sz w:val="18"/>
                <w:szCs w:val="18"/>
              </w:rPr>
            </w:pPr>
            <w:r>
              <w:rPr>
                <w:rFonts w:ascii="Times New Roman" w:hAnsi="Times New Roman"/>
                <w:kern w:val="0"/>
                <w:sz w:val="18"/>
                <w:szCs w:val="18"/>
              </w:rPr>
              <w:t xml:space="preserve">日期：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97" w:type="pct"/>
            <w:vMerge w:val="continue"/>
            <w:shd w:val="clear" w:color="auto" w:fill="auto"/>
          </w:tcPr>
          <w:p>
            <w:pPr>
              <w:spacing w:line="0" w:lineRule="atLeast"/>
              <w:ind w:right="-13"/>
              <w:jc w:val="center"/>
              <w:rPr>
                <w:rFonts w:ascii="Times New Roman" w:hAnsi="Times New Roman"/>
                <w:kern w:val="0"/>
                <w:sz w:val="18"/>
                <w:szCs w:val="18"/>
              </w:rPr>
            </w:pPr>
          </w:p>
        </w:tc>
        <w:tc>
          <w:tcPr>
            <w:tcW w:w="2549" w:type="pct"/>
            <w:gridSpan w:val="3"/>
            <w:vMerge w:val="continue"/>
            <w:shd w:val="clear" w:color="auto" w:fill="auto"/>
          </w:tcPr>
          <w:p>
            <w:pPr>
              <w:spacing w:line="0" w:lineRule="atLeast"/>
              <w:ind w:right="-13"/>
              <w:jc w:val="center"/>
              <w:rPr>
                <w:rFonts w:ascii="Times New Roman" w:hAnsi="Times New Roman"/>
                <w:kern w:val="0"/>
                <w:sz w:val="18"/>
                <w:szCs w:val="18"/>
              </w:rPr>
            </w:pPr>
          </w:p>
        </w:tc>
        <w:tc>
          <w:tcPr>
            <w:tcW w:w="2155" w:type="pct"/>
            <w:gridSpan w:val="2"/>
            <w:vMerge w:val="continue"/>
            <w:shd w:val="clear" w:color="auto" w:fill="auto"/>
          </w:tcPr>
          <w:p>
            <w:pPr>
              <w:spacing w:line="0" w:lineRule="atLeast"/>
              <w:ind w:right="-13"/>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97" w:type="pct"/>
            <w:vMerge w:val="continue"/>
            <w:shd w:val="clear" w:color="auto" w:fill="auto"/>
          </w:tcPr>
          <w:p>
            <w:pPr>
              <w:spacing w:line="0" w:lineRule="atLeast"/>
              <w:ind w:right="-13"/>
              <w:jc w:val="center"/>
              <w:rPr>
                <w:rFonts w:ascii="Times New Roman" w:hAnsi="Times New Roman"/>
                <w:kern w:val="0"/>
                <w:sz w:val="18"/>
                <w:szCs w:val="18"/>
              </w:rPr>
            </w:pPr>
          </w:p>
        </w:tc>
        <w:tc>
          <w:tcPr>
            <w:tcW w:w="2549" w:type="pct"/>
            <w:gridSpan w:val="3"/>
            <w:vMerge w:val="continue"/>
            <w:shd w:val="clear" w:color="auto" w:fill="auto"/>
          </w:tcPr>
          <w:p>
            <w:pPr>
              <w:spacing w:line="0" w:lineRule="atLeast"/>
              <w:ind w:right="-13"/>
              <w:jc w:val="center"/>
              <w:rPr>
                <w:rFonts w:ascii="Times New Roman" w:hAnsi="Times New Roman"/>
                <w:kern w:val="0"/>
                <w:sz w:val="18"/>
                <w:szCs w:val="18"/>
              </w:rPr>
            </w:pPr>
          </w:p>
        </w:tc>
        <w:tc>
          <w:tcPr>
            <w:tcW w:w="2155" w:type="pct"/>
            <w:gridSpan w:val="2"/>
            <w:vMerge w:val="continue"/>
            <w:shd w:val="clear" w:color="auto" w:fill="auto"/>
          </w:tcPr>
          <w:p>
            <w:pPr>
              <w:spacing w:line="0" w:lineRule="atLeast"/>
              <w:ind w:right="-13"/>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trPr>
        <w:tc>
          <w:tcPr>
            <w:tcW w:w="297" w:type="pct"/>
            <w:vMerge w:val="continue"/>
            <w:shd w:val="clear" w:color="auto" w:fill="auto"/>
          </w:tcPr>
          <w:p>
            <w:pPr>
              <w:spacing w:line="0" w:lineRule="atLeast"/>
              <w:ind w:right="-13"/>
              <w:jc w:val="left"/>
              <w:rPr>
                <w:rFonts w:ascii="Times New Roman" w:hAnsi="Times New Roman"/>
                <w:kern w:val="0"/>
                <w:sz w:val="18"/>
                <w:szCs w:val="18"/>
              </w:rPr>
            </w:pPr>
          </w:p>
        </w:tc>
        <w:tc>
          <w:tcPr>
            <w:tcW w:w="2549" w:type="pct"/>
            <w:gridSpan w:val="3"/>
            <w:vMerge w:val="continue"/>
            <w:shd w:val="clear" w:color="auto" w:fill="auto"/>
          </w:tcPr>
          <w:p>
            <w:pPr>
              <w:spacing w:line="0" w:lineRule="atLeast"/>
              <w:ind w:right="-13"/>
              <w:jc w:val="left"/>
              <w:rPr>
                <w:rFonts w:ascii="Times New Roman" w:hAnsi="Times New Roman"/>
                <w:kern w:val="0"/>
                <w:sz w:val="18"/>
                <w:szCs w:val="18"/>
              </w:rPr>
            </w:pPr>
          </w:p>
        </w:tc>
        <w:tc>
          <w:tcPr>
            <w:tcW w:w="2155" w:type="pct"/>
            <w:gridSpan w:val="2"/>
            <w:vMerge w:val="continue"/>
            <w:shd w:val="clear" w:color="auto" w:fill="auto"/>
          </w:tcPr>
          <w:p>
            <w:pPr>
              <w:spacing w:line="0" w:lineRule="atLeast"/>
              <w:ind w:right="-13"/>
              <w:jc w:val="lef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5000" w:type="pct"/>
            <w:gridSpan w:val="6"/>
          </w:tcPr>
          <w:p>
            <w:pPr>
              <w:tabs>
                <w:tab w:val="center" w:pos="4201"/>
                <w:tab w:val="right" w:leader="dot" w:pos="9298"/>
              </w:tabs>
              <w:autoSpaceDE w:val="0"/>
              <w:autoSpaceDN w:val="0"/>
              <w:spacing w:line="360" w:lineRule="auto"/>
              <w:ind w:left="360" w:hanging="360" w:hangingChars="200"/>
              <w:jc w:val="left"/>
              <w:rPr>
                <w:rFonts w:ascii="Times New Roman" w:hAnsi="Times New Roman"/>
                <w:kern w:val="0"/>
                <w:sz w:val="18"/>
                <w:szCs w:val="18"/>
              </w:rPr>
            </w:pPr>
            <w:r>
              <w:rPr>
                <w:rFonts w:ascii="黑体" w:hAnsi="黑体" w:eastAsia="黑体"/>
                <w:kern w:val="0"/>
                <w:sz w:val="18"/>
                <w:szCs w:val="18"/>
              </w:rPr>
              <w:t>注：</w:t>
            </w:r>
            <w:r>
              <w:rPr>
                <w:rFonts w:ascii="Times New Roman" w:hAnsi="Times New Roman"/>
                <w:kern w:val="0"/>
                <w:sz w:val="18"/>
                <w:szCs w:val="18"/>
              </w:rPr>
              <w:t>主控项目中任一项不合格，最终质量评定为不合格。一般项目中大于等于叁项不合格，最终质量评定为不合格。一式肆份，业主单位、监理单位、监测单位、安装单位各一份。</w:t>
            </w:r>
          </w:p>
        </w:tc>
      </w:tr>
    </w:tbl>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B</w:t>
      </w:r>
      <w:r>
        <w:rPr>
          <w:rFonts w:ascii="黑体" w:hAnsi="黑体" w:eastAsia="黑体"/>
          <w:kern w:val="0"/>
          <w:szCs w:val="21"/>
        </w:rPr>
        <w:t>-4</w:t>
      </w:r>
      <w:r>
        <w:rPr>
          <w:rFonts w:hint="eastAsia" w:ascii="黑体" w:hAnsi="黑体" w:eastAsia="黑体"/>
          <w:kern w:val="0"/>
          <w:szCs w:val="21"/>
        </w:rPr>
        <w:t xml:space="preserve">  </w:t>
      </w:r>
      <w:r>
        <w:rPr>
          <w:rFonts w:ascii="黑体" w:hAnsi="黑体" w:eastAsia="黑体"/>
          <w:kern w:val="0"/>
          <w:szCs w:val="21"/>
        </w:rPr>
        <w:t>地下传感器安装验收记录表</w:t>
      </w:r>
    </w:p>
    <w:p>
      <w:pPr>
        <w:spacing w:line="240" w:lineRule="exact"/>
        <w:jc w:val="left"/>
        <w:rPr>
          <w:rFonts w:ascii="Times New Roman" w:hAnsi="Times New Roman"/>
          <w:kern w:val="0"/>
          <w:sz w:val="18"/>
          <w:szCs w:val="18"/>
        </w:rPr>
      </w:pPr>
      <w:r>
        <w:rPr>
          <w:rFonts w:ascii="Times New Roman" w:hAnsi="Times New Roman"/>
          <w:kern w:val="0"/>
          <w:sz w:val="18"/>
          <w:szCs w:val="18"/>
        </w:rPr>
        <w:t>工程名称合同号</w:t>
      </w:r>
      <w:r>
        <w:rPr>
          <w:rFonts w:hint="eastAsia" w:ascii="Times New Roman" w:hAnsi="Times New Roman"/>
          <w:kern w:val="0"/>
          <w:sz w:val="18"/>
          <w:szCs w:val="18"/>
        </w:rPr>
        <w:t>：</w:t>
      </w:r>
    </w:p>
    <w:p>
      <w:pPr>
        <w:spacing w:line="240" w:lineRule="exact"/>
        <w:jc w:val="left"/>
        <w:rPr>
          <w:rFonts w:ascii="Times New Roman" w:hAnsi="Times New Roman"/>
          <w:kern w:val="0"/>
          <w:sz w:val="18"/>
          <w:szCs w:val="18"/>
        </w:rPr>
      </w:pPr>
    </w:p>
    <w:p>
      <w:pPr>
        <w:spacing w:line="240" w:lineRule="exact"/>
        <w:jc w:val="left"/>
        <w:rPr>
          <w:rFonts w:ascii="Times New Roman" w:hAnsi="Times New Roman"/>
          <w:kern w:val="0"/>
          <w:sz w:val="18"/>
          <w:szCs w:val="18"/>
        </w:rPr>
      </w:pPr>
      <w:r>
        <w:rPr>
          <w:rFonts w:ascii="Times New Roman" w:hAnsi="Times New Roman"/>
          <w:kern w:val="0"/>
          <w:sz w:val="18"/>
          <w:szCs w:val="18"/>
        </w:rPr>
        <w:t>监测单位：</w:t>
      </w:r>
    </w:p>
    <w:p>
      <w:pPr>
        <w:spacing w:line="240" w:lineRule="exact"/>
        <w:jc w:val="left"/>
        <w:rPr>
          <w:rFonts w:ascii="Times New Roman" w:hAnsi="Times New Roman"/>
          <w:kern w:val="0"/>
          <w:sz w:val="18"/>
          <w:szCs w:val="18"/>
        </w:rPr>
      </w:pPr>
    </w:p>
    <w:p>
      <w:pPr>
        <w:spacing w:line="240" w:lineRule="exact"/>
        <w:jc w:val="left"/>
        <w:rPr>
          <w:rFonts w:ascii="Times New Roman" w:hAnsi="Times New Roman"/>
          <w:kern w:val="0"/>
          <w:sz w:val="18"/>
          <w:szCs w:val="18"/>
        </w:rPr>
      </w:pPr>
      <w:r>
        <w:rPr>
          <w:rFonts w:ascii="Times New Roman" w:hAnsi="Times New Roman"/>
          <w:kern w:val="0"/>
          <w:sz w:val="18"/>
          <w:szCs w:val="18"/>
        </w:rPr>
        <w:t>监理单位：</w:t>
      </w:r>
    </w:p>
    <w:p>
      <w:pPr>
        <w:spacing w:line="240" w:lineRule="exact"/>
        <w:jc w:val="left"/>
        <w:rPr>
          <w:rFonts w:ascii="Times New Roman" w:hAnsi="Times New Roman"/>
          <w:kern w:val="0"/>
          <w:sz w:val="18"/>
          <w:szCs w:val="18"/>
        </w:rPr>
      </w:pPr>
    </w:p>
    <w:tbl>
      <w:tblPr>
        <w:tblStyle w:val="14"/>
        <w:tblW w:w="947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292"/>
        <w:gridCol w:w="1417"/>
        <w:gridCol w:w="142"/>
        <w:gridCol w:w="915"/>
        <w:gridCol w:w="1495"/>
        <w:gridCol w:w="1134"/>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60"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传感器类型</w:t>
            </w:r>
          </w:p>
        </w:tc>
        <w:tc>
          <w:tcPr>
            <w:tcW w:w="1292" w:type="dxa"/>
            <w:shd w:val="clear" w:color="auto" w:fill="auto"/>
            <w:noWrap/>
            <w:vAlign w:val="center"/>
          </w:tcPr>
          <w:p>
            <w:pPr>
              <w:jc w:val="right"/>
              <w:rPr>
                <w:rFonts w:ascii="Times New Roman" w:hAnsi="Times New Roman"/>
                <w:kern w:val="0"/>
                <w:sz w:val="18"/>
                <w:szCs w:val="18"/>
              </w:rPr>
            </w:pPr>
          </w:p>
        </w:tc>
        <w:tc>
          <w:tcPr>
            <w:tcW w:w="1417"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灾害点名称</w:t>
            </w:r>
          </w:p>
        </w:tc>
        <w:tc>
          <w:tcPr>
            <w:tcW w:w="2552" w:type="dxa"/>
            <w:gridSpan w:val="3"/>
            <w:shd w:val="clear" w:color="auto" w:fill="auto"/>
            <w:noWrap/>
            <w:vAlign w:val="center"/>
          </w:tcPr>
          <w:p>
            <w:pPr>
              <w:jc w:val="center"/>
              <w:rPr>
                <w:rFonts w:ascii="Times New Roman" w:hAnsi="Times New Roman"/>
                <w:kern w:val="0"/>
                <w:sz w:val="18"/>
                <w:szCs w:val="18"/>
              </w:rPr>
            </w:pPr>
          </w:p>
        </w:tc>
        <w:tc>
          <w:tcPr>
            <w:tcW w:w="1134"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生产厂家</w:t>
            </w:r>
          </w:p>
        </w:tc>
        <w:tc>
          <w:tcPr>
            <w:tcW w:w="1815" w:type="dxa"/>
            <w:shd w:val="clear" w:color="auto" w:fill="auto"/>
            <w:noWrap/>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60" w:type="dxa"/>
            <w:shd w:val="clear" w:color="auto" w:fill="auto"/>
            <w:noWrap/>
            <w:vAlign w:val="center"/>
          </w:tcPr>
          <w:p>
            <w:pPr>
              <w:jc w:val="center"/>
              <w:rPr>
                <w:rFonts w:ascii="Times New Roman" w:hAnsi="Times New Roman"/>
                <w:kern w:val="0"/>
                <w:sz w:val="18"/>
                <w:szCs w:val="18"/>
              </w:rPr>
            </w:pPr>
            <w:r>
              <w:rPr>
                <w:rFonts w:hint="eastAsia" w:ascii="Times New Roman" w:hAnsi="Times New Roman"/>
                <w:kern w:val="0"/>
                <w:sz w:val="18"/>
                <w:szCs w:val="18"/>
              </w:rPr>
              <w:t>钻孔位置</w:t>
            </w:r>
          </w:p>
        </w:tc>
        <w:tc>
          <w:tcPr>
            <w:tcW w:w="2709" w:type="dxa"/>
            <w:gridSpan w:val="2"/>
            <w:shd w:val="clear" w:color="auto" w:fill="auto"/>
            <w:noWrap/>
            <w:vAlign w:val="center"/>
          </w:tcPr>
          <w:p>
            <w:pPr>
              <w:jc w:val="center"/>
              <w:rPr>
                <w:rFonts w:ascii="Times New Roman" w:hAnsi="Times New Roman"/>
                <w:kern w:val="0"/>
                <w:sz w:val="18"/>
                <w:szCs w:val="18"/>
              </w:rPr>
            </w:pPr>
          </w:p>
        </w:tc>
        <w:tc>
          <w:tcPr>
            <w:tcW w:w="2552" w:type="dxa"/>
            <w:gridSpan w:val="3"/>
            <w:shd w:val="clear" w:color="auto" w:fill="auto"/>
            <w:noWrap/>
            <w:vAlign w:val="center"/>
          </w:tcPr>
          <w:p>
            <w:pPr>
              <w:jc w:val="center"/>
              <w:rPr>
                <w:rFonts w:ascii="Times New Roman" w:hAnsi="Times New Roman"/>
                <w:kern w:val="0"/>
                <w:sz w:val="18"/>
                <w:szCs w:val="18"/>
              </w:rPr>
            </w:pPr>
            <w:r>
              <w:rPr>
                <w:rFonts w:hint="eastAsia" w:ascii="Times New Roman" w:hAnsi="Times New Roman"/>
                <w:kern w:val="0"/>
                <w:sz w:val="18"/>
                <w:szCs w:val="18"/>
              </w:rPr>
              <w:t>钻孔编号</w:t>
            </w:r>
          </w:p>
        </w:tc>
        <w:tc>
          <w:tcPr>
            <w:tcW w:w="2949" w:type="dxa"/>
            <w:gridSpan w:val="2"/>
            <w:shd w:val="clear" w:color="auto" w:fill="auto"/>
            <w:noWrap/>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60"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孔深</w:t>
            </w:r>
          </w:p>
        </w:tc>
        <w:tc>
          <w:tcPr>
            <w:tcW w:w="1292" w:type="dxa"/>
            <w:shd w:val="clear" w:color="auto" w:fill="auto"/>
            <w:noWrap/>
            <w:vAlign w:val="center"/>
          </w:tcPr>
          <w:p>
            <w:pPr>
              <w:jc w:val="right"/>
              <w:rPr>
                <w:rFonts w:ascii="Times New Roman" w:hAnsi="Times New Roman"/>
                <w:kern w:val="0"/>
                <w:sz w:val="18"/>
                <w:szCs w:val="18"/>
              </w:rPr>
            </w:pPr>
            <w:r>
              <w:rPr>
                <w:rFonts w:ascii="Times New Roman" w:hAnsi="Times New Roman"/>
                <w:kern w:val="0"/>
                <w:sz w:val="18"/>
                <w:szCs w:val="18"/>
              </w:rPr>
              <w:t>m</w:t>
            </w:r>
          </w:p>
        </w:tc>
        <w:tc>
          <w:tcPr>
            <w:tcW w:w="1417"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孔口高程</w:t>
            </w:r>
          </w:p>
        </w:tc>
        <w:tc>
          <w:tcPr>
            <w:tcW w:w="2552" w:type="dxa"/>
            <w:gridSpan w:val="3"/>
            <w:shd w:val="clear" w:color="auto" w:fill="auto"/>
            <w:noWrap/>
            <w:vAlign w:val="center"/>
          </w:tcPr>
          <w:p>
            <w:pPr>
              <w:jc w:val="right"/>
              <w:rPr>
                <w:rFonts w:ascii="Times New Roman" w:hAnsi="Times New Roman"/>
                <w:kern w:val="0"/>
                <w:sz w:val="18"/>
                <w:szCs w:val="18"/>
              </w:rPr>
            </w:pPr>
            <w:r>
              <w:rPr>
                <w:rFonts w:ascii="Times New Roman" w:hAnsi="Times New Roman"/>
                <w:kern w:val="0"/>
                <w:sz w:val="18"/>
                <w:szCs w:val="18"/>
              </w:rPr>
              <w:t>m</w:t>
            </w:r>
          </w:p>
        </w:tc>
        <w:tc>
          <w:tcPr>
            <w:tcW w:w="1134"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孔底高程</w:t>
            </w:r>
          </w:p>
        </w:tc>
        <w:tc>
          <w:tcPr>
            <w:tcW w:w="1815" w:type="dxa"/>
            <w:shd w:val="clear" w:color="auto" w:fill="auto"/>
            <w:noWrap/>
            <w:vAlign w:val="center"/>
          </w:tcPr>
          <w:p>
            <w:pPr>
              <w:jc w:val="right"/>
              <w:rPr>
                <w:rFonts w:ascii="Times New Roman" w:hAnsi="Times New Roman"/>
                <w:kern w:val="0"/>
                <w:sz w:val="18"/>
                <w:szCs w:val="18"/>
              </w:rPr>
            </w:pPr>
            <w:r>
              <w:rPr>
                <w:rFonts w:ascii="Times New Roman" w:hAnsi="Times New Roman"/>
                <w:kern w:val="0"/>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60"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埋设位置</w:t>
            </w:r>
          </w:p>
        </w:tc>
        <w:tc>
          <w:tcPr>
            <w:tcW w:w="1292" w:type="dxa"/>
            <w:shd w:val="clear" w:color="auto" w:fill="auto"/>
            <w:noWrap/>
            <w:vAlign w:val="center"/>
          </w:tcPr>
          <w:p>
            <w:pPr>
              <w:jc w:val="right"/>
              <w:rPr>
                <w:rFonts w:ascii="Times New Roman" w:hAnsi="Times New Roman"/>
                <w:kern w:val="0"/>
                <w:sz w:val="18"/>
                <w:szCs w:val="18"/>
              </w:rPr>
            </w:pPr>
          </w:p>
        </w:tc>
        <w:tc>
          <w:tcPr>
            <w:tcW w:w="1417"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埋设方式</w:t>
            </w:r>
          </w:p>
        </w:tc>
        <w:tc>
          <w:tcPr>
            <w:tcW w:w="2552" w:type="dxa"/>
            <w:gridSpan w:val="3"/>
            <w:shd w:val="clear" w:color="auto" w:fill="auto"/>
            <w:noWrap/>
            <w:vAlign w:val="center"/>
          </w:tcPr>
          <w:p>
            <w:pPr>
              <w:jc w:val="right"/>
              <w:rPr>
                <w:rFonts w:ascii="Times New Roman" w:hAnsi="Times New Roman"/>
                <w:kern w:val="0"/>
                <w:sz w:val="18"/>
                <w:szCs w:val="18"/>
              </w:rPr>
            </w:pPr>
          </w:p>
        </w:tc>
        <w:tc>
          <w:tcPr>
            <w:tcW w:w="1134"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接管根数</w:t>
            </w:r>
          </w:p>
        </w:tc>
        <w:tc>
          <w:tcPr>
            <w:tcW w:w="1815" w:type="dxa"/>
            <w:shd w:val="clear" w:color="auto" w:fill="auto"/>
            <w:noWrap/>
            <w:vAlign w:val="bottom"/>
          </w:tcPr>
          <w:p>
            <w:pPr>
              <w:jc w:val="righ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60"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管   材</w:t>
            </w:r>
          </w:p>
        </w:tc>
        <w:tc>
          <w:tcPr>
            <w:tcW w:w="1292" w:type="dxa"/>
            <w:shd w:val="clear" w:color="auto" w:fill="auto"/>
            <w:noWrap/>
            <w:vAlign w:val="center"/>
          </w:tcPr>
          <w:p>
            <w:pPr>
              <w:jc w:val="right"/>
              <w:rPr>
                <w:rFonts w:ascii="Times New Roman" w:hAnsi="Times New Roman"/>
                <w:kern w:val="0"/>
                <w:sz w:val="18"/>
                <w:szCs w:val="18"/>
              </w:rPr>
            </w:pPr>
          </w:p>
        </w:tc>
        <w:tc>
          <w:tcPr>
            <w:tcW w:w="1417"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外    径</w:t>
            </w:r>
          </w:p>
        </w:tc>
        <w:tc>
          <w:tcPr>
            <w:tcW w:w="2552" w:type="dxa"/>
            <w:gridSpan w:val="3"/>
            <w:shd w:val="clear" w:color="auto" w:fill="auto"/>
            <w:noWrap/>
            <w:vAlign w:val="center"/>
          </w:tcPr>
          <w:p>
            <w:pPr>
              <w:jc w:val="right"/>
              <w:rPr>
                <w:rFonts w:ascii="Times New Roman" w:hAnsi="Times New Roman"/>
                <w:kern w:val="0"/>
                <w:sz w:val="18"/>
                <w:szCs w:val="18"/>
              </w:rPr>
            </w:pPr>
          </w:p>
        </w:tc>
        <w:tc>
          <w:tcPr>
            <w:tcW w:w="1134"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导槽方向</w:t>
            </w:r>
          </w:p>
        </w:tc>
        <w:tc>
          <w:tcPr>
            <w:tcW w:w="1815" w:type="dxa"/>
            <w:shd w:val="clear" w:color="auto" w:fill="auto"/>
            <w:noWrap/>
            <w:vAlign w:val="bottom"/>
          </w:tcPr>
          <w:p>
            <w:pPr>
              <w:jc w:val="righ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260"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砂浆标号</w:t>
            </w:r>
          </w:p>
        </w:tc>
        <w:tc>
          <w:tcPr>
            <w:tcW w:w="1292" w:type="dxa"/>
            <w:shd w:val="clear" w:color="auto" w:fill="auto"/>
            <w:noWrap/>
            <w:vAlign w:val="center"/>
          </w:tcPr>
          <w:p>
            <w:pPr>
              <w:jc w:val="right"/>
              <w:rPr>
                <w:rFonts w:ascii="Times New Roman" w:hAnsi="Times New Roman"/>
                <w:kern w:val="0"/>
                <w:sz w:val="18"/>
                <w:szCs w:val="18"/>
              </w:rPr>
            </w:pPr>
            <w:r>
              <w:rPr>
                <w:rFonts w:ascii="Times New Roman" w:hAnsi="Times New Roman"/>
                <w:kern w:val="0"/>
                <w:sz w:val="18"/>
                <w:szCs w:val="18"/>
              </w:rPr>
              <w:t>M</w:t>
            </w:r>
          </w:p>
        </w:tc>
        <w:tc>
          <w:tcPr>
            <w:tcW w:w="1417"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注浆压力</w:t>
            </w:r>
          </w:p>
        </w:tc>
        <w:tc>
          <w:tcPr>
            <w:tcW w:w="2552" w:type="dxa"/>
            <w:gridSpan w:val="3"/>
            <w:shd w:val="clear" w:color="auto" w:fill="auto"/>
            <w:noWrap/>
            <w:vAlign w:val="center"/>
          </w:tcPr>
          <w:p>
            <w:pPr>
              <w:jc w:val="right"/>
              <w:rPr>
                <w:rFonts w:ascii="Times New Roman" w:hAnsi="Times New Roman"/>
                <w:kern w:val="0"/>
                <w:sz w:val="18"/>
                <w:szCs w:val="18"/>
              </w:rPr>
            </w:pPr>
            <w:r>
              <w:rPr>
                <w:rFonts w:ascii="Times New Roman" w:hAnsi="Times New Roman"/>
                <w:kern w:val="0"/>
                <w:sz w:val="18"/>
                <w:szCs w:val="18"/>
              </w:rPr>
              <w:t>Mpa</w:t>
            </w:r>
          </w:p>
        </w:tc>
        <w:tc>
          <w:tcPr>
            <w:tcW w:w="1134"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注浆上返高</w:t>
            </w:r>
          </w:p>
        </w:tc>
        <w:tc>
          <w:tcPr>
            <w:tcW w:w="1815" w:type="dxa"/>
            <w:shd w:val="clear" w:color="auto" w:fill="auto"/>
            <w:noWrap/>
            <w:vAlign w:val="bottom"/>
          </w:tcPr>
          <w:p>
            <w:pPr>
              <w:jc w:val="righ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260" w:type="dxa"/>
            <w:vMerge w:val="restart"/>
            <w:shd w:val="clear" w:color="auto" w:fill="auto"/>
            <w:vAlign w:val="center"/>
          </w:tcPr>
          <w:p>
            <w:pPr>
              <w:jc w:val="center"/>
              <w:rPr>
                <w:rFonts w:ascii="Times New Roman" w:hAnsi="Times New Roman"/>
                <w:kern w:val="0"/>
                <w:sz w:val="18"/>
                <w:szCs w:val="18"/>
              </w:rPr>
            </w:pPr>
            <w:r>
              <w:rPr>
                <w:rFonts w:ascii="Times New Roman" w:hAnsi="Times New Roman"/>
                <w:kern w:val="0"/>
                <w:sz w:val="18"/>
                <w:szCs w:val="18"/>
              </w:rPr>
              <w:t>埋设示意图及说明</w:t>
            </w:r>
          </w:p>
        </w:tc>
        <w:tc>
          <w:tcPr>
            <w:tcW w:w="8210" w:type="dxa"/>
            <w:gridSpan w:val="7"/>
            <w:vMerge w:val="restart"/>
            <w:shd w:val="clear" w:color="auto" w:fill="auto"/>
            <w:noWrap/>
            <w:vAlign w:val="bottom"/>
          </w:tcPr>
          <w:p>
            <w:pPr>
              <w:jc w:val="righ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0" w:type="dxa"/>
            <w:vMerge w:val="continue"/>
            <w:vAlign w:val="center"/>
          </w:tcPr>
          <w:p>
            <w:pPr>
              <w:jc w:val="left"/>
              <w:rPr>
                <w:rFonts w:ascii="Times New Roman" w:hAnsi="Times New Roman"/>
                <w:kern w:val="0"/>
                <w:sz w:val="18"/>
                <w:szCs w:val="18"/>
              </w:rPr>
            </w:pPr>
          </w:p>
        </w:tc>
        <w:tc>
          <w:tcPr>
            <w:tcW w:w="8210" w:type="dxa"/>
            <w:gridSpan w:val="7"/>
            <w:vMerge w:val="continue"/>
            <w:vAlign w:val="center"/>
          </w:tcPr>
          <w:p>
            <w:pPr>
              <w:jc w:val="lef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0" w:type="dxa"/>
            <w:vMerge w:val="continue"/>
            <w:vAlign w:val="center"/>
          </w:tcPr>
          <w:p>
            <w:pPr>
              <w:jc w:val="left"/>
              <w:rPr>
                <w:rFonts w:ascii="Times New Roman" w:hAnsi="Times New Roman"/>
                <w:kern w:val="0"/>
                <w:sz w:val="18"/>
                <w:szCs w:val="18"/>
              </w:rPr>
            </w:pPr>
          </w:p>
        </w:tc>
        <w:tc>
          <w:tcPr>
            <w:tcW w:w="8210" w:type="dxa"/>
            <w:gridSpan w:val="7"/>
            <w:vMerge w:val="continue"/>
            <w:vAlign w:val="center"/>
          </w:tcPr>
          <w:p>
            <w:pPr>
              <w:jc w:val="lef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0" w:type="dxa"/>
            <w:vMerge w:val="continue"/>
            <w:vAlign w:val="center"/>
          </w:tcPr>
          <w:p>
            <w:pPr>
              <w:jc w:val="left"/>
              <w:rPr>
                <w:rFonts w:ascii="Times New Roman" w:hAnsi="Times New Roman"/>
                <w:kern w:val="0"/>
                <w:sz w:val="18"/>
                <w:szCs w:val="18"/>
              </w:rPr>
            </w:pPr>
          </w:p>
        </w:tc>
        <w:tc>
          <w:tcPr>
            <w:tcW w:w="8210" w:type="dxa"/>
            <w:gridSpan w:val="7"/>
            <w:vMerge w:val="continue"/>
            <w:vAlign w:val="center"/>
          </w:tcPr>
          <w:p>
            <w:pPr>
              <w:jc w:val="lef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0" w:type="dxa"/>
            <w:vMerge w:val="continue"/>
            <w:vAlign w:val="center"/>
          </w:tcPr>
          <w:p>
            <w:pPr>
              <w:jc w:val="left"/>
              <w:rPr>
                <w:rFonts w:ascii="Times New Roman" w:hAnsi="Times New Roman"/>
                <w:kern w:val="0"/>
                <w:sz w:val="18"/>
                <w:szCs w:val="18"/>
              </w:rPr>
            </w:pPr>
          </w:p>
        </w:tc>
        <w:tc>
          <w:tcPr>
            <w:tcW w:w="8210" w:type="dxa"/>
            <w:gridSpan w:val="7"/>
            <w:vMerge w:val="continue"/>
            <w:vAlign w:val="center"/>
          </w:tcPr>
          <w:p>
            <w:pPr>
              <w:jc w:val="lef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0" w:hRule="atLeast"/>
        </w:trPr>
        <w:tc>
          <w:tcPr>
            <w:tcW w:w="1260" w:type="dxa"/>
            <w:vMerge w:val="continue"/>
            <w:vAlign w:val="center"/>
          </w:tcPr>
          <w:p>
            <w:pPr>
              <w:jc w:val="left"/>
              <w:rPr>
                <w:rFonts w:ascii="Times New Roman" w:hAnsi="Times New Roman"/>
                <w:kern w:val="0"/>
                <w:sz w:val="18"/>
                <w:szCs w:val="18"/>
              </w:rPr>
            </w:pPr>
          </w:p>
        </w:tc>
        <w:tc>
          <w:tcPr>
            <w:tcW w:w="8210" w:type="dxa"/>
            <w:gridSpan w:val="7"/>
            <w:vMerge w:val="continue"/>
            <w:vAlign w:val="center"/>
          </w:tcPr>
          <w:p>
            <w:pPr>
              <w:jc w:val="lef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0"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埋设期</w:t>
            </w:r>
          </w:p>
        </w:tc>
        <w:tc>
          <w:tcPr>
            <w:tcW w:w="8210" w:type="dxa"/>
            <w:gridSpan w:val="7"/>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 xml:space="preserve">自 </w:t>
            </w:r>
            <w:r>
              <w:rPr>
                <w:rFonts w:hint="eastAsia" w:ascii="Times New Roman" w:hAnsi="Times New Roman"/>
                <w:kern w:val="0"/>
                <w:sz w:val="18"/>
                <w:szCs w:val="18"/>
              </w:rPr>
              <w:t xml:space="preserve">  </w:t>
            </w:r>
            <w:r>
              <w:rPr>
                <w:rFonts w:ascii="Times New Roman" w:hAnsi="Times New Roman"/>
                <w:kern w:val="0"/>
                <w:sz w:val="18"/>
                <w:szCs w:val="18"/>
              </w:rPr>
              <w:t xml:space="preserve">   年   </w:t>
            </w:r>
            <w:r>
              <w:rPr>
                <w:rFonts w:hint="eastAsia" w:ascii="Times New Roman" w:hAnsi="Times New Roman"/>
                <w:kern w:val="0"/>
                <w:sz w:val="18"/>
                <w:szCs w:val="18"/>
              </w:rPr>
              <w:t xml:space="preserve"> </w:t>
            </w:r>
            <w:r>
              <w:rPr>
                <w:rFonts w:ascii="Times New Roman" w:hAnsi="Times New Roman"/>
                <w:kern w:val="0"/>
                <w:sz w:val="18"/>
                <w:szCs w:val="18"/>
              </w:rPr>
              <w:t xml:space="preserve"> 月    日至   </w:t>
            </w:r>
            <w:r>
              <w:rPr>
                <w:rFonts w:hint="eastAsia" w:ascii="Times New Roman" w:hAnsi="Times New Roman"/>
                <w:kern w:val="0"/>
                <w:sz w:val="18"/>
                <w:szCs w:val="18"/>
              </w:rPr>
              <w:t xml:space="preserve">  </w:t>
            </w:r>
            <w:r>
              <w:rPr>
                <w:rFonts w:ascii="Times New Roman" w:hAnsi="Times New Roman"/>
                <w:kern w:val="0"/>
                <w:sz w:val="18"/>
                <w:szCs w:val="18"/>
              </w:rPr>
              <w:t xml:space="preserve"> 年   </w:t>
            </w:r>
            <w:r>
              <w:rPr>
                <w:rFonts w:hint="eastAsia" w:ascii="Times New Roman" w:hAnsi="Times New Roman"/>
                <w:kern w:val="0"/>
                <w:sz w:val="18"/>
                <w:szCs w:val="18"/>
              </w:rPr>
              <w:t xml:space="preserve"> </w:t>
            </w:r>
            <w:r>
              <w:rPr>
                <w:rFonts w:ascii="Times New Roman" w:hAnsi="Times New Roman"/>
                <w:kern w:val="0"/>
                <w:sz w:val="18"/>
                <w:szCs w:val="18"/>
              </w:rPr>
              <w:t xml:space="preserve"> 月   </w:t>
            </w:r>
            <w:r>
              <w:rPr>
                <w:rFonts w:hint="eastAsia" w:ascii="Times New Roman" w:hAnsi="Times New Roman"/>
                <w:kern w:val="0"/>
                <w:sz w:val="18"/>
                <w:szCs w:val="18"/>
              </w:rPr>
              <w:t xml:space="preserve"> </w:t>
            </w:r>
            <w:r>
              <w:rPr>
                <w:rFonts w:ascii="Times New Roman" w:hAnsi="Times New Roman"/>
                <w:kern w:val="0"/>
                <w:sz w:val="18"/>
                <w:szCs w:val="18"/>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0"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质量评定</w:t>
            </w:r>
          </w:p>
        </w:tc>
        <w:tc>
          <w:tcPr>
            <w:tcW w:w="8210" w:type="dxa"/>
            <w:gridSpan w:val="7"/>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□合格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0" w:type="dxa"/>
            <w:vMerge w:val="restart"/>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工作人员</w:t>
            </w:r>
          </w:p>
        </w:tc>
        <w:tc>
          <w:tcPr>
            <w:tcW w:w="1292"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主管</w:t>
            </w:r>
          </w:p>
        </w:tc>
        <w:tc>
          <w:tcPr>
            <w:tcW w:w="1559" w:type="dxa"/>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　</w:t>
            </w:r>
          </w:p>
        </w:tc>
        <w:tc>
          <w:tcPr>
            <w:tcW w:w="915"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埋设者</w:t>
            </w:r>
          </w:p>
        </w:tc>
        <w:tc>
          <w:tcPr>
            <w:tcW w:w="1495"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　</w:t>
            </w:r>
          </w:p>
        </w:tc>
        <w:tc>
          <w:tcPr>
            <w:tcW w:w="1134"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观测者</w:t>
            </w:r>
          </w:p>
        </w:tc>
        <w:tc>
          <w:tcPr>
            <w:tcW w:w="1815"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0" w:type="dxa"/>
            <w:vMerge w:val="continue"/>
            <w:vAlign w:val="center"/>
          </w:tcPr>
          <w:p>
            <w:pPr>
              <w:jc w:val="left"/>
              <w:rPr>
                <w:rFonts w:ascii="Times New Roman" w:hAnsi="Times New Roman"/>
                <w:kern w:val="0"/>
                <w:sz w:val="18"/>
                <w:szCs w:val="18"/>
              </w:rPr>
            </w:pPr>
          </w:p>
        </w:tc>
        <w:tc>
          <w:tcPr>
            <w:tcW w:w="1292"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监理</w:t>
            </w:r>
          </w:p>
        </w:tc>
        <w:tc>
          <w:tcPr>
            <w:tcW w:w="1559" w:type="dxa"/>
            <w:gridSpan w:val="2"/>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　</w:t>
            </w:r>
          </w:p>
        </w:tc>
        <w:tc>
          <w:tcPr>
            <w:tcW w:w="915"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填表人</w:t>
            </w:r>
          </w:p>
        </w:tc>
        <w:tc>
          <w:tcPr>
            <w:tcW w:w="1495"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　</w:t>
            </w:r>
          </w:p>
        </w:tc>
        <w:tc>
          <w:tcPr>
            <w:tcW w:w="1134"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填表日期</w:t>
            </w:r>
          </w:p>
        </w:tc>
        <w:tc>
          <w:tcPr>
            <w:tcW w:w="1815" w:type="dxa"/>
            <w:shd w:val="clear" w:color="auto" w:fill="auto"/>
            <w:noWrap/>
            <w:vAlign w:val="center"/>
          </w:tcPr>
          <w:p>
            <w:pPr>
              <w:jc w:val="center"/>
              <w:rPr>
                <w:rFonts w:ascii="Times New Roman" w:hAnsi="Times New Roman"/>
                <w:kern w:val="0"/>
                <w:sz w:val="18"/>
                <w:szCs w:val="18"/>
              </w:rPr>
            </w:pPr>
            <w:r>
              <w:rPr>
                <w:rFonts w:ascii="Times New Roman" w:hAnsi="Times New Roman"/>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70" w:type="dxa"/>
            <w:gridSpan w:val="8"/>
            <w:vAlign w:val="center"/>
          </w:tcPr>
          <w:p>
            <w:pPr>
              <w:tabs>
                <w:tab w:val="center" w:pos="4201"/>
                <w:tab w:val="right" w:leader="dot" w:pos="9298"/>
              </w:tabs>
              <w:autoSpaceDE w:val="0"/>
              <w:autoSpaceDN w:val="0"/>
              <w:spacing w:line="360" w:lineRule="auto"/>
              <w:ind w:left="360" w:hanging="360" w:hangingChars="200"/>
              <w:jc w:val="left"/>
              <w:rPr>
                <w:rFonts w:ascii="Times New Roman" w:hAnsi="Times New Roman"/>
                <w:kern w:val="0"/>
                <w:sz w:val="18"/>
                <w:szCs w:val="18"/>
              </w:rPr>
            </w:pPr>
            <w:r>
              <w:rPr>
                <w:rFonts w:hint="eastAsia" w:ascii="黑体" w:hAnsi="黑体" w:eastAsia="黑体"/>
                <w:kern w:val="0"/>
                <w:sz w:val="18"/>
                <w:szCs w:val="18"/>
              </w:rPr>
              <w:t>注</w:t>
            </w:r>
            <w:r>
              <w:rPr>
                <w:rFonts w:ascii="黑体" w:hAnsi="黑体" w:eastAsia="黑体"/>
                <w:kern w:val="0"/>
                <w:sz w:val="18"/>
                <w:szCs w:val="18"/>
              </w:rPr>
              <w:t>：</w:t>
            </w:r>
            <w:r>
              <w:rPr>
                <w:rFonts w:ascii="Times New Roman" w:hAnsi="Times New Roman"/>
                <w:kern w:val="0"/>
                <w:sz w:val="18"/>
                <w:szCs w:val="18"/>
              </w:rPr>
              <w:t>适用于监测钻孔内传感器、危岩基座处压力传感器安装验收。一式肆份，业主单位、监理单位、监测单位、安装单位各一份。</w:t>
            </w:r>
          </w:p>
        </w:tc>
      </w:tr>
    </w:tbl>
    <w:p>
      <w:pPr>
        <w:spacing w:line="53" w:lineRule="exact"/>
        <w:jc w:val="left"/>
        <w:rPr>
          <w:rFonts w:ascii="Times New Roman" w:hAnsi="Times New Roman"/>
          <w:kern w:val="0"/>
          <w:sz w:val="18"/>
          <w:szCs w:val="18"/>
        </w:rPr>
      </w:pP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黑体" w:hAnsi="黑体" w:eastAsia="黑体"/>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bookmarkStart w:id="124" w:name="_Toc33177713"/>
      <w:r>
        <w:rPr>
          <w:rFonts w:ascii="黑体" w:hAnsi="黑体" w:eastAsia="黑体"/>
          <w:kern w:val="0"/>
          <w:szCs w:val="21"/>
        </w:rPr>
        <w:t xml:space="preserve">附  录  </w:t>
      </w:r>
      <w:r>
        <w:rPr>
          <w:rFonts w:hint="eastAsia" w:ascii="黑体" w:hAnsi="黑体" w:eastAsia="黑体"/>
          <w:kern w:val="0"/>
          <w:szCs w:val="21"/>
        </w:rPr>
        <w:t>C</w:t>
      </w:r>
    </w:p>
    <w:p>
      <w:pPr>
        <w:keepNext/>
        <w:widowControl/>
        <w:shd w:val="clear" w:color="FFFFFF" w:fill="FFFFFF"/>
        <w:tabs>
          <w:tab w:val="left" w:pos="360"/>
          <w:tab w:val="left" w:pos="6405"/>
        </w:tabs>
        <w:spacing w:before="120" w:beforeLines="50" w:after="120" w:afterLines="50"/>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w:t>
      </w:r>
      <w:r>
        <w:rPr>
          <w:rFonts w:hint="eastAsia" w:ascii="Times New Roman" w:hAnsi="Times New Roman" w:eastAsia="黑体"/>
          <w:kern w:val="0"/>
          <w:szCs w:val="21"/>
        </w:rPr>
        <w:t>资料</w:t>
      </w:r>
      <w:r>
        <w:rPr>
          <w:rFonts w:ascii="Times New Roman" w:hAnsi="Times New Roman" w:eastAsia="黑体"/>
          <w:kern w:val="0"/>
          <w:szCs w:val="21"/>
        </w:rPr>
        <w:t>性附录）</w:t>
      </w:r>
    </w:p>
    <w:p>
      <w:pPr>
        <w:keepNext/>
        <w:widowControl/>
        <w:shd w:val="clear" w:color="FFFFFF" w:fill="FFFFFF"/>
        <w:tabs>
          <w:tab w:val="left" w:pos="360"/>
          <w:tab w:val="left" w:pos="6405"/>
        </w:tabs>
        <w:spacing w:before="120" w:beforeLines="50" w:after="120" w:afterLines="50"/>
        <w:jc w:val="center"/>
        <w:outlineLvl w:val="0"/>
        <w:rPr>
          <w:rFonts w:ascii="Times New Roman" w:hAnsi="Times New Roman" w:eastAsia="黑体"/>
          <w:bCs/>
          <w:kern w:val="44"/>
          <w:szCs w:val="21"/>
        </w:rPr>
      </w:pPr>
      <w:r>
        <w:rPr>
          <w:rFonts w:ascii="Times New Roman" w:hAnsi="Times New Roman" w:eastAsia="黑体"/>
          <w:kern w:val="0"/>
          <w:szCs w:val="21"/>
        </w:rPr>
        <w:t>专业监测设计提纲</w:t>
      </w:r>
      <w:bookmarkEnd w:id="124"/>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C</w:t>
      </w:r>
      <w:r>
        <w:rPr>
          <w:rFonts w:ascii="黑体" w:hAnsi="黑体" w:eastAsia="黑体"/>
          <w:bCs/>
          <w:kern w:val="44"/>
          <w:szCs w:val="21"/>
        </w:rPr>
        <w:t>.1</w:t>
      </w:r>
      <w:r>
        <w:rPr>
          <w:rFonts w:hint="eastAsia" w:ascii="黑体" w:hAnsi="黑体" w:eastAsia="黑体"/>
          <w:bCs/>
          <w:kern w:val="44"/>
          <w:szCs w:val="21"/>
        </w:rPr>
        <w:t xml:space="preserve">  </w:t>
      </w:r>
      <w:r>
        <w:rPr>
          <w:rFonts w:ascii="黑体" w:hAnsi="黑体" w:eastAsia="黑体"/>
          <w:bCs/>
          <w:kern w:val="44"/>
          <w:szCs w:val="21"/>
        </w:rPr>
        <w:t>区域专业监测设计提纲</w:t>
      </w:r>
    </w:p>
    <w:p>
      <w:pPr>
        <w:widowControl/>
        <w:tabs>
          <w:tab w:val="center" w:pos="4201"/>
          <w:tab w:val="right" w:leader="dot" w:pos="9298"/>
        </w:tabs>
        <w:autoSpaceDE w:val="0"/>
        <w:autoSpaceDN w:val="0"/>
        <w:spacing w:line="360" w:lineRule="auto"/>
        <w:rPr>
          <w:rFonts w:ascii="Times New Roman" w:hAnsi="Times New Roman"/>
          <w:kern w:val="0"/>
          <w:szCs w:val="21"/>
        </w:rPr>
      </w:pPr>
      <w:r>
        <w:rPr>
          <w:rFonts w:ascii="Times New Roman" w:hAnsi="Times New Roman"/>
          <w:kern w:val="0"/>
          <w:szCs w:val="21"/>
        </w:rPr>
        <w:t>第一章  前言</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包括</w:t>
      </w:r>
      <w:r>
        <w:rPr>
          <w:rFonts w:ascii="Times New Roman" w:hAnsi="Times New Roman"/>
          <w:kern w:val="0"/>
          <w:szCs w:val="21"/>
        </w:rPr>
        <w:t>项目来源、目的任务、工作区概况等。</w:t>
      </w:r>
    </w:p>
    <w:p>
      <w:pPr>
        <w:widowControl/>
        <w:tabs>
          <w:tab w:val="center" w:pos="4201"/>
          <w:tab w:val="right" w:leader="dot" w:pos="9298"/>
        </w:tabs>
        <w:autoSpaceDE w:val="0"/>
        <w:autoSpaceDN w:val="0"/>
        <w:spacing w:line="360" w:lineRule="auto"/>
        <w:rPr>
          <w:rFonts w:ascii="Times New Roman" w:hAnsi="Times New Roman"/>
          <w:kern w:val="0"/>
          <w:szCs w:val="21"/>
        </w:rPr>
      </w:pPr>
      <w:r>
        <w:rPr>
          <w:rFonts w:ascii="Times New Roman" w:hAnsi="Times New Roman"/>
          <w:kern w:val="0"/>
          <w:szCs w:val="21"/>
        </w:rPr>
        <w:t>第二章  区域地质环境</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包括</w:t>
      </w:r>
      <w:r>
        <w:rPr>
          <w:rFonts w:ascii="Times New Roman" w:hAnsi="Times New Roman"/>
          <w:kern w:val="0"/>
          <w:szCs w:val="21"/>
        </w:rPr>
        <w:t>区域地质背景、主要地质问题域地质灾害现状等。</w:t>
      </w:r>
    </w:p>
    <w:p>
      <w:pPr>
        <w:widowControl/>
        <w:tabs>
          <w:tab w:val="center" w:pos="4201"/>
          <w:tab w:val="right" w:leader="dot" w:pos="9298"/>
        </w:tabs>
        <w:autoSpaceDE w:val="0"/>
        <w:autoSpaceDN w:val="0"/>
        <w:spacing w:line="360" w:lineRule="auto"/>
        <w:rPr>
          <w:rFonts w:ascii="Times New Roman" w:hAnsi="Times New Roman"/>
          <w:kern w:val="0"/>
          <w:szCs w:val="21"/>
        </w:rPr>
      </w:pPr>
      <w:r>
        <w:rPr>
          <w:rFonts w:ascii="Times New Roman" w:hAnsi="Times New Roman"/>
          <w:kern w:val="0"/>
          <w:szCs w:val="21"/>
        </w:rPr>
        <w:t>第三章  技术方法</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包括</w:t>
      </w:r>
      <w:r>
        <w:rPr>
          <w:rFonts w:ascii="Times New Roman" w:hAnsi="Times New Roman"/>
          <w:kern w:val="0"/>
          <w:szCs w:val="21"/>
        </w:rPr>
        <w:t>技术路线、工作手段与方法、工作部署与安排等。</w:t>
      </w:r>
    </w:p>
    <w:p>
      <w:pPr>
        <w:widowControl/>
        <w:tabs>
          <w:tab w:val="center" w:pos="4201"/>
          <w:tab w:val="right" w:leader="dot" w:pos="9298"/>
        </w:tabs>
        <w:autoSpaceDE w:val="0"/>
        <w:autoSpaceDN w:val="0"/>
        <w:spacing w:line="360" w:lineRule="auto"/>
        <w:rPr>
          <w:rFonts w:ascii="Times New Roman" w:hAnsi="Times New Roman"/>
          <w:kern w:val="0"/>
          <w:szCs w:val="21"/>
        </w:rPr>
      </w:pPr>
      <w:r>
        <w:rPr>
          <w:rFonts w:ascii="Times New Roman" w:hAnsi="Times New Roman"/>
          <w:kern w:val="0"/>
          <w:szCs w:val="21"/>
        </w:rPr>
        <w:t>第四章  保障措施</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hint="eastAsia" w:ascii="Times New Roman" w:hAnsi="Times New Roman"/>
          <w:kern w:val="0"/>
          <w:szCs w:val="21"/>
        </w:rPr>
        <w:t>包括</w:t>
      </w:r>
      <w:r>
        <w:rPr>
          <w:rFonts w:ascii="Times New Roman" w:hAnsi="Times New Roman"/>
          <w:kern w:val="0"/>
          <w:szCs w:val="21"/>
        </w:rPr>
        <w:t>组织管理、质量保障措施、技术保障措施等。</w:t>
      </w:r>
    </w:p>
    <w:p>
      <w:pPr>
        <w:widowControl/>
        <w:tabs>
          <w:tab w:val="center" w:pos="4201"/>
          <w:tab w:val="right" w:leader="dot" w:pos="9298"/>
        </w:tabs>
        <w:autoSpaceDE w:val="0"/>
        <w:autoSpaceDN w:val="0"/>
        <w:spacing w:line="360" w:lineRule="auto"/>
        <w:rPr>
          <w:rFonts w:ascii="Times New Roman" w:hAnsi="Times New Roman"/>
          <w:kern w:val="0"/>
          <w:szCs w:val="21"/>
        </w:rPr>
      </w:pPr>
      <w:r>
        <w:rPr>
          <w:rFonts w:ascii="Times New Roman" w:hAnsi="Times New Roman"/>
          <w:kern w:val="0"/>
          <w:szCs w:val="21"/>
        </w:rPr>
        <w:t>第五章  预期提交成果</w:t>
      </w:r>
    </w:p>
    <w:p>
      <w:pPr>
        <w:widowControl/>
        <w:tabs>
          <w:tab w:val="center" w:pos="4201"/>
          <w:tab w:val="right" w:leader="dot" w:pos="9298"/>
        </w:tabs>
        <w:autoSpaceDE w:val="0"/>
        <w:autoSpaceDN w:val="0"/>
        <w:spacing w:line="360" w:lineRule="auto"/>
        <w:rPr>
          <w:rFonts w:ascii="Times New Roman" w:hAnsi="Times New Roman"/>
          <w:kern w:val="0"/>
          <w:szCs w:val="21"/>
        </w:rPr>
      </w:pPr>
      <w:r>
        <w:rPr>
          <w:rFonts w:ascii="Times New Roman" w:hAnsi="Times New Roman"/>
          <w:kern w:val="0"/>
          <w:szCs w:val="21"/>
        </w:rPr>
        <w:t>第六章  经费安排</w:t>
      </w:r>
    </w:p>
    <w:p>
      <w:pPr>
        <w:widowControl/>
        <w:tabs>
          <w:tab w:val="center" w:pos="4201"/>
          <w:tab w:val="right" w:leader="dot" w:pos="9298"/>
        </w:tabs>
        <w:autoSpaceDE w:val="0"/>
        <w:autoSpaceDN w:val="0"/>
        <w:spacing w:line="360" w:lineRule="auto"/>
        <w:ind w:firstLine="420" w:firstLineChars="200"/>
        <w:rPr>
          <w:rFonts w:ascii="Times New Roman" w:hAnsi="Times New Roman"/>
          <w:kern w:val="0"/>
          <w:szCs w:val="21"/>
        </w:rPr>
      </w:pPr>
      <w:r>
        <w:rPr>
          <w:rFonts w:ascii="Times New Roman" w:hAnsi="Times New Roman"/>
          <w:kern w:val="0"/>
          <w:szCs w:val="21"/>
        </w:rPr>
        <w:t>附图：监测工作部署图</w:t>
      </w: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C</w:t>
      </w:r>
      <w:r>
        <w:rPr>
          <w:rFonts w:ascii="黑体" w:hAnsi="黑体" w:eastAsia="黑体"/>
          <w:bCs/>
          <w:kern w:val="44"/>
          <w:szCs w:val="21"/>
        </w:rPr>
        <w:t>.2</w:t>
      </w:r>
      <w:r>
        <w:rPr>
          <w:rFonts w:hint="eastAsia" w:ascii="黑体" w:hAnsi="黑体" w:eastAsia="黑体"/>
          <w:bCs/>
          <w:kern w:val="44"/>
          <w:szCs w:val="21"/>
        </w:rPr>
        <w:t xml:space="preserve">  隐患点</w:t>
      </w:r>
      <w:r>
        <w:rPr>
          <w:rFonts w:ascii="黑体" w:hAnsi="黑体" w:eastAsia="黑体"/>
          <w:bCs/>
          <w:kern w:val="44"/>
          <w:szCs w:val="21"/>
        </w:rPr>
        <w:t>专业监测设计提纲</w:t>
      </w:r>
    </w:p>
    <w:p>
      <w:pPr>
        <w:widowControl/>
        <w:spacing w:line="360" w:lineRule="auto"/>
        <w:jc w:val="left"/>
        <w:rPr>
          <w:rFonts w:ascii="Times New Roman" w:hAnsi="Times New Roman"/>
          <w:kern w:val="0"/>
          <w:szCs w:val="21"/>
        </w:rPr>
      </w:pPr>
      <w:r>
        <w:rPr>
          <w:rFonts w:hint="eastAsia" w:ascii="Times New Roman" w:hAnsi="Times New Roman"/>
          <w:kern w:val="0"/>
          <w:szCs w:val="21"/>
        </w:rPr>
        <w:t xml:space="preserve">第一章  </w:t>
      </w:r>
      <w:r>
        <w:rPr>
          <w:rFonts w:ascii="Times New Roman" w:hAnsi="Times New Roman"/>
          <w:kern w:val="0"/>
          <w:szCs w:val="21"/>
        </w:rPr>
        <w:t xml:space="preserve">前 </w:t>
      </w:r>
      <w:r>
        <w:rPr>
          <w:rFonts w:hint="eastAsia" w:ascii="Times New Roman" w:hAnsi="Times New Roman"/>
          <w:kern w:val="0"/>
          <w:szCs w:val="21"/>
        </w:rPr>
        <w:t xml:space="preserve"> </w:t>
      </w:r>
      <w:r>
        <w:rPr>
          <w:rFonts w:ascii="Times New Roman" w:hAnsi="Times New Roman"/>
          <w:kern w:val="0"/>
          <w:szCs w:val="21"/>
        </w:rPr>
        <w:t>言</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包括</w:t>
      </w:r>
      <w:r>
        <w:rPr>
          <w:rFonts w:ascii="Times New Roman" w:hAnsi="Times New Roman"/>
          <w:kern w:val="0"/>
          <w:szCs w:val="21"/>
        </w:rPr>
        <w:t>任务来源、监测目的与任务、执行技术标准、测量基准、前人监测概况（续作项目含此节）</w:t>
      </w:r>
      <w:r>
        <w:rPr>
          <w:rFonts w:ascii="Times New Roman" w:hAnsi="Times New Roman"/>
          <w:szCs w:val="21"/>
        </w:rPr>
        <w:t>等。</w:t>
      </w:r>
    </w:p>
    <w:p>
      <w:pPr>
        <w:widowControl/>
        <w:spacing w:line="360" w:lineRule="auto"/>
        <w:jc w:val="left"/>
        <w:rPr>
          <w:rFonts w:ascii="Times New Roman" w:hAnsi="Times New Roman"/>
          <w:kern w:val="0"/>
          <w:szCs w:val="21"/>
        </w:rPr>
      </w:pPr>
      <w:r>
        <w:rPr>
          <w:rFonts w:hint="eastAsia" w:ascii="Times New Roman" w:hAnsi="Times New Roman"/>
          <w:kern w:val="0"/>
          <w:szCs w:val="21"/>
        </w:rPr>
        <w:t xml:space="preserve">第二章  </w:t>
      </w:r>
      <w:r>
        <w:rPr>
          <w:rFonts w:ascii="Times New Roman" w:hAnsi="Times New Roman"/>
          <w:kern w:val="0"/>
          <w:szCs w:val="21"/>
        </w:rPr>
        <w:t>监测区概况</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第一节</w:t>
      </w:r>
      <w:r>
        <w:rPr>
          <w:rFonts w:hint="eastAsia" w:ascii="Times New Roman" w:hAnsi="Times New Roman"/>
          <w:szCs w:val="24"/>
        </w:rPr>
        <w:t xml:space="preserve">  </w:t>
      </w:r>
      <w:r>
        <w:rPr>
          <w:rFonts w:ascii="Times New Roman" w:hAnsi="Times New Roman"/>
          <w:kern w:val="0"/>
          <w:szCs w:val="21"/>
        </w:rPr>
        <w:t>含地理位置及交通概况</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第二节</w:t>
      </w:r>
      <w:r>
        <w:rPr>
          <w:rFonts w:hint="eastAsia" w:ascii="Times New Roman" w:hAnsi="Times New Roman"/>
          <w:szCs w:val="24"/>
        </w:rPr>
        <w:t xml:space="preserve">  </w:t>
      </w:r>
      <w:r>
        <w:rPr>
          <w:rFonts w:ascii="Times New Roman" w:hAnsi="Times New Roman"/>
          <w:kern w:val="0"/>
          <w:szCs w:val="21"/>
        </w:rPr>
        <w:t>地质环境条件</w:t>
      </w:r>
      <w:r>
        <w:rPr>
          <w:rFonts w:ascii="Times New Roman" w:hAnsi="Times New Roman"/>
          <w:szCs w:val="21"/>
        </w:rPr>
        <w:t>等。</w:t>
      </w:r>
    </w:p>
    <w:p>
      <w:pPr>
        <w:widowControl/>
        <w:spacing w:line="360" w:lineRule="auto"/>
        <w:jc w:val="left"/>
        <w:rPr>
          <w:rFonts w:ascii="Times New Roman" w:hAnsi="Times New Roman"/>
          <w:kern w:val="0"/>
          <w:szCs w:val="21"/>
        </w:rPr>
      </w:pPr>
      <w:r>
        <w:rPr>
          <w:rFonts w:hint="eastAsia" w:ascii="Times New Roman" w:hAnsi="Times New Roman"/>
          <w:kern w:val="0"/>
          <w:szCs w:val="21"/>
        </w:rPr>
        <w:t xml:space="preserve">第三章  </w:t>
      </w:r>
      <w:r>
        <w:rPr>
          <w:rFonts w:ascii="Times New Roman" w:hAnsi="Times New Roman"/>
          <w:kern w:val="0"/>
          <w:szCs w:val="21"/>
        </w:rPr>
        <w:t>灾害体稳定性分析</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第一节</w:t>
      </w:r>
      <w:r>
        <w:rPr>
          <w:rFonts w:hint="eastAsia" w:ascii="Times New Roman" w:hAnsi="Times New Roman"/>
          <w:szCs w:val="24"/>
        </w:rPr>
        <w:t xml:space="preserve">  </w:t>
      </w:r>
      <w:r>
        <w:rPr>
          <w:rFonts w:ascii="Times New Roman" w:hAnsi="Times New Roman"/>
          <w:kern w:val="0"/>
          <w:szCs w:val="21"/>
        </w:rPr>
        <w:t>灾害体特征</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第二节</w:t>
      </w:r>
      <w:r>
        <w:rPr>
          <w:rFonts w:hint="eastAsia" w:ascii="Times New Roman" w:hAnsi="Times New Roman"/>
          <w:szCs w:val="24"/>
        </w:rPr>
        <w:t xml:space="preserve">  </w:t>
      </w:r>
      <w:r>
        <w:rPr>
          <w:rFonts w:ascii="Times New Roman" w:hAnsi="Times New Roman"/>
          <w:kern w:val="0"/>
          <w:szCs w:val="21"/>
        </w:rPr>
        <w:t>灾害体成因机制</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第三节</w:t>
      </w:r>
      <w:r>
        <w:rPr>
          <w:rFonts w:hint="eastAsia" w:ascii="Times New Roman" w:hAnsi="Times New Roman"/>
          <w:szCs w:val="24"/>
        </w:rPr>
        <w:t xml:space="preserve">  </w:t>
      </w:r>
      <w:r>
        <w:rPr>
          <w:rFonts w:ascii="Times New Roman" w:hAnsi="Times New Roman"/>
          <w:kern w:val="0"/>
          <w:szCs w:val="21"/>
        </w:rPr>
        <w:t>灾害体稳定性现状</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第四节</w:t>
      </w:r>
      <w:r>
        <w:rPr>
          <w:rFonts w:hint="eastAsia" w:ascii="Times New Roman" w:hAnsi="Times New Roman"/>
          <w:szCs w:val="24"/>
        </w:rPr>
        <w:t xml:space="preserve">  </w:t>
      </w:r>
      <w:r>
        <w:rPr>
          <w:rFonts w:ascii="Times New Roman" w:hAnsi="Times New Roman"/>
          <w:kern w:val="0"/>
          <w:szCs w:val="21"/>
        </w:rPr>
        <w:t>灾害体变形发展趋势</w:t>
      </w:r>
    </w:p>
    <w:p>
      <w:pPr>
        <w:widowControl/>
        <w:spacing w:line="360" w:lineRule="auto"/>
        <w:jc w:val="left"/>
        <w:rPr>
          <w:rFonts w:ascii="Times New Roman" w:hAnsi="Times New Roman"/>
          <w:kern w:val="0"/>
          <w:szCs w:val="21"/>
        </w:rPr>
      </w:pPr>
      <w:r>
        <w:rPr>
          <w:rFonts w:hint="eastAsia" w:ascii="Times New Roman" w:hAnsi="Times New Roman"/>
          <w:kern w:val="0"/>
          <w:szCs w:val="21"/>
        </w:rPr>
        <w:t xml:space="preserve">第四章  </w:t>
      </w:r>
      <w:r>
        <w:rPr>
          <w:rFonts w:ascii="Times New Roman" w:hAnsi="Times New Roman"/>
          <w:kern w:val="0"/>
          <w:szCs w:val="21"/>
        </w:rPr>
        <w:t>监测设计</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第一节</w:t>
      </w:r>
      <w:r>
        <w:rPr>
          <w:rFonts w:hint="eastAsia" w:ascii="黑体" w:hAnsi="黑体" w:eastAsia="黑体"/>
          <w:szCs w:val="21"/>
        </w:rPr>
        <w:t xml:space="preserve">  </w:t>
      </w:r>
      <w:r>
        <w:rPr>
          <w:rFonts w:ascii="Times New Roman" w:hAnsi="Times New Roman"/>
          <w:kern w:val="0"/>
          <w:szCs w:val="21"/>
        </w:rPr>
        <w:t>监测内容</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第二节</w:t>
      </w:r>
      <w:r>
        <w:rPr>
          <w:rFonts w:hint="eastAsia" w:ascii="黑体" w:hAnsi="黑体" w:eastAsia="黑体"/>
          <w:szCs w:val="21"/>
        </w:rPr>
        <w:t xml:space="preserve">  </w:t>
      </w:r>
      <w:r>
        <w:rPr>
          <w:rFonts w:ascii="Times New Roman" w:hAnsi="Times New Roman"/>
          <w:kern w:val="0"/>
          <w:szCs w:val="21"/>
        </w:rPr>
        <w:t>监测方法</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第三节</w:t>
      </w:r>
      <w:r>
        <w:rPr>
          <w:rFonts w:hint="eastAsia" w:ascii="黑体" w:hAnsi="黑体" w:eastAsia="黑体"/>
          <w:szCs w:val="21"/>
        </w:rPr>
        <w:t xml:space="preserve">  </w:t>
      </w:r>
      <w:r>
        <w:rPr>
          <w:rFonts w:ascii="Times New Roman" w:hAnsi="Times New Roman"/>
          <w:kern w:val="0"/>
          <w:szCs w:val="21"/>
        </w:rPr>
        <w:t>监测精度和频率</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 xml:space="preserve">第四节 </w:t>
      </w:r>
      <w:r>
        <w:rPr>
          <w:rFonts w:hint="eastAsia" w:ascii="黑体" w:hAnsi="黑体" w:eastAsia="黑体"/>
          <w:szCs w:val="21"/>
        </w:rPr>
        <w:t xml:space="preserve"> </w:t>
      </w:r>
      <w:r>
        <w:rPr>
          <w:rFonts w:ascii="Times New Roman" w:hAnsi="Times New Roman"/>
          <w:kern w:val="0"/>
          <w:szCs w:val="21"/>
        </w:rPr>
        <w:t>监测设备选取</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第五节</w:t>
      </w:r>
      <w:r>
        <w:rPr>
          <w:rFonts w:hint="eastAsia" w:ascii="黑体" w:hAnsi="黑体" w:eastAsia="黑体"/>
          <w:szCs w:val="21"/>
        </w:rPr>
        <w:t xml:space="preserve">  </w:t>
      </w:r>
      <w:r>
        <w:rPr>
          <w:rFonts w:ascii="Times New Roman" w:hAnsi="Times New Roman"/>
          <w:kern w:val="0"/>
          <w:szCs w:val="21"/>
        </w:rPr>
        <w:t>监测点布设</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第六节</w:t>
      </w:r>
      <w:r>
        <w:rPr>
          <w:rFonts w:hint="eastAsia" w:ascii="黑体" w:hAnsi="黑体" w:eastAsia="黑体"/>
          <w:szCs w:val="21"/>
        </w:rPr>
        <w:t xml:space="preserve">  </w:t>
      </w:r>
      <w:r>
        <w:rPr>
          <w:rFonts w:ascii="Times New Roman" w:hAnsi="Times New Roman"/>
          <w:kern w:val="0"/>
          <w:szCs w:val="21"/>
        </w:rPr>
        <w:t>监测设备安装与调试</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第七节</w:t>
      </w:r>
      <w:r>
        <w:rPr>
          <w:rFonts w:hint="eastAsia" w:ascii="黑体" w:hAnsi="黑体" w:eastAsia="黑体"/>
          <w:szCs w:val="21"/>
        </w:rPr>
        <w:t xml:space="preserve">  </w:t>
      </w:r>
      <w:r>
        <w:rPr>
          <w:rFonts w:ascii="Times New Roman" w:hAnsi="Times New Roman"/>
          <w:kern w:val="0"/>
          <w:szCs w:val="21"/>
        </w:rPr>
        <w:t>监测数据分析</w:t>
      </w:r>
    </w:p>
    <w:p>
      <w:pPr>
        <w:widowControl/>
        <w:spacing w:line="360" w:lineRule="auto"/>
        <w:ind w:firstLine="420" w:firstLineChars="200"/>
        <w:jc w:val="left"/>
        <w:rPr>
          <w:rFonts w:ascii="Times New Roman" w:hAnsi="Times New Roman"/>
          <w:kern w:val="0"/>
          <w:szCs w:val="21"/>
        </w:rPr>
      </w:pPr>
      <w:r>
        <w:rPr>
          <w:rFonts w:ascii="Times New Roman" w:hAnsi="Times New Roman"/>
          <w:kern w:val="0"/>
          <w:szCs w:val="21"/>
        </w:rPr>
        <w:t>对分析模型及分析方法做简要介绍</w:t>
      </w:r>
      <w:r>
        <w:rPr>
          <w:rFonts w:hint="eastAsia" w:ascii="Times New Roman" w:hAnsi="Times New Roman"/>
          <w:kern w:val="0"/>
          <w:szCs w:val="21"/>
        </w:rPr>
        <w:t>。</w:t>
      </w:r>
    </w:p>
    <w:p>
      <w:pPr>
        <w:widowControl/>
        <w:spacing w:line="360" w:lineRule="auto"/>
        <w:ind w:firstLine="420" w:firstLineChars="200"/>
        <w:jc w:val="left"/>
        <w:rPr>
          <w:rFonts w:ascii="Times New Roman" w:hAnsi="Times New Roman"/>
          <w:kern w:val="0"/>
          <w:szCs w:val="21"/>
        </w:rPr>
      </w:pPr>
      <w:r>
        <w:rPr>
          <w:rFonts w:hint="eastAsia" w:ascii="Times New Roman" w:hAnsi="Times New Roman"/>
          <w:kern w:val="0"/>
          <w:szCs w:val="21"/>
        </w:rPr>
        <w:t>第八节</w:t>
      </w:r>
      <w:r>
        <w:rPr>
          <w:rFonts w:hint="eastAsia" w:ascii="黑体" w:hAnsi="黑体" w:eastAsia="黑体"/>
          <w:szCs w:val="21"/>
        </w:rPr>
        <w:t xml:space="preserve">  </w:t>
      </w:r>
      <w:r>
        <w:rPr>
          <w:rFonts w:ascii="Times New Roman" w:hAnsi="Times New Roman"/>
          <w:kern w:val="0"/>
          <w:szCs w:val="21"/>
        </w:rPr>
        <w:t>预警预报方案</w:t>
      </w:r>
    </w:p>
    <w:p>
      <w:pPr>
        <w:widowControl/>
        <w:spacing w:line="360" w:lineRule="auto"/>
        <w:ind w:firstLine="420" w:firstLineChars="200"/>
        <w:jc w:val="left"/>
        <w:rPr>
          <w:rFonts w:ascii="Times New Roman" w:hAnsi="Times New Roman"/>
          <w:kern w:val="0"/>
          <w:szCs w:val="21"/>
        </w:rPr>
      </w:pPr>
      <w:r>
        <w:rPr>
          <w:rFonts w:ascii="Times New Roman" w:hAnsi="Times New Roman"/>
          <w:kern w:val="0"/>
          <w:szCs w:val="21"/>
        </w:rPr>
        <w:t>结合地质灾害特征及孕灾背景条件，采用数值模拟等方法制定变形注意阈值、预警值以及报警值。</w:t>
      </w:r>
    </w:p>
    <w:p>
      <w:pPr>
        <w:widowControl/>
        <w:spacing w:line="360" w:lineRule="auto"/>
        <w:jc w:val="left"/>
        <w:rPr>
          <w:rFonts w:ascii="Times New Roman" w:hAnsi="Times New Roman"/>
          <w:kern w:val="0"/>
          <w:szCs w:val="21"/>
        </w:rPr>
      </w:pPr>
      <w:r>
        <w:rPr>
          <w:rFonts w:hint="eastAsia" w:ascii="Times New Roman" w:hAnsi="Times New Roman"/>
          <w:kern w:val="0"/>
          <w:szCs w:val="21"/>
        </w:rPr>
        <w:t xml:space="preserve">第五章  </w:t>
      </w:r>
      <w:r>
        <w:rPr>
          <w:rFonts w:ascii="Times New Roman" w:hAnsi="Times New Roman"/>
          <w:kern w:val="0"/>
          <w:szCs w:val="21"/>
        </w:rPr>
        <w:t>监测进度计划</w:t>
      </w:r>
    </w:p>
    <w:p>
      <w:pPr>
        <w:widowControl/>
        <w:spacing w:line="360" w:lineRule="auto"/>
        <w:jc w:val="left"/>
        <w:rPr>
          <w:rFonts w:ascii="Times New Roman" w:hAnsi="Times New Roman"/>
          <w:kern w:val="0"/>
          <w:szCs w:val="21"/>
        </w:rPr>
      </w:pPr>
      <w:r>
        <w:rPr>
          <w:rFonts w:hint="eastAsia" w:ascii="Times New Roman" w:hAnsi="Times New Roman"/>
          <w:kern w:val="0"/>
          <w:szCs w:val="21"/>
        </w:rPr>
        <w:t xml:space="preserve">第六章  </w:t>
      </w:r>
      <w:r>
        <w:rPr>
          <w:rFonts w:ascii="Times New Roman" w:hAnsi="Times New Roman"/>
          <w:kern w:val="0"/>
          <w:szCs w:val="21"/>
        </w:rPr>
        <w:t>监测质量保证体系</w:t>
      </w:r>
    </w:p>
    <w:p>
      <w:pPr>
        <w:widowControl/>
        <w:spacing w:line="360" w:lineRule="auto"/>
        <w:ind w:firstLine="420" w:firstLineChars="200"/>
        <w:jc w:val="left"/>
        <w:rPr>
          <w:rFonts w:ascii="Times New Roman" w:hAnsi="Times New Roman"/>
          <w:kern w:val="0"/>
          <w:szCs w:val="21"/>
        </w:rPr>
      </w:pPr>
      <w:r>
        <w:rPr>
          <w:rFonts w:ascii="Times New Roman" w:hAnsi="Times New Roman"/>
          <w:kern w:val="0"/>
          <w:szCs w:val="21"/>
        </w:rPr>
        <w:t>分述监测设备、方法、单位技术力量及质量保证体系、人员组成结构等。</w:t>
      </w:r>
    </w:p>
    <w:p>
      <w:pPr>
        <w:widowControl/>
        <w:spacing w:line="360" w:lineRule="auto"/>
        <w:jc w:val="left"/>
        <w:rPr>
          <w:rFonts w:ascii="Times New Roman" w:hAnsi="Times New Roman"/>
          <w:kern w:val="0"/>
          <w:szCs w:val="21"/>
        </w:rPr>
      </w:pPr>
      <w:r>
        <w:rPr>
          <w:rFonts w:hint="eastAsia" w:ascii="Times New Roman" w:hAnsi="Times New Roman"/>
          <w:kern w:val="0"/>
          <w:szCs w:val="21"/>
        </w:rPr>
        <w:t xml:space="preserve">第七章  </w:t>
      </w:r>
      <w:r>
        <w:rPr>
          <w:rFonts w:ascii="Times New Roman" w:hAnsi="Times New Roman"/>
          <w:kern w:val="0"/>
          <w:szCs w:val="21"/>
        </w:rPr>
        <w:t>监测成果提交</w:t>
      </w:r>
    </w:p>
    <w:p>
      <w:pPr>
        <w:widowControl/>
        <w:spacing w:line="360" w:lineRule="auto"/>
        <w:jc w:val="left"/>
        <w:rPr>
          <w:rFonts w:ascii="Times New Roman" w:hAnsi="Times New Roman"/>
          <w:kern w:val="0"/>
          <w:szCs w:val="21"/>
        </w:rPr>
      </w:pPr>
      <w:r>
        <w:rPr>
          <w:rFonts w:hint="eastAsia" w:ascii="Times New Roman" w:hAnsi="Times New Roman"/>
          <w:kern w:val="0"/>
          <w:szCs w:val="21"/>
        </w:rPr>
        <w:t xml:space="preserve">第八章  </w:t>
      </w:r>
      <w:r>
        <w:rPr>
          <w:rFonts w:ascii="Times New Roman" w:hAnsi="Times New Roman"/>
          <w:kern w:val="0"/>
          <w:szCs w:val="21"/>
        </w:rPr>
        <w:t>监测经费预算</w:t>
      </w:r>
    </w:p>
    <w:p>
      <w:pPr>
        <w:widowControl/>
        <w:spacing w:line="360" w:lineRule="auto"/>
        <w:ind w:firstLine="420" w:firstLineChars="200"/>
        <w:jc w:val="left"/>
        <w:rPr>
          <w:rFonts w:ascii="Times New Roman" w:hAnsi="Times New Roman"/>
          <w:kern w:val="0"/>
          <w:szCs w:val="21"/>
        </w:rPr>
      </w:pPr>
      <w:r>
        <w:rPr>
          <w:rFonts w:ascii="Times New Roman" w:hAnsi="Times New Roman"/>
          <w:kern w:val="0"/>
          <w:szCs w:val="21"/>
        </w:rPr>
        <w:t>包括监测工作量，监测工程建设费用、监测试运行费用、年度监测运行费用等。</w:t>
      </w:r>
    </w:p>
    <w:p>
      <w:pPr>
        <w:widowControl/>
        <w:spacing w:line="360" w:lineRule="auto"/>
        <w:ind w:firstLine="420" w:firstLineChars="200"/>
        <w:jc w:val="left"/>
        <w:rPr>
          <w:rFonts w:ascii="Times New Roman" w:hAnsi="Times New Roman"/>
          <w:kern w:val="0"/>
          <w:szCs w:val="21"/>
        </w:rPr>
      </w:pPr>
      <w:r>
        <w:rPr>
          <w:rFonts w:ascii="Times New Roman" w:hAnsi="Times New Roman"/>
          <w:kern w:val="0"/>
          <w:szCs w:val="21"/>
        </w:rPr>
        <w:t xml:space="preserve">附图一 </w:t>
      </w:r>
      <w:r>
        <w:rPr>
          <w:rFonts w:hint="eastAsia" w:ascii="Times New Roman" w:hAnsi="Times New Roman"/>
          <w:kern w:val="0"/>
          <w:szCs w:val="21"/>
        </w:rPr>
        <w:t xml:space="preserve"> </w:t>
      </w:r>
      <w:r>
        <w:rPr>
          <w:rFonts w:ascii="Times New Roman" w:hAnsi="Times New Roman"/>
          <w:kern w:val="0"/>
          <w:szCs w:val="21"/>
        </w:rPr>
        <w:t>监测设计平面图</w:t>
      </w:r>
    </w:p>
    <w:p>
      <w:pPr>
        <w:widowControl/>
        <w:spacing w:line="360" w:lineRule="auto"/>
        <w:ind w:firstLine="420" w:firstLineChars="200"/>
        <w:jc w:val="left"/>
        <w:rPr>
          <w:rFonts w:ascii="Times New Roman" w:hAnsi="Times New Roman"/>
          <w:kern w:val="0"/>
          <w:szCs w:val="21"/>
        </w:rPr>
      </w:pPr>
      <w:r>
        <w:rPr>
          <w:rFonts w:ascii="Times New Roman" w:hAnsi="Times New Roman"/>
          <w:kern w:val="0"/>
          <w:szCs w:val="21"/>
        </w:rPr>
        <w:t>包括监测基准网布设、监测点布设、监测工作量布置嵌表</w:t>
      </w:r>
      <w:r>
        <w:rPr>
          <w:rFonts w:hint="eastAsia" w:ascii="Times New Roman" w:hAnsi="Times New Roman"/>
          <w:kern w:val="0"/>
          <w:szCs w:val="21"/>
        </w:rPr>
        <w:t>。</w:t>
      </w:r>
    </w:p>
    <w:p>
      <w:pPr>
        <w:tabs>
          <w:tab w:val="center" w:pos="4201"/>
          <w:tab w:val="right" w:leader="dot" w:pos="9298"/>
        </w:tabs>
        <w:autoSpaceDE w:val="0"/>
        <w:autoSpaceDN w:val="0"/>
        <w:spacing w:line="360" w:lineRule="auto"/>
        <w:ind w:firstLine="420" w:firstLineChars="200"/>
        <w:jc w:val="left"/>
        <w:rPr>
          <w:rFonts w:ascii="Times New Roman" w:hAnsi="Times New Roman"/>
          <w:kern w:val="0"/>
          <w:szCs w:val="21"/>
        </w:rPr>
      </w:pPr>
      <w:r>
        <w:rPr>
          <w:rFonts w:ascii="Times New Roman" w:hAnsi="Times New Roman"/>
          <w:kern w:val="0"/>
          <w:szCs w:val="21"/>
        </w:rPr>
        <w:t xml:space="preserve">附图二 </w:t>
      </w:r>
      <w:r>
        <w:rPr>
          <w:rFonts w:hint="eastAsia" w:ascii="Times New Roman" w:hAnsi="Times New Roman"/>
          <w:kern w:val="0"/>
          <w:szCs w:val="21"/>
        </w:rPr>
        <w:t xml:space="preserve"> </w:t>
      </w:r>
      <w:r>
        <w:rPr>
          <w:rFonts w:ascii="Times New Roman" w:hAnsi="Times New Roman"/>
          <w:kern w:val="0"/>
          <w:szCs w:val="21"/>
        </w:rPr>
        <w:t>监测设计剖面图</w:t>
      </w:r>
    </w:p>
    <w:p>
      <w:pPr>
        <w:tabs>
          <w:tab w:val="center" w:pos="4201"/>
          <w:tab w:val="right" w:leader="dot" w:pos="9298"/>
        </w:tabs>
        <w:autoSpaceDE w:val="0"/>
        <w:autoSpaceDN w:val="0"/>
        <w:spacing w:line="360" w:lineRule="auto"/>
        <w:ind w:firstLine="420" w:firstLineChars="200"/>
        <w:jc w:val="left"/>
        <w:rPr>
          <w:rFonts w:ascii="宋体" w:hAnsi="Times New Roman"/>
          <w:kern w:val="0"/>
          <w:szCs w:val="21"/>
        </w:rPr>
      </w:pPr>
      <w:r>
        <w:rPr>
          <w:rFonts w:ascii="Times New Roman" w:hAnsi="Times New Roman"/>
          <w:kern w:val="0"/>
          <w:szCs w:val="21"/>
        </w:rPr>
        <w:t>包括监测点布置，监测点埋设构造要求</w:t>
      </w:r>
      <w:r>
        <w:rPr>
          <w:rFonts w:hint="eastAsia" w:ascii="Times New Roman" w:hAnsi="Times New Roman"/>
          <w:kern w:val="0"/>
          <w:szCs w:val="21"/>
        </w:rPr>
        <w:t>。</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黑体" w:hAnsi="黑体" w:eastAsia="黑体"/>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bookmarkStart w:id="125" w:name="_Toc21966405"/>
      <w:bookmarkStart w:id="126" w:name="_Toc33177714"/>
      <w:r>
        <w:rPr>
          <w:rFonts w:ascii="黑体" w:hAnsi="黑体" w:eastAsia="黑体"/>
          <w:kern w:val="0"/>
          <w:szCs w:val="21"/>
        </w:rPr>
        <w:t xml:space="preserve">附  录  </w:t>
      </w:r>
      <w:r>
        <w:rPr>
          <w:rFonts w:hint="eastAsia" w:ascii="黑体" w:hAnsi="黑体" w:eastAsia="黑体"/>
          <w:kern w:val="0"/>
          <w:szCs w:val="21"/>
        </w:rPr>
        <w:t>D</w:t>
      </w:r>
    </w:p>
    <w:p>
      <w:pPr>
        <w:keepNext/>
        <w:widowControl/>
        <w:shd w:val="clear" w:color="FFFFFF" w:fill="FFFFFF"/>
        <w:tabs>
          <w:tab w:val="left" w:pos="360"/>
          <w:tab w:val="left" w:pos="6405"/>
        </w:tabs>
        <w:spacing w:before="120" w:beforeLines="50" w:after="120" w:afterLines="50"/>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（资料性附录）</w:t>
      </w:r>
    </w:p>
    <w:p>
      <w:pPr>
        <w:keepNext/>
        <w:widowControl/>
        <w:shd w:val="clear" w:color="FFFFFF" w:fill="FFFFFF"/>
        <w:tabs>
          <w:tab w:val="left" w:pos="360"/>
          <w:tab w:val="left" w:pos="6405"/>
        </w:tabs>
        <w:spacing w:before="120" w:beforeLines="50" w:after="120" w:afterLines="50"/>
        <w:jc w:val="center"/>
        <w:outlineLvl w:val="0"/>
        <w:rPr>
          <w:rFonts w:ascii="Times New Roman" w:hAnsi="Times New Roman" w:eastAsia="黑体"/>
          <w:kern w:val="0"/>
          <w:szCs w:val="21"/>
        </w:rPr>
      </w:pPr>
      <w:r>
        <w:rPr>
          <w:rFonts w:ascii="黑体" w:hAnsi="黑体" w:eastAsia="黑体"/>
          <w:kern w:val="0"/>
          <w:szCs w:val="21"/>
        </w:rPr>
        <w:t>专业监测人工巡视记录表</w:t>
      </w:r>
      <w:bookmarkEnd w:id="125"/>
      <w:bookmarkEnd w:id="126"/>
    </w:p>
    <w:p>
      <w:pPr>
        <w:jc w:val="center"/>
        <w:rPr>
          <w:rFonts w:ascii="Times New Roman" w:hAnsi="Times New Roman"/>
          <w:sz w:val="18"/>
          <w:szCs w:val="18"/>
          <w:u w:val="single"/>
        </w:rPr>
      </w:pPr>
      <w:r>
        <w:rPr>
          <w:rFonts w:ascii="Times New Roman" w:hAnsi="Times New Roman"/>
          <w:szCs w:val="24"/>
        </w:rPr>
        <w:t xml:space="preserve">                                           </w:t>
      </w:r>
      <w:r>
        <w:rPr>
          <w:rFonts w:hint="eastAsia" w:ascii="Times New Roman" w:hAnsi="Times New Roman"/>
          <w:szCs w:val="24"/>
        </w:rPr>
        <w:t xml:space="preserve"> </w:t>
      </w:r>
      <w:r>
        <w:rPr>
          <w:rFonts w:ascii="Times New Roman" w:hAnsi="Times New Roman"/>
          <w:szCs w:val="24"/>
        </w:rPr>
        <w:t xml:space="preserve"> </w:t>
      </w:r>
      <w:r>
        <w:rPr>
          <w:rFonts w:ascii="Times New Roman" w:hAnsi="Times New Roman"/>
          <w:sz w:val="18"/>
          <w:szCs w:val="18"/>
        </w:rPr>
        <w:t>巡视表格编号：</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r>
        <w:rPr>
          <w:rFonts w:hint="eastAsia" w:ascii="Times New Roman" w:hAnsi="Times New Roman"/>
          <w:sz w:val="18"/>
          <w:szCs w:val="18"/>
          <w:u w:val="single"/>
        </w:rPr>
        <w:t xml:space="preserve">   </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5000" w:type="pct"/>
          </w:tcPr>
          <w:p>
            <w:pPr>
              <w:spacing w:line="480" w:lineRule="auto"/>
              <w:jc w:val="center"/>
              <w:rPr>
                <w:rFonts w:ascii="Times New Roman" w:hAnsi="Times New Roman"/>
                <w:b/>
                <w:kern w:val="0"/>
                <w:sz w:val="18"/>
                <w:szCs w:val="18"/>
                <w:u w:val="single"/>
              </w:rPr>
            </w:pPr>
          </w:p>
          <w:p>
            <w:pPr>
              <w:spacing w:line="480" w:lineRule="auto"/>
              <w:jc w:val="center"/>
              <w:rPr>
                <w:rFonts w:ascii="Times New Roman" w:hAnsi="Times New Roman"/>
                <w:b/>
                <w:kern w:val="0"/>
                <w:sz w:val="18"/>
                <w:szCs w:val="18"/>
                <w:u w:val="single"/>
              </w:rPr>
            </w:pPr>
          </w:p>
          <w:p>
            <w:pPr>
              <w:spacing w:line="480" w:lineRule="auto"/>
              <w:jc w:val="center"/>
              <w:rPr>
                <w:rFonts w:ascii="Times New Roman" w:hAnsi="Times New Roman"/>
                <w:b/>
                <w:kern w:val="0"/>
                <w:sz w:val="18"/>
                <w:szCs w:val="18"/>
                <w:u w:val="single"/>
              </w:rPr>
            </w:pPr>
          </w:p>
          <w:p>
            <w:pPr>
              <w:spacing w:line="480" w:lineRule="auto"/>
              <w:jc w:val="center"/>
              <w:rPr>
                <w:rFonts w:ascii="Times New Roman" w:hAnsi="Times New Roman"/>
                <w:kern w:val="0"/>
                <w:sz w:val="18"/>
                <w:szCs w:val="18"/>
              </w:rPr>
            </w:pPr>
            <w:r>
              <w:rPr>
                <w:rFonts w:ascii="Times New Roman" w:hAnsi="Times New Roman"/>
                <w:kern w:val="0"/>
                <w:sz w:val="18"/>
                <w:szCs w:val="18"/>
                <w:u w:val="single"/>
              </w:rPr>
              <w:t xml:space="preserve">         </w:t>
            </w:r>
            <w:r>
              <w:rPr>
                <w:rFonts w:ascii="Times New Roman" w:hAnsi="Times New Roman"/>
                <w:kern w:val="0"/>
                <w:sz w:val="18"/>
                <w:szCs w:val="18"/>
              </w:rPr>
              <w:t>人工巡视记录表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pPr>
              <w:spacing w:before="120" w:beforeLines="50" w:after="120" w:afterLines="50" w:line="360" w:lineRule="auto"/>
              <w:rPr>
                <w:rFonts w:ascii="Times New Roman" w:hAnsi="Times New Roman"/>
                <w:kern w:val="0"/>
                <w:sz w:val="18"/>
                <w:szCs w:val="18"/>
                <w:u w:val="single"/>
              </w:rPr>
            </w:pPr>
            <w:r>
              <w:rPr>
                <w:rFonts w:ascii="Times New Roman" w:hAnsi="Times New Roman"/>
                <w:kern w:val="0"/>
                <w:sz w:val="18"/>
                <w:szCs w:val="18"/>
              </w:rPr>
              <w:t>日期：</w:t>
            </w:r>
            <w:r>
              <w:rPr>
                <w:rFonts w:ascii="Times New Roman" w:hAnsi="Times New Roman"/>
                <w:kern w:val="0"/>
                <w:sz w:val="18"/>
                <w:szCs w:val="18"/>
                <w:u w:val="single"/>
              </w:rPr>
              <w:t xml:space="preserve">       </w:t>
            </w:r>
            <w:r>
              <w:rPr>
                <w:rFonts w:ascii="Times New Roman" w:hAnsi="Times New Roman"/>
                <w:kern w:val="0"/>
                <w:sz w:val="18"/>
                <w:szCs w:val="18"/>
              </w:rPr>
              <w:t>年</w:t>
            </w:r>
            <w:r>
              <w:rPr>
                <w:rFonts w:ascii="Times New Roman" w:hAnsi="Times New Roman"/>
                <w:kern w:val="0"/>
                <w:sz w:val="18"/>
                <w:szCs w:val="18"/>
                <w:u w:val="single"/>
              </w:rPr>
              <w:t xml:space="preserve">     </w:t>
            </w:r>
            <w:r>
              <w:rPr>
                <w:rFonts w:ascii="Times New Roman" w:hAnsi="Times New Roman"/>
                <w:kern w:val="0"/>
                <w:sz w:val="18"/>
                <w:szCs w:val="18"/>
              </w:rPr>
              <w:t>月</w:t>
            </w:r>
            <w:r>
              <w:rPr>
                <w:rFonts w:ascii="Times New Roman" w:hAnsi="Times New Roman"/>
                <w:kern w:val="0"/>
                <w:sz w:val="18"/>
                <w:szCs w:val="18"/>
                <w:u w:val="single"/>
              </w:rPr>
              <w:t xml:space="preserve">      </w:t>
            </w:r>
            <w:r>
              <w:rPr>
                <w:rFonts w:ascii="Times New Roman" w:hAnsi="Times New Roman"/>
                <w:kern w:val="0"/>
                <w:sz w:val="18"/>
                <w:szCs w:val="18"/>
              </w:rPr>
              <w:t xml:space="preserve">日                </w:t>
            </w:r>
            <w:r>
              <w:rPr>
                <w:rFonts w:hint="eastAsia" w:ascii="Times New Roman" w:hAnsi="Times New Roman"/>
                <w:kern w:val="0"/>
                <w:sz w:val="18"/>
                <w:szCs w:val="18"/>
              </w:rPr>
              <w:t xml:space="preserve">   </w:t>
            </w:r>
            <w:r>
              <w:rPr>
                <w:rFonts w:ascii="Times New Roman" w:hAnsi="Times New Roman"/>
                <w:kern w:val="0"/>
                <w:sz w:val="18"/>
                <w:szCs w:val="18"/>
              </w:rPr>
              <w:t xml:space="preserve">     时间：</w:t>
            </w:r>
            <w:r>
              <w:rPr>
                <w:rFonts w:ascii="Times New Roman" w:hAnsi="Times New Roman"/>
                <w:kern w:val="0"/>
                <w:sz w:val="18"/>
                <w:szCs w:val="18"/>
                <w:u w:val="single"/>
              </w:rPr>
              <w:t xml:space="preserve">      </w:t>
            </w:r>
            <w:r>
              <w:rPr>
                <w:rFonts w:ascii="Times New Roman" w:hAnsi="Times New Roman"/>
                <w:kern w:val="0"/>
                <w:sz w:val="18"/>
                <w:szCs w:val="18"/>
              </w:rPr>
              <w:t>至</w:t>
            </w:r>
            <w:r>
              <w:rPr>
                <w:rFonts w:ascii="Times New Roman" w:hAnsi="Times New Roman"/>
                <w:kern w:val="0"/>
                <w:sz w:val="18"/>
                <w:szCs w:val="18"/>
                <w:u w:val="single"/>
              </w:rPr>
              <w:t xml:space="preserve">        </w:t>
            </w:r>
          </w:p>
          <w:p>
            <w:pPr>
              <w:spacing w:before="120" w:beforeLines="50" w:after="120" w:afterLines="50" w:line="360" w:lineRule="auto"/>
              <w:rPr>
                <w:rFonts w:ascii="Times New Roman" w:hAnsi="Times New Roman"/>
                <w:kern w:val="0"/>
                <w:sz w:val="18"/>
                <w:szCs w:val="18"/>
                <w:u w:val="single"/>
              </w:rPr>
            </w:pPr>
            <w:r>
              <w:rPr>
                <w:rFonts w:ascii="Times New Roman" w:hAnsi="Times New Roman"/>
                <w:kern w:val="0"/>
                <w:sz w:val="18"/>
                <w:szCs w:val="18"/>
              </w:rPr>
              <w:t>巡视人员：</w:t>
            </w:r>
            <w:r>
              <w:rPr>
                <w:rFonts w:ascii="Times New Roman" w:hAnsi="Times New Roman"/>
                <w:kern w:val="0"/>
                <w:sz w:val="18"/>
                <w:szCs w:val="18"/>
                <w:u w:val="single"/>
              </w:rPr>
              <w:t xml:space="preserve">                          </w:t>
            </w:r>
            <w:r>
              <w:rPr>
                <w:rFonts w:ascii="Times New Roman" w:hAnsi="Times New Roman"/>
                <w:kern w:val="0"/>
                <w:sz w:val="18"/>
                <w:szCs w:val="18"/>
              </w:rPr>
              <w:t xml:space="preserve">          </w:t>
            </w:r>
            <w:r>
              <w:rPr>
                <w:rFonts w:hint="eastAsia" w:ascii="Times New Roman" w:hAnsi="Times New Roman"/>
                <w:kern w:val="0"/>
                <w:sz w:val="18"/>
                <w:szCs w:val="18"/>
              </w:rPr>
              <w:t xml:space="preserve">  </w:t>
            </w:r>
            <w:r>
              <w:rPr>
                <w:rFonts w:ascii="Times New Roman" w:hAnsi="Times New Roman"/>
                <w:kern w:val="0"/>
                <w:sz w:val="18"/>
                <w:szCs w:val="18"/>
              </w:rPr>
              <w:t xml:space="preserve">     </w:t>
            </w:r>
            <w:r>
              <w:rPr>
                <w:rFonts w:hint="eastAsia" w:ascii="Times New Roman" w:hAnsi="Times New Roman"/>
                <w:kern w:val="0"/>
                <w:sz w:val="18"/>
                <w:szCs w:val="18"/>
              </w:rPr>
              <w:t xml:space="preserve"> </w:t>
            </w:r>
            <w:r>
              <w:rPr>
                <w:rFonts w:ascii="Times New Roman" w:hAnsi="Times New Roman"/>
                <w:kern w:val="0"/>
                <w:sz w:val="18"/>
                <w:szCs w:val="18"/>
              </w:rPr>
              <w:t>天气：</w:t>
            </w:r>
            <w:r>
              <w:rPr>
                <w:rFonts w:ascii="Times New Roman" w:hAnsi="Times New Roman"/>
                <w:kern w:val="0"/>
                <w:sz w:val="18"/>
                <w:szCs w:val="1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000" w:type="pct"/>
          </w:tcPr>
          <w:p>
            <w:pPr>
              <w:rPr>
                <w:rFonts w:ascii="Times New Roman" w:hAnsi="Times New Roman"/>
                <w:kern w:val="0"/>
                <w:sz w:val="18"/>
                <w:szCs w:val="18"/>
              </w:rPr>
            </w:pPr>
            <w:r>
              <w:rPr>
                <w:rFonts w:ascii="Times New Roman" w:hAnsi="Times New Roman"/>
                <w:kern w:val="0"/>
                <w:sz w:val="18"/>
                <w:szCs w:val="18"/>
              </w:rPr>
              <w:t>地质环境描述：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5000" w:type="pct"/>
          </w:tcPr>
          <w:p>
            <w:pPr>
              <w:spacing w:before="120" w:beforeLines="50" w:after="120" w:afterLines="50"/>
              <w:rPr>
                <w:rFonts w:ascii="Times New Roman" w:hAnsi="Times New Roman"/>
                <w:kern w:val="0"/>
                <w:sz w:val="18"/>
                <w:szCs w:val="18"/>
              </w:rPr>
            </w:pPr>
            <w:r>
              <w:rPr>
                <w:rFonts w:ascii="Times New Roman" w:hAnsi="Times New Roman"/>
                <w:kern w:val="0"/>
                <w:sz w:val="18"/>
                <w:szCs w:val="18"/>
              </w:rPr>
              <w:t>监测设施：</w:t>
            </w:r>
          </w:p>
          <w:p>
            <w:pPr>
              <w:spacing w:before="120" w:beforeLines="50" w:after="120" w:afterLines="50"/>
              <w:ind w:firstLine="360" w:firstLineChars="200"/>
              <w:rPr>
                <w:rFonts w:ascii="Times New Roman" w:hAnsi="Times New Roman"/>
                <w:kern w:val="0"/>
                <w:sz w:val="18"/>
                <w:szCs w:val="18"/>
              </w:rPr>
            </w:pPr>
            <w:r>
              <w:rPr>
                <w:rFonts w:ascii="Times New Roman" w:hAnsi="Times New Roman"/>
                <w:kern w:val="0"/>
                <w:sz w:val="18"/>
                <w:szCs w:val="18"/>
              </w:rPr>
              <w:t>1</w:t>
            </w:r>
            <w:r>
              <w:rPr>
                <w:rFonts w:hint="eastAsia" w:ascii="Times New Roman" w:hAnsi="Times New Roman"/>
                <w:kern w:val="0"/>
                <w:sz w:val="18"/>
                <w:szCs w:val="18"/>
              </w:rPr>
              <w:t>.</w:t>
            </w:r>
            <w:r>
              <w:rPr>
                <w:rFonts w:ascii="Times New Roman" w:hAnsi="Times New Roman"/>
                <w:kern w:val="0"/>
                <w:sz w:val="18"/>
                <w:szCs w:val="18"/>
              </w:rPr>
              <w:t>基准点、测点完好状况</w:t>
            </w:r>
          </w:p>
          <w:p>
            <w:pPr>
              <w:spacing w:before="120" w:beforeLines="50" w:after="120" w:afterLines="50"/>
              <w:ind w:firstLine="360" w:firstLineChars="200"/>
              <w:rPr>
                <w:rFonts w:ascii="Times New Roman" w:hAnsi="Times New Roman"/>
                <w:kern w:val="0"/>
                <w:sz w:val="18"/>
                <w:szCs w:val="18"/>
              </w:rPr>
            </w:pPr>
            <w:r>
              <w:rPr>
                <w:rFonts w:ascii="Times New Roman" w:hAnsi="Times New Roman"/>
                <w:kern w:val="0"/>
                <w:sz w:val="18"/>
                <w:szCs w:val="18"/>
              </w:rPr>
              <w:t>2</w:t>
            </w:r>
            <w:r>
              <w:rPr>
                <w:rFonts w:hint="eastAsia" w:ascii="Times New Roman" w:hAnsi="Times New Roman"/>
                <w:kern w:val="0"/>
                <w:sz w:val="18"/>
                <w:szCs w:val="18"/>
              </w:rPr>
              <w:t>.</w:t>
            </w:r>
            <w:r>
              <w:rPr>
                <w:rFonts w:ascii="Times New Roman" w:hAnsi="Times New Roman"/>
                <w:kern w:val="0"/>
                <w:sz w:val="18"/>
                <w:szCs w:val="18"/>
              </w:rPr>
              <w:t>监测元件完好情况</w:t>
            </w:r>
          </w:p>
          <w:p>
            <w:pPr>
              <w:spacing w:before="120" w:beforeLines="50" w:after="120" w:afterLines="50"/>
              <w:ind w:firstLine="360" w:firstLineChars="200"/>
              <w:rPr>
                <w:rFonts w:ascii="Times New Roman" w:hAnsi="Times New Roman"/>
                <w:kern w:val="0"/>
                <w:sz w:val="18"/>
                <w:szCs w:val="18"/>
              </w:rPr>
            </w:pPr>
            <w:r>
              <w:rPr>
                <w:rFonts w:ascii="Times New Roman" w:hAnsi="Times New Roman"/>
                <w:kern w:val="0"/>
                <w:sz w:val="18"/>
                <w:szCs w:val="18"/>
              </w:rPr>
              <w:t>3</w:t>
            </w:r>
            <w:r>
              <w:rPr>
                <w:rFonts w:hint="eastAsia" w:ascii="Times New Roman" w:hAnsi="Times New Roman"/>
                <w:kern w:val="0"/>
                <w:sz w:val="18"/>
                <w:szCs w:val="18"/>
              </w:rPr>
              <w:t>.</w:t>
            </w:r>
            <w:r>
              <w:rPr>
                <w:rFonts w:ascii="Times New Roman" w:hAnsi="Times New Roman"/>
                <w:kern w:val="0"/>
                <w:sz w:val="18"/>
                <w:szCs w:val="18"/>
              </w:rPr>
              <w:t>观测工作条件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000" w:type="pct"/>
          </w:tcPr>
          <w:p>
            <w:pPr>
              <w:rPr>
                <w:rFonts w:ascii="Times New Roman" w:hAnsi="Times New Roman"/>
                <w:kern w:val="0"/>
                <w:sz w:val="18"/>
                <w:szCs w:val="18"/>
              </w:rPr>
            </w:pPr>
            <w:r>
              <w:rPr>
                <w:rFonts w:ascii="Times New Roman" w:hAnsi="Times New Roman"/>
                <w:kern w:val="0"/>
                <w:sz w:val="18"/>
                <w:szCs w:val="18"/>
              </w:rPr>
              <w:t>现场异常情况：</w:t>
            </w:r>
          </w:p>
          <w:p>
            <w:pPr>
              <w:spacing w:after="120" w:afterLines="50"/>
              <w:ind w:firstLine="360" w:firstLineChars="200"/>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000" w:type="pct"/>
          </w:tcPr>
          <w:p>
            <w:pPr>
              <w:rPr>
                <w:rFonts w:ascii="Times New Roman" w:hAnsi="Times New Roman"/>
                <w:kern w:val="0"/>
                <w:sz w:val="18"/>
                <w:szCs w:val="18"/>
              </w:rPr>
            </w:pPr>
            <w:r>
              <w:rPr>
                <w:rFonts w:ascii="Times New Roman" w:hAnsi="Times New Roman"/>
                <w:kern w:val="0"/>
                <w:sz w:val="18"/>
                <w:szCs w:val="18"/>
              </w:rPr>
              <w:t>重点部位描述及检查：</w:t>
            </w:r>
          </w:p>
          <w:p>
            <w:pPr>
              <w:spacing w:after="120" w:afterLines="50"/>
              <w:ind w:firstLine="360" w:firstLineChars="200"/>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000" w:type="pct"/>
          </w:tcPr>
          <w:p>
            <w:pPr>
              <w:rPr>
                <w:rFonts w:ascii="Times New Roman" w:hAnsi="Times New Roman"/>
                <w:kern w:val="0"/>
                <w:sz w:val="18"/>
                <w:szCs w:val="18"/>
              </w:rPr>
            </w:pPr>
            <w:r>
              <w:rPr>
                <w:rFonts w:ascii="Times New Roman" w:hAnsi="Times New Roman"/>
                <w:kern w:val="0"/>
                <w:sz w:val="18"/>
                <w:szCs w:val="18"/>
              </w:rPr>
              <w:t>人员询问走访：</w:t>
            </w:r>
          </w:p>
          <w:p>
            <w:pPr>
              <w:spacing w:after="120" w:afterLines="50"/>
              <w:ind w:firstLine="360" w:firstLineChars="200"/>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5000" w:type="pct"/>
          </w:tcPr>
          <w:p>
            <w:pPr>
              <w:rPr>
                <w:rFonts w:ascii="Times New Roman" w:hAnsi="Times New Roman"/>
                <w:kern w:val="0"/>
                <w:sz w:val="18"/>
                <w:szCs w:val="18"/>
              </w:rPr>
            </w:pPr>
            <w:r>
              <w:rPr>
                <w:rFonts w:ascii="Times New Roman" w:hAnsi="Times New Roman"/>
                <w:kern w:val="0"/>
                <w:sz w:val="18"/>
                <w:szCs w:val="18"/>
              </w:rPr>
              <w:t>如有必要附草图素描或照片：</w:t>
            </w:r>
          </w:p>
          <w:p>
            <w:pPr>
              <w:jc w:val="center"/>
              <w:rPr>
                <w:rFonts w:ascii="Times New Roman" w:hAnsi="Times New Roman"/>
                <w:kern w:val="0"/>
                <w:sz w:val="18"/>
                <w:szCs w:val="18"/>
              </w:rPr>
            </w:pPr>
          </w:p>
        </w:tc>
      </w:tr>
    </w:tbl>
    <w:p>
      <w:pPr>
        <w:wordWrap w:val="0"/>
        <w:jc w:val="right"/>
        <w:rPr>
          <w:rFonts w:ascii="Times New Roman" w:hAnsi="Times New Roman"/>
          <w:szCs w:val="24"/>
        </w:rPr>
      </w:pPr>
    </w:p>
    <w:p>
      <w:pPr>
        <w:tabs>
          <w:tab w:val="center" w:pos="4201"/>
          <w:tab w:val="right" w:leader="dot" w:pos="9298"/>
        </w:tabs>
        <w:autoSpaceDE w:val="0"/>
        <w:autoSpaceDN w:val="0"/>
        <w:spacing w:line="360" w:lineRule="auto"/>
        <w:jc w:val="left"/>
        <w:rPr>
          <w:rFonts w:ascii="Times New Roman" w:hAnsi="Times New Roman"/>
          <w:sz w:val="18"/>
          <w:szCs w:val="18"/>
          <w:u w:val="single"/>
        </w:rPr>
      </w:pPr>
      <w:r>
        <w:rPr>
          <w:rFonts w:ascii="Times New Roman" w:hAnsi="Times New Roman"/>
          <w:sz w:val="18"/>
          <w:szCs w:val="18"/>
        </w:rPr>
        <w:t>工程负责人：</w:t>
      </w:r>
      <w:r>
        <w:rPr>
          <w:rFonts w:ascii="Times New Roman" w:hAnsi="Times New Roman"/>
          <w:sz w:val="18"/>
          <w:szCs w:val="18"/>
          <w:u w:val="single"/>
        </w:rPr>
        <w:t xml:space="preserve">           </w:t>
      </w:r>
      <w:r>
        <w:rPr>
          <w:rFonts w:ascii="Times New Roman" w:hAnsi="Times New Roman"/>
          <w:sz w:val="18"/>
          <w:szCs w:val="18"/>
        </w:rPr>
        <w:t xml:space="preserve">                       </w:t>
      </w:r>
      <w:r>
        <w:rPr>
          <w:rFonts w:hint="eastAsia" w:ascii="Times New Roman" w:hAnsi="Times New Roman"/>
          <w:sz w:val="18"/>
          <w:szCs w:val="18"/>
        </w:rPr>
        <w:t xml:space="preserve">         </w:t>
      </w:r>
      <w:r>
        <w:rPr>
          <w:rFonts w:ascii="Times New Roman" w:hAnsi="Times New Roman"/>
          <w:sz w:val="18"/>
          <w:szCs w:val="18"/>
        </w:rPr>
        <w:t xml:space="preserve">             监理单位：</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黑体" w:hAnsi="黑体" w:eastAsia="黑体"/>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bookmarkStart w:id="127" w:name="_Toc33177715"/>
      <w:r>
        <w:rPr>
          <w:rFonts w:ascii="黑体" w:hAnsi="黑体" w:eastAsia="黑体"/>
          <w:kern w:val="0"/>
          <w:szCs w:val="21"/>
        </w:rPr>
        <w:t xml:space="preserve">附  录  </w:t>
      </w:r>
      <w:r>
        <w:rPr>
          <w:rFonts w:hint="eastAsia" w:ascii="黑体" w:hAnsi="黑体" w:eastAsia="黑体"/>
          <w:kern w:val="0"/>
          <w:szCs w:val="21"/>
        </w:rPr>
        <w:t>E</w:t>
      </w: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r>
        <w:rPr>
          <w:rFonts w:ascii="黑体" w:hAnsi="黑体" w:eastAsia="黑体"/>
          <w:kern w:val="0"/>
          <w:szCs w:val="21"/>
        </w:rPr>
        <w:t>（资料性附录）</w:t>
      </w:r>
      <w:bookmarkEnd w:id="119"/>
    </w:p>
    <w:p>
      <w:pPr>
        <w:keepNext/>
        <w:widowControl/>
        <w:shd w:val="clear" w:color="FFFFFF" w:fill="FFFFFF"/>
        <w:tabs>
          <w:tab w:val="left" w:pos="360"/>
          <w:tab w:val="left" w:pos="6405"/>
        </w:tabs>
        <w:jc w:val="center"/>
        <w:outlineLvl w:val="0"/>
        <w:rPr>
          <w:rFonts w:ascii="黑体" w:hAnsi="黑体" w:eastAsia="黑体"/>
          <w:kern w:val="0"/>
          <w:szCs w:val="21"/>
        </w:rPr>
      </w:pPr>
      <w:r>
        <w:rPr>
          <w:rFonts w:ascii="黑体" w:hAnsi="黑体" w:eastAsia="黑体"/>
          <w:kern w:val="0"/>
          <w:szCs w:val="21"/>
        </w:rPr>
        <w:t>地质灾害稳定性野外判定表</w:t>
      </w:r>
      <w:bookmarkEnd w:id="120"/>
      <w:bookmarkEnd w:id="121"/>
      <w:bookmarkEnd w:id="127"/>
    </w:p>
    <w:bookmarkEnd w:id="122"/>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附表</w:t>
      </w:r>
      <w:r>
        <w:rPr>
          <w:rFonts w:hint="eastAsia" w:ascii="黑体" w:hAnsi="黑体" w:eastAsia="黑体"/>
          <w:kern w:val="0"/>
          <w:szCs w:val="21"/>
        </w:rPr>
        <w:t>E</w:t>
      </w:r>
      <w:r>
        <w:rPr>
          <w:rFonts w:ascii="黑体" w:hAnsi="黑体" w:eastAsia="黑体"/>
          <w:kern w:val="0"/>
          <w:szCs w:val="21"/>
        </w:rPr>
        <w:t>-1</w:t>
      </w:r>
      <w:r>
        <w:rPr>
          <w:rFonts w:hint="eastAsia" w:ascii="黑体" w:hAnsi="黑体" w:eastAsia="黑体"/>
          <w:kern w:val="0"/>
          <w:szCs w:val="21"/>
        </w:rPr>
        <w:t xml:space="preserve">  </w:t>
      </w:r>
      <w:r>
        <w:rPr>
          <w:rFonts w:ascii="黑体" w:hAnsi="黑体" w:eastAsia="黑体"/>
          <w:kern w:val="0"/>
          <w:szCs w:val="21"/>
        </w:rPr>
        <w:t>滑坡稳定性判定依据</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3085"/>
        <w:gridCol w:w="2990"/>
        <w:gridCol w:w="2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tcBorders>
              <w:tl2br w:val="single" w:color="auto" w:sz="4" w:space="0"/>
            </w:tcBorders>
            <w:shd w:val="clear" w:color="auto" w:fill="auto"/>
            <w:vAlign w:val="center"/>
          </w:tcPr>
          <w:p>
            <w:pPr>
              <w:jc w:val="right"/>
              <w:rPr>
                <w:rFonts w:ascii="Times New Roman" w:hAnsi="Times New Roman"/>
                <w:bCs/>
                <w:kern w:val="0"/>
                <w:sz w:val="18"/>
                <w:szCs w:val="18"/>
              </w:rPr>
            </w:pPr>
            <w:r>
              <w:rPr>
                <w:rFonts w:ascii="Times New Roman" w:hAnsi="Times New Roman"/>
                <w:bCs/>
                <w:kern w:val="0"/>
                <w:sz w:val="18"/>
                <w:szCs w:val="18"/>
              </w:rPr>
              <w:t>稳定性</w:t>
            </w:r>
          </w:p>
          <w:p>
            <w:pPr>
              <w:jc w:val="left"/>
              <w:rPr>
                <w:rFonts w:ascii="Times New Roman" w:hAnsi="Times New Roman"/>
                <w:bCs/>
                <w:kern w:val="0"/>
                <w:sz w:val="18"/>
                <w:szCs w:val="18"/>
              </w:rPr>
            </w:pPr>
            <w:r>
              <w:rPr>
                <w:rFonts w:ascii="Times New Roman" w:hAnsi="Times New Roman"/>
                <w:bCs/>
                <w:kern w:val="0"/>
                <w:sz w:val="18"/>
                <w:szCs w:val="18"/>
              </w:rPr>
              <w:t>要素</w:t>
            </w:r>
          </w:p>
        </w:tc>
        <w:tc>
          <w:tcPr>
            <w:tcW w:w="1612"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不稳定</w:t>
            </w:r>
          </w:p>
        </w:tc>
        <w:tc>
          <w:tcPr>
            <w:tcW w:w="1562"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欠稳定</w:t>
            </w:r>
          </w:p>
        </w:tc>
        <w:tc>
          <w:tcPr>
            <w:tcW w:w="1154"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vAlign w:val="center"/>
          </w:tcPr>
          <w:p>
            <w:pPr>
              <w:jc w:val="left"/>
              <w:rPr>
                <w:rFonts w:ascii="Times New Roman" w:hAnsi="Times New Roman"/>
                <w:bCs/>
                <w:kern w:val="0"/>
                <w:sz w:val="18"/>
                <w:szCs w:val="18"/>
              </w:rPr>
            </w:pPr>
          </w:p>
        </w:tc>
        <w:tc>
          <w:tcPr>
            <w:tcW w:w="1612" w:type="pct"/>
            <w:vMerge w:val="continue"/>
            <w:vAlign w:val="center"/>
          </w:tcPr>
          <w:p>
            <w:pPr>
              <w:jc w:val="left"/>
              <w:rPr>
                <w:rFonts w:ascii="Times New Roman" w:hAnsi="Times New Roman"/>
                <w:bCs/>
                <w:kern w:val="0"/>
                <w:sz w:val="18"/>
                <w:szCs w:val="18"/>
              </w:rPr>
            </w:pPr>
          </w:p>
        </w:tc>
        <w:tc>
          <w:tcPr>
            <w:tcW w:w="1562" w:type="pct"/>
            <w:vMerge w:val="continue"/>
            <w:vAlign w:val="center"/>
          </w:tcPr>
          <w:p>
            <w:pPr>
              <w:jc w:val="left"/>
              <w:rPr>
                <w:rFonts w:ascii="Times New Roman" w:hAnsi="Times New Roman"/>
                <w:bCs/>
                <w:kern w:val="0"/>
                <w:sz w:val="18"/>
                <w:szCs w:val="18"/>
              </w:rPr>
            </w:pPr>
          </w:p>
        </w:tc>
        <w:tc>
          <w:tcPr>
            <w:tcW w:w="1154" w:type="pct"/>
            <w:vMerge w:val="continue"/>
            <w:vAlign w:val="center"/>
          </w:tcPr>
          <w:p>
            <w:pPr>
              <w:jc w:val="left"/>
              <w:rPr>
                <w:rFonts w:ascii="Times New Roman" w:hAnsi="Times New Roman"/>
                <w:bCs/>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滑坡前缘</w:t>
            </w:r>
          </w:p>
        </w:tc>
        <w:tc>
          <w:tcPr>
            <w:tcW w:w="1612"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滑坡前缘临空，坡度较陡且常处于地表迳流的冲刷之下，有发展趋势并有季节性泉水出露，岩土潮湿、饱水。</w:t>
            </w:r>
          </w:p>
        </w:tc>
        <w:tc>
          <w:tcPr>
            <w:tcW w:w="1562"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前缘临空，有间断季节性地表迳流流经，岩土体较湿，斜坡坡度在 30</w:t>
            </w:r>
            <w:r>
              <w:rPr>
                <w:rFonts w:hint="eastAsia" w:ascii="Times New Roman" w:hAnsi="Times New Roman"/>
                <w:kern w:val="0"/>
                <w:sz w:val="18"/>
                <w:szCs w:val="18"/>
              </w:rPr>
              <w:t>-</w:t>
            </w:r>
            <w:r>
              <w:rPr>
                <w:rFonts w:ascii="Times New Roman" w:hAnsi="Times New Roman"/>
                <w:kern w:val="0"/>
                <w:sz w:val="18"/>
                <w:szCs w:val="18"/>
              </w:rPr>
              <w:t xml:space="preserve">45°之间。 </w:t>
            </w:r>
          </w:p>
        </w:tc>
        <w:tc>
          <w:tcPr>
            <w:tcW w:w="1154"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前缘斜坡较缓，临空高差小，无地表迳流流经和继续变形的迹象，岩 土体干燥。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vAlign w:val="center"/>
          </w:tcPr>
          <w:p>
            <w:pPr>
              <w:jc w:val="left"/>
              <w:rPr>
                <w:rFonts w:ascii="Times New Roman" w:hAnsi="Times New Roman"/>
                <w:bCs/>
                <w:kern w:val="0"/>
                <w:sz w:val="18"/>
                <w:szCs w:val="18"/>
              </w:rPr>
            </w:pPr>
          </w:p>
        </w:tc>
        <w:tc>
          <w:tcPr>
            <w:tcW w:w="1612" w:type="pct"/>
            <w:vMerge w:val="continue"/>
            <w:vAlign w:val="center"/>
          </w:tcPr>
          <w:p>
            <w:pPr>
              <w:rPr>
                <w:rFonts w:ascii="Times New Roman" w:hAnsi="Times New Roman"/>
                <w:kern w:val="0"/>
                <w:sz w:val="18"/>
                <w:szCs w:val="18"/>
              </w:rPr>
            </w:pPr>
          </w:p>
        </w:tc>
        <w:tc>
          <w:tcPr>
            <w:tcW w:w="1562" w:type="pct"/>
            <w:vMerge w:val="continue"/>
            <w:vAlign w:val="center"/>
          </w:tcPr>
          <w:p>
            <w:pPr>
              <w:rPr>
                <w:rFonts w:ascii="Times New Roman" w:hAnsi="Times New Roman"/>
                <w:kern w:val="0"/>
                <w:sz w:val="18"/>
                <w:szCs w:val="18"/>
              </w:rPr>
            </w:pPr>
          </w:p>
        </w:tc>
        <w:tc>
          <w:tcPr>
            <w:tcW w:w="1154" w:type="pct"/>
            <w:vMerge w:val="continue"/>
            <w:vAlign w:val="center"/>
          </w:tcPr>
          <w:p>
            <w:pP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滑体</w:t>
            </w:r>
          </w:p>
        </w:tc>
        <w:tc>
          <w:tcPr>
            <w:tcW w:w="1612"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滑体平均坡度＞40°，坡面上有多条新发展的滑坡裂缝，其上建筑物、植被有新的变形迹象</w:t>
            </w:r>
            <w:r>
              <w:rPr>
                <w:rFonts w:hint="eastAsia" w:ascii="Times New Roman" w:hAnsi="Times New Roman"/>
                <w:kern w:val="0"/>
                <w:sz w:val="18"/>
                <w:szCs w:val="18"/>
              </w:rPr>
              <w:t>。</w:t>
            </w:r>
          </w:p>
        </w:tc>
        <w:tc>
          <w:tcPr>
            <w:tcW w:w="1562"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滑体平均坡度在25</w:t>
            </w:r>
            <w:r>
              <w:rPr>
                <w:rFonts w:hint="eastAsia" w:ascii="Times New Roman" w:hAnsi="Times New Roman"/>
                <w:kern w:val="0"/>
                <w:sz w:val="18"/>
                <w:szCs w:val="18"/>
              </w:rPr>
              <w:t>-</w:t>
            </w:r>
            <w:r>
              <w:rPr>
                <w:rFonts w:ascii="Times New Roman" w:hAnsi="Times New Roman"/>
                <w:kern w:val="0"/>
                <w:sz w:val="18"/>
                <w:szCs w:val="18"/>
              </w:rPr>
              <w:t>40°间，坡面上局部有小的裂缝，其上建筑物、植被无新的变形迹象。</w:t>
            </w:r>
          </w:p>
        </w:tc>
        <w:tc>
          <w:tcPr>
            <w:tcW w:w="1154"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滑体平均坡度＜25°，坡面上无裂缝发展，其上建筑物、植被未有新的变形迹象。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vAlign w:val="center"/>
          </w:tcPr>
          <w:p>
            <w:pPr>
              <w:jc w:val="left"/>
              <w:rPr>
                <w:rFonts w:ascii="Times New Roman" w:hAnsi="Times New Roman"/>
                <w:bCs/>
                <w:kern w:val="0"/>
                <w:sz w:val="18"/>
                <w:szCs w:val="18"/>
              </w:rPr>
            </w:pPr>
          </w:p>
        </w:tc>
        <w:tc>
          <w:tcPr>
            <w:tcW w:w="1612" w:type="pct"/>
            <w:vMerge w:val="continue"/>
            <w:vAlign w:val="center"/>
          </w:tcPr>
          <w:p>
            <w:pPr>
              <w:rPr>
                <w:rFonts w:ascii="Times New Roman" w:hAnsi="Times New Roman"/>
                <w:kern w:val="0"/>
                <w:sz w:val="18"/>
                <w:szCs w:val="18"/>
              </w:rPr>
            </w:pPr>
          </w:p>
        </w:tc>
        <w:tc>
          <w:tcPr>
            <w:tcW w:w="1562" w:type="pct"/>
            <w:vMerge w:val="continue"/>
            <w:vAlign w:val="center"/>
          </w:tcPr>
          <w:p>
            <w:pPr>
              <w:rPr>
                <w:rFonts w:ascii="Times New Roman" w:hAnsi="Times New Roman"/>
                <w:kern w:val="0"/>
                <w:sz w:val="18"/>
                <w:szCs w:val="18"/>
              </w:rPr>
            </w:pPr>
          </w:p>
        </w:tc>
        <w:tc>
          <w:tcPr>
            <w:tcW w:w="1154" w:type="pct"/>
            <w:vMerge w:val="continue"/>
            <w:vAlign w:val="center"/>
          </w:tcPr>
          <w:p>
            <w:pP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滑坡后缘</w:t>
            </w:r>
          </w:p>
        </w:tc>
        <w:tc>
          <w:tcPr>
            <w:tcW w:w="1612"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后缘壁上可见擦痕或有明显位移迹象，后缘有裂缝发育。</w:t>
            </w:r>
          </w:p>
        </w:tc>
        <w:tc>
          <w:tcPr>
            <w:tcW w:w="1562"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后缘有断续的小裂缝发育，后缘壁上变形迹象不明显。</w:t>
            </w:r>
          </w:p>
        </w:tc>
        <w:tc>
          <w:tcPr>
            <w:tcW w:w="1154"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后缘壁上无擦痕和明显位移迹象，原有的裂缝已被充填。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vAlign w:val="center"/>
          </w:tcPr>
          <w:p>
            <w:pPr>
              <w:jc w:val="left"/>
              <w:rPr>
                <w:rFonts w:ascii="Times New Roman" w:hAnsi="Times New Roman"/>
                <w:bCs/>
                <w:kern w:val="0"/>
                <w:sz w:val="18"/>
                <w:szCs w:val="18"/>
              </w:rPr>
            </w:pPr>
          </w:p>
        </w:tc>
        <w:tc>
          <w:tcPr>
            <w:tcW w:w="1612" w:type="pct"/>
            <w:vMerge w:val="continue"/>
            <w:vAlign w:val="center"/>
          </w:tcPr>
          <w:p>
            <w:pPr>
              <w:jc w:val="left"/>
              <w:rPr>
                <w:rFonts w:ascii="Times New Roman" w:hAnsi="Times New Roman"/>
                <w:kern w:val="0"/>
                <w:sz w:val="18"/>
                <w:szCs w:val="18"/>
              </w:rPr>
            </w:pPr>
          </w:p>
        </w:tc>
        <w:tc>
          <w:tcPr>
            <w:tcW w:w="1562" w:type="pct"/>
            <w:vMerge w:val="continue"/>
            <w:vAlign w:val="center"/>
          </w:tcPr>
          <w:p>
            <w:pPr>
              <w:jc w:val="left"/>
              <w:rPr>
                <w:rFonts w:ascii="Times New Roman" w:hAnsi="Times New Roman"/>
                <w:kern w:val="0"/>
                <w:sz w:val="18"/>
                <w:szCs w:val="18"/>
              </w:rPr>
            </w:pPr>
          </w:p>
        </w:tc>
        <w:tc>
          <w:tcPr>
            <w:tcW w:w="1154" w:type="pct"/>
            <w:vMerge w:val="continue"/>
            <w:vAlign w:val="center"/>
          </w:tcPr>
          <w:p>
            <w:pPr>
              <w:jc w:val="left"/>
              <w:rPr>
                <w:rFonts w:ascii="Times New Roman" w:hAnsi="Times New Roman"/>
                <w:kern w:val="0"/>
                <w:sz w:val="18"/>
                <w:szCs w:val="18"/>
              </w:rPr>
            </w:pPr>
          </w:p>
        </w:tc>
      </w:tr>
    </w:tbl>
    <w:p>
      <w:pPr>
        <w:widowControl/>
        <w:tabs>
          <w:tab w:val="left" w:pos="360"/>
        </w:tabs>
        <w:spacing w:before="120" w:beforeLines="50" w:after="120" w:afterLines="50"/>
        <w:jc w:val="center"/>
        <w:rPr>
          <w:rFonts w:ascii="黑体" w:hAnsi="黑体" w:eastAsia="黑体"/>
          <w:kern w:val="0"/>
          <w:szCs w:val="21"/>
        </w:r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附表</w:t>
      </w:r>
      <w:r>
        <w:rPr>
          <w:rFonts w:hint="eastAsia" w:ascii="黑体" w:hAnsi="黑体" w:eastAsia="黑体"/>
          <w:kern w:val="0"/>
          <w:szCs w:val="21"/>
        </w:rPr>
        <w:t>E</w:t>
      </w:r>
      <w:r>
        <w:rPr>
          <w:rFonts w:ascii="黑体" w:hAnsi="黑体" w:eastAsia="黑体"/>
          <w:kern w:val="0"/>
          <w:szCs w:val="21"/>
        </w:rPr>
        <w:t>-2</w:t>
      </w:r>
      <w:r>
        <w:rPr>
          <w:rFonts w:hint="eastAsia" w:ascii="黑体" w:hAnsi="黑体" w:eastAsia="黑体"/>
          <w:kern w:val="0"/>
          <w:szCs w:val="21"/>
        </w:rPr>
        <w:t xml:space="preserve">  </w:t>
      </w:r>
      <w:r>
        <w:rPr>
          <w:rFonts w:ascii="黑体" w:hAnsi="黑体" w:eastAsia="黑体"/>
          <w:kern w:val="0"/>
          <w:szCs w:val="21"/>
        </w:rPr>
        <w:t>危岩稳定性判定依据</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1"/>
        <w:gridCol w:w="2936"/>
        <w:gridCol w:w="2793"/>
        <w:gridCol w:w="1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8" w:type="pct"/>
            <w:vMerge w:val="restart"/>
            <w:tcBorders>
              <w:tl2br w:val="single" w:color="auto" w:sz="4" w:space="0"/>
            </w:tcBorders>
            <w:shd w:val="clear" w:color="auto" w:fill="auto"/>
            <w:vAlign w:val="center"/>
          </w:tcPr>
          <w:p>
            <w:pPr>
              <w:ind w:firstLine="878" w:firstLineChars="488"/>
              <w:jc w:val="left"/>
              <w:rPr>
                <w:rFonts w:ascii="Times New Roman" w:hAnsi="Times New Roman"/>
                <w:bCs/>
                <w:kern w:val="0"/>
                <w:sz w:val="18"/>
                <w:szCs w:val="18"/>
              </w:rPr>
            </w:pPr>
            <w:bookmarkStart w:id="128" w:name="page53"/>
            <w:bookmarkEnd w:id="128"/>
            <w:r>
              <w:rPr>
                <w:rFonts w:ascii="Times New Roman" w:hAnsi="Times New Roman"/>
                <w:bCs/>
                <w:kern w:val="0"/>
                <w:sz w:val="18"/>
                <w:szCs w:val="18"/>
              </w:rPr>
              <w:t>稳定性</w:t>
            </w:r>
          </w:p>
          <w:p>
            <w:pPr>
              <w:jc w:val="left"/>
              <w:rPr>
                <w:rFonts w:ascii="Times New Roman" w:hAnsi="Times New Roman"/>
                <w:bCs/>
                <w:kern w:val="0"/>
                <w:sz w:val="18"/>
                <w:szCs w:val="18"/>
              </w:rPr>
            </w:pPr>
            <w:r>
              <w:rPr>
                <w:rFonts w:ascii="Times New Roman" w:hAnsi="Times New Roman"/>
                <w:bCs/>
                <w:kern w:val="0"/>
                <w:sz w:val="18"/>
                <w:szCs w:val="18"/>
              </w:rPr>
              <w:t>要素</w:t>
            </w:r>
          </w:p>
        </w:tc>
        <w:tc>
          <w:tcPr>
            <w:tcW w:w="1534"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不稳定</w:t>
            </w:r>
          </w:p>
        </w:tc>
        <w:tc>
          <w:tcPr>
            <w:tcW w:w="1459"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欠稳定</w:t>
            </w:r>
          </w:p>
        </w:tc>
        <w:tc>
          <w:tcPr>
            <w:tcW w:w="1029"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8" w:type="pct"/>
            <w:vMerge w:val="continue"/>
            <w:vAlign w:val="center"/>
          </w:tcPr>
          <w:p>
            <w:pPr>
              <w:jc w:val="center"/>
              <w:rPr>
                <w:rFonts w:ascii="Times New Roman" w:hAnsi="Times New Roman"/>
                <w:bCs/>
                <w:kern w:val="0"/>
                <w:sz w:val="18"/>
                <w:szCs w:val="18"/>
              </w:rPr>
            </w:pPr>
          </w:p>
        </w:tc>
        <w:tc>
          <w:tcPr>
            <w:tcW w:w="1534" w:type="pct"/>
            <w:vMerge w:val="continue"/>
            <w:vAlign w:val="center"/>
          </w:tcPr>
          <w:p>
            <w:pPr>
              <w:jc w:val="center"/>
              <w:rPr>
                <w:rFonts w:ascii="Times New Roman" w:hAnsi="Times New Roman"/>
                <w:bCs/>
                <w:kern w:val="0"/>
                <w:sz w:val="18"/>
                <w:szCs w:val="18"/>
              </w:rPr>
            </w:pPr>
          </w:p>
        </w:tc>
        <w:tc>
          <w:tcPr>
            <w:tcW w:w="1459" w:type="pct"/>
            <w:vMerge w:val="continue"/>
            <w:vAlign w:val="center"/>
          </w:tcPr>
          <w:p>
            <w:pPr>
              <w:jc w:val="center"/>
              <w:rPr>
                <w:rFonts w:ascii="Times New Roman" w:hAnsi="Times New Roman"/>
                <w:bCs/>
                <w:kern w:val="0"/>
                <w:sz w:val="18"/>
                <w:szCs w:val="18"/>
              </w:rPr>
            </w:pPr>
          </w:p>
        </w:tc>
        <w:tc>
          <w:tcPr>
            <w:tcW w:w="1029" w:type="pct"/>
            <w:vMerge w:val="continue"/>
            <w:vAlign w:val="center"/>
          </w:tcPr>
          <w:p>
            <w:pPr>
              <w:jc w:val="center"/>
              <w:rPr>
                <w:rFonts w:ascii="Times New Roman" w:hAnsi="Times New Roman"/>
                <w:bCs/>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8" w:type="pct"/>
            <w:vMerge w:val="restart"/>
            <w:shd w:val="clear" w:color="auto" w:fill="auto"/>
            <w:vAlign w:val="center"/>
          </w:tcPr>
          <w:p>
            <w:pPr>
              <w:jc w:val="center"/>
              <w:rPr>
                <w:rFonts w:hint="eastAsia" w:ascii="Times New Roman" w:hAnsi="Times New Roman" w:eastAsia="宋体"/>
                <w:bCs/>
                <w:kern w:val="0"/>
                <w:sz w:val="18"/>
                <w:szCs w:val="18"/>
                <w:lang w:eastAsia="zh-CN"/>
              </w:rPr>
            </w:pPr>
            <w:r>
              <w:rPr>
                <w:rFonts w:ascii="Times New Roman" w:hAnsi="Times New Roman"/>
                <w:bCs/>
                <w:kern w:val="0"/>
                <w:sz w:val="18"/>
                <w:szCs w:val="18"/>
              </w:rPr>
              <w:t>主控结面</w:t>
            </w:r>
          </w:p>
          <w:p>
            <w:pPr>
              <w:jc w:val="center"/>
              <w:rPr>
                <w:rFonts w:ascii="Times New Roman" w:hAnsi="Times New Roman"/>
                <w:bCs/>
                <w:kern w:val="0"/>
                <w:sz w:val="18"/>
                <w:szCs w:val="18"/>
              </w:rPr>
            </w:pPr>
            <w:r>
              <w:rPr>
                <w:rFonts w:ascii="Times New Roman" w:hAnsi="Times New Roman"/>
                <w:bCs/>
                <w:kern w:val="0"/>
                <w:sz w:val="18"/>
                <w:szCs w:val="18"/>
              </w:rPr>
              <w:t>贯通情况</w:t>
            </w:r>
          </w:p>
        </w:tc>
        <w:tc>
          <w:tcPr>
            <w:tcW w:w="1534" w:type="pct"/>
            <w:vMerge w:val="restart"/>
            <w:shd w:val="clear" w:color="auto" w:fill="auto"/>
            <w:vAlign w:val="center"/>
          </w:tcPr>
          <w:p>
            <w:pPr>
              <w:jc w:val="center"/>
              <w:rPr>
                <w:rFonts w:ascii="Times New Roman" w:hAnsi="Times New Roman"/>
                <w:kern w:val="0"/>
                <w:sz w:val="18"/>
                <w:szCs w:val="18"/>
              </w:rPr>
            </w:pPr>
            <w:r>
              <w:rPr>
                <w:rFonts w:ascii="Times New Roman" w:hAnsi="Times New Roman"/>
                <w:kern w:val="0"/>
                <w:sz w:val="18"/>
                <w:szCs w:val="18"/>
              </w:rPr>
              <w:t>完全贯通</w:t>
            </w:r>
          </w:p>
        </w:tc>
        <w:tc>
          <w:tcPr>
            <w:tcW w:w="1459" w:type="pct"/>
            <w:vMerge w:val="restart"/>
            <w:shd w:val="clear" w:color="auto" w:fill="auto"/>
            <w:vAlign w:val="center"/>
          </w:tcPr>
          <w:p>
            <w:pPr>
              <w:jc w:val="center"/>
              <w:rPr>
                <w:rFonts w:ascii="Times New Roman" w:hAnsi="Times New Roman"/>
                <w:kern w:val="0"/>
                <w:sz w:val="18"/>
                <w:szCs w:val="18"/>
              </w:rPr>
            </w:pPr>
            <w:r>
              <w:rPr>
                <w:rFonts w:ascii="Times New Roman" w:hAnsi="Times New Roman"/>
                <w:kern w:val="0"/>
                <w:sz w:val="18"/>
                <w:szCs w:val="18"/>
              </w:rPr>
              <w:t>有发育迹象，但尚未贯通。</w:t>
            </w:r>
          </w:p>
        </w:tc>
        <w:tc>
          <w:tcPr>
            <w:tcW w:w="1029" w:type="pct"/>
            <w:vMerge w:val="restart"/>
            <w:shd w:val="clear" w:color="auto" w:fill="auto"/>
            <w:vAlign w:val="center"/>
          </w:tcPr>
          <w:p>
            <w:pPr>
              <w:jc w:val="center"/>
              <w:rPr>
                <w:rFonts w:ascii="Times New Roman" w:hAnsi="Times New Roman"/>
                <w:kern w:val="0"/>
                <w:sz w:val="18"/>
                <w:szCs w:val="18"/>
              </w:rPr>
            </w:pPr>
            <w:r>
              <w:rPr>
                <w:rFonts w:ascii="Times New Roman" w:hAnsi="Times New Roman"/>
                <w:kern w:val="0"/>
                <w:sz w:val="18"/>
                <w:szCs w:val="18"/>
              </w:rPr>
              <w:t>结构面不发育。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8" w:type="pct"/>
            <w:vMerge w:val="continue"/>
            <w:vAlign w:val="center"/>
          </w:tcPr>
          <w:p>
            <w:pPr>
              <w:jc w:val="center"/>
              <w:rPr>
                <w:rFonts w:ascii="Times New Roman" w:hAnsi="Times New Roman"/>
                <w:bCs/>
                <w:kern w:val="0"/>
                <w:sz w:val="18"/>
                <w:szCs w:val="18"/>
              </w:rPr>
            </w:pPr>
          </w:p>
        </w:tc>
        <w:tc>
          <w:tcPr>
            <w:tcW w:w="1534" w:type="pct"/>
            <w:vMerge w:val="continue"/>
            <w:vAlign w:val="center"/>
          </w:tcPr>
          <w:p>
            <w:pPr>
              <w:jc w:val="center"/>
              <w:rPr>
                <w:rFonts w:ascii="Times New Roman" w:hAnsi="Times New Roman"/>
                <w:kern w:val="0"/>
                <w:sz w:val="18"/>
                <w:szCs w:val="18"/>
              </w:rPr>
            </w:pPr>
          </w:p>
        </w:tc>
        <w:tc>
          <w:tcPr>
            <w:tcW w:w="1459" w:type="pct"/>
            <w:vMerge w:val="continue"/>
            <w:vAlign w:val="center"/>
          </w:tcPr>
          <w:p>
            <w:pPr>
              <w:jc w:val="center"/>
              <w:rPr>
                <w:rFonts w:ascii="Times New Roman" w:hAnsi="Times New Roman"/>
                <w:kern w:val="0"/>
                <w:sz w:val="18"/>
                <w:szCs w:val="18"/>
              </w:rPr>
            </w:pPr>
          </w:p>
        </w:tc>
        <w:tc>
          <w:tcPr>
            <w:tcW w:w="1029" w:type="pct"/>
            <w:vMerge w:val="continue"/>
            <w:vAlign w:val="center"/>
          </w:tcPr>
          <w:p>
            <w:pPr>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8"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坡体及其掉块情况</w:t>
            </w:r>
          </w:p>
        </w:tc>
        <w:tc>
          <w:tcPr>
            <w:tcW w:w="1534"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平均坡度＞40°，坡面上有多条新发展的裂缝，掉块频率高。</w:t>
            </w:r>
          </w:p>
        </w:tc>
        <w:tc>
          <w:tcPr>
            <w:tcW w:w="1459"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平均坡度在30-40°间，坡面上局部有的裂缝，偶有掉块。</w:t>
            </w:r>
          </w:p>
        </w:tc>
        <w:tc>
          <w:tcPr>
            <w:tcW w:w="1029"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平均坡度＜30°，坡面上无裂缝发展，无掉块。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8" w:type="pct"/>
            <w:vMerge w:val="continue"/>
            <w:vAlign w:val="center"/>
          </w:tcPr>
          <w:p>
            <w:pPr>
              <w:jc w:val="center"/>
              <w:rPr>
                <w:rFonts w:ascii="Times New Roman" w:hAnsi="Times New Roman"/>
                <w:bCs/>
                <w:kern w:val="0"/>
                <w:sz w:val="18"/>
                <w:szCs w:val="18"/>
              </w:rPr>
            </w:pPr>
          </w:p>
        </w:tc>
        <w:tc>
          <w:tcPr>
            <w:tcW w:w="1534" w:type="pct"/>
            <w:vMerge w:val="continue"/>
            <w:vAlign w:val="center"/>
          </w:tcPr>
          <w:p>
            <w:pPr>
              <w:rPr>
                <w:rFonts w:ascii="Times New Roman" w:hAnsi="Times New Roman"/>
                <w:kern w:val="0"/>
                <w:sz w:val="18"/>
                <w:szCs w:val="18"/>
              </w:rPr>
            </w:pPr>
          </w:p>
        </w:tc>
        <w:tc>
          <w:tcPr>
            <w:tcW w:w="1459" w:type="pct"/>
            <w:vMerge w:val="continue"/>
            <w:vAlign w:val="center"/>
          </w:tcPr>
          <w:p>
            <w:pPr>
              <w:rPr>
                <w:rFonts w:ascii="Times New Roman" w:hAnsi="Times New Roman"/>
                <w:kern w:val="0"/>
                <w:sz w:val="18"/>
                <w:szCs w:val="18"/>
              </w:rPr>
            </w:pPr>
          </w:p>
        </w:tc>
        <w:tc>
          <w:tcPr>
            <w:tcW w:w="1029" w:type="pct"/>
            <w:vMerge w:val="continue"/>
            <w:vAlign w:val="center"/>
          </w:tcPr>
          <w:p>
            <w:pP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8"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基座</w:t>
            </w:r>
          </w:p>
        </w:tc>
        <w:tc>
          <w:tcPr>
            <w:tcW w:w="1534"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基座为软弱岩层，已形成凹岩腔。</w:t>
            </w:r>
          </w:p>
        </w:tc>
        <w:tc>
          <w:tcPr>
            <w:tcW w:w="1459"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基座为软弱岩层，已开始风化，但尚未形成明显凹岩腔。</w:t>
            </w:r>
          </w:p>
        </w:tc>
        <w:tc>
          <w:tcPr>
            <w:tcW w:w="1029" w:type="pct"/>
            <w:vMerge w:val="restart"/>
            <w:shd w:val="clear" w:color="auto" w:fill="auto"/>
            <w:vAlign w:val="center"/>
          </w:tcPr>
          <w:p>
            <w:pPr>
              <w:rPr>
                <w:rFonts w:ascii="Times New Roman" w:hAnsi="Times New Roman"/>
                <w:kern w:val="0"/>
                <w:sz w:val="18"/>
                <w:szCs w:val="18"/>
              </w:rPr>
            </w:pPr>
            <w:r>
              <w:rPr>
                <w:rFonts w:ascii="Times New Roman" w:hAnsi="Times New Roman"/>
                <w:kern w:val="0"/>
                <w:sz w:val="18"/>
                <w:szCs w:val="18"/>
              </w:rPr>
              <w:t>基座为软弱岩层，但尚未开始风化。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8" w:type="pct"/>
            <w:vMerge w:val="continue"/>
            <w:vAlign w:val="center"/>
          </w:tcPr>
          <w:p>
            <w:pPr>
              <w:jc w:val="center"/>
              <w:rPr>
                <w:rFonts w:ascii="Times New Roman" w:hAnsi="Times New Roman"/>
                <w:bCs/>
                <w:kern w:val="0"/>
                <w:sz w:val="18"/>
                <w:szCs w:val="18"/>
              </w:rPr>
            </w:pPr>
          </w:p>
        </w:tc>
        <w:tc>
          <w:tcPr>
            <w:tcW w:w="1534" w:type="pct"/>
            <w:vMerge w:val="continue"/>
            <w:vAlign w:val="center"/>
          </w:tcPr>
          <w:p>
            <w:pPr>
              <w:jc w:val="center"/>
              <w:rPr>
                <w:rFonts w:ascii="Times New Roman" w:hAnsi="Times New Roman"/>
                <w:kern w:val="0"/>
                <w:sz w:val="18"/>
                <w:szCs w:val="18"/>
              </w:rPr>
            </w:pPr>
          </w:p>
        </w:tc>
        <w:tc>
          <w:tcPr>
            <w:tcW w:w="1459" w:type="pct"/>
            <w:vMerge w:val="continue"/>
            <w:vAlign w:val="center"/>
          </w:tcPr>
          <w:p>
            <w:pPr>
              <w:jc w:val="center"/>
              <w:rPr>
                <w:rFonts w:ascii="Times New Roman" w:hAnsi="Times New Roman"/>
                <w:kern w:val="0"/>
                <w:sz w:val="18"/>
                <w:szCs w:val="18"/>
              </w:rPr>
            </w:pPr>
          </w:p>
        </w:tc>
        <w:tc>
          <w:tcPr>
            <w:tcW w:w="1029" w:type="pct"/>
            <w:vMerge w:val="continue"/>
            <w:vAlign w:val="center"/>
          </w:tcPr>
          <w:p>
            <w:pPr>
              <w:jc w:val="center"/>
              <w:rPr>
                <w:rFonts w:ascii="Times New Roman" w:hAnsi="Times New Roman"/>
                <w:kern w:val="0"/>
                <w:sz w:val="18"/>
                <w:szCs w:val="18"/>
              </w:rPr>
            </w:pPr>
          </w:p>
        </w:tc>
      </w:tr>
    </w:tbl>
    <w:p>
      <w:pPr>
        <w:widowControl/>
        <w:tabs>
          <w:tab w:val="left" w:pos="360"/>
        </w:tabs>
        <w:spacing w:before="120" w:beforeLines="50" w:after="120" w:afterLines="50"/>
        <w:jc w:val="center"/>
        <w:rPr>
          <w:rFonts w:ascii="黑体" w:hAnsi="黑体" w:eastAsia="黑体"/>
          <w:kern w:val="0"/>
          <w:szCs w:val="21"/>
        </w:r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附表</w:t>
      </w:r>
      <w:r>
        <w:rPr>
          <w:rFonts w:hint="eastAsia" w:ascii="黑体" w:hAnsi="黑体" w:eastAsia="黑体"/>
          <w:kern w:val="0"/>
          <w:szCs w:val="21"/>
        </w:rPr>
        <w:t>E</w:t>
      </w:r>
      <w:r>
        <w:rPr>
          <w:rFonts w:ascii="黑体" w:hAnsi="黑体" w:eastAsia="黑体"/>
          <w:kern w:val="0"/>
          <w:szCs w:val="21"/>
        </w:rPr>
        <w:t>-3</w:t>
      </w:r>
      <w:r>
        <w:rPr>
          <w:rFonts w:hint="eastAsia" w:ascii="黑体" w:hAnsi="黑体" w:eastAsia="黑体"/>
          <w:kern w:val="0"/>
          <w:szCs w:val="21"/>
        </w:rPr>
        <w:t xml:space="preserve">  </w:t>
      </w:r>
      <w:r>
        <w:rPr>
          <w:rFonts w:ascii="黑体" w:hAnsi="黑体" w:eastAsia="黑体"/>
          <w:kern w:val="0"/>
          <w:szCs w:val="21"/>
        </w:rPr>
        <w:t>泥石流灾害分期及野外稳定性判定依据</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2362"/>
        <w:gridCol w:w="2362"/>
        <w:gridCol w:w="1920"/>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restart"/>
            <w:shd w:val="clear" w:color="auto" w:fill="auto"/>
            <w:vAlign w:val="center"/>
          </w:tcPr>
          <w:p>
            <w:pPr>
              <w:contextualSpacing/>
              <w:jc w:val="center"/>
              <w:rPr>
                <w:rFonts w:ascii="宋体" w:hAnsi="宋体"/>
                <w:bCs/>
                <w:kern w:val="0"/>
                <w:sz w:val="18"/>
                <w:szCs w:val="18"/>
              </w:rPr>
            </w:pPr>
            <w:r>
              <w:rPr>
                <w:rFonts w:ascii="宋体" w:hAnsi="宋体"/>
                <w:bCs/>
                <w:kern w:val="0"/>
                <w:sz w:val="18"/>
                <w:szCs w:val="18"/>
              </w:rPr>
              <w:t>稳定性</w:t>
            </w:r>
          </w:p>
        </w:tc>
        <w:tc>
          <w:tcPr>
            <w:tcW w:w="1234" w:type="pct"/>
            <w:vMerge w:val="restart"/>
            <w:shd w:val="clear" w:color="auto" w:fill="auto"/>
            <w:vAlign w:val="center"/>
          </w:tcPr>
          <w:p>
            <w:pPr>
              <w:contextualSpacing/>
              <w:jc w:val="center"/>
              <w:rPr>
                <w:rFonts w:ascii="宋体" w:hAnsi="宋体"/>
                <w:bCs/>
                <w:kern w:val="0"/>
                <w:sz w:val="18"/>
                <w:szCs w:val="18"/>
              </w:rPr>
            </w:pPr>
            <w:r>
              <w:rPr>
                <w:rFonts w:ascii="宋体" w:hAnsi="宋体"/>
                <w:bCs/>
                <w:kern w:val="0"/>
                <w:sz w:val="18"/>
                <w:szCs w:val="18"/>
              </w:rPr>
              <w:t>不稳定</w:t>
            </w:r>
          </w:p>
        </w:tc>
        <w:tc>
          <w:tcPr>
            <w:tcW w:w="1234" w:type="pct"/>
            <w:vMerge w:val="restart"/>
            <w:shd w:val="clear" w:color="auto" w:fill="auto"/>
            <w:vAlign w:val="center"/>
          </w:tcPr>
          <w:p>
            <w:pPr>
              <w:contextualSpacing/>
              <w:jc w:val="center"/>
              <w:rPr>
                <w:rFonts w:ascii="宋体" w:hAnsi="宋体"/>
                <w:bCs/>
                <w:kern w:val="0"/>
                <w:sz w:val="18"/>
                <w:szCs w:val="18"/>
              </w:rPr>
            </w:pPr>
            <w:r>
              <w:rPr>
                <w:rFonts w:ascii="宋体" w:hAnsi="宋体"/>
                <w:bCs/>
                <w:kern w:val="0"/>
                <w:sz w:val="18"/>
                <w:szCs w:val="18"/>
              </w:rPr>
              <w:t>不稳定</w:t>
            </w:r>
          </w:p>
        </w:tc>
        <w:tc>
          <w:tcPr>
            <w:tcW w:w="1003" w:type="pct"/>
            <w:vMerge w:val="restart"/>
            <w:shd w:val="clear" w:color="auto" w:fill="auto"/>
            <w:vAlign w:val="center"/>
          </w:tcPr>
          <w:p>
            <w:pPr>
              <w:contextualSpacing/>
              <w:jc w:val="center"/>
              <w:rPr>
                <w:rFonts w:ascii="宋体" w:hAnsi="宋体"/>
                <w:bCs/>
                <w:kern w:val="0"/>
                <w:sz w:val="18"/>
                <w:szCs w:val="18"/>
              </w:rPr>
            </w:pPr>
            <w:r>
              <w:rPr>
                <w:rFonts w:ascii="宋体" w:hAnsi="宋体"/>
                <w:bCs/>
                <w:kern w:val="0"/>
                <w:sz w:val="18"/>
                <w:szCs w:val="18"/>
              </w:rPr>
              <w:t>欠稳定</w:t>
            </w:r>
          </w:p>
        </w:tc>
        <w:tc>
          <w:tcPr>
            <w:tcW w:w="1004" w:type="pct"/>
            <w:vMerge w:val="restart"/>
            <w:shd w:val="clear" w:color="auto" w:fill="auto"/>
            <w:vAlign w:val="center"/>
          </w:tcPr>
          <w:p>
            <w:pPr>
              <w:contextualSpacing/>
              <w:jc w:val="center"/>
              <w:rPr>
                <w:rFonts w:ascii="宋体" w:hAnsi="宋体"/>
                <w:bCs/>
                <w:kern w:val="0"/>
                <w:sz w:val="18"/>
                <w:szCs w:val="18"/>
              </w:rPr>
            </w:pPr>
            <w:r>
              <w:rPr>
                <w:rFonts w:ascii="宋体" w:hAnsi="宋体"/>
                <w:bCs/>
                <w:kern w:val="0"/>
                <w:sz w:val="18"/>
                <w:szCs w:val="18"/>
              </w:rPr>
              <w:t>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vAlign w:val="center"/>
          </w:tcPr>
          <w:p>
            <w:pPr>
              <w:contextualSpacing/>
              <w:jc w:val="center"/>
              <w:rPr>
                <w:rFonts w:ascii="宋体" w:hAnsi="宋体"/>
                <w:bCs/>
                <w:kern w:val="0"/>
                <w:sz w:val="18"/>
                <w:szCs w:val="18"/>
              </w:rPr>
            </w:pPr>
          </w:p>
        </w:tc>
        <w:tc>
          <w:tcPr>
            <w:tcW w:w="1234" w:type="pct"/>
            <w:vMerge w:val="continue"/>
            <w:vAlign w:val="center"/>
          </w:tcPr>
          <w:p>
            <w:pPr>
              <w:contextualSpacing/>
              <w:jc w:val="center"/>
              <w:rPr>
                <w:rFonts w:ascii="宋体" w:hAnsi="宋体"/>
                <w:bCs/>
                <w:kern w:val="0"/>
                <w:sz w:val="18"/>
                <w:szCs w:val="18"/>
              </w:rPr>
            </w:pPr>
          </w:p>
        </w:tc>
        <w:tc>
          <w:tcPr>
            <w:tcW w:w="1234" w:type="pct"/>
            <w:vMerge w:val="continue"/>
            <w:vAlign w:val="center"/>
          </w:tcPr>
          <w:p>
            <w:pPr>
              <w:contextualSpacing/>
              <w:jc w:val="center"/>
              <w:rPr>
                <w:rFonts w:ascii="宋体" w:hAnsi="宋体"/>
                <w:bCs/>
                <w:kern w:val="0"/>
                <w:sz w:val="18"/>
                <w:szCs w:val="18"/>
              </w:rPr>
            </w:pPr>
          </w:p>
        </w:tc>
        <w:tc>
          <w:tcPr>
            <w:tcW w:w="1003" w:type="pct"/>
            <w:vMerge w:val="continue"/>
            <w:vAlign w:val="center"/>
          </w:tcPr>
          <w:p>
            <w:pPr>
              <w:contextualSpacing/>
              <w:jc w:val="center"/>
              <w:rPr>
                <w:rFonts w:ascii="宋体" w:hAnsi="宋体"/>
                <w:bCs/>
                <w:kern w:val="0"/>
                <w:sz w:val="18"/>
                <w:szCs w:val="18"/>
              </w:rPr>
            </w:pPr>
          </w:p>
        </w:tc>
        <w:tc>
          <w:tcPr>
            <w:tcW w:w="1004" w:type="pct"/>
            <w:vMerge w:val="continue"/>
            <w:vAlign w:val="center"/>
          </w:tcPr>
          <w:p>
            <w:pPr>
              <w:contextualSpacing/>
              <w:jc w:val="center"/>
              <w:rPr>
                <w:rFonts w:ascii="宋体" w:hAnsi="宋体"/>
                <w:bCs/>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restart"/>
            <w:shd w:val="clear" w:color="auto" w:fill="auto"/>
            <w:vAlign w:val="center"/>
          </w:tcPr>
          <w:p>
            <w:pPr>
              <w:contextualSpacing/>
              <w:jc w:val="center"/>
              <w:rPr>
                <w:rFonts w:ascii="宋体" w:hAnsi="宋体"/>
                <w:bCs/>
                <w:kern w:val="0"/>
                <w:sz w:val="18"/>
                <w:szCs w:val="18"/>
              </w:rPr>
            </w:pPr>
            <w:r>
              <w:rPr>
                <w:rFonts w:ascii="宋体" w:hAnsi="宋体"/>
                <w:bCs/>
                <w:kern w:val="0"/>
                <w:sz w:val="18"/>
                <w:szCs w:val="18"/>
              </w:rPr>
              <w:t>发育阶段</w:t>
            </w:r>
          </w:p>
        </w:tc>
        <w:tc>
          <w:tcPr>
            <w:tcW w:w="1234" w:type="pct"/>
            <w:vMerge w:val="restart"/>
            <w:shd w:val="clear" w:color="auto" w:fill="auto"/>
            <w:vAlign w:val="center"/>
          </w:tcPr>
          <w:p>
            <w:pPr>
              <w:contextualSpacing/>
              <w:jc w:val="center"/>
              <w:rPr>
                <w:rFonts w:ascii="宋体" w:hAnsi="宋体"/>
                <w:kern w:val="0"/>
                <w:sz w:val="18"/>
                <w:szCs w:val="18"/>
              </w:rPr>
            </w:pPr>
            <w:r>
              <w:rPr>
                <w:rFonts w:ascii="宋体" w:hAnsi="宋体"/>
                <w:kern w:val="0"/>
                <w:sz w:val="18"/>
                <w:szCs w:val="18"/>
              </w:rPr>
              <w:t>发展期</w:t>
            </w:r>
          </w:p>
        </w:tc>
        <w:tc>
          <w:tcPr>
            <w:tcW w:w="1234" w:type="pct"/>
            <w:vMerge w:val="restart"/>
            <w:shd w:val="clear" w:color="auto" w:fill="auto"/>
            <w:vAlign w:val="center"/>
          </w:tcPr>
          <w:p>
            <w:pPr>
              <w:contextualSpacing/>
              <w:jc w:val="center"/>
              <w:rPr>
                <w:rFonts w:ascii="宋体" w:hAnsi="宋体"/>
                <w:kern w:val="0"/>
                <w:sz w:val="18"/>
                <w:szCs w:val="18"/>
              </w:rPr>
            </w:pPr>
            <w:r>
              <w:rPr>
                <w:rFonts w:ascii="宋体" w:hAnsi="宋体"/>
                <w:kern w:val="0"/>
                <w:sz w:val="18"/>
                <w:szCs w:val="18"/>
              </w:rPr>
              <w:t>旺盛期</w:t>
            </w:r>
          </w:p>
        </w:tc>
        <w:tc>
          <w:tcPr>
            <w:tcW w:w="1003" w:type="pct"/>
            <w:vMerge w:val="restart"/>
            <w:shd w:val="clear" w:color="auto" w:fill="auto"/>
            <w:vAlign w:val="center"/>
          </w:tcPr>
          <w:p>
            <w:pPr>
              <w:contextualSpacing/>
              <w:jc w:val="center"/>
              <w:rPr>
                <w:rFonts w:ascii="宋体" w:hAnsi="宋体"/>
                <w:kern w:val="0"/>
                <w:sz w:val="18"/>
                <w:szCs w:val="18"/>
              </w:rPr>
            </w:pPr>
            <w:r>
              <w:rPr>
                <w:rFonts w:ascii="宋体" w:hAnsi="宋体"/>
                <w:kern w:val="0"/>
                <w:sz w:val="18"/>
                <w:szCs w:val="18"/>
              </w:rPr>
              <w:t>衰退期</w:t>
            </w:r>
          </w:p>
        </w:tc>
        <w:tc>
          <w:tcPr>
            <w:tcW w:w="1004" w:type="pct"/>
            <w:vMerge w:val="restart"/>
            <w:shd w:val="clear" w:color="auto" w:fill="auto"/>
            <w:vAlign w:val="center"/>
          </w:tcPr>
          <w:p>
            <w:pPr>
              <w:contextualSpacing/>
              <w:jc w:val="center"/>
              <w:rPr>
                <w:rFonts w:ascii="宋体" w:hAnsi="宋体"/>
                <w:kern w:val="0"/>
                <w:sz w:val="18"/>
                <w:szCs w:val="18"/>
              </w:rPr>
            </w:pPr>
            <w:r>
              <w:rPr>
                <w:rFonts w:ascii="宋体" w:hAnsi="宋体"/>
                <w:kern w:val="0"/>
                <w:sz w:val="18"/>
                <w:szCs w:val="18"/>
              </w:rPr>
              <w:t>停歇期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vAlign w:val="center"/>
          </w:tcPr>
          <w:p>
            <w:pPr>
              <w:contextualSpacing/>
              <w:jc w:val="center"/>
              <w:rPr>
                <w:rFonts w:ascii="宋体" w:hAnsi="宋体"/>
                <w:bCs/>
                <w:kern w:val="0"/>
                <w:sz w:val="18"/>
                <w:szCs w:val="18"/>
              </w:rPr>
            </w:pPr>
          </w:p>
        </w:tc>
        <w:tc>
          <w:tcPr>
            <w:tcW w:w="1234" w:type="pct"/>
            <w:vMerge w:val="continue"/>
            <w:vAlign w:val="center"/>
          </w:tcPr>
          <w:p>
            <w:pPr>
              <w:contextualSpacing/>
              <w:jc w:val="center"/>
              <w:rPr>
                <w:rFonts w:ascii="宋体" w:hAnsi="宋体"/>
                <w:kern w:val="0"/>
                <w:sz w:val="18"/>
                <w:szCs w:val="18"/>
              </w:rPr>
            </w:pPr>
          </w:p>
        </w:tc>
        <w:tc>
          <w:tcPr>
            <w:tcW w:w="1234" w:type="pct"/>
            <w:vMerge w:val="continue"/>
            <w:vAlign w:val="center"/>
          </w:tcPr>
          <w:p>
            <w:pPr>
              <w:contextualSpacing/>
              <w:jc w:val="center"/>
              <w:rPr>
                <w:rFonts w:ascii="宋体" w:hAnsi="宋体"/>
                <w:kern w:val="0"/>
                <w:sz w:val="18"/>
                <w:szCs w:val="18"/>
              </w:rPr>
            </w:pPr>
          </w:p>
        </w:tc>
        <w:tc>
          <w:tcPr>
            <w:tcW w:w="1003" w:type="pct"/>
            <w:vMerge w:val="continue"/>
            <w:vAlign w:val="center"/>
          </w:tcPr>
          <w:p>
            <w:pPr>
              <w:contextualSpacing/>
              <w:jc w:val="center"/>
              <w:rPr>
                <w:rFonts w:ascii="宋体" w:hAnsi="宋体"/>
                <w:kern w:val="0"/>
                <w:sz w:val="18"/>
                <w:szCs w:val="18"/>
              </w:rPr>
            </w:pPr>
          </w:p>
        </w:tc>
        <w:tc>
          <w:tcPr>
            <w:tcW w:w="1004" w:type="pct"/>
            <w:vMerge w:val="continue"/>
            <w:vAlign w:val="center"/>
          </w:tcPr>
          <w:p>
            <w:pPr>
              <w:contextualSpacing/>
              <w:jc w:val="center"/>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restart"/>
            <w:shd w:val="clear" w:color="auto" w:fill="auto"/>
            <w:vAlign w:val="center"/>
          </w:tcPr>
          <w:p>
            <w:pPr>
              <w:contextualSpacing/>
              <w:jc w:val="center"/>
              <w:rPr>
                <w:rFonts w:ascii="宋体" w:hAnsi="宋体"/>
                <w:bCs/>
                <w:kern w:val="0"/>
                <w:sz w:val="18"/>
                <w:szCs w:val="18"/>
              </w:rPr>
            </w:pPr>
            <w:r>
              <w:rPr>
                <w:rFonts w:ascii="宋体" w:hAnsi="宋体"/>
                <w:bCs/>
                <w:kern w:val="0"/>
                <w:sz w:val="18"/>
                <w:szCs w:val="18"/>
              </w:rPr>
              <w:t>形态特征</w:t>
            </w:r>
          </w:p>
        </w:tc>
        <w:tc>
          <w:tcPr>
            <w:tcW w:w="1234"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山坡以凸型为主，形成区分散，并见逐步扩大，流通区较短，扇面新鲜，淤积较快。</w:t>
            </w:r>
          </w:p>
        </w:tc>
        <w:tc>
          <w:tcPr>
            <w:tcW w:w="1234"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山坡从凸型坡转为凹形坡，沟槽堆积和堵塞现象严重，形成区扩大，流通区向上延伸，扇面新鲜，漫流现象严重。</w:t>
            </w:r>
          </w:p>
        </w:tc>
        <w:tc>
          <w:tcPr>
            <w:tcW w:w="1003"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山坡以凹型为主，形成区减少，流通区向上延伸，沟槽逐渐下切，扇面陈旧，生长植物，植被较好。</w:t>
            </w:r>
          </w:p>
        </w:tc>
        <w:tc>
          <w:tcPr>
            <w:tcW w:w="1004"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全沟下切，沟槽稳定，形成区基本消失，逐渐变为普通洪流，植被良好。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vAlign w:val="center"/>
          </w:tcPr>
          <w:p>
            <w:pPr>
              <w:contextualSpacing/>
              <w:jc w:val="center"/>
              <w:rPr>
                <w:rFonts w:ascii="宋体" w:hAnsi="宋体"/>
                <w:bCs/>
                <w:kern w:val="0"/>
                <w:sz w:val="18"/>
                <w:szCs w:val="18"/>
              </w:rPr>
            </w:pPr>
          </w:p>
        </w:tc>
        <w:tc>
          <w:tcPr>
            <w:tcW w:w="1234" w:type="pct"/>
            <w:vMerge w:val="continue"/>
            <w:vAlign w:val="center"/>
          </w:tcPr>
          <w:p>
            <w:pPr>
              <w:contextualSpacing/>
              <w:rPr>
                <w:rFonts w:ascii="宋体" w:hAnsi="宋体"/>
                <w:kern w:val="0"/>
                <w:sz w:val="18"/>
                <w:szCs w:val="18"/>
              </w:rPr>
            </w:pPr>
          </w:p>
        </w:tc>
        <w:tc>
          <w:tcPr>
            <w:tcW w:w="1234" w:type="pct"/>
            <w:vMerge w:val="continue"/>
            <w:vAlign w:val="center"/>
          </w:tcPr>
          <w:p>
            <w:pPr>
              <w:contextualSpacing/>
              <w:rPr>
                <w:rFonts w:ascii="宋体" w:hAnsi="宋体"/>
                <w:kern w:val="0"/>
                <w:sz w:val="18"/>
                <w:szCs w:val="18"/>
              </w:rPr>
            </w:pPr>
          </w:p>
        </w:tc>
        <w:tc>
          <w:tcPr>
            <w:tcW w:w="1003" w:type="pct"/>
            <w:vMerge w:val="continue"/>
            <w:vAlign w:val="center"/>
          </w:tcPr>
          <w:p>
            <w:pPr>
              <w:contextualSpacing/>
              <w:rPr>
                <w:rFonts w:ascii="宋体" w:hAnsi="宋体"/>
                <w:kern w:val="0"/>
                <w:sz w:val="18"/>
                <w:szCs w:val="18"/>
              </w:rPr>
            </w:pPr>
          </w:p>
        </w:tc>
        <w:tc>
          <w:tcPr>
            <w:tcW w:w="1004" w:type="pct"/>
            <w:vMerge w:val="continue"/>
            <w:vAlign w:val="center"/>
          </w:tcPr>
          <w:p>
            <w:pPr>
              <w:contextualSpacing/>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restart"/>
            <w:shd w:val="clear" w:color="auto" w:fill="auto"/>
            <w:vAlign w:val="center"/>
          </w:tcPr>
          <w:p>
            <w:pPr>
              <w:contextualSpacing/>
              <w:jc w:val="center"/>
              <w:rPr>
                <w:rFonts w:ascii="宋体" w:hAnsi="宋体"/>
                <w:bCs/>
                <w:kern w:val="0"/>
                <w:sz w:val="18"/>
                <w:szCs w:val="18"/>
              </w:rPr>
            </w:pPr>
            <w:r>
              <w:rPr>
                <w:rFonts w:ascii="宋体" w:hAnsi="宋体"/>
                <w:bCs/>
                <w:kern w:val="0"/>
                <w:sz w:val="18"/>
                <w:szCs w:val="18"/>
              </w:rPr>
              <w:t>不良地质现象发育程度</w:t>
            </w:r>
          </w:p>
        </w:tc>
        <w:tc>
          <w:tcPr>
            <w:tcW w:w="1234"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发展明显，多见新生沟谷，有少量滑坡、崩塌等。</w:t>
            </w:r>
          </w:p>
        </w:tc>
        <w:tc>
          <w:tcPr>
            <w:tcW w:w="1234"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严重发育，供给物主要来自崩塌、滑坡、错落等，片蚀、侧蚀也很发育。</w:t>
            </w:r>
          </w:p>
        </w:tc>
        <w:tc>
          <w:tcPr>
            <w:tcW w:w="1003"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明显衰退，坍塌渐趋稳定，以沟槽搬运及侧蚀供给为主。</w:t>
            </w:r>
          </w:p>
        </w:tc>
        <w:tc>
          <w:tcPr>
            <w:tcW w:w="1004"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山坡块体运动基本消失。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vAlign w:val="center"/>
          </w:tcPr>
          <w:p>
            <w:pPr>
              <w:contextualSpacing/>
              <w:jc w:val="center"/>
              <w:rPr>
                <w:rFonts w:ascii="宋体" w:hAnsi="宋体"/>
                <w:bCs/>
                <w:kern w:val="0"/>
                <w:sz w:val="18"/>
                <w:szCs w:val="18"/>
              </w:rPr>
            </w:pPr>
          </w:p>
        </w:tc>
        <w:tc>
          <w:tcPr>
            <w:tcW w:w="1234" w:type="pct"/>
            <w:vMerge w:val="continue"/>
            <w:vAlign w:val="center"/>
          </w:tcPr>
          <w:p>
            <w:pPr>
              <w:contextualSpacing/>
              <w:jc w:val="center"/>
              <w:rPr>
                <w:rFonts w:ascii="宋体" w:hAnsi="宋体"/>
                <w:kern w:val="0"/>
                <w:sz w:val="18"/>
                <w:szCs w:val="18"/>
              </w:rPr>
            </w:pPr>
          </w:p>
        </w:tc>
        <w:tc>
          <w:tcPr>
            <w:tcW w:w="1234" w:type="pct"/>
            <w:vMerge w:val="continue"/>
            <w:vAlign w:val="center"/>
          </w:tcPr>
          <w:p>
            <w:pPr>
              <w:contextualSpacing/>
              <w:jc w:val="center"/>
              <w:rPr>
                <w:rFonts w:ascii="宋体" w:hAnsi="宋体"/>
                <w:kern w:val="0"/>
                <w:sz w:val="18"/>
                <w:szCs w:val="18"/>
              </w:rPr>
            </w:pPr>
          </w:p>
        </w:tc>
        <w:tc>
          <w:tcPr>
            <w:tcW w:w="1003" w:type="pct"/>
            <w:vMerge w:val="continue"/>
            <w:vAlign w:val="center"/>
          </w:tcPr>
          <w:p>
            <w:pPr>
              <w:contextualSpacing/>
              <w:jc w:val="center"/>
              <w:rPr>
                <w:rFonts w:ascii="宋体" w:hAnsi="宋体"/>
                <w:kern w:val="0"/>
                <w:sz w:val="18"/>
                <w:szCs w:val="18"/>
              </w:rPr>
            </w:pPr>
          </w:p>
        </w:tc>
        <w:tc>
          <w:tcPr>
            <w:tcW w:w="1004" w:type="pct"/>
            <w:vMerge w:val="continue"/>
            <w:vAlign w:val="center"/>
          </w:tcPr>
          <w:p>
            <w:pPr>
              <w:contextualSpacing/>
              <w:jc w:val="center"/>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restart"/>
            <w:shd w:val="clear" w:color="auto" w:fill="auto"/>
            <w:vAlign w:val="center"/>
          </w:tcPr>
          <w:p>
            <w:pPr>
              <w:contextualSpacing/>
              <w:jc w:val="center"/>
              <w:rPr>
                <w:rFonts w:ascii="宋体" w:hAnsi="宋体"/>
                <w:bCs/>
                <w:kern w:val="0"/>
                <w:sz w:val="18"/>
                <w:szCs w:val="18"/>
              </w:rPr>
            </w:pPr>
            <w:r>
              <w:rPr>
                <w:rFonts w:ascii="宋体" w:hAnsi="宋体"/>
                <w:bCs/>
                <w:kern w:val="0"/>
                <w:sz w:val="18"/>
                <w:szCs w:val="18"/>
              </w:rPr>
              <w:t>充淤性质与趋势</w:t>
            </w:r>
          </w:p>
        </w:tc>
        <w:tc>
          <w:tcPr>
            <w:tcW w:w="1234" w:type="pct"/>
            <w:vMerge w:val="restart"/>
            <w:shd w:val="clear" w:color="auto" w:fill="auto"/>
            <w:vAlign w:val="center"/>
          </w:tcPr>
          <w:p>
            <w:pPr>
              <w:contextualSpacing/>
              <w:jc w:val="center"/>
              <w:rPr>
                <w:rFonts w:ascii="宋体" w:hAnsi="宋体"/>
                <w:kern w:val="0"/>
                <w:sz w:val="18"/>
                <w:szCs w:val="18"/>
              </w:rPr>
            </w:pPr>
            <w:r>
              <w:rPr>
                <w:rFonts w:ascii="宋体" w:hAnsi="宋体"/>
                <w:kern w:val="0"/>
                <w:sz w:val="18"/>
                <w:szCs w:val="18"/>
              </w:rPr>
              <w:t>以淤为主，淤积速度增快。</w:t>
            </w:r>
          </w:p>
        </w:tc>
        <w:tc>
          <w:tcPr>
            <w:tcW w:w="1234"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以淤为主，淤积值大。</w:t>
            </w:r>
          </w:p>
        </w:tc>
        <w:tc>
          <w:tcPr>
            <w:tcW w:w="1003" w:type="pct"/>
            <w:vMerge w:val="restart"/>
            <w:shd w:val="clear" w:color="auto" w:fill="auto"/>
            <w:vAlign w:val="center"/>
          </w:tcPr>
          <w:p>
            <w:pPr>
              <w:contextualSpacing/>
              <w:rPr>
                <w:rFonts w:hint="eastAsia" w:ascii="宋体" w:hAnsi="宋体" w:eastAsia="宋体"/>
                <w:kern w:val="0"/>
                <w:sz w:val="18"/>
                <w:szCs w:val="18"/>
                <w:lang w:eastAsia="zh-CN"/>
              </w:rPr>
            </w:pPr>
            <w:r>
              <w:rPr>
                <w:rFonts w:ascii="宋体" w:hAnsi="宋体"/>
                <w:kern w:val="0"/>
                <w:sz w:val="18"/>
                <w:szCs w:val="18"/>
              </w:rPr>
              <w:t>有冲有淤，淤积速</w:t>
            </w:r>
          </w:p>
          <w:p>
            <w:pPr>
              <w:contextualSpacing/>
              <w:rPr>
                <w:rFonts w:ascii="宋体" w:hAnsi="宋体"/>
                <w:kern w:val="0"/>
                <w:sz w:val="18"/>
                <w:szCs w:val="18"/>
              </w:rPr>
            </w:pPr>
            <w:r>
              <w:rPr>
                <w:rFonts w:ascii="宋体" w:hAnsi="宋体"/>
                <w:kern w:val="0"/>
                <w:sz w:val="18"/>
                <w:szCs w:val="18"/>
              </w:rPr>
              <w:t>度减小。</w:t>
            </w:r>
          </w:p>
        </w:tc>
        <w:tc>
          <w:tcPr>
            <w:tcW w:w="1004" w:type="pct"/>
            <w:vMerge w:val="restart"/>
            <w:shd w:val="clear" w:color="auto" w:fill="auto"/>
            <w:vAlign w:val="center"/>
          </w:tcPr>
          <w:p>
            <w:pPr>
              <w:contextualSpacing/>
              <w:rPr>
                <w:rFonts w:ascii="宋体" w:hAnsi="宋体"/>
                <w:kern w:val="0"/>
                <w:sz w:val="18"/>
                <w:szCs w:val="18"/>
              </w:rPr>
            </w:pPr>
            <w:r>
              <w:rPr>
                <w:rFonts w:ascii="宋体" w:hAnsi="宋体"/>
                <w:kern w:val="0"/>
                <w:sz w:val="18"/>
                <w:szCs w:val="18"/>
              </w:rPr>
              <w:t>冲刷下切</w:t>
            </w:r>
            <w:r>
              <w:rPr>
                <w:rFonts w:hint="eastAsia" w:ascii="宋体" w:hAnsi="宋体"/>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5" w:type="pct"/>
            <w:vMerge w:val="continue"/>
            <w:vAlign w:val="center"/>
          </w:tcPr>
          <w:p>
            <w:pPr>
              <w:contextualSpacing/>
              <w:jc w:val="center"/>
              <w:rPr>
                <w:rFonts w:ascii="宋体" w:hAnsi="宋体"/>
                <w:bCs/>
                <w:kern w:val="0"/>
                <w:sz w:val="18"/>
                <w:szCs w:val="18"/>
              </w:rPr>
            </w:pPr>
          </w:p>
        </w:tc>
        <w:tc>
          <w:tcPr>
            <w:tcW w:w="1234" w:type="pct"/>
            <w:vMerge w:val="continue"/>
            <w:vAlign w:val="center"/>
          </w:tcPr>
          <w:p>
            <w:pPr>
              <w:contextualSpacing/>
              <w:jc w:val="center"/>
              <w:rPr>
                <w:rFonts w:ascii="宋体" w:hAnsi="宋体"/>
                <w:kern w:val="0"/>
                <w:sz w:val="18"/>
                <w:szCs w:val="18"/>
              </w:rPr>
            </w:pPr>
          </w:p>
        </w:tc>
        <w:tc>
          <w:tcPr>
            <w:tcW w:w="1234" w:type="pct"/>
            <w:vMerge w:val="continue"/>
            <w:vAlign w:val="center"/>
          </w:tcPr>
          <w:p>
            <w:pPr>
              <w:contextualSpacing/>
              <w:jc w:val="center"/>
              <w:rPr>
                <w:rFonts w:ascii="宋体" w:hAnsi="宋体"/>
                <w:kern w:val="0"/>
                <w:sz w:val="18"/>
                <w:szCs w:val="18"/>
              </w:rPr>
            </w:pPr>
          </w:p>
        </w:tc>
        <w:tc>
          <w:tcPr>
            <w:tcW w:w="1003" w:type="pct"/>
            <w:vMerge w:val="continue"/>
            <w:vAlign w:val="center"/>
          </w:tcPr>
          <w:p>
            <w:pPr>
              <w:contextualSpacing/>
              <w:jc w:val="center"/>
              <w:rPr>
                <w:rFonts w:ascii="宋体" w:hAnsi="宋体"/>
                <w:kern w:val="0"/>
                <w:sz w:val="18"/>
                <w:szCs w:val="18"/>
              </w:rPr>
            </w:pPr>
          </w:p>
        </w:tc>
        <w:tc>
          <w:tcPr>
            <w:tcW w:w="1004" w:type="pct"/>
            <w:vMerge w:val="continue"/>
            <w:vAlign w:val="center"/>
          </w:tcPr>
          <w:p>
            <w:pPr>
              <w:contextualSpacing/>
              <w:jc w:val="center"/>
              <w:rPr>
                <w:rFonts w:ascii="宋体" w:hAnsi="宋体"/>
                <w:kern w:val="0"/>
                <w:sz w:val="18"/>
                <w:szCs w:val="18"/>
              </w:rPr>
            </w:pPr>
          </w:p>
        </w:tc>
      </w:tr>
    </w:tbl>
    <w:p>
      <w:pPr>
        <w:widowControl/>
        <w:tabs>
          <w:tab w:val="left" w:pos="360"/>
        </w:tabs>
        <w:spacing w:line="360" w:lineRule="auto"/>
        <w:rPr>
          <w:rFonts w:ascii="Times New Roman" w:hAnsi="Times New Roman" w:eastAsia="黑体"/>
          <w:kern w:val="0"/>
          <w:szCs w:val="21"/>
        </w:rPr>
      </w:pPr>
    </w:p>
    <w:p>
      <w:pPr>
        <w:widowControl/>
        <w:tabs>
          <w:tab w:val="left" w:pos="360"/>
        </w:tabs>
        <w:spacing w:line="360" w:lineRule="auto"/>
        <w:rPr>
          <w:rFonts w:ascii="Times New Roman" w:hAnsi="Times New Roman" w:eastAsia="黑体"/>
          <w:kern w:val="0"/>
          <w:szCs w:val="21"/>
        </w:r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附表</w:t>
      </w:r>
      <w:r>
        <w:rPr>
          <w:rFonts w:hint="eastAsia" w:ascii="黑体" w:hAnsi="黑体" w:eastAsia="黑体"/>
          <w:kern w:val="0"/>
          <w:szCs w:val="21"/>
        </w:rPr>
        <w:t>E</w:t>
      </w:r>
      <w:r>
        <w:rPr>
          <w:rFonts w:ascii="黑体" w:hAnsi="黑体" w:eastAsia="黑体"/>
          <w:kern w:val="0"/>
          <w:szCs w:val="21"/>
        </w:rPr>
        <w:t>-4</w:t>
      </w:r>
      <w:r>
        <w:rPr>
          <w:rFonts w:hint="eastAsia" w:ascii="黑体" w:hAnsi="黑体" w:eastAsia="黑体"/>
          <w:kern w:val="0"/>
          <w:szCs w:val="21"/>
        </w:rPr>
        <w:t xml:space="preserve">  </w:t>
      </w:r>
      <w:r>
        <w:rPr>
          <w:rFonts w:ascii="黑体" w:hAnsi="黑体" w:eastAsia="黑体"/>
          <w:kern w:val="0"/>
          <w:szCs w:val="21"/>
        </w:rPr>
        <w:t>地面塌陷稳定性定性评价（应与三级划分对应）</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2592"/>
        <w:gridCol w:w="1771"/>
        <w:gridCol w:w="2089"/>
        <w:gridCol w:w="1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稳定性分级</w:t>
            </w:r>
          </w:p>
        </w:tc>
        <w:tc>
          <w:tcPr>
            <w:tcW w:w="1354"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塌陷微地貌</w:t>
            </w:r>
          </w:p>
        </w:tc>
        <w:tc>
          <w:tcPr>
            <w:tcW w:w="925" w:type="pct"/>
            <w:vMerge w:val="restart"/>
            <w:shd w:val="clear" w:color="auto" w:fill="auto"/>
            <w:vAlign w:val="center"/>
          </w:tcPr>
          <w:p>
            <w:pPr>
              <w:jc w:val="center"/>
              <w:rPr>
                <w:rFonts w:hint="eastAsia" w:ascii="Times New Roman" w:hAnsi="Times New Roman" w:eastAsia="宋体"/>
                <w:bCs/>
                <w:kern w:val="0"/>
                <w:sz w:val="18"/>
                <w:szCs w:val="18"/>
                <w:lang w:eastAsia="zh-CN"/>
              </w:rPr>
            </w:pPr>
            <w:r>
              <w:rPr>
                <w:rFonts w:ascii="Times New Roman" w:hAnsi="Times New Roman"/>
                <w:bCs/>
                <w:kern w:val="0"/>
                <w:sz w:val="18"/>
                <w:szCs w:val="18"/>
              </w:rPr>
              <w:t>堆积物</w:t>
            </w:r>
          </w:p>
          <w:p>
            <w:pPr>
              <w:jc w:val="center"/>
              <w:rPr>
                <w:rFonts w:ascii="Times New Roman" w:hAnsi="Times New Roman"/>
                <w:bCs/>
                <w:kern w:val="0"/>
                <w:sz w:val="18"/>
                <w:szCs w:val="18"/>
              </w:rPr>
            </w:pPr>
            <w:r>
              <w:rPr>
                <w:rFonts w:ascii="Times New Roman" w:hAnsi="Times New Roman"/>
                <w:bCs/>
                <w:kern w:val="0"/>
                <w:sz w:val="18"/>
                <w:szCs w:val="18"/>
              </w:rPr>
              <w:t>性状</w:t>
            </w:r>
          </w:p>
        </w:tc>
        <w:tc>
          <w:tcPr>
            <w:tcW w:w="1091" w:type="pct"/>
            <w:vMerge w:val="restart"/>
            <w:shd w:val="clear" w:color="auto" w:fill="auto"/>
            <w:vAlign w:val="center"/>
          </w:tcPr>
          <w:p>
            <w:pPr>
              <w:jc w:val="center"/>
              <w:rPr>
                <w:rFonts w:hint="eastAsia" w:ascii="Times New Roman" w:hAnsi="Times New Roman" w:eastAsia="宋体"/>
                <w:bCs/>
                <w:kern w:val="0"/>
                <w:sz w:val="18"/>
                <w:szCs w:val="18"/>
                <w:lang w:eastAsia="zh-CN"/>
              </w:rPr>
            </w:pPr>
            <w:r>
              <w:rPr>
                <w:rFonts w:ascii="Times New Roman" w:hAnsi="Times New Roman"/>
                <w:bCs/>
                <w:kern w:val="0"/>
                <w:sz w:val="18"/>
                <w:szCs w:val="18"/>
              </w:rPr>
              <w:t>地下水埋藏及</w:t>
            </w:r>
          </w:p>
          <w:p>
            <w:pPr>
              <w:jc w:val="center"/>
              <w:rPr>
                <w:rFonts w:ascii="Times New Roman" w:hAnsi="Times New Roman"/>
                <w:bCs/>
                <w:kern w:val="0"/>
                <w:sz w:val="18"/>
                <w:szCs w:val="18"/>
              </w:rPr>
            </w:pPr>
            <w:r>
              <w:rPr>
                <w:rFonts w:ascii="Times New Roman" w:hAnsi="Times New Roman"/>
                <w:bCs/>
                <w:kern w:val="0"/>
                <w:sz w:val="18"/>
                <w:szCs w:val="18"/>
              </w:rPr>
              <w:t>活动情况</w:t>
            </w:r>
          </w:p>
        </w:tc>
        <w:tc>
          <w:tcPr>
            <w:tcW w:w="957"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vAlign w:val="center"/>
          </w:tcPr>
          <w:p>
            <w:pPr>
              <w:jc w:val="left"/>
              <w:rPr>
                <w:rFonts w:ascii="Times New Roman" w:hAnsi="Times New Roman"/>
                <w:bCs/>
                <w:kern w:val="0"/>
                <w:sz w:val="18"/>
                <w:szCs w:val="18"/>
              </w:rPr>
            </w:pPr>
          </w:p>
        </w:tc>
        <w:tc>
          <w:tcPr>
            <w:tcW w:w="1354" w:type="pct"/>
            <w:vMerge w:val="continue"/>
            <w:vAlign w:val="center"/>
          </w:tcPr>
          <w:p>
            <w:pPr>
              <w:jc w:val="center"/>
              <w:rPr>
                <w:rFonts w:ascii="Times New Roman" w:hAnsi="Times New Roman"/>
                <w:bCs/>
                <w:kern w:val="0"/>
                <w:sz w:val="18"/>
                <w:szCs w:val="18"/>
              </w:rPr>
            </w:pPr>
          </w:p>
        </w:tc>
        <w:tc>
          <w:tcPr>
            <w:tcW w:w="925" w:type="pct"/>
            <w:vMerge w:val="continue"/>
            <w:vAlign w:val="center"/>
          </w:tcPr>
          <w:p>
            <w:pPr>
              <w:jc w:val="center"/>
              <w:rPr>
                <w:rFonts w:ascii="Times New Roman" w:hAnsi="Times New Roman"/>
                <w:bCs/>
                <w:kern w:val="0"/>
                <w:sz w:val="18"/>
                <w:szCs w:val="18"/>
              </w:rPr>
            </w:pPr>
          </w:p>
        </w:tc>
        <w:tc>
          <w:tcPr>
            <w:tcW w:w="1091" w:type="pct"/>
            <w:vMerge w:val="continue"/>
            <w:vAlign w:val="center"/>
          </w:tcPr>
          <w:p>
            <w:pPr>
              <w:jc w:val="center"/>
              <w:rPr>
                <w:rFonts w:ascii="Times New Roman" w:hAnsi="Times New Roman"/>
                <w:bCs/>
                <w:kern w:val="0"/>
                <w:sz w:val="18"/>
                <w:szCs w:val="18"/>
              </w:rPr>
            </w:pPr>
          </w:p>
        </w:tc>
        <w:tc>
          <w:tcPr>
            <w:tcW w:w="957" w:type="pct"/>
            <w:vMerge w:val="continue"/>
            <w:vAlign w:val="center"/>
          </w:tcPr>
          <w:p>
            <w:pPr>
              <w:jc w:val="center"/>
              <w:rPr>
                <w:rFonts w:ascii="Times New Roman" w:hAnsi="Times New Roman"/>
                <w:bCs/>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不稳定</w:t>
            </w:r>
          </w:p>
        </w:tc>
        <w:tc>
          <w:tcPr>
            <w:tcW w:w="1354" w:type="pct"/>
            <w:vMerge w:val="restar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塌陷尚未或已受到轻微充填改造，塌陷周围有开裂痕迹，坑底有下沉开裂迹象。</w:t>
            </w:r>
          </w:p>
        </w:tc>
        <w:tc>
          <w:tcPr>
            <w:tcW w:w="925" w:type="pct"/>
            <w:vMerge w:val="restar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疏松，呈软塑至流塑状。</w:t>
            </w:r>
          </w:p>
        </w:tc>
        <w:tc>
          <w:tcPr>
            <w:tcW w:w="1091" w:type="pct"/>
            <w:vMerge w:val="restar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在地表水汇集入渗，有时见水位，地下水活动较强烈。</w:t>
            </w:r>
          </w:p>
        </w:tc>
        <w:tc>
          <w:tcPr>
            <w:tcW w:w="957" w:type="pct"/>
            <w:vMerge w:val="restar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正在活动的塌陷，或呈间歇缓慢活动的塌陷。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vAlign w:val="center"/>
          </w:tcPr>
          <w:p>
            <w:pPr>
              <w:jc w:val="left"/>
              <w:rPr>
                <w:rFonts w:ascii="Times New Roman" w:hAnsi="Times New Roman"/>
                <w:bCs/>
                <w:kern w:val="0"/>
                <w:sz w:val="18"/>
                <w:szCs w:val="18"/>
              </w:rPr>
            </w:pPr>
          </w:p>
        </w:tc>
        <w:tc>
          <w:tcPr>
            <w:tcW w:w="1354" w:type="pct"/>
            <w:vMerge w:val="continue"/>
            <w:vAlign w:val="center"/>
          </w:tcPr>
          <w:p>
            <w:pPr>
              <w:jc w:val="left"/>
              <w:rPr>
                <w:rFonts w:ascii="Times New Roman" w:hAnsi="Times New Roman"/>
                <w:kern w:val="0"/>
                <w:sz w:val="18"/>
                <w:szCs w:val="18"/>
              </w:rPr>
            </w:pPr>
          </w:p>
        </w:tc>
        <w:tc>
          <w:tcPr>
            <w:tcW w:w="925" w:type="pct"/>
            <w:vMerge w:val="continue"/>
            <w:vAlign w:val="center"/>
          </w:tcPr>
          <w:p>
            <w:pPr>
              <w:jc w:val="left"/>
              <w:rPr>
                <w:rFonts w:ascii="Times New Roman" w:hAnsi="Times New Roman"/>
                <w:kern w:val="0"/>
                <w:sz w:val="18"/>
                <w:szCs w:val="18"/>
              </w:rPr>
            </w:pPr>
          </w:p>
        </w:tc>
        <w:tc>
          <w:tcPr>
            <w:tcW w:w="1091" w:type="pct"/>
            <w:vMerge w:val="continue"/>
            <w:vAlign w:val="center"/>
          </w:tcPr>
          <w:p>
            <w:pPr>
              <w:jc w:val="left"/>
              <w:rPr>
                <w:rFonts w:ascii="Times New Roman" w:hAnsi="Times New Roman"/>
                <w:kern w:val="0"/>
                <w:sz w:val="18"/>
                <w:szCs w:val="18"/>
              </w:rPr>
            </w:pPr>
          </w:p>
        </w:tc>
        <w:tc>
          <w:tcPr>
            <w:tcW w:w="957" w:type="pct"/>
            <w:vMerge w:val="continue"/>
            <w:vAlign w:val="center"/>
          </w:tcPr>
          <w:p>
            <w:pPr>
              <w:jc w:val="lef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欠稳定</w:t>
            </w:r>
          </w:p>
        </w:tc>
        <w:tc>
          <w:tcPr>
            <w:tcW w:w="1354" w:type="pct"/>
            <w:vMerge w:val="restar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塌陷已部分充填改造，植被较发育。</w:t>
            </w:r>
          </w:p>
        </w:tc>
        <w:tc>
          <w:tcPr>
            <w:tcW w:w="925" w:type="pct"/>
            <w:vMerge w:val="restar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疏松或稍密，呈软塑至可塑状。</w:t>
            </w:r>
          </w:p>
        </w:tc>
        <w:tc>
          <w:tcPr>
            <w:tcW w:w="1091" w:type="pct"/>
            <w:vMerge w:val="restar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有地下水流通道，有地下水活动迹象。</w:t>
            </w:r>
          </w:p>
        </w:tc>
        <w:tc>
          <w:tcPr>
            <w:tcW w:w="957" w:type="pct"/>
            <w:vMerge w:val="restar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接近或达到休止状态的塌陷，当环境条件改变时可能复活。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vAlign w:val="center"/>
          </w:tcPr>
          <w:p>
            <w:pPr>
              <w:jc w:val="left"/>
              <w:rPr>
                <w:rFonts w:ascii="Times New Roman" w:hAnsi="Times New Roman"/>
                <w:bCs/>
                <w:kern w:val="0"/>
                <w:sz w:val="18"/>
                <w:szCs w:val="18"/>
              </w:rPr>
            </w:pPr>
          </w:p>
        </w:tc>
        <w:tc>
          <w:tcPr>
            <w:tcW w:w="1354" w:type="pct"/>
            <w:vMerge w:val="continue"/>
            <w:vAlign w:val="center"/>
          </w:tcPr>
          <w:p>
            <w:pPr>
              <w:jc w:val="left"/>
              <w:rPr>
                <w:rFonts w:ascii="Times New Roman" w:hAnsi="Times New Roman"/>
                <w:kern w:val="0"/>
                <w:sz w:val="18"/>
                <w:szCs w:val="18"/>
              </w:rPr>
            </w:pPr>
          </w:p>
        </w:tc>
        <w:tc>
          <w:tcPr>
            <w:tcW w:w="925" w:type="pct"/>
            <w:vMerge w:val="continue"/>
            <w:vAlign w:val="center"/>
          </w:tcPr>
          <w:p>
            <w:pPr>
              <w:jc w:val="left"/>
              <w:rPr>
                <w:rFonts w:ascii="Times New Roman" w:hAnsi="Times New Roman"/>
                <w:kern w:val="0"/>
                <w:sz w:val="18"/>
                <w:szCs w:val="18"/>
              </w:rPr>
            </w:pPr>
          </w:p>
        </w:tc>
        <w:tc>
          <w:tcPr>
            <w:tcW w:w="1091" w:type="pct"/>
            <w:vMerge w:val="continue"/>
            <w:vAlign w:val="center"/>
          </w:tcPr>
          <w:p>
            <w:pPr>
              <w:jc w:val="left"/>
              <w:rPr>
                <w:rFonts w:ascii="Times New Roman" w:hAnsi="Times New Roman"/>
                <w:kern w:val="0"/>
                <w:sz w:val="18"/>
                <w:szCs w:val="18"/>
              </w:rPr>
            </w:pPr>
          </w:p>
        </w:tc>
        <w:tc>
          <w:tcPr>
            <w:tcW w:w="957" w:type="pct"/>
            <w:vMerge w:val="continue"/>
            <w:vAlign w:val="center"/>
          </w:tcPr>
          <w:p>
            <w:pPr>
              <w:jc w:val="left"/>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shd w:val="clear" w:color="auto" w:fill="auto"/>
            <w:vAlign w:val="center"/>
          </w:tcPr>
          <w:p>
            <w:pPr>
              <w:jc w:val="center"/>
              <w:rPr>
                <w:rFonts w:ascii="Times New Roman" w:hAnsi="Times New Roman"/>
                <w:bCs/>
                <w:kern w:val="0"/>
                <w:sz w:val="18"/>
                <w:szCs w:val="18"/>
              </w:rPr>
            </w:pPr>
            <w:r>
              <w:rPr>
                <w:rFonts w:ascii="Times New Roman" w:hAnsi="Times New Roman"/>
                <w:bCs/>
                <w:kern w:val="0"/>
                <w:sz w:val="18"/>
                <w:szCs w:val="18"/>
              </w:rPr>
              <w:t>基本稳定</w:t>
            </w:r>
          </w:p>
        </w:tc>
        <w:tc>
          <w:tcPr>
            <w:tcW w:w="1354" w:type="pc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塌陷已完全充填改造，植被较发育。</w:t>
            </w:r>
          </w:p>
        </w:tc>
        <w:tc>
          <w:tcPr>
            <w:tcW w:w="925" w:type="pc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密实，呈可塑状。</w:t>
            </w:r>
          </w:p>
        </w:tc>
        <w:tc>
          <w:tcPr>
            <w:tcW w:w="1091" w:type="pc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有地下水流通道，无地下水活动迹象。</w:t>
            </w:r>
          </w:p>
        </w:tc>
        <w:tc>
          <w:tcPr>
            <w:tcW w:w="957" w:type="pct"/>
            <w:shd w:val="clear" w:color="auto" w:fill="auto"/>
            <w:vAlign w:val="center"/>
          </w:tcPr>
          <w:p>
            <w:pPr>
              <w:jc w:val="left"/>
              <w:rPr>
                <w:rFonts w:ascii="Times New Roman" w:hAnsi="Times New Roman"/>
                <w:kern w:val="0"/>
                <w:sz w:val="18"/>
                <w:szCs w:val="18"/>
              </w:rPr>
            </w:pPr>
            <w:r>
              <w:rPr>
                <w:rFonts w:ascii="Times New Roman" w:hAnsi="Times New Roman"/>
                <w:kern w:val="0"/>
                <w:sz w:val="18"/>
                <w:szCs w:val="18"/>
              </w:rPr>
              <w:t>达到休止状态的塌陷，当环境条件改变时可能复活。</w:t>
            </w:r>
          </w:p>
        </w:tc>
      </w:tr>
    </w:tbl>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tabs>
          <w:tab w:val="center" w:pos="4201"/>
          <w:tab w:val="right" w:leader="dot" w:pos="9298"/>
        </w:tabs>
        <w:autoSpaceDE w:val="0"/>
        <w:autoSpaceDN w:val="0"/>
        <w:spacing w:line="360" w:lineRule="auto"/>
        <w:jc w:val="left"/>
        <w:rPr>
          <w:rFonts w:ascii="宋体" w:hAnsi="Times New Roman"/>
          <w:kern w:val="0"/>
          <w:szCs w:val="21"/>
        </w:rPr>
      </w:pP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bookmarkStart w:id="129" w:name="_Toc33177716"/>
      <w:r>
        <w:rPr>
          <w:rFonts w:ascii="黑体" w:hAnsi="黑体" w:eastAsia="黑体"/>
          <w:kern w:val="0"/>
          <w:szCs w:val="21"/>
        </w:rPr>
        <w:t xml:space="preserve">附  录  </w:t>
      </w:r>
      <w:r>
        <w:rPr>
          <w:rFonts w:hint="eastAsia" w:ascii="黑体" w:hAnsi="黑体" w:eastAsia="黑体"/>
          <w:kern w:val="0"/>
          <w:szCs w:val="21"/>
        </w:rPr>
        <w:t>F</w:t>
      </w:r>
    </w:p>
    <w:p>
      <w:pPr>
        <w:keepNext/>
        <w:widowControl/>
        <w:shd w:val="clear" w:color="FFFFFF" w:fill="FFFFFF"/>
        <w:tabs>
          <w:tab w:val="left" w:pos="360"/>
          <w:tab w:val="left" w:pos="6405"/>
        </w:tabs>
        <w:spacing w:before="120" w:beforeLines="50" w:after="120" w:afterLines="50"/>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（资料性附录）</w:t>
      </w:r>
    </w:p>
    <w:p>
      <w:pPr>
        <w:keepNext/>
        <w:widowControl/>
        <w:shd w:val="clear" w:color="FFFFFF" w:fill="FFFFFF"/>
        <w:tabs>
          <w:tab w:val="left" w:pos="360"/>
          <w:tab w:val="left" w:pos="6405"/>
        </w:tabs>
        <w:spacing w:before="120" w:beforeLines="50" w:after="120" w:afterLines="50"/>
        <w:jc w:val="center"/>
        <w:outlineLvl w:val="0"/>
        <w:rPr>
          <w:rFonts w:ascii="Times New Roman" w:hAnsi="Times New Roman" w:eastAsia="黑体"/>
          <w:b/>
          <w:bCs/>
          <w:kern w:val="44"/>
          <w:szCs w:val="21"/>
        </w:rPr>
      </w:pPr>
      <w:r>
        <w:rPr>
          <w:rFonts w:hint="eastAsia" w:ascii="Times New Roman" w:hAnsi="Times New Roman" w:eastAsia="黑体"/>
          <w:kern w:val="0"/>
          <w:szCs w:val="21"/>
        </w:rPr>
        <w:t>滑坡、崩塌、泥石流、地面塌陷监测网点布设</w:t>
      </w:r>
      <w:bookmarkEnd w:id="129"/>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F</w:t>
      </w:r>
      <w:r>
        <w:rPr>
          <w:rFonts w:ascii="黑体" w:hAnsi="黑体" w:eastAsia="黑体"/>
          <w:bCs/>
          <w:kern w:val="44"/>
          <w:szCs w:val="21"/>
        </w:rPr>
        <w:t>.1</w:t>
      </w:r>
      <w:r>
        <w:rPr>
          <w:rFonts w:hint="eastAsia" w:ascii="黑体" w:hAnsi="黑体" w:eastAsia="黑体"/>
          <w:bCs/>
          <w:kern w:val="44"/>
          <w:szCs w:val="21"/>
        </w:rPr>
        <w:t xml:space="preserve">  滑坡监测</w:t>
      </w:r>
    </w:p>
    <w:p>
      <w:pPr>
        <w:widowControl/>
        <w:tabs>
          <w:tab w:val="center" w:pos="4201"/>
          <w:tab w:val="right" w:leader="dot" w:pos="9298"/>
        </w:tabs>
        <w:autoSpaceDE w:val="0"/>
        <w:autoSpaceDN w:val="0"/>
        <w:spacing w:line="360" w:lineRule="auto"/>
        <w:ind w:firstLine="420" w:firstLineChars="200"/>
        <w:rPr>
          <w:rFonts w:ascii="宋体" w:hAnsi="宋体"/>
          <w:kern w:val="0"/>
          <w:szCs w:val="21"/>
        </w:rPr>
      </w:pPr>
      <w:r>
        <w:rPr>
          <w:rFonts w:hint="eastAsia" w:ascii="宋体" w:hAnsi="宋体"/>
          <w:kern w:val="0"/>
          <w:szCs w:val="21"/>
        </w:rPr>
        <w:t>滑坡监测网点布设在一般规定基础上，尚应符合如下要求：</w:t>
      </w:r>
    </w:p>
    <w:p>
      <w:pPr>
        <w:widowControl/>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 xml:space="preserve">a)  </w:t>
      </w:r>
      <w:r>
        <w:rPr>
          <w:rFonts w:hint="eastAsia" w:ascii="宋体" w:hAnsi="宋体"/>
          <w:kern w:val="0"/>
          <w:szCs w:val="21"/>
        </w:rPr>
        <w:t>滑坡监测网型主要有十字型（根据需要可演化为“丰”、“卄”或“卅”字型）、方格型、三角（或放射）型网、对标型及多层型等，可同时采用两种网型，布设综合型网。</w:t>
      </w:r>
    </w:p>
    <w:p>
      <w:pPr>
        <w:widowControl/>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b)</w:t>
      </w:r>
      <w:r>
        <w:rPr>
          <w:rFonts w:ascii="宋体" w:hAnsi="宋体"/>
          <w:kern w:val="0"/>
          <w:szCs w:val="21"/>
        </w:rPr>
        <w:t xml:space="preserve">  </w:t>
      </w:r>
      <w:r>
        <w:rPr>
          <w:rFonts w:hint="eastAsia" w:ascii="宋体" w:hAnsi="宋体"/>
          <w:kern w:val="0"/>
          <w:szCs w:val="21"/>
        </w:rPr>
        <w:t>滑坡测线应采用主―辅剖面法布设。纵向测线的布设应结合滑坡分区进行，不同滑坡单元应有主测线控制，在其两侧可布设辅助测线，主、辅监测线间距宜为</w:t>
      </w:r>
      <w:r>
        <w:rPr>
          <w:rFonts w:ascii="Times New Roman" w:hAnsi="Times New Roman"/>
          <w:kern w:val="0"/>
          <w:szCs w:val="21"/>
        </w:rPr>
        <w:t>60</w:t>
      </w:r>
      <w:r>
        <w:rPr>
          <w:rFonts w:hint="eastAsia" w:ascii="Times New Roman" w:hAnsi="Times New Roman"/>
          <w:kern w:val="0"/>
          <w:szCs w:val="21"/>
        </w:rPr>
        <w:t>-</w:t>
      </w:r>
      <w:r>
        <w:rPr>
          <w:rFonts w:ascii="Times New Roman" w:hAnsi="Times New Roman"/>
          <w:kern w:val="0"/>
          <w:szCs w:val="21"/>
        </w:rPr>
        <w:t>150 m</w:t>
      </w:r>
      <w:r>
        <w:rPr>
          <w:rFonts w:hint="eastAsia" w:ascii="宋体" w:hAnsi="宋体"/>
          <w:kern w:val="0"/>
          <w:szCs w:val="21"/>
        </w:rPr>
        <w:t>。横向测线宜布设在滑坡中部至前缘剪出口之间。</w:t>
      </w:r>
    </w:p>
    <w:p>
      <w:pPr>
        <w:widowControl/>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c)</w:t>
      </w:r>
      <w:r>
        <w:rPr>
          <w:rFonts w:ascii="宋体" w:hAnsi="宋体"/>
          <w:kern w:val="0"/>
          <w:szCs w:val="21"/>
        </w:rPr>
        <w:t xml:space="preserve">  </w:t>
      </w:r>
      <w:r>
        <w:rPr>
          <w:rFonts w:hint="eastAsia" w:ascii="宋体" w:hAnsi="宋体"/>
          <w:kern w:val="0"/>
          <w:szCs w:val="21"/>
        </w:rPr>
        <w:t>主测线上测点不宜少于</w:t>
      </w:r>
      <w:r>
        <w:rPr>
          <w:rFonts w:ascii="Times New Roman" w:hAnsi="Times New Roman"/>
          <w:kern w:val="0"/>
          <w:szCs w:val="21"/>
        </w:rPr>
        <w:t>3个</w:t>
      </w:r>
      <w:r>
        <w:rPr>
          <w:rFonts w:hint="eastAsia" w:ascii="宋体" w:hAnsi="宋体"/>
          <w:kern w:val="0"/>
          <w:szCs w:val="21"/>
        </w:rPr>
        <w:t>，点间距宜为</w:t>
      </w:r>
      <w:r>
        <w:rPr>
          <w:rFonts w:ascii="Times New Roman" w:hAnsi="Times New Roman"/>
          <w:kern w:val="0"/>
          <w:szCs w:val="21"/>
        </w:rPr>
        <w:t>20</w:t>
      </w:r>
      <w:r>
        <w:rPr>
          <w:rFonts w:hint="eastAsia" w:ascii="Times New Roman" w:hAnsi="Times New Roman"/>
          <w:kern w:val="0"/>
          <w:szCs w:val="21"/>
        </w:rPr>
        <w:t>-</w:t>
      </w:r>
      <w:r>
        <w:rPr>
          <w:rFonts w:ascii="Times New Roman" w:hAnsi="Times New Roman"/>
          <w:kern w:val="0"/>
          <w:szCs w:val="21"/>
        </w:rPr>
        <w:t>50 m；</w:t>
      </w:r>
      <w:r>
        <w:rPr>
          <w:rFonts w:hint="eastAsia" w:ascii="宋体" w:hAnsi="宋体"/>
          <w:kern w:val="0"/>
          <w:szCs w:val="21"/>
        </w:rPr>
        <w:t>辅助测线上测点间距宜为</w:t>
      </w:r>
      <w:r>
        <w:rPr>
          <w:rFonts w:ascii="Times New Roman" w:hAnsi="Times New Roman"/>
          <w:kern w:val="0"/>
          <w:szCs w:val="21"/>
        </w:rPr>
        <w:t>40</w:t>
      </w:r>
      <w:r>
        <w:rPr>
          <w:rFonts w:hint="eastAsia" w:ascii="Times New Roman" w:hAnsi="Times New Roman"/>
          <w:kern w:val="0"/>
          <w:szCs w:val="21"/>
        </w:rPr>
        <w:t>-</w:t>
      </w:r>
      <w:r>
        <w:rPr>
          <w:rFonts w:ascii="Times New Roman" w:hAnsi="Times New Roman"/>
          <w:kern w:val="0"/>
          <w:szCs w:val="21"/>
        </w:rPr>
        <w:t>160 m。</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 xml:space="preserve">d) </w:t>
      </w:r>
      <w:r>
        <w:rPr>
          <w:rFonts w:ascii="宋体" w:hAnsi="宋体"/>
          <w:kern w:val="0"/>
          <w:szCs w:val="21"/>
        </w:rPr>
        <w:t xml:space="preserve"> </w:t>
      </w:r>
      <w:r>
        <w:rPr>
          <w:rFonts w:hint="eastAsia" w:ascii="宋体" w:hAnsi="宋体"/>
          <w:kern w:val="0"/>
          <w:szCs w:val="21"/>
        </w:rPr>
        <w:t>为分析不同监测内容或不同变形诱发因素间的相关性，宜将不同监测内容的测点布设于主测线上，且尽可能重合布置。</w:t>
      </w:r>
    </w:p>
    <w:p>
      <w:pPr>
        <w:tabs>
          <w:tab w:val="center" w:pos="4201"/>
          <w:tab w:val="right" w:leader="dot" w:pos="9298"/>
        </w:tabs>
        <w:autoSpaceDE w:val="0"/>
        <w:autoSpaceDN w:val="0"/>
        <w:spacing w:line="360" w:lineRule="auto"/>
        <w:ind w:left="840" w:leftChars="200" w:hanging="420" w:hangingChars="200"/>
        <w:rPr>
          <w:rFonts w:ascii="宋体" w:hAnsi="宋体"/>
          <w:kern w:val="0"/>
          <w:szCs w:val="21"/>
        </w:rPr>
      </w:pPr>
      <w:r>
        <w:rPr>
          <w:rFonts w:ascii="Times New Roman" w:hAnsi="Times New Roman"/>
          <w:kern w:val="0"/>
          <w:szCs w:val="21"/>
        </w:rPr>
        <w:t xml:space="preserve">e)  </w:t>
      </w:r>
      <w:r>
        <w:rPr>
          <w:rFonts w:hint="eastAsia" w:ascii="宋体" w:hAnsi="宋体"/>
          <w:kern w:val="0"/>
          <w:szCs w:val="21"/>
        </w:rPr>
        <w:t>滑坡测点布设不要求平均分布，需根据滑坡各自特点对如下部位重点布设或增加测点：变形速率较大或不稳定块段与起始变形块段（滑坡源、起动区等，如推移式滑坡的中、后部，牵引式滑坡的中、前部）；初始变形块段（主滑段、推移滑动段、松脱滑动段等）；对滑坡稳定性起关键作用的块段或块体（滑坡阻滑段等）；易产生变形部位（剪出口、裂缝、临空面等）；控制变形部位（滑带、软弱带、裂缝等）。</w:t>
      </w: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F.2  崩塌监测</w:t>
      </w:r>
    </w:p>
    <w:p>
      <w:pPr>
        <w:spacing w:line="360" w:lineRule="auto"/>
        <w:ind w:firstLine="420" w:firstLineChars="200"/>
        <w:rPr>
          <w:rFonts w:ascii="宋体" w:hAnsi="宋体"/>
          <w:szCs w:val="21"/>
        </w:rPr>
      </w:pPr>
      <w:r>
        <w:rPr>
          <w:rFonts w:hint="eastAsia" w:ascii="宋体" w:hAnsi="宋体"/>
          <w:szCs w:val="21"/>
        </w:rPr>
        <w:t>崩塌监测网型与测线可根据崩塌体所处的地形地质条件参照滑坡布设。崩塌测点布设不宜平均分布，应根据崩塌类型、破坏机理，重点控制对整个崩塌体稳定性起关键作用的块体，以及崩塌体变形破坏的重要部位。</w:t>
      </w:r>
    </w:p>
    <w:p>
      <w:pPr>
        <w:spacing w:line="360" w:lineRule="auto"/>
        <w:ind w:left="1050" w:leftChars="200" w:hanging="630" w:hangingChars="300"/>
        <w:rPr>
          <w:rFonts w:ascii="宋体" w:hAnsi="宋体"/>
          <w:szCs w:val="21"/>
        </w:rPr>
      </w:pPr>
      <w:r>
        <w:rPr>
          <w:rFonts w:ascii="Times New Roman" w:hAnsi="Times New Roman"/>
          <w:szCs w:val="21"/>
        </w:rPr>
        <w:t xml:space="preserve">a) </w:t>
      </w:r>
      <w:r>
        <w:rPr>
          <w:rFonts w:ascii="宋体" w:hAnsi="宋体"/>
          <w:szCs w:val="21"/>
        </w:rPr>
        <w:t xml:space="preserve"> </w:t>
      </w:r>
      <w:r>
        <w:rPr>
          <w:rFonts w:hint="eastAsia" w:ascii="宋体" w:hAnsi="宋体"/>
          <w:szCs w:val="21"/>
        </w:rPr>
        <w:t>危岩测点应重点布设于主控结构面或其它变形敏感位置。</w:t>
      </w:r>
    </w:p>
    <w:p>
      <w:pPr>
        <w:spacing w:line="360" w:lineRule="auto"/>
        <w:ind w:left="1050" w:leftChars="200" w:hanging="630" w:hangingChars="300"/>
        <w:rPr>
          <w:rFonts w:ascii="宋体" w:hAnsi="宋体"/>
          <w:szCs w:val="21"/>
        </w:rPr>
      </w:pPr>
      <w:r>
        <w:rPr>
          <w:rFonts w:ascii="Times New Roman" w:hAnsi="Times New Roman"/>
          <w:szCs w:val="21"/>
        </w:rPr>
        <w:t xml:space="preserve">b) </w:t>
      </w:r>
      <w:r>
        <w:rPr>
          <w:rFonts w:ascii="宋体" w:hAnsi="宋体"/>
          <w:szCs w:val="21"/>
        </w:rPr>
        <w:t xml:space="preserve"> </w:t>
      </w:r>
      <w:r>
        <w:rPr>
          <w:rFonts w:hint="eastAsia" w:ascii="宋体" w:hAnsi="宋体"/>
          <w:szCs w:val="21"/>
        </w:rPr>
        <w:t>地表位移测点宜布于崩塌体顶部，布点困难时可设于临空面中下部。</w:t>
      </w:r>
    </w:p>
    <w:p>
      <w:pPr>
        <w:spacing w:line="360" w:lineRule="auto"/>
        <w:ind w:left="1050" w:leftChars="200" w:hanging="630" w:hangingChars="300"/>
        <w:rPr>
          <w:rFonts w:ascii="宋体" w:hAnsi="宋体"/>
          <w:szCs w:val="21"/>
        </w:rPr>
      </w:pPr>
      <w:r>
        <w:rPr>
          <w:rFonts w:ascii="Times New Roman" w:hAnsi="Times New Roman"/>
          <w:szCs w:val="21"/>
        </w:rPr>
        <w:t xml:space="preserve">c) </w:t>
      </w:r>
      <w:r>
        <w:rPr>
          <w:rFonts w:ascii="宋体" w:hAnsi="宋体"/>
          <w:szCs w:val="21"/>
        </w:rPr>
        <w:t xml:space="preserve"> </w:t>
      </w:r>
      <w:r>
        <w:rPr>
          <w:rFonts w:hint="eastAsia" w:ascii="宋体" w:hAnsi="宋体"/>
          <w:szCs w:val="21"/>
        </w:rPr>
        <w:t>裂缝测点应视主控裂缝发育情况具体布设。</w:t>
      </w:r>
    </w:p>
    <w:p>
      <w:pPr>
        <w:spacing w:line="360" w:lineRule="auto"/>
        <w:ind w:left="1050" w:leftChars="200" w:hanging="630" w:hangingChars="300"/>
        <w:rPr>
          <w:rFonts w:ascii="宋体" w:hAnsi="宋体"/>
          <w:szCs w:val="21"/>
        </w:rPr>
      </w:pPr>
      <w:r>
        <w:rPr>
          <w:rFonts w:ascii="Times New Roman" w:hAnsi="Times New Roman"/>
          <w:szCs w:val="21"/>
        </w:rPr>
        <w:t>d)</w:t>
      </w:r>
      <w:r>
        <w:rPr>
          <w:rFonts w:ascii="宋体" w:hAnsi="宋体"/>
          <w:szCs w:val="21"/>
        </w:rPr>
        <w:t xml:space="preserve">  </w:t>
      </w:r>
      <w:r>
        <w:rPr>
          <w:rFonts w:hint="eastAsia" w:ascii="宋体" w:hAnsi="宋体"/>
          <w:szCs w:val="21"/>
        </w:rPr>
        <w:t>倾倒式及滑移式崩塌压力测点宜沿危岩走向布设于危岩基座处，布点数量不少于</w:t>
      </w:r>
      <w:r>
        <w:rPr>
          <w:rFonts w:ascii="Times New Roman" w:hAnsi="Times New Roman"/>
          <w:szCs w:val="21"/>
        </w:rPr>
        <w:t>2</w:t>
      </w:r>
      <w:r>
        <w:rPr>
          <w:rFonts w:hint="eastAsia" w:ascii="宋体" w:hAnsi="宋体"/>
          <w:szCs w:val="21"/>
        </w:rPr>
        <w:t>个。</w:t>
      </w: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F.3  泥石流监测</w:t>
      </w:r>
    </w:p>
    <w:p>
      <w:pPr>
        <w:spacing w:line="360" w:lineRule="auto"/>
        <w:ind w:left="1050" w:leftChars="200" w:hanging="630" w:hangingChars="300"/>
        <w:rPr>
          <w:rFonts w:ascii="宋体" w:hAnsi="宋体"/>
          <w:szCs w:val="21"/>
        </w:rPr>
      </w:pPr>
      <w:r>
        <w:rPr>
          <w:rFonts w:ascii="Times New Roman" w:hAnsi="Times New Roman"/>
          <w:szCs w:val="21"/>
        </w:rPr>
        <w:t>a)</w:t>
      </w:r>
      <w:r>
        <w:rPr>
          <w:rFonts w:ascii="宋体" w:hAnsi="宋体"/>
          <w:szCs w:val="21"/>
        </w:rPr>
        <w:t xml:space="preserve">  </w:t>
      </w:r>
      <w:r>
        <w:rPr>
          <w:rFonts w:hint="eastAsia" w:ascii="宋体" w:hAnsi="宋体"/>
          <w:szCs w:val="21"/>
        </w:rPr>
        <w:t>在泥石流形成区、流通区和堆积区，都应设有一定数量的监测网点。</w:t>
      </w:r>
    </w:p>
    <w:p>
      <w:pPr>
        <w:spacing w:line="360" w:lineRule="auto"/>
        <w:ind w:left="840" w:leftChars="200" w:hanging="420" w:hangingChars="200"/>
        <w:rPr>
          <w:rFonts w:ascii="宋体" w:hAnsi="宋体"/>
          <w:szCs w:val="21"/>
        </w:rPr>
      </w:pPr>
      <w:r>
        <w:rPr>
          <w:rFonts w:ascii="Times New Roman" w:hAnsi="Times New Roman"/>
          <w:szCs w:val="21"/>
        </w:rPr>
        <w:t>b</w:t>
      </w:r>
      <w:r>
        <w:rPr>
          <w:rFonts w:hint="eastAsia" w:ascii="Times New Roman" w:hAnsi="Times New Roman"/>
          <w:szCs w:val="21"/>
        </w:rPr>
        <w:t>)</w:t>
      </w:r>
      <w:r>
        <w:rPr>
          <w:rFonts w:ascii="Times New Roman" w:hAnsi="Times New Roman"/>
          <w:szCs w:val="21"/>
        </w:rPr>
        <w:t xml:space="preserve"> </w:t>
      </w:r>
      <w:r>
        <w:rPr>
          <w:rFonts w:ascii="宋体" w:hAnsi="宋体"/>
          <w:szCs w:val="21"/>
        </w:rPr>
        <w:t xml:space="preserve"> </w:t>
      </w:r>
      <w:r>
        <w:rPr>
          <w:rFonts w:hint="eastAsia" w:ascii="宋体" w:hAnsi="宋体"/>
          <w:szCs w:val="21"/>
        </w:rPr>
        <w:t>泥石流固体物质来源于崩滑体的，按前述滑坡崩塌网点布设；固体物质来源于松散物质的，其稳定性监测网点的布设，应在侵蚀程度分区的基础上进行，测点密度按表</w:t>
      </w:r>
      <w:r>
        <w:rPr>
          <w:rFonts w:ascii="Times New Roman" w:hAnsi="Times New Roman"/>
          <w:szCs w:val="21"/>
        </w:rPr>
        <w:t>F-1</w:t>
      </w:r>
      <w:r>
        <w:rPr>
          <w:rFonts w:hint="eastAsia" w:ascii="宋体" w:hAnsi="宋体"/>
          <w:szCs w:val="21"/>
        </w:rPr>
        <w:t>确定。测点应重点布设在严重侵蚀区内，并根据侵蚀强度的发展趋势和变化进行调整。</w:t>
      </w:r>
    </w:p>
    <w:p>
      <w:pPr>
        <w:spacing w:line="360" w:lineRule="auto"/>
        <w:ind w:left="840" w:leftChars="200" w:hanging="420" w:hangingChars="200"/>
        <w:rPr>
          <w:rFonts w:ascii="宋体" w:hAnsi="宋体"/>
          <w:szCs w:val="21"/>
        </w:rPr>
      </w:pPr>
      <w:r>
        <w:rPr>
          <w:rFonts w:ascii="Times New Roman" w:hAnsi="Times New Roman"/>
          <w:szCs w:val="21"/>
        </w:rPr>
        <w:t xml:space="preserve">c) </w:t>
      </w:r>
      <w:r>
        <w:rPr>
          <w:rFonts w:ascii="宋体" w:hAnsi="宋体"/>
          <w:szCs w:val="21"/>
        </w:rPr>
        <w:t xml:space="preserve"> </w:t>
      </w:r>
      <w:r>
        <w:rPr>
          <w:rFonts w:hint="eastAsia" w:ascii="宋体" w:hAnsi="宋体"/>
          <w:szCs w:val="21"/>
        </w:rPr>
        <w:t>降雨量测点宜布设在泥石流形成区及其暴雨带内，特别是形成区内崩滑体和松散物质储量最大的范围。测点布设数量视泥石流沟或流域面积而定，宜以网格状或三角形方式布设。</w:t>
      </w:r>
    </w:p>
    <w:p>
      <w:pPr>
        <w:spacing w:line="360" w:lineRule="auto"/>
        <w:ind w:left="840" w:leftChars="200" w:hanging="420" w:hangingChars="200"/>
        <w:rPr>
          <w:rFonts w:ascii="Times New Roman" w:hAnsi="Times New Roman"/>
          <w:szCs w:val="21"/>
        </w:rPr>
      </w:pPr>
      <w:r>
        <w:rPr>
          <w:rFonts w:ascii="Times New Roman" w:hAnsi="Times New Roman"/>
          <w:szCs w:val="21"/>
        </w:rPr>
        <w:t>d)</w:t>
      </w:r>
      <w:r>
        <w:rPr>
          <w:rFonts w:ascii="宋体" w:hAnsi="宋体"/>
          <w:szCs w:val="21"/>
        </w:rPr>
        <w:t xml:space="preserve">  </w:t>
      </w:r>
      <w:r>
        <w:rPr>
          <w:rFonts w:hint="eastAsia" w:ascii="宋体" w:hAnsi="宋体"/>
          <w:szCs w:val="21"/>
        </w:rPr>
        <w:t>泥位测点的间距以流域面积大小、流域水系的分布形态、泥石流流速及下游预警的时间而定，</w:t>
      </w:r>
      <w:r>
        <w:rPr>
          <w:rFonts w:ascii="Times New Roman" w:hAnsi="Times New Roman"/>
          <w:szCs w:val="21"/>
        </w:rPr>
        <w:t>一般布设1</w:t>
      </w:r>
      <w:r>
        <w:rPr>
          <w:rFonts w:hint="eastAsia" w:ascii="Times New Roman" w:hAnsi="Times New Roman"/>
          <w:szCs w:val="21"/>
        </w:rPr>
        <w:t>-</w:t>
      </w:r>
      <w:r>
        <w:rPr>
          <w:rFonts w:ascii="Times New Roman" w:hAnsi="Times New Roman"/>
          <w:szCs w:val="21"/>
        </w:rPr>
        <w:t>3个为宜，布设在危险区上游1.5 km以上的（保证下游危险区5分钟以上撤离时间）流通区段。</w:t>
      </w:r>
    </w:p>
    <w:p>
      <w:pPr>
        <w:spacing w:line="360" w:lineRule="auto"/>
        <w:ind w:left="840" w:leftChars="200" w:hanging="420" w:hangingChars="200"/>
        <w:rPr>
          <w:rFonts w:ascii="Times New Roman" w:hAnsi="Times New Roman"/>
          <w:szCs w:val="21"/>
        </w:rPr>
      </w:pPr>
      <w:r>
        <w:rPr>
          <w:rFonts w:ascii="Times New Roman" w:hAnsi="Times New Roman"/>
          <w:szCs w:val="21"/>
        </w:rPr>
        <w:t>e)  次声测点与振动测点宜布设在流域中下游泥石流危险区较为安全、便于安装维护和预警的区域。</w:t>
      </w:r>
    </w:p>
    <w:p>
      <w:pPr>
        <w:spacing w:line="360" w:lineRule="auto"/>
        <w:ind w:left="840" w:leftChars="200" w:hanging="420" w:hangingChars="200"/>
        <w:rPr>
          <w:rFonts w:ascii="Times New Roman" w:hAnsi="Times New Roman"/>
          <w:szCs w:val="21"/>
        </w:rPr>
      </w:pPr>
      <w:r>
        <w:rPr>
          <w:rFonts w:ascii="Times New Roman" w:hAnsi="Times New Roman"/>
          <w:szCs w:val="21"/>
        </w:rPr>
        <w:t>f)  视频测点主要监视沟域内崩滑体、可能堵溃沟段及流通沟段，以布设于安全（历史最高泥石流、洪水位以上）的巨砾、基岩、堤坝、桥梁等为宜。</w:t>
      </w:r>
    </w:p>
    <w:p>
      <w:pPr>
        <w:widowControl/>
        <w:tabs>
          <w:tab w:val="left" w:pos="360"/>
        </w:tabs>
        <w:spacing w:before="120" w:beforeLines="50" w:after="120" w:afterLines="50"/>
        <w:contextualSpacing/>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F</w:t>
      </w:r>
      <w:r>
        <w:rPr>
          <w:rFonts w:ascii="黑体" w:hAnsi="黑体" w:eastAsia="黑体"/>
          <w:kern w:val="0"/>
          <w:szCs w:val="21"/>
        </w:rPr>
        <w:t>-</w:t>
      </w:r>
      <w:r>
        <w:rPr>
          <w:rFonts w:hint="eastAsia" w:ascii="黑体" w:hAnsi="黑体" w:eastAsia="黑体"/>
          <w:kern w:val="0"/>
          <w:szCs w:val="21"/>
        </w:rPr>
        <w:t>1  松散物质稳定性测点布设数量</w:t>
      </w:r>
      <w:r>
        <w:rPr>
          <w:rFonts w:ascii="黑体" w:hAnsi="黑体" w:eastAsia="黑体"/>
          <w:kern w:val="0"/>
          <w:szCs w:val="21"/>
        </w:rPr>
        <w:t>表</w:t>
      </w:r>
    </w:p>
    <w:p>
      <w:pPr>
        <w:widowControl/>
        <w:tabs>
          <w:tab w:val="left" w:pos="360"/>
        </w:tabs>
        <w:spacing w:before="120" w:beforeLines="50" w:after="120" w:afterLines="50"/>
        <w:contextualSpacing/>
        <w:jc w:val="right"/>
        <w:rPr>
          <w:rFonts w:ascii="黑体" w:hAnsi="黑体" w:eastAsia="黑体"/>
          <w:kern w:val="0"/>
          <w:sz w:val="18"/>
          <w:szCs w:val="18"/>
        </w:rPr>
      </w:pPr>
      <w:r>
        <w:rPr>
          <w:rFonts w:ascii="黑体" w:hAnsi="黑体" w:eastAsia="黑体"/>
          <w:kern w:val="0"/>
          <w:sz w:val="18"/>
          <w:szCs w:val="18"/>
        </w:rPr>
        <w:t>单位为</w:t>
      </w:r>
      <w:r>
        <w:rPr>
          <w:rFonts w:ascii="Times New Roman" w:hAnsi="Times New Roman" w:eastAsia="黑体"/>
          <w:sz w:val="18"/>
          <w:szCs w:val="18"/>
        </w:rPr>
        <w:t>个/km</w:t>
      </w:r>
      <w:r>
        <w:rPr>
          <w:rFonts w:ascii="Times New Roman" w:hAnsi="Times New Roman" w:eastAsia="黑体"/>
          <w:sz w:val="18"/>
          <w:szCs w:val="18"/>
          <w:vertAlign w:val="superscript"/>
        </w:rPr>
        <w:t>2</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shd w:val="clear" w:color="auto" w:fill="auto"/>
            <w:vAlign w:val="center"/>
          </w:tcPr>
          <w:p>
            <w:pPr>
              <w:jc w:val="center"/>
              <w:rPr>
                <w:rFonts w:ascii="Times New Roman" w:hAnsi="Times New Roman"/>
                <w:sz w:val="18"/>
                <w:szCs w:val="18"/>
              </w:rPr>
            </w:pPr>
            <w:r>
              <w:rPr>
                <w:rFonts w:ascii="Times New Roman" w:hAnsi="Times New Roman"/>
                <w:sz w:val="18"/>
                <w:szCs w:val="18"/>
              </w:rPr>
              <w:t>侵蚀程度</w:t>
            </w:r>
          </w:p>
        </w:tc>
        <w:tc>
          <w:tcPr>
            <w:tcW w:w="2500" w:type="pct"/>
            <w:shd w:val="clear" w:color="auto" w:fill="auto"/>
            <w:vAlign w:val="center"/>
          </w:tcPr>
          <w:p>
            <w:pPr>
              <w:jc w:val="center"/>
              <w:rPr>
                <w:rFonts w:ascii="Times New Roman" w:hAnsi="Times New Roman"/>
                <w:sz w:val="18"/>
                <w:szCs w:val="18"/>
              </w:rPr>
            </w:pPr>
            <w:r>
              <w:rPr>
                <w:rFonts w:ascii="Times New Roman" w:hAnsi="Times New Roman"/>
                <w:sz w:val="18"/>
                <w:szCs w:val="18"/>
              </w:rPr>
              <w:t>测点密度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shd w:val="clear" w:color="auto" w:fill="auto"/>
            <w:vAlign w:val="center"/>
          </w:tcPr>
          <w:p>
            <w:pPr>
              <w:jc w:val="center"/>
              <w:rPr>
                <w:rFonts w:ascii="Times New Roman" w:hAnsi="Times New Roman"/>
                <w:sz w:val="18"/>
                <w:szCs w:val="18"/>
              </w:rPr>
            </w:pPr>
            <w:r>
              <w:rPr>
                <w:rFonts w:ascii="Times New Roman" w:hAnsi="Times New Roman"/>
                <w:sz w:val="18"/>
                <w:szCs w:val="18"/>
              </w:rPr>
              <w:t>严重侵蚀区</w:t>
            </w:r>
          </w:p>
        </w:tc>
        <w:tc>
          <w:tcPr>
            <w:tcW w:w="2500" w:type="pct"/>
            <w:shd w:val="clear" w:color="auto" w:fill="auto"/>
            <w:vAlign w:val="center"/>
          </w:tcPr>
          <w:p>
            <w:pPr>
              <w:jc w:val="center"/>
              <w:rPr>
                <w:rFonts w:ascii="Times New Roman" w:hAnsi="Times New Roman"/>
                <w:sz w:val="18"/>
                <w:szCs w:val="18"/>
              </w:rPr>
            </w:pPr>
            <w:r>
              <w:rPr>
                <w:rFonts w:ascii="Times New Roman" w:hAnsi="Times New Roman"/>
                <w:sz w:val="18"/>
                <w:szCs w:val="18"/>
              </w:rPr>
              <w:t>20</w:t>
            </w:r>
            <w:r>
              <w:rPr>
                <w:rFonts w:hint="eastAsia" w:ascii="Times New Roman" w:hAnsi="Times New Roman"/>
                <w:sz w:val="18"/>
                <w:szCs w:val="18"/>
              </w:rPr>
              <w:t>-</w:t>
            </w:r>
            <w:r>
              <w:rPr>
                <w:rFonts w:ascii="Times New Roman" w:hAnsi="Times New Roman"/>
                <w:sz w:val="18"/>
                <w:szCs w:val="18"/>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shd w:val="clear" w:color="auto" w:fill="auto"/>
            <w:vAlign w:val="center"/>
          </w:tcPr>
          <w:p>
            <w:pPr>
              <w:jc w:val="center"/>
              <w:rPr>
                <w:rFonts w:ascii="Times New Roman" w:hAnsi="Times New Roman"/>
                <w:sz w:val="18"/>
                <w:szCs w:val="18"/>
              </w:rPr>
            </w:pPr>
            <w:r>
              <w:rPr>
                <w:rFonts w:ascii="Times New Roman" w:hAnsi="Times New Roman"/>
                <w:sz w:val="18"/>
                <w:szCs w:val="18"/>
              </w:rPr>
              <w:t>中等侵蚀区</w:t>
            </w:r>
          </w:p>
        </w:tc>
        <w:tc>
          <w:tcPr>
            <w:tcW w:w="2500" w:type="pct"/>
            <w:shd w:val="clear" w:color="auto" w:fill="auto"/>
            <w:vAlign w:val="center"/>
          </w:tcPr>
          <w:p>
            <w:pPr>
              <w:jc w:val="center"/>
              <w:rPr>
                <w:rFonts w:ascii="Times New Roman" w:hAnsi="Times New Roman"/>
                <w:sz w:val="18"/>
                <w:szCs w:val="18"/>
              </w:rPr>
            </w:pPr>
            <w:r>
              <w:rPr>
                <w:rFonts w:ascii="Times New Roman" w:hAnsi="Times New Roman"/>
                <w:sz w:val="18"/>
                <w:szCs w:val="18"/>
              </w:rPr>
              <w:t>15</w:t>
            </w:r>
            <w:r>
              <w:rPr>
                <w:rFonts w:hint="eastAsia" w:ascii="Times New Roman" w:hAnsi="Times New Roman"/>
                <w:sz w:val="18"/>
                <w:szCs w:val="18"/>
              </w:rPr>
              <w:t>-</w:t>
            </w:r>
            <w:r>
              <w:rPr>
                <w:rFonts w:ascii="Times New Roman" w:hAnsi="Times New Roman"/>
                <w:sz w:val="18"/>
                <w:szCs w:val="1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shd w:val="clear" w:color="auto" w:fill="auto"/>
            <w:vAlign w:val="center"/>
          </w:tcPr>
          <w:p>
            <w:pPr>
              <w:jc w:val="center"/>
              <w:rPr>
                <w:rFonts w:ascii="Times New Roman" w:hAnsi="Times New Roman"/>
                <w:sz w:val="18"/>
                <w:szCs w:val="18"/>
              </w:rPr>
            </w:pPr>
            <w:r>
              <w:rPr>
                <w:rFonts w:ascii="Times New Roman" w:hAnsi="Times New Roman"/>
                <w:sz w:val="18"/>
                <w:szCs w:val="18"/>
              </w:rPr>
              <w:t>轻微侵蚀区</w:t>
            </w:r>
          </w:p>
        </w:tc>
        <w:tc>
          <w:tcPr>
            <w:tcW w:w="2500" w:type="pct"/>
            <w:shd w:val="clear" w:color="auto" w:fill="auto"/>
            <w:vAlign w:val="center"/>
          </w:tcPr>
          <w:p>
            <w:pPr>
              <w:jc w:val="center"/>
              <w:rPr>
                <w:rFonts w:ascii="Times New Roman" w:hAnsi="Times New Roman"/>
                <w:sz w:val="18"/>
                <w:szCs w:val="18"/>
              </w:rPr>
            </w:pPr>
            <w:r>
              <w:rPr>
                <w:rFonts w:ascii="Times New Roman" w:hAnsi="Times New Roman"/>
                <w:sz w:val="18"/>
                <w:szCs w:val="18"/>
              </w:rPr>
              <w:t>可少布或不布测点</w:t>
            </w:r>
          </w:p>
        </w:tc>
      </w:tr>
    </w:tbl>
    <w:p>
      <w:pPr>
        <w:spacing w:line="360" w:lineRule="auto"/>
        <w:ind w:left="840" w:leftChars="200" w:hanging="420" w:hangingChars="200"/>
        <w:rPr>
          <w:rFonts w:ascii="宋体" w:hAnsi="宋体"/>
          <w:szCs w:val="21"/>
        </w:rPr>
      </w:pP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F.4  地面塌陷监测</w:t>
      </w:r>
    </w:p>
    <w:p>
      <w:pPr>
        <w:spacing w:line="360" w:lineRule="auto"/>
        <w:ind w:left="840" w:leftChars="200" w:hanging="420" w:hangingChars="200"/>
        <w:rPr>
          <w:rFonts w:ascii="Times New Roman" w:hAnsi="Times New Roman"/>
          <w:szCs w:val="21"/>
        </w:rPr>
      </w:pPr>
      <w:r>
        <w:rPr>
          <w:rFonts w:ascii="Times New Roman" w:hAnsi="Times New Roman"/>
          <w:szCs w:val="21"/>
        </w:rPr>
        <w:t>a)  岩溶塌陷监测网点应充分利用现有水井、泉点、钻孔、基坑等进行布设。</w:t>
      </w:r>
    </w:p>
    <w:p>
      <w:pPr>
        <w:spacing w:line="360" w:lineRule="auto"/>
        <w:ind w:left="840" w:leftChars="200" w:hanging="420" w:hangingChars="200"/>
        <w:rPr>
          <w:rFonts w:ascii="Times New Roman" w:hAnsi="Times New Roman"/>
          <w:szCs w:val="21"/>
        </w:rPr>
      </w:pPr>
      <w:r>
        <w:rPr>
          <w:rFonts w:ascii="Times New Roman" w:hAnsi="Times New Roman"/>
          <w:szCs w:val="21"/>
        </w:rPr>
        <w:t>b)  对与已查明的点状分布岩溶塌陷测线以塌陷中心呈圆环状布置，每一测线位移测点不宜少于4个并成对布设，地下水位测点不宜少于2个。</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kern w:val="0"/>
          <w:szCs w:val="21"/>
        </w:rPr>
        <w:t xml:space="preserve">c)  </w:t>
      </w:r>
      <w:r>
        <w:rPr>
          <w:rFonts w:ascii="Times New Roman" w:hAnsi="Times New Roman"/>
          <w:szCs w:val="21"/>
        </w:rPr>
        <w:t>地面沉降测点参照GB/T 18314</w:t>
      </w:r>
      <w:r>
        <w:rPr>
          <w:rFonts w:hint="eastAsia" w:ascii="宋体" w:hAnsi="宋体"/>
          <w:szCs w:val="21"/>
        </w:rPr>
        <w:t>―</w:t>
      </w:r>
      <w:r>
        <w:rPr>
          <w:rFonts w:ascii="Times New Roman" w:hAnsi="Times New Roman"/>
          <w:szCs w:val="21"/>
        </w:rPr>
        <w:t>2009，按全球定位系统测量B级标准布</w:t>
      </w:r>
      <w:r>
        <w:rPr>
          <w:rFonts w:ascii="Times New Roman" w:hAnsi="Times New Roman"/>
          <w:kern w:val="0"/>
          <w:szCs w:val="21"/>
        </w:rPr>
        <w:t>设。</w:t>
      </w:r>
    </w:p>
    <w:p>
      <w:pPr>
        <w:tabs>
          <w:tab w:val="center" w:pos="4201"/>
          <w:tab w:val="right" w:leader="dot" w:pos="9298"/>
        </w:tabs>
        <w:autoSpaceDE w:val="0"/>
        <w:autoSpaceDN w:val="0"/>
        <w:spacing w:line="360" w:lineRule="auto"/>
        <w:ind w:left="840" w:leftChars="200" w:hanging="420" w:hangingChars="200"/>
        <w:rPr>
          <w:rFonts w:ascii="Times New Roman" w:hAnsi="Times New Roman"/>
          <w:szCs w:val="21"/>
        </w:rPr>
      </w:pPr>
      <w:r>
        <w:rPr>
          <w:rFonts w:ascii="Times New Roman" w:hAnsi="Times New Roman"/>
          <w:szCs w:val="21"/>
        </w:rPr>
        <w:t>d)  采空塌陷测线宜平行和垂直于工作面，数量不宜少于2条，走向测线宜布设在移动盆地主断面位置，测线长度应大于采用矿区边界角、移动角等参数值确定的地表变形预测范围。</w:t>
      </w:r>
    </w:p>
    <w:p>
      <w:pPr>
        <w:spacing w:line="360" w:lineRule="auto"/>
        <w:ind w:left="840" w:leftChars="200" w:hanging="420" w:hangingChars="200"/>
        <w:rPr>
          <w:rFonts w:ascii="Times New Roman" w:hAnsi="Times New Roman"/>
          <w:szCs w:val="21"/>
        </w:rPr>
      </w:pPr>
      <w:r>
        <w:rPr>
          <w:rFonts w:ascii="Times New Roman" w:hAnsi="Times New Roman"/>
          <w:szCs w:val="21"/>
        </w:rPr>
        <w:t>e)  采空塌陷应布设地面位移测点，还可利用现有巷道，通过钻探快速成孔，数量不宜少于两个断面，布设多点位移、顶板沉降及应力测点。</w:t>
      </w:r>
    </w:p>
    <w:p>
      <w:pPr>
        <w:spacing w:line="360" w:lineRule="auto"/>
        <w:ind w:left="840" w:leftChars="200" w:hanging="420" w:hangingChars="200"/>
        <w:rPr>
          <w:rFonts w:ascii="Times New Roman" w:hAnsi="Times New Roman"/>
          <w:kern w:val="0"/>
          <w:szCs w:val="21"/>
        </w:rPr>
      </w:pPr>
      <w:r>
        <w:rPr>
          <w:rFonts w:ascii="Times New Roman" w:hAnsi="Times New Roman"/>
          <w:szCs w:val="21"/>
        </w:rPr>
        <w:t>f)  隐伏土洞监测宜以测线方式布置，重点考虑塌陷区公路、铁路、地下管线、重要场地等，各测线拐点要设置固定桩测量坐标。</w:t>
      </w: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bookmarkStart w:id="130" w:name="_Toc21966410"/>
      <w:bookmarkStart w:id="131" w:name="_Toc33177717"/>
      <w:r>
        <w:rPr>
          <w:rFonts w:ascii="黑体" w:hAnsi="黑体" w:eastAsia="黑体"/>
          <w:kern w:val="0"/>
          <w:szCs w:val="21"/>
        </w:rPr>
        <w:t xml:space="preserve">附  录  </w:t>
      </w:r>
      <w:r>
        <w:rPr>
          <w:rFonts w:hint="eastAsia" w:ascii="黑体" w:hAnsi="黑体" w:eastAsia="黑体"/>
          <w:kern w:val="0"/>
          <w:szCs w:val="21"/>
        </w:rPr>
        <w:t>G</w:t>
      </w:r>
    </w:p>
    <w:p>
      <w:pPr>
        <w:keepNext/>
        <w:widowControl/>
        <w:shd w:val="clear" w:color="FFFFFF" w:fill="FFFFFF"/>
        <w:tabs>
          <w:tab w:val="left" w:pos="360"/>
          <w:tab w:val="left" w:pos="6405"/>
        </w:tabs>
        <w:spacing w:before="120" w:beforeLines="50" w:after="120" w:afterLines="50"/>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（资料性附录）</w:t>
      </w:r>
    </w:p>
    <w:p>
      <w:pPr>
        <w:keepNext/>
        <w:widowControl/>
        <w:shd w:val="clear" w:color="FFFFFF" w:fill="FFFFFF"/>
        <w:tabs>
          <w:tab w:val="left" w:pos="360"/>
          <w:tab w:val="left" w:pos="6405"/>
        </w:tabs>
        <w:spacing w:before="120" w:beforeLines="50" w:after="120" w:afterLines="50"/>
        <w:jc w:val="center"/>
        <w:outlineLvl w:val="0"/>
        <w:rPr>
          <w:rFonts w:ascii="Times New Roman" w:hAnsi="Times New Roman" w:eastAsia="黑体"/>
          <w:bCs/>
          <w:kern w:val="44"/>
          <w:szCs w:val="21"/>
        </w:rPr>
      </w:pPr>
      <w:r>
        <w:rPr>
          <w:rFonts w:ascii="Times New Roman" w:hAnsi="Times New Roman" w:eastAsia="黑体"/>
          <w:kern w:val="0"/>
          <w:szCs w:val="21"/>
        </w:rPr>
        <w:t>基础工程建设要求及结构图示</w:t>
      </w:r>
      <w:bookmarkEnd w:id="130"/>
      <w:bookmarkEnd w:id="131"/>
    </w:p>
    <w:p>
      <w:pPr>
        <w:keepNext/>
        <w:keepLines/>
        <w:adjustRightInd w:val="0"/>
        <w:snapToGrid w:val="0"/>
        <w:spacing w:before="120" w:beforeLines="50" w:after="120" w:afterLines="50"/>
        <w:jc w:val="left"/>
        <w:rPr>
          <w:rFonts w:ascii="黑体" w:hAnsi="黑体" w:eastAsia="黑体"/>
          <w:bCs/>
          <w:kern w:val="44"/>
          <w:szCs w:val="21"/>
        </w:rPr>
      </w:pPr>
      <w:bookmarkStart w:id="132" w:name="_Toc534577768"/>
      <w:bookmarkStart w:id="133" w:name="_Toc21966411"/>
      <w:bookmarkStart w:id="134" w:name="_Toc534580125"/>
      <w:r>
        <w:rPr>
          <w:rFonts w:hint="eastAsia" w:ascii="黑体" w:hAnsi="黑体" w:eastAsia="黑体"/>
          <w:bCs/>
          <w:kern w:val="44"/>
          <w:szCs w:val="21"/>
        </w:rPr>
        <w:t>G</w:t>
      </w:r>
      <w:r>
        <w:rPr>
          <w:rFonts w:ascii="黑体" w:hAnsi="黑体" w:eastAsia="黑体"/>
          <w:bCs/>
          <w:kern w:val="44"/>
          <w:szCs w:val="21"/>
        </w:rPr>
        <w:t>.1</w:t>
      </w:r>
      <w:r>
        <w:rPr>
          <w:rFonts w:hint="eastAsia" w:ascii="黑体" w:hAnsi="黑体" w:eastAsia="黑体"/>
          <w:bCs/>
          <w:kern w:val="44"/>
          <w:szCs w:val="21"/>
        </w:rPr>
        <w:t xml:space="preserve">  </w:t>
      </w:r>
      <w:r>
        <w:rPr>
          <w:rFonts w:ascii="黑体" w:hAnsi="黑体" w:eastAsia="黑体"/>
          <w:bCs/>
          <w:kern w:val="44"/>
          <w:szCs w:val="21"/>
        </w:rPr>
        <w:t>深部位移监测钻孔</w:t>
      </w:r>
      <w:bookmarkEnd w:id="132"/>
      <w:bookmarkEnd w:id="133"/>
      <w:bookmarkEnd w:id="134"/>
    </w:p>
    <w:p>
      <w:pPr>
        <w:spacing w:before="120" w:beforeLines="50" w:after="120" w:afterLines="50"/>
        <w:jc w:val="left"/>
        <w:rPr>
          <w:rFonts w:ascii="黑体" w:hAnsi="黑体" w:eastAsia="黑体"/>
          <w:szCs w:val="21"/>
        </w:rPr>
      </w:pPr>
      <w:bookmarkStart w:id="135" w:name="_Toc479510423"/>
      <w:bookmarkStart w:id="136" w:name="_Toc460322158"/>
      <w:r>
        <w:rPr>
          <w:rFonts w:hint="eastAsia" w:ascii="黑体" w:hAnsi="黑体" w:eastAsia="黑体"/>
          <w:szCs w:val="21"/>
        </w:rPr>
        <w:t>G</w:t>
      </w:r>
      <w:r>
        <w:rPr>
          <w:rFonts w:ascii="黑体" w:hAnsi="黑体" w:eastAsia="黑体"/>
          <w:szCs w:val="21"/>
        </w:rPr>
        <w:t>.1.1</w:t>
      </w:r>
      <w:r>
        <w:rPr>
          <w:rFonts w:hint="eastAsia" w:ascii="黑体" w:hAnsi="黑体" w:eastAsia="黑体"/>
          <w:szCs w:val="21"/>
        </w:rPr>
        <w:t xml:space="preserve">  </w:t>
      </w:r>
      <w:r>
        <w:rPr>
          <w:rFonts w:ascii="黑体" w:hAnsi="黑体" w:eastAsia="黑体"/>
          <w:szCs w:val="21"/>
        </w:rPr>
        <w:t>监测钻孔施工技术要求</w:t>
      </w:r>
      <w:bookmarkEnd w:id="135"/>
      <w:bookmarkEnd w:id="136"/>
    </w:p>
    <w:p>
      <w:pPr>
        <w:spacing w:line="360" w:lineRule="auto"/>
        <w:ind w:left="840" w:leftChars="200" w:hanging="420" w:hangingChars="200"/>
        <w:rPr>
          <w:rFonts w:ascii="Times New Roman" w:hAnsi="Times New Roman"/>
          <w:szCs w:val="24"/>
        </w:rPr>
      </w:pPr>
      <w:bookmarkStart w:id="137" w:name="_Toc460322159"/>
      <w:r>
        <w:rPr>
          <w:rFonts w:ascii="Times New Roman" w:hAnsi="Times New Roman"/>
          <w:szCs w:val="24"/>
        </w:rPr>
        <w:t>a)  按监测设计书要求在选定部位钻孔，全孔取心，钻孔直径以大小于测斜管外径30 mm为宜，一般不宜小于110 mm。</w:t>
      </w:r>
      <w:bookmarkEnd w:id="137"/>
    </w:p>
    <w:p>
      <w:pPr>
        <w:spacing w:line="360" w:lineRule="auto"/>
        <w:ind w:left="840" w:leftChars="200" w:hanging="420" w:hangingChars="200"/>
        <w:rPr>
          <w:rFonts w:ascii="Times New Roman" w:hAnsi="Times New Roman"/>
          <w:szCs w:val="24"/>
        </w:rPr>
      </w:pPr>
      <w:bookmarkStart w:id="138" w:name="_Toc460322160"/>
      <w:r>
        <w:rPr>
          <w:rFonts w:ascii="Times New Roman" w:hAnsi="Times New Roman"/>
          <w:szCs w:val="24"/>
        </w:rPr>
        <w:t>b)  在地下水位以上的土层和不易塌孔的砂土内应采用干法钻进；在地下水位以下的岩土层内，应采用单动双管钻进技术钻进；严重缩孔或塌孔时应采用跟管或泥浆护壁。</w:t>
      </w:r>
      <w:bookmarkEnd w:id="138"/>
    </w:p>
    <w:p>
      <w:pPr>
        <w:spacing w:line="360" w:lineRule="auto"/>
        <w:ind w:left="840" w:leftChars="200" w:hanging="420" w:hangingChars="200"/>
        <w:rPr>
          <w:rFonts w:ascii="Times New Roman" w:hAnsi="Times New Roman"/>
          <w:szCs w:val="24"/>
        </w:rPr>
      </w:pPr>
      <w:bookmarkStart w:id="139" w:name="_Toc460322161"/>
      <w:r>
        <w:rPr>
          <w:rFonts w:ascii="Times New Roman" w:hAnsi="Times New Roman"/>
          <w:szCs w:val="24"/>
        </w:rPr>
        <w:t>c)  为了防止塌孔，并为将来进行孔口保护做好准备，孔口段应预留5 m长的套管。</w:t>
      </w:r>
      <w:bookmarkEnd w:id="139"/>
    </w:p>
    <w:p>
      <w:pPr>
        <w:spacing w:line="360" w:lineRule="auto"/>
        <w:ind w:left="840" w:leftChars="200" w:hanging="420" w:hangingChars="200"/>
        <w:rPr>
          <w:rFonts w:ascii="Times New Roman" w:hAnsi="Times New Roman"/>
          <w:szCs w:val="24"/>
        </w:rPr>
      </w:pPr>
      <w:bookmarkStart w:id="140" w:name="_Toc460322162"/>
      <w:r>
        <w:rPr>
          <w:rFonts w:ascii="Times New Roman" w:hAnsi="Times New Roman"/>
          <w:szCs w:val="24"/>
        </w:rPr>
        <w:t>d)  钻进过程中应做好钻孔地质编录。钻孔完成后，应冲检查钻孔深度及其通畅情况，测量孔斜，并绘制钻孔综合柱状图。</w:t>
      </w:r>
      <w:bookmarkEnd w:id="140"/>
    </w:p>
    <w:p>
      <w:pPr>
        <w:spacing w:line="360" w:lineRule="auto"/>
        <w:ind w:left="840" w:leftChars="200" w:hanging="420" w:hangingChars="200"/>
        <w:rPr>
          <w:rFonts w:ascii="Times New Roman" w:hAnsi="Times New Roman"/>
          <w:szCs w:val="24"/>
        </w:rPr>
      </w:pPr>
      <w:bookmarkStart w:id="141" w:name="_Toc460322163"/>
      <w:r>
        <w:rPr>
          <w:rFonts w:ascii="Times New Roman" w:hAnsi="Times New Roman"/>
          <w:szCs w:val="24"/>
        </w:rPr>
        <w:t>e)  每钻进50 m及终孔后均应校正孔深，孔深最大误差不得大于0.5%。钻孔铅直度偏差应满足每50 m孔深内不大于±3°。</w:t>
      </w:r>
      <w:bookmarkEnd w:id="141"/>
    </w:p>
    <w:p>
      <w:pPr>
        <w:spacing w:line="360" w:lineRule="auto"/>
        <w:ind w:left="840" w:leftChars="200" w:hanging="420" w:hangingChars="200"/>
        <w:rPr>
          <w:rFonts w:ascii="Times New Roman" w:hAnsi="Times New Roman"/>
          <w:szCs w:val="24"/>
        </w:rPr>
      </w:pPr>
      <w:bookmarkStart w:id="142" w:name="_Toc460322164"/>
      <w:r>
        <w:rPr>
          <w:rFonts w:ascii="Times New Roman" w:hAnsi="Times New Roman"/>
          <w:szCs w:val="24"/>
        </w:rPr>
        <w:t>f)  钻孔应穿过滑带，进入完整基岩或稳定层3</w:t>
      </w:r>
      <w:r>
        <w:rPr>
          <w:rFonts w:hint="eastAsia" w:ascii="Times New Roman" w:hAnsi="Times New Roman"/>
          <w:szCs w:val="24"/>
        </w:rPr>
        <w:t>-</w:t>
      </w:r>
      <w:r>
        <w:rPr>
          <w:rFonts w:ascii="Times New Roman" w:hAnsi="Times New Roman"/>
          <w:szCs w:val="24"/>
        </w:rPr>
        <w:t>5 m。</w:t>
      </w:r>
      <w:bookmarkEnd w:id="142"/>
    </w:p>
    <w:p>
      <w:pPr>
        <w:spacing w:line="360" w:lineRule="auto"/>
        <w:ind w:left="840" w:leftChars="200" w:hanging="420" w:hangingChars="200"/>
        <w:rPr>
          <w:rFonts w:ascii="Times New Roman" w:hAnsi="Times New Roman"/>
          <w:szCs w:val="24"/>
        </w:rPr>
      </w:pPr>
      <w:r>
        <w:rPr>
          <w:rFonts w:ascii="Times New Roman" w:hAnsi="Times New Roman"/>
          <w:szCs w:val="24"/>
        </w:rPr>
        <w:t>g)  测量监测孔坐标及孔口高程。</w:t>
      </w:r>
    </w:p>
    <w:p>
      <w:pPr>
        <w:spacing w:before="120" w:beforeLines="50" w:after="120" w:afterLines="50"/>
        <w:jc w:val="left"/>
        <w:rPr>
          <w:rFonts w:ascii="黑体" w:hAnsi="黑体" w:eastAsia="黑体"/>
          <w:szCs w:val="21"/>
        </w:rPr>
      </w:pPr>
      <w:bookmarkStart w:id="143" w:name="_Toc479510424"/>
      <w:bookmarkStart w:id="144" w:name="_Toc460322166"/>
      <w:r>
        <w:rPr>
          <w:rFonts w:hint="eastAsia" w:ascii="黑体" w:hAnsi="黑体" w:eastAsia="黑体"/>
          <w:szCs w:val="21"/>
        </w:rPr>
        <w:t>G</w:t>
      </w:r>
      <w:r>
        <w:rPr>
          <w:rFonts w:ascii="黑体" w:hAnsi="黑体" w:eastAsia="黑体"/>
          <w:szCs w:val="21"/>
        </w:rPr>
        <w:t>.1.2</w:t>
      </w:r>
      <w:r>
        <w:rPr>
          <w:rFonts w:hint="eastAsia" w:ascii="黑体" w:hAnsi="黑体" w:eastAsia="黑体"/>
          <w:szCs w:val="21"/>
        </w:rPr>
        <w:t xml:space="preserve">  </w:t>
      </w:r>
      <w:r>
        <w:rPr>
          <w:rFonts w:ascii="黑体" w:hAnsi="黑体" w:eastAsia="黑体"/>
          <w:szCs w:val="21"/>
        </w:rPr>
        <w:t>测斜管施工技术要求</w:t>
      </w:r>
      <w:bookmarkEnd w:id="143"/>
      <w:bookmarkEnd w:id="144"/>
    </w:p>
    <w:p>
      <w:pPr>
        <w:spacing w:line="360" w:lineRule="auto"/>
        <w:ind w:left="840" w:leftChars="200" w:hanging="420" w:hangingChars="200"/>
        <w:rPr>
          <w:rFonts w:ascii="Times New Roman" w:hAnsi="Times New Roman"/>
          <w:szCs w:val="24"/>
        </w:rPr>
      </w:pPr>
      <w:bookmarkStart w:id="145" w:name="_Toc460322167"/>
      <w:r>
        <w:rPr>
          <w:rFonts w:hint="eastAsia" w:ascii="Times New Roman" w:hAnsi="Times New Roman"/>
          <w:szCs w:val="24"/>
        </w:rPr>
        <w:t xml:space="preserve">a)  </w:t>
      </w:r>
      <w:r>
        <w:rPr>
          <w:rFonts w:ascii="Times New Roman" w:hAnsi="Times New Roman"/>
          <w:szCs w:val="24"/>
        </w:rPr>
        <w:t>测斜管可选择ABS工程塑料管、铝合金管和PVC管等，管内壁须有两对互相正交的导槽。长期监测宜选用铝合金管，临时性监测可选用PVC管。</w:t>
      </w:r>
      <w:bookmarkEnd w:id="145"/>
    </w:p>
    <w:p>
      <w:pPr>
        <w:spacing w:line="360" w:lineRule="auto"/>
        <w:ind w:left="840" w:leftChars="200" w:hanging="420" w:hangingChars="200"/>
        <w:rPr>
          <w:rFonts w:ascii="Times New Roman" w:hAnsi="Times New Roman"/>
          <w:szCs w:val="24"/>
        </w:rPr>
      </w:pPr>
      <w:bookmarkStart w:id="146" w:name="_Toc460322168"/>
      <w:r>
        <w:rPr>
          <w:rFonts w:hint="eastAsia" w:ascii="Times New Roman" w:hAnsi="Times New Roman"/>
          <w:szCs w:val="24"/>
        </w:rPr>
        <w:t xml:space="preserve">b)  </w:t>
      </w:r>
      <w:r>
        <w:rPr>
          <w:rFonts w:ascii="Times New Roman" w:hAnsi="Times New Roman"/>
          <w:szCs w:val="24"/>
        </w:rPr>
        <w:t>测斜管应平直，两端平整。其内壁应平整圆滑，导槽应平整顺直，不得有裂纹结瘤。</w:t>
      </w:r>
      <w:bookmarkEnd w:id="146"/>
    </w:p>
    <w:p>
      <w:pPr>
        <w:spacing w:line="360" w:lineRule="auto"/>
        <w:ind w:left="840" w:leftChars="200" w:hanging="420" w:hangingChars="200"/>
        <w:rPr>
          <w:rFonts w:ascii="Times New Roman" w:hAnsi="Times New Roman"/>
          <w:szCs w:val="24"/>
        </w:rPr>
      </w:pPr>
      <w:bookmarkStart w:id="147" w:name="_Toc460322169"/>
      <w:r>
        <w:rPr>
          <w:rFonts w:hint="eastAsia" w:ascii="Times New Roman" w:hAnsi="Times New Roman"/>
          <w:szCs w:val="24"/>
        </w:rPr>
        <w:t xml:space="preserve">c)  </w:t>
      </w:r>
      <w:r>
        <w:rPr>
          <w:rFonts w:ascii="Times New Roman" w:hAnsi="Times New Roman"/>
          <w:szCs w:val="24"/>
        </w:rPr>
        <w:t>测斜管安装前，须进行一次清孔作业，确保钻孔通畅，保证测斜管的顺利下放。</w:t>
      </w:r>
      <w:bookmarkEnd w:id="147"/>
    </w:p>
    <w:p>
      <w:pPr>
        <w:spacing w:line="360" w:lineRule="auto"/>
        <w:ind w:left="840" w:leftChars="200" w:hanging="420" w:hangingChars="200"/>
        <w:rPr>
          <w:rFonts w:ascii="Times New Roman" w:hAnsi="Times New Roman"/>
          <w:szCs w:val="24"/>
        </w:rPr>
      </w:pPr>
      <w:bookmarkStart w:id="148" w:name="_Toc460322170"/>
      <w:r>
        <w:rPr>
          <w:rFonts w:hint="eastAsia" w:ascii="Times New Roman" w:hAnsi="Times New Roman"/>
          <w:szCs w:val="24"/>
        </w:rPr>
        <w:t xml:space="preserve">d)  </w:t>
      </w:r>
      <w:r>
        <w:rPr>
          <w:rFonts w:ascii="Times New Roman" w:hAnsi="Times New Roman"/>
          <w:szCs w:val="24"/>
        </w:rPr>
        <w:t>按埋设长度要求在现场将测斜管逐根进行标记预接。预接时管内导槽须对准，并套上管接头，在其两导槽间对称钻四个孔，用铆钉（铝合金管）或自攻螺丝（ABS工程塑料管）将管接头与测斜管固定，然后在管接头与测斜管接缝处用橡皮泥等堵塞，再用防水胶带缠紧，测斜管底端加底盖并用胶带缠紧密封，以防止注浆液渗入管内。装配好的测斜管导槽扭转角应不大于0.17°/m。</w:t>
      </w:r>
      <w:bookmarkEnd w:id="148"/>
    </w:p>
    <w:p>
      <w:pPr>
        <w:spacing w:line="360" w:lineRule="auto"/>
        <w:ind w:left="840" w:leftChars="200" w:hanging="420" w:hangingChars="200"/>
        <w:rPr>
          <w:rFonts w:ascii="Times New Roman" w:hAnsi="Times New Roman"/>
          <w:szCs w:val="24"/>
        </w:rPr>
      </w:pPr>
      <w:bookmarkStart w:id="149" w:name="_Toc460322171"/>
      <w:r>
        <w:rPr>
          <w:rFonts w:hint="eastAsia" w:ascii="Times New Roman" w:hAnsi="Times New Roman"/>
          <w:szCs w:val="24"/>
        </w:rPr>
        <w:t xml:space="preserve">e)  </w:t>
      </w:r>
      <w:r>
        <w:rPr>
          <w:rFonts w:ascii="Times New Roman" w:hAnsi="Times New Roman"/>
          <w:szCs w:val="24"/>
        </w:rPr>
        <w:t>测斜管其中一对导槽应与预计变形或滑移方向一致。测斜管长度较大时，为保证安全，可用承重吊绳、绞车、套管夹等装置辅助安装。</w:t>
      </w:r>
      <w:bookmarkEnd w:id="149"/>
    </w:p>
    <w:p>
      <w:pPr>
        <w:spacing w:line="360" w:lineRule="auto"/>
        <w:ind w:left="840" w:leftChars="200" w:hanging="420" w:hangingChars="200"/>
        <w:rPr>
          <w:rFonts w:ascii="Times New Roman" w:hAnsi="Times New Roman"/>
          <w:szCs w:val="24"/>
        </w:rPr>
      </w:pPr>
      <w:bookmarkStart w:id="150" w:name="_Toc460322172"/>
      <w:r>
        <w:rPr>
          <w:rFonts w:hint="eastAsia" w:ascii="Times New Roman" w:hAnsi="Times New Roman"/>
          <w:szCs w:val="24"/>
        </w:rPr>
        <w:t xml:space="preserve">f)  </w:t>
      </w:r>
      <w:r>
        <w:rPr>
          <w:rFonts w:ascii="Times New Roman" w:hAnsi="Times New Roman"/>
          <w:szCs w:val="24"/>
        </w:rPr>
        <w:t>测斜管与钻孔之间空隙通过底部返浆法（岩体钻孔）或孔口注砂法（土体钻孔）填充。底部返浆法采用C25水泥砂浆灌注，为防止在灌浆时测斜管浮起，宜预先在测斜管内注入清水；孔口注砂法填砂时须边填砂边注水，确保填砂密实。</w:t>
      </w:r>
      <w:bookmarkEnd w:id="150"/>
    </w:p>
    <w:p>
      <w:pPr>
        <w:spacing w:line="360" w:lineRule="auto"/>
        <w:ind w:left="840" w:leftChars="200" w:hanging="420" w:hangingChars="200"/>
        <w:rPr>
          <w:rFonts w:ascii="Times New Roman" w:hAnsi="Times New Roman"/>
          <w:szCs w:val="24"/>
        </w:rPr>
      </w:pPr>
      <w:bookmarkStart w:id="151" w:name="_Toc460322173"/>
      <w:r>
        <w:rPr>
          <w:rFonts w:hint="eastAsia" w:ascii="Times New Roman" w:hAnsi="Times New Roman"/>
          <w:szCs w:val="24"/>
        </w:rPr>
        <w:t xml:space="preserve">g)  </w:t>
      </w:r>
      <w:r>
        <w:rPr>
          <w:rFonts w:ascii="Times New Roman" w:hAnsi="Times New Roman"/>
          <w:szCs w:val="24"/>
        </w:rPr>
        <w:t>灌浆完毕或回填砂后，测斜管内要用清水冲洗干净。做好孔口保护措施及孔口平台，防止碎石或其他异物掉入管内，以保证测斜管不受损坏。</w:t>
      </w:r>
      <w:bookmarkEnd w:id="151"/>
    </w:p>
    <w:p>
      <w:pPr>
        <w:spacing w:line="360" w:lineRule="auto"/>
        <w:ind w:left="840" w:leftChars="200" w:hanging="420" w:hangingChars="200"/>
        <w:rPr>
          <w:rFonts w:ascii="Times New Roman" w:hAnsi="Times New Roman"/>
          <w:szCs w:val="24"/>
        </w:rPr>
      </w:pPr>
      <w:bookmarkStart w:id="152" w:name="_Toc460322174"/>
      <w:r>
        <w:rPr>
          <w:rFonts w:hint="eastAsia" w:ascii="Times New Roman" w:hAnsi="Times New Roman"/>
          <w:szCs w:val="24"/>
        </w:rPr>
        <w:t xml:space="preserve">h)  </w:t>
      </w:r>
      <w:r>
        <w:rPr>
          <w:rFonts w:ascii="Times New Roman" w:hAnsi="Times New Roman"/>
          <w:szCs w:val="24"/>
        </w:rPr>
        <w:t>待水泥浆凝固或填砂密实稳定后，量测测斜管导槽的方位，管口坐标及高程，并对安装埋设过程中发生的问题作详细记录。</w:t>
      </w:r>
      <w:bookmarkEnd w:id="152"/>
    </w:p>
    <w:p>
      <w:pPr>
        <w:tabs>
          <w:tab w:val="center" w:pos="4201"/>
          <w:tab w:val="right" w:leader="dot" w:pos="9298"/>
        </w:tabs>
        <w:autoSpaceDE w:val="0"/>
        <w:autoSpaceDN w:val="0"/>
        <w:spacing w:before="120" w:beforeLines="50" w:after="120" w:afterLines="50"/>
        <w:jc w:val="left"/>
        <w:rPr>
          <w:rFonts w:ascii="宋体" w:hAnsi="Times New Roman"/>
          <w:kern w:val="0"/>
          <w:szCs w:val="21"/>
        </w:rPr>
      </w:pPr>
      <w:r>
        <w:rPr>
          <w:rFonts w:hint="eastAsia" w:ascii="黑体" w:hAnsi="黑体" w:eastAsia="黑体"/>
          <w:szCs w:val="21"/>
        </w:rPr>
        <w:t>G</w:t>
      </w:r>
      <w:r>
        <w:rPr>
          <w:rFonts w:ascii="黑体" w:hAnsi="黑体" w:eastAsia="黑体"/>
          <w:szCs w:val="21"/>
        </w:rPr>
        <w:t>.1.3</w:t>
      </w:r>
      <w:r>
        <w:rPr>
          <w:rFonts w:hint="eastAsia" w:ascii="黑体" w:hAnsi="黑体" w:eastAsia="黑体"/>
          <w:szCs w:val="21"/>
        </w:rPr>
        <w:t xml:space="preserve">  </w:t>
      </w:r>
      <w:r>
        <w:rPr>
          <w:rFonts w:ascii="黑体" w:hAnsi="黑体" w:eastAsia="黑体"/>
          <w:szCs w:val="21"/>
        </w:rPr>
        <w:t>深部位移监测钻孔结构见图</w:t>
      </w:r>
      <w:r>
        <w:rPr>
          <w:rFonts w:hint="eastAsia" w:ascii="黑体" w:hAnsi="黑体" w:eastAsia="黑体"/>
          <w:szCs w:val="21"/>
        </w:rPr>
        <w:t>G</w:t>
      </w:r>
      <w:r>
        <w:rPr>
          <w:rFonts w:ascii="黑体" w:hAnsi="黑体" w:eastAsia="黑体"/>
          <w:szCs w:val="21"/>
        </w:rPr>
        <w:t>-1。</w:t>
      </w:r>
    </w:p>
    <w:p>
      <w:pPr>
        <w:tabs>
          <w:tab w:val="center" w:pos="4201"/>
          <w:tab w:val="right" w:leader="dot" w:pos="9298"/>
        </w:tabs>
        <w:autoSpaceDE w:val="0"/>
        <w:autoSpaceDN w:val="0"/>
        <w:spacing w:line="360" w:lineRule="auto"/>
        <w:jc w:val="center"/>
        <w:rPr>
          <w:rFonts w:ascii="宋体" w:hAnsi="Times New Roman"/>
          <w:kern w:val="0"/>
          <w:szCs w:val="21"/>
        </w:rPr>
      </w:pPr>
      <w:r>
        <w:rPr>
          <w:rFonts w:ascii="宋体" w:hAnsi="Times New Roman"/>
          <w:kern w:val="0"/>
          <w:szCs w:val="21"/>
        </w:rPr>
        <w:drawing>
          <wp:inline distT="0" distB="0" distL="0" distR="0">
            <wp:extent cx="5760085" cy="4406900"/>
            <wp:effectExtent l="19050" t="0" r="0"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图片 626"/>
                    <pic:cNvPicPr>
                      <a:picLocks noChangeAspect="1" noChangeArrowheads="1"/>
                    </pic:cNvPicPr>
                  </pic:nvPicPr>
                  <pic:blipFill>
                    <a:blip r:embed="rId10" cstate="print"/>
                    <a:srcRect/>
                    <a:stretch>
                      <a:fillRect/>
                    </a:stretch>
                  </pic:blipFill>
                  <pic:spPr>
                    <a:xfrm>
                      <a:off x="0" y="0"/>
                      <a:ext cx="5760085" cy="4406900"/>
                    </a:xfrm>
                    <a:prstGeom prst="rect">
                      <a:avLst/>
                    </a:prstGeom>
                    <a:noFill/>
                  </pic:spPr>
                </pic:pic>
              </a:graphicData>
            </a:graphic>
          </wp:inline>
        </w:drawing>
      </w:r>
    </w:p>
    <w:p>
      <w:pPr>
        <w:widowControl/>
        <w:tabs>
          <w:tab w:val="left" w:pos="360"/>
        </w:tabs>
        <w:spacing w:before="120" w:beforeLines="50" w:after="120" w:afterLines="50"/>
        <w:contextualSpacing/>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-1</w:t>
      </w:r>
      <w:r>
        <w:rPr>
          <w:rFonts w:hint="eastAsia" w:ascii="黑体" w:hAnsi="黑体" w:eastAsia="黑体"/>
          <w:kern w:val="0"/>
          <w:szCs w:val="21"/>
        </w:rPr>
        <w:t xml:space="preserve">  </w:t>
      </w:r>
      <w:r>
        <w:rPr>
          <w:rFonts w:ascii="黑体" w:hAnsi="黑体" w:eastAsia="黑体"/>
          <w:kern w:val="0"/>
          <w:szCs w:val="21"/>
        </w:rPr>
        <w:t>深部位移监测钻孔结构图</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153" w:name="_Toc534577769"/>
      <w:bookmarkStart w:id="154" w:name="_Toc21966412"/>
      <w:bookmarkStart w:id="155" w:name="_Toc534580126"/>
      <w:r>
        <w:rPr>
          <w:rFonts w:hint="eastAsia" w:ascii="黑体" w:hAnsi="黑体" w:eastAsia="黑体"/>
          <w:bCs/>
          <w:kern w:val="44"/>
          <w:szCs w:val="21"/>
        </w:rPr>
        <w:t>G</w:t>
      </w:r>
      <w:r>
        <w:rPr>
          <w:rFonts w:ascii="黑体" w:hAnsi="黑体" w:eastAsia="黑体"/>
          <w:bCs/>
          <w:kern w:val="44"/>
          <w:szCs w:val="21"/>
        </w:rPr>
        <w:t>.2</w:t>
      </w:r>
      <w:r>
        <w:rPr>
          <w:rFonts w:hint="eastAsia" w:ascii="黑体" w:hAnsi="黑体" w:eastAsia="黑体"/>
          <w:bCs/>
          <w:kern w:val="44"/>
          <w:szCs w:val="21"/>
        </w:rPr>
        <w:t xml:space="preserve">  </w:t>
      </w:r>
      <w:r>
        <w:rPr>
          <w:rFonts w:ascii="黑体" w:hAnsi="黑体" w:eastAsia="黑体"/>
          <w:bCs/>
          <w:kern w:val="44"/>
          <w:szCs w:val="21"/>
        </w:rPr>
        <w:t>地下水监测钻孔</w:t>
      </w:r>
      <w:bookmarkEnd w:id="153"/>
      <w:bookmarkEnd w:id="154"/>
      <w:bookmarkEnd w:id="155"/>
    </w:p>
    <w:p>
      <w:pPr>
        <w:spacing w:before="120" w:beforeLines="50" w:after="120" w:afterLines="50"/>
        <w:jc w:val="left"/>
        <w:rPr>
          <w:rFonts w:ascii="Times New Roman" w:hAnsi="Times New Roman"/>
          <w:szCs w:val="21"/>
        </w:rPr>
      </w:pPr>
      <w:bookmarkStart w:id="156" w:name="_Toc433629043"/>
      <w:bookmarkStart w:id="157" w:name="_Toc460062085"/>
      <w:bookmarkStart w:id="158" w:name="_Toc460322188"/>
      <w:bookmarkStart w:id="159" w:name="_Toc479510432"/>
      <w:r>
        <w:rPr>
          <w:rFonts w:hint="eastAsia" w:ascii="黑体" w:hAnsi="黑体" w:eastAsia="黑体"/>
          <w:szCs w:val="21"/>
        </w:rPr>
        <w:t>G</w:t>
      </w:r>
      <w:r>
        <w:rPr>
          <w:rFonts w:ascii="黑体" w:hAnsi="黑体" w:eastAsia="黑体"/>
          <w:szCs w:val="21"/>
        </w:rPr>
        <w:t>.2.1</w:t>
      </w:r>
      <w:r>
        <w:rPr>
          <w:rFonts w:hint="eastAsia" w:ascii="黑体" w:hAnsi="黑体" w:eastAsia="黑体"/>
          <w:szCs w:val="21"/>
        </w:rPr>
        <w:t xml:space="preserve">  </w:t>
      </w:r>
      <w:r>
        <w:rPr>
          <w:rFonts w:ascii="黑体" w:hAnsi="黑体" w:eastAsia="黑体"/>
          <w:szCs w:val="21"/>
        </w:rPr>
        <w:t>监测钻孔施工技术要求</w:t>
      </w:r>
    </w:p>
    <w:bookmarkEnd w:id="156"/>
    <w:bookmarkEnd w:id="157"/>
    <w:bookmarkEnd w:id="158"/>
    <w:bookmarkEnd w:id="159"/>
    <w:p>
      <w:pPr>
        <w:spacing w:line="360" w:lineRule="auto"/>
        <w:ind w:left="840" w:leftChars="200" w:hanging="420" w:hangingChars="200"/>
        <w:rPr>
          <w:rFonts w:ascii="Times New Roman" w:hAnsi="Times New Roman"/>
          <w:szCs w:val="24"/>
        </w:rPr>
      </w:pPr>
      <w:bookmarkStart w:id="160" w:name="_Toc460322189"/>
      <w:r>
        <w:rPr>
          <w:rFonts w:hint="eastAsia" w:ascii="Times New Roman" w:hAnsi="Times New Roman"/>
          <w:szCs w:val="24"/>
        </w:rPr>
        <w:t xml:space="preserve">a)  </w:t>
      </w:r>
      <w:r>
        <w:rPr>
          <w:rFonts w:ascii="Times New Roman" w:hAnsi="Times New Roman"/>
          <w:szCs w:val="24"/>
        </w:rPr>
        <w:t>地下水位监测钻孔施工前，应进行钻孔结构设计，包括开孔和终孔直径、孔深、孔斜、变径位置等。</w:t>
      </w:r>
      <w:bookmarkEnd w:id="160"/>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基岩监测钻孔，应采用清水钻进；松散层监测钻孔，可采用水压或泥浆钻进。</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监测钻孔应及时洗孔，冲水介质的质量应符合《供水管井技术规范》GB</w:t>
      </w:r>
      <w:r>
        <w:rPr>
          <w:rFonts w:hint="eastAsia" w:ascii="Times New Roman" w:hAnsi="Times New Roman"/>
          <w:szCs w:val="24"/>
        </w:rPr>
        <w:t xml:space="preserve"> </w:t>
      </w:r>
      <w:r>
        <w:rPr>
          <w:rFonts w:ascii="Times New Roman" w:hAnsi="Times New Roman"/>
          <w:szCs w:val="24"/>
        </w:rPr>
        <w:t>50296的有关规定，宜洗至水位变化反映灵敏，洗孔结束前的出水含砂量不大于1/2</w:t>
      </w:r>
      <w:r>
        <w:rPr>
          <w:rFonts w:hint="eastAsia" w:ascii="Times New Roman" w:hAnsi="Times New Roman"/>
          <w:szCs w:val="24"/>
        </w:rPr>
        <w:t xml:space="preserve"> </w:t>
      </w:r>
      <w:r>
        <w:rPr>
          <w:rFonts w:ascii="Times New Roman" w:hAnsi="Times New Roman"/>
          <w:szCs w:val="24"/>
        </w:rPr>
        <w:t>000（体积比）。</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监测钻孔直径不应小于110</w:t>
      </w:r>
      <w:r>
        <w:rPr>
          <w:rFonts w:hint="eastAsia" w:ascii="Times New Roman" w:hAnsi="Times New Roman"/>
          <w:szCs w:val="24"/>
        </w:rPr>
        <w:t xml:space="preserve"> </w:t>
      </w:r>
      <w:r>
        <w:rPr>
          <w:rFonts w:ascii="Times New Roman" w:hAnsi="Times New Roman"/>
          <w:szCs w:val="24"/>
        </w:rPr>
        <w:t>mm，井管内径一般不应小于100</w:t>
      </w:r>
      <w:r>
        <w:rPr>
          <w:rFonts w:hint="eastAsia" w:ascii="Times New Roman" w:hAnsi="Times New Roman"/>
          <w:szCs w:val="24"/>
        </w:rPr>
        <w:t xml:space="preserve"> </w:t>
      </w:r>
      <w:r>
        <w:rPr>
          <w:rFonts w:ascii="Times New Roman" w:hAnsi="Times New Roman"/>
          <w:szCs w:val="24"/>
        </w:rPr>
        <w:t>mm；孔深在100</w:t>
      </w:r>
      <w:r>
        <w:rPr>
          <w:rFonts w:hint="eastAsia" w:ascii="Times New Roman" w:hAnsi="Times New Roman"/>
          <w:szCs w:val="24"/>
        </w:rPr>
        <w:t xml:space="preserve"> </w:t>
      </w:r>
      <w:r>
        <w:rPr>
          <w:rFonts w:ascii="Times New Roman" w:hAnsi="Times New Roman"/>
          <w:szCs w:val="24"/>
        </w:rPr>
        <w:t>m深度内孔斜度不低于1.5度；孔深误差不大于0.2%。</w:t>
      </w:r>
    </w:p>
    <w:p>
      <w:pPr>
        <w:spacing w:line="360" w:lineRule="auto"/>
        <w:ind w:left="840" w:leftChars="200" w:hanging="420" w:hangingChars="200"/>
        <w:rPr>
          <w:rFonts w:ascii="Times New Roman" w:hAnsi="Times New Roman"/>
          <w:szCs w:val="24"/>
        </w:rPr>
      </w:pPr>
      <w:bookmarkStart w:id="161" w:name="_Toc460322192"/>
      <w:r>
        <w:rPr>
          <w:rFonts w:hint="eastAsia" w:ascii="Times New Roman" w:hAnsi="Times New Roman"/>
          <w:szCs w:val="24"/>
        </w:rPr>
        <w:t xml:space="preserve">e)  </w:t>
      </w:r>
      <w:r>
        <w:rPr>
          <w:rFonts w:ascii="Times New Roman" w:hAnsi="Times New Roman"/>
          <w:szCs w:val="24"/>
        </w:rPr>
        <w:t>在下滤水管之前，应再进行一次清孔，确保滤水管能顺利下到位。</w:t>
      </w:r>
      <w:bookmarkEnd w:id="161"/>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在裂隙、岩溶含水层中宜采用裸孔架、缠丝过滤器或填砾过滤器；在卵石、圆（角）砾及粗中砂含水层中，宜采用缠丝过滤器或填砾过滤器；在粉细砂含水层中，宜采用填砾过滤器。</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g)  </w:t>
      </w:r>
      <w:r>
        <w:rPr>
          <w:rFonts w:ascii="Times New Roman" w:hAnsi="Times New Roman"/>
          <w:szCs w:val="24"/>
        </w:rPr>
        <w:t>过滤器宜为圆孔过滤器，圆孔直径20</w:t>
      </w:r>
      <w:r>
        <w:rPr>
          <w:rFonts w:hint="eastAsia" w:ascii="Times New Roman" w:hAnsi="Times New Roman"/>
          <w:szCs w:val="24"/>
        </w:rPr>
        <w:t>-</w:t>
      </w:r>
      <w:r>
        <w:rPr>
          <w:rFonts w:ascii="Times New Roman" w:hAnsi="Times New Roman"/>
          <w:szCs w:val="24"/>
        </w:rPr>
        <w:t>40</w:t>
      </w:r>
      <w:r>
        <w:rPr>
          <w:rFonts w:hint="eastAsia" w:ascii="Times New Roman" w:hAnsi="Times New Roman"/>
          <w:szCs w:val="24"/>
        </w:rPr>
        <w:t xml:space="preserve"> </w:t>
      </w:r>
      <w:r>
        <w:rPr>
          <w:rFonts w:ascii="Times New Roman" w:hAnsi="Times New Roman"/>
          <w:szCs w:val="24"/>
        </w:rPr>
        <w:t>mm，管外用60目尼龙纱网2层包扎，孔隙率18</w:t>
      </w:r>
      <w:r>
        <w:rPr>
          <w:rFonts w:hint="eastAsia" w:ascii="Times New Roman" w:hAnsi="Times New Roman"/>
          <w:szCs w:val="24"/>
        </w:rPr>
        <w:t>-</w:t>
      </w:r>
      <w:r>
        <w:rPr>
          <w:rFonts w:ascii="Times New Roman" w:hAnsi="Times New Roman"/>
          <w:szCs w:val="24"/>
        </w:rPr>
        <w:t>23</w:t>
      </w:r>
      <w:r>
        <w:rPr>
          <w:rFonts w:hint="eastAsia" w:ascii="Times New Roman" w:hAnsi="Times New Roman"/>
          <w:szCs w:val="24"/>
        </w:rPr>
        <w:t>%</w:t>
      </w:r>
      <w:r>
        <w:rPr>
          <w:rFonts w:ascii="Times New Roman" w:hAnsi="Times New Roman"/>
          <w:szCs w:val="24"/>
        </w:rPr>
        <w:t>。</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h)  </w:t>
      </w:r>
      <w:r>
        <w:rPr>
          <w:rFonts w:ascii="Times New Roman" w:hAnsi="Times New Roman"/>
          <w:szCs w:val="24"/>
        </w:rPr>
        <w:t>监测钻孔宜全孔取心，随钻编录；在钻进过程中，应对水位、水温、冲洗液消耗量、漏水位置、孔壁坍塌、含水构造和溶洞的起止深度等进行观测和记录。</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i)  </w:t>
      </w:r>
      <w:r>
        <w:rPr>
          <w:rFonts w:ascii="Times New Roman" w:hAnsi="Times New Roman"/>
          <w:szCs w:val="24"/>
        </w:rPr>
        <w:t>钻探结束后，应测量坐标和孔口高程。</w:t>
      </w:r>
    </w:p>
    <w:p>
      <w:pPr>
        <w:spacing w:before="120" w:beforeLines="50" w:after="120" w:afterLines="50"/>
        <w:jc w:val="left"/>
        <w:rPr>
          <w:rFonts w:ascii="黑体" w:hAnsi="黑体" w:eastAsia="黑体"/>
          <w:szCs w:val="21"/>
        </w:rPr>
      </w:pPr>
      <w:bookmarkStart w:id="162" w:name="_Toc479510433"/>
      <w:r>
        <w:rPr>
          <w:rFonts w:hint="eastAsia" w:ascii="黑体" w:hAnsi="黑体" w:eastAsia="黑体"/>
          <w:szCs w:val="21"/>
        </w:rPr>
        <w:t>G</w:t>
      </w:r>
      <w:r>
        <w:rPr>
          <w:rFonts w:ascii="黑体" w:hAnsi="黑体" w:eastAsia="黑体"/>
          <w:szCs w:val="21"/>
        </w:rPr>
        <w:t>.2.2</w:t>
      </w:r>
      <w:r>
        <w:rPr>
          <w:rFonts w:hint="eastAsia" w:ascii="黑体" w:hAnsi="黑体" w:eastAsia="黑体"/>
          <w:szCs w:val="21"/>
        </w:rPr>
        <w:t xml:space="preserve">  </w:t>
      </w:r>
      <w:r>
        <w:rPr>
          <w:rFonts w:ascii="黑体" w:hAnsi="黑体" w:eastAsia="黑体"/>
          <w:szCs w:val="21"/>
        </w:rPr>
        <w:t>测管施工技术要求</w:t>
      </w:r>
      <w:bookmarkEnd w:id="162"/>
    </w:p>
    <w:p>
      <w:pPr>
        <w:spacing w:line="360" w:lineRule="auto"/>
        <w:ind w:left="840" w:leftChars="200" w:hanging="420" w:hangingChars="200"/>
        <w:rPr>
          <w:rFonts w:ascii="Times New Roman" w:hAnsi="Times New Roman"/>
          <w:szCs w:val="24"/>
        </w:rPr>
      </w:pPr>
      <w:bookmarkStart w:id="163" w:name="_Toc460322196"/>
      <w:r>
        <w:rPr>
          <w:rFonts w:hint="eastAsia" w:ascii="Times New Roman" w:hAnsi="Times New Roman"/>
          <w:szCs w:val="24"/>
        </w:rPr>
        <w:t xml:space="preserve">a)  </w:t>
      </w:r>
      <w:r>
        <w:rPr>
          <w:rFonts w:ascii="Times New Roman" w:hAnsi="Times New Roman"/>
          <w:szCs w:val="24"/>
        </w:rPr>
        <w:t>测管的管材应根据地下水水质、管材强度、监测孔的口径与深度及技术经济等因素确定，可选用镀锌管、钢管、铸铁管、预制钢筋混凝土管及PVC管等。</w:t>
      </w:r>
      <w:bookmarkEnd w:id="163"/>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测管直径一般为50</w:t>
      </w:r>
      <w:r>
        <w:rPr>
          <w:rFonts w:hint="eastAsia" w:ascii="Times New Roman" w:hAnsi="Times New Roman"/>
          <w:szCs w:val="24"/>
        </w:rPr>
        <w:t>-</w:t>
      </w:r>
      <w:r>
        <w:rPr>
          <w:rFonts w:ascii="Times New Roman" w:hAnsi="Times New Roman"/>
          <w:szCs w:val="24"/>
        </w:rPr>
        <w:t>90</w:t>
      </w:r>
      <w:r>
        <w:rPr>
          <w:rFonts w:hint="eastAsia" w:ascii="Times New Roman" w:hAnsi="Times New Roman"/>
          <w:szCs w:val="24"/>
        </w:rPr>
        <w:t xml:space="preserve"> </w:t>
      </w:r>
      <w:r>
        <w:rPr>
          <w:rFonts w:ascii="Times New Roman" w:hAnsi="Times New Roman"/>
          <w:szCs w:val="24"/>
        </w:rPr>
        <w:t>mm，管底加盖密封，下部留出2.0</w:t>
      </w:r>
      <w:r>
        <w:rPr>
          <w:rFonts w:hint="eastAsia" w:ascii="Times New Roman" w:hAnsi="Times New Roman"/>
          <w:szCs w:val="24"/>
        </w:rPr>
        <w:t xml:space="preserve"> </w:t>
      </w:r>
      <w:r>
        <w:rPr>
          <w:rFonts w:ascii="Times New Roman" w:hAnsi="Times New Roman"/>
          <w:szCs w:val="24"/>
        </w:rPr>
        <w:t>m长且不打孔作为沉淀段，上部留出1.0</w:t>
      </w:r>
      <w:r>
        <w:rPr>
          <w:rFonts w:hint="eastAsia" w:ascii="Times New Roman" w:hAnsi="Times New Roman"/>
          <w:szCs w:val="24"/>
        </w:rPr>
        <w:t xml:space="preserve"> </w:t>
      </w:r>
      <w:r>
        <w:rPr>
          <w:rFonts w:ascii="Times New Roman" w:hAnsi="Times New Roman"/>
          <w:szCs w:val="24"/>
        </w:rPr>
        <w:t>m长不打孔作为管口封闭段，中间部分的管壁周围钻出直径为10</w:t>
      </w:r>
      <w:r>
        <w:rPr>
          <w:rFonts w:hint="eastAsia" w:ascii="Times New Roman" w:hAnsi="Times New Roman"/>
          <w:szCs w:val="24"/>
        </w:rPr>
        <w:t>-</w:t>
      </w:r>
      <w:r>
        <w:rPr>
          <w:rFonts w:ascii="Times New Roman" w:hAnsi="Times New Roman"/>
          <w:szCs w:val="24"/>
        </w:rPr>
        <w:t>30</w:t>
      </w:r>
      <w:r>
        <w:rPr>
          <w:rFonts w:hint="eastAsia" w:ascii="Times New Roman" w:hAnsi="Times New Roman"/>
          <w:szCs w:val="24"/>
        </w:rPr>
        <w:t xml:space="preserve"> </w:t>
      </w:r>
      <w:r>
        <w:rPr>
          <w:rFonts w:ascii="Times New Roman" w:hAnsi="Times New Roman"/>
          <w:szCs w:val="24"/>
        </w:rPr>
        <w:t>mm的滤水孔。</w:t>
      </w:r>
      <w:bookmarkStart w:id="164" w:name="_Toc460322199"/>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测管滤水孔纵向间距取50</w:t>
      </w:r>
      <w:r>
        <w:rPr>
          <w:rFonts w:hint="eastAsia" w:ascii="Times New Roman" w:hAnsi="Times New Roman"/>
          <w:szCs w:val="24"/>
        </w:rPr>
        <w:t xml:space="preserve"> </w:t>
      </w:r>
      <w:r>
        <w:rPr>
          <w:rFonts w:ascii="Times New Roman" w:hAnsi="Times New Roman"/>
          <w:szCs w:val="24"/>
        </w:rPr>
        <w:t>mm，梅花状交错排列，管壁外部用缠丝包网作过滤层。</w:t>
      </w:r>
      <w:bookmarkEnd w:id="164"/>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在裂隙、岩溶含水层中宜采用裸孔架、缠丝过滤器或填砾过滤器作为过滤层；在卵石、圆（角）砾及粗中砂含水层中，宜采用缠丝过滤器或填砾过滤器作为过滤层；在粉细砂含水层中，宜采用填砾过滤器作为过滤层。</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过滤器宜为圆孔，孔径20</w:t>
      </w:r>
      <w:r>
        <w:rPr>
          <w:rFonts w:hint="eastAsia" w:ascii="Times New Roman" w:hAnsi="Times New Roman"/>
          <w:szCs w:val="24"/>
        </w:rPr>
        <w:t>-</w:t>
      </w:r>
      <w:r>
        <w:rPr>
          <w:rFonts w:ascii="Times New Roman" w:hAnsi="Times New Roman"/>
          <w:szCs w:val="24"/>
        </w:rPr>
        <w:t>40</w:t>
      </w:r>
      <w:r>
        <w:rPr>
          <w:rFonts w:hint="eastAsia" w:ascii="Times New Roman" w:hAnsi="Times New Roman"/>
          <w:szCs w:val="24"/>
        </w:rPr>
        <w:t xml:space="preserve"> </w:t>
      </w:r>
      <w:r>
        <w:rPr>
          <w:rFonts w:ascii="Times New Roman" w:hAnsi="Times New Roman"/>
          <w:szCs w:val="24"/>
        </w:rPr>
        <w:t>mm，管外用60目尼龙纱网2层包扎，孔隙率18</w:t>
      </w:r>
      <w:r>
        <w:rPr>
          <w:rFonts w:hint="eastAsia" w:ascii="Times New Roman" w:hAnsi="Times New Roman"/>
          <w:szCs w:val="24"/>
        </w:rPr>
        <w:t>-</w:t>
      </w:r>
      <w:r>
        <w:rPr>
          <w:rFonts w:ascii="Times New Roman" w:hAnsi="Times New Roman"/>
          <w:szCs w:val="24"/>
        </w:rPr>
        <w:t>23</w:t>
      </w:r>
      <w:r>
        <w:rPr>
          <w:rFonts w:hint="eastAsia" w:ascii="Times New Roman" w:hAnsi="Times New Roman"/>
          <w:szCs w:val="24"/>
        </w:rPr>
        <w:t>%</w:t>
      </w:r>
      <w:r>
        <w:rPr>
          <w:rFonts w:ascii="Times New Roman" w:hAnsi="Times New Roman"/>
          <w:szCs w:val="24"/>
        </w:rPr>
        <w:t>。</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测管下放完毕后，用砾料回填测管与孔壁之间的缝隙，根据过滤器的位置确定填砾高度，填至离地面高约1.0-0.5</w:t>
      </w:r>
      <w:r>
        <w:rPr>
          <w:rFonts w:hint="eastAsia" w:ascii="Times New Roman" w:hAnsi="Times New Roman"/>
          <w:szCs w:val="24"/>
        </w:rPr>
        <w:t xml:space="preserve"> </w:t>
      </w:r>
      <w:r>
        <w:rPr>
          <w:rFonts w:ascii="Times New Roman" w:hAnsi="Times New Roman"/>
          <w:szCs w:val="24"/>
        </w:rPr>
        <w:t>m处，再用粘土球封闭环形空间至地面，以防地表水渗入。</w:t>
      </w:r>
    </w:p>
    <w:p>
      <w:pPr>
        <w:tabs>
          <w:tab w:val="center" w:pos="4201"/>
          <w:tab w:val="right" w:leader="dot" w:pos="9298"/>
        </w:tabs>
        <w:autoSpaceDE w:val="0"/>
        <w:autoSpaceDN w:val="0"/>
        <w:spacing w:before="120" w:beforeLines="50" w:after="120" w:afterLines="50"/>
        <w:jc w:val="left"/>
        <w:rPr>
          <w:rFonts w:ascii="宋体" w:hAnsi="Times New Roman"/>
          <w:kern w:val="0"/>
          <w:szCs w:val="21"/>
        </w:rPr>
      </w:pPr>
      <w:r>
        <w:rPr>
          <w:rFonts w:hint="eastAsia" w:ascii="黑体" w:hAnsi="黑体" w:eastAsia="黑体"/>
          <w:szCs w:val="21"/>
        </w:rPr>
        <w:t>G</w:t>
      </w:r>
      <w:r>
        <w:rPr>
          <w:rFonts w:ascii="黑体" w:hAnsi="黑体" w:eastAsia="黑体"/>
          <w:szCs w:val="21"/>
        </w:rPr>
        <w:t>.</w:t>
      </w:r>
      <w:r>
        <w:rPr>
          <w:rFonts w:hint="eastAsia" w:ascii="黑体" w:hAnsi="黑体" w:eastAsia="黑体"/>
          <w:szCs w:val="21"/>
        </w:rPr>
        <w:t>2</w:t>
      </w:r>
      <w:r>
        <w:rPr>
          <w:rFonts w:ascii="黑体" w:hAnsi="黑体" w:eastAsia="黑体"/>
          <w:szCs w:val="21"/>
        </w:rPr>
        <w:t>.3</w:t>
      </w:r>
      <w:r>
        <w:rPr>
          <w:rFonts w:hint="eastAsia" w:ascii="黑体" w:hAnsi="黑体" w:eastAsia="黑体"/>
          <w:szCs w:val="21"/>
        </w:rPr>
        <w:t xml:space="preserve">  </w:t>
      </w:r>
      <w:r>
        <w:rPr>
          <w:rFonts w:ascii="黑体" w:hAnsi="黑体" w:eastAsia="黑体"/>
          <w:szCs w:val="21"/>
        </w:rPr>
        <w:t>地下水监测钻孔结构见图</w:t>
      </w:r>
      <w:r>
        <w:rPr>
          <w:rFonts w:hint="eastAsia" w:ascii="黑体" w:hAnsi="黑体" w:eastAsia="黑体"/>
          <w:szCs w:val="21"/>
        </w:rPr>
        <w:t>G</w:t>
      </w:r>
      <w:r>
        <w:rPr>
          <w:rFonts w:ascii="黑体" w:hAnsi="黑体" w:eastAsia="黑体"/>
          <w:szCs w:val="21"/>
        </w:rPr>
        <w:t>-2。</w:t>
      </w:r>
    </w:p>
    <w:p>
      <w:pPr>
        <w:jc w:val="center"/>
        <w:rPr>
          <w:rFonts w:ascii="Times New Roman" w:hAnsi="Times New Roman"/>
          <w:szCs w:val="24"/>
        </w:rPr>
      </w:pPr>
      <w:r>
        <w:rPr>
          <w:rFonts w:ascii="Times New Roman" w:hAnsi="Times New Roman"/>
          <w:szCs w:val="24"/>
        </w:rPr>
        <w:drawing>
          <wp:inline distT="0" distB="0" distL="0" distR="0">
            <wp:extent cx="5762625" cy="4381500"/>
            <wp:effectExtent l="19050" t="0" r="9525" b="0"/>
            <wp:docPr id="6" name="图片 207" descr="说明: 地下水位监测孔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07" descr="说明: 地下水位监测孔结构图"/>
                    <pic:cNvPicPr>
                      <a:picLocks noChangeAspect="1" noChangeArrowheads="1"/>
                    </pic:cNvPicPr>
                  </pic:nvPicPr>
                  <pic:blipFill>
                    <a:blip r:embed="rId11" cstate="print"/>
                    <a:srcRect l="5614" t="2296" r="5748" b="2296"/>
                    <a:stretch>
                      <a:fillRect/>
                    </a:stretch>
                  </pic:blipFill>
                  <pic:spPr>
                    <a:xfrm>
                      <a:off x="0" y="0"/>
                      <a:ext cx="5762625" cy="43815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-2</w:t>
      </w:r>
      <w:r>
        <w:rPr>
          <w:rFonts w:hint="eastAsia" w:ascii="黑体" w:hAnsi="黑体" w:eastAsia="黑体"/>
          <w:kern w:val="0"/>
          <w:szCs w:val="21"/>
        </w:rPr>
        <w:t xml:space="preserve">  </w:t>
      </w:r>
      <w:r>
        <w:rPr>
          <w:rFonts w:ascii="黑体" w:hAnsi="黑体" w:eastAsia="黑体"/>
          <w:kern w:val="0"/>
          <w:szCs w:val="21"/>
        </w:rPr>
        <w:t>地下水监测钻孔结构图</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165" w:name="_Toc534577770"/>
      <w:bookmarkStart w:id="166" w:name="_Toc21966413"/>
      <w:bookmarkStart w:id="167" w:name="_Toc534580127"/>
      <w:r>
        <w:rPr>
          <w:rFonts w:hint="eastAsia" w:ascii="黑体" w:hAnsi="黑体" w:eastAsia="黑体"/>
          <w:bCs/>
          <w:kern w:val="44"/>
          <w:szCs w:val="21"/>
        </w:rPr>
        <w:t>G</w:t>
      </w:r>
      <w:r>
        <w:rPr>
          <w:rFonts w:ascii="黑体" w:hAnsi="黑体" w:eastAsia="黑体"/>
          <w:bCs/>
          <w:kern w:val="44"/>
          <w:szCs w:val="21"/>
        </w:rPr>
        <w:t>.3</w:t>
      </w:r>
      <w:r>
        <w:rPr>
          <w:rFonts w:hint="eastAsia" w:ascii="黑体" w:hAnsi="黑体" w:eastAsia="黑体"/>
          <w:bCs/>
          <w:kern w:val="44"/>
          <w:szCs w:val="21"/>
        </w:rPr>
        <w:t xml:space="preserve">  </w:t>
      </w:r>
      <w:r>
        <w:rPr>
          <w:rFonts w:ascii="黑体" w:hAnsi="黑体" w:eastAsia="黑体"/>
          <w:bCs/>
          <w:kern w:val="44"/>
          <w:szCs w:val="21"/>
        </w:rPr>
        <w:t>滑坡推力监测钻孔</w:t>
      </w:r>
      <w:bookmarkEnd w:id="165"/>
      <w:bookmarkEnd w:id="166"/>
      <w:bookmarkEnd w:id="167"/>
    </w:p>
    <w:p>
      <w:pPr>
        <w:spacing w:before="120" w:beforeLines="50" w:after="120" w:afterLines="50"/>
        <w:jc w:val="left"/>
        <w:rPr>
          <w:rFonts w:ascii="黑体" w:hAnsi="黑体" w:eastAsia="黑体"/>
          <w:szCs w:val="21"/>
        </w:rPr>
      </w:pPr>
      <w:r>
        <w:rPr>
          <w:rFonts w:hint="eastAsia" w:ascii="黑体" w:hAnsi="黑体" w:eastAsia="黑体"/>
          <w:szCs w:val="21"/>
        </w:rPr>
        <w:t>G</w:t>
      </w:r>
      <w:r>
        <w:rPr>
          <w:rFonts w:ascii="黑体" w:hAnsi="黑体" w:eastAsia="黑体"/>
          <w:szCs w:val="21"/>
        </w:rPr>
        <w:t>.3.1</w:t>
      </w:r>
      <w:r>
        <w:rPr>
          <w:rFonts w:hint="eastAsia" w:ascii="黑体" w:hAnsi="黑体" w:eastAsia="黑体"/>
          <w:szCs w:val="21"/>
        </w:rPr>
        <w:t xml:space="preserve">  </w:t>
      </w:r>
      <w:r>
        <w:rPr>
          <w:rFonts w:ascii="黑体" w:hAnsi="黑体" w:eastAsia="黑体"/>
          <w:szCs w:val="21"/>
        </w:rPr>
        <w:t>监测钻孔施工技术要求</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在选定监测部位施钻铅（垂）直孔，全孔取芯，终孔孔径不小于110</w:t>
      </w:r>
      <w:r>
        <w:rPr>
          <w:rFonts w:hint="eastAsia" w:ascii="Times New Roman" w:hAnsi="Times New Roman"/>
          <w:szCs w:val="24"/>
        </w:rPr>
        <w:t xml:space="preserve"> </w:t>
      </w:r>
      <w:r>
        <w:rPr>
          <w:rFonts w:ascii="Times New Roman" w:hAnsi="Times New Roman"/>
          <w:szCs w:val="24"/>
        </w:rPr>
        <w:t>mm。</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为了防止塌孔，并为随后的孔口保护做准备，孔口段要预留不小于1.0</w:t>
      </w:r>
      <w:r>
        <w:rPr>
          <w:rFonts w:hint="eastAsia" w:ascii="Times New Roman" w:hAnsi="Times New Roman"/>
          <w:szCs w:val="24"/>
        </w:rPr>
        <w:t xml:space="preserve"> </w:t>
      </w:r>
      <w:r>
        <w:rPr>
          <w:rFonts w:ascii="Times New Roman" w:hAnsi="Times New Roman"/>
          <w:szCs w:val="24"/>
        </w:rPr>
        <w:t>m长的套管。</w:t>
      </w:r>
    </w:p>
    <w:p>
      <w:pPr>
        <w:spacing w:line="360" w:lineRule="auto"/>
        <w:ind w:left="840" w:leftChars="200" w:hanging="420" w:hangingChars="200"/>
        <w:rPr>
          <w:rFonts w:ascii="Times New Roman" w:hAnsi="Times New Roman"/>
          <w:szCs w:val="24"/>
        </w:rPr>
      </w:pPr>
      <w:r>
        <w:rPr>
          <w:rFonts w:ascii="Times New Roman" w:hAnsi="Times New Roman"/>
          <w:szCs w:val="24"/>
        </w:rPr>
        <w:t>c)  钻进过程中，应做好钻进情况记录。钻孔完成后，应冲洗钻孔，检查钻孔深度及其通畅情况，测量孔斜。</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终孔后均应校正孔深，孔深的最大误差不应大于0.5%，孔斜顶角的最大允许弯曲度为每百米孔深内不得超过2°。</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钻孔应穿过滑带，进入基岩或稳定层3</w:t>
      </w:r>
      <w:r>
        <w:rPr>
          <w:rFonts w:hint="eastAsia" w:ascii="Times New Roman" w:hAnsi="Times New Roman"/>
          <w:szCs w:val="24"/>
        </w:rPr>
        <w:t>-</w:t>
      </w:r>
      <w:r>
        <w:rPr>
          <w:rFonts w:ascii="Times New Roman" w:hAnsi="Times New Roman"/>
          <w:szCs w:val="24"/>
        </w:rPr>
        <w:t>5</w:t>
      </w:r>
      <w:r>
        <w:rPr>
          <w:rFonts w:hint="eastAsia" w:ascii="Times New Roman" w:hAnsi="Times New Roman"/>
          <w:szCs w:val="24"/>
        </w:rPr>
        <w:t xml:space="preserve"> </w:t>
      </w:r>
      <w:r>
        <w:rPr>
          <w:rFonts w:ascii="Times New Roman" w:hAnsi="Times New Roman"/>
          <w:szCs w:val="24"/>
        </w:rPr>
        <w:t>m。</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成孔后，应对钻孔编录数据进行分析，综合判别孔内地质情况，尤其要对软弱夹层的层位、深度、厚度等进行描述，编制钻孔柱状图。</w:t>
      </w:r>
    </w:p>
    <w:p>
      <w:pPr>
        <w:spacing w:before="120" w:beforeLines="50" w:after="120" w:afterLines="50"/>
        <w:jc w:val="left"/>
        <w:rPr>
          <w:rFonts w:ascii="黑体" w:hAnsi="黑体" w:eastAsia="黑体"/>
          <w:szCs w:val="21"/>
        </w:rPr>
      </w:pPr>
      <w:r>
        <w:rPr>
          <w:rFonts w:hint="eastAsia" w:ascii="黑体" w:hAnsi="黑体" w:eastAsia="黑体"/>
          <w:szCs w:val="21"/>
        </w:rPr>
        <w:t>G</w:t>
      </w:r>
      <w:r>
        <w:rPr>
          <w:rFonts w:ascii="黑体" w:hAnsi="黑体" w:eastAsia="黑体"/>
          <w:szCs w:val="21"/>
        </w:rPr>
        <w:t>.3.2</w:t>
      </w:r>
      <w:r>
        <w:rPr>
          <w:rFonts w:hint="eastAsia" w:ascii="黑体" w:hAnsi="黑体" w:eastAsia="黑体"/>
          <w:szCs w:val="21"/>
        </w:rPr>
        <w:t xml:space="preserve">  </w:t>
      </w:r>
      <w:r>
        <w:rPr>
          <w:rFonts w:ascii="黑体" w:hAnsi="黑体" w:eastAsia="黑体"/>
          <w:szCs w:val="21"/>
        </w:rPr>
        <w:t>推力管施工技术要求</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推力管为Φ57</w:t>
      </w:r>
      <w:r>
        <w:rPr>
          <w:rFonts w:hint="eastAsia" w:ascii="Times New Roman" w:hAnsi="Times New Roman"/>
          <w:szCs w:val="24"/>
        </w:rPr>
        <w:t xml:space="preserve"> </w:t>
      </w:r>
      <w:r>
        <w:rPr>
          <w:rFonts w:ascii="Times New Roman" w:hAnsi="Times New Roman"/>
          <w:szCs w:val="24"/>
        </w:rPr>
        <w:t>mm地质套管，每根推力管长约4</w:t>
      </w:r>
      <w:r>
        <w:rPr>
          <w:rFonts w:hint="eastAsia" w:ascii="Times New Roman" w:hAnsi="Times New Roman"/>
          <w:szCs w:val="24"/>
        </w:rPr>
        <w:t xml:space="preserve"> </w:t>
      </w:r>
      <w:r>
        <w:rPr>
          <w:rFonts w:ascii="Times New Roman" w:hAnsi="Times New Roman"/>
          <w:szCs w:val="24"/>
        </w:rPr>
        <w:t>m，中间为推力管接头（Φ89</w:t>
      </w:r>
      <w:r>
        <w:rPr>
          <w:rFonts w:hint="eastAsia" w:ascii="Times New Roman" w:hAnsi="Times New Roman"/>
          <w:szCs w:val="24"/>
        </w:rPr>
        <w:t xml:space="preserve"> </w:t>
      </w:r>
      <w:r>
        <w:rPr>
          <w:rFonts w:ascii="Times New Roman" w:hAnsi="Times New Roman"/>
          <w:szCs w:val="24"/>
        </w:rPr>
        <w:t>mm）或传感器接头（Φ89</w:t>
      </w:r>
      <w:r>
        <w:rPr>
          <w:rFonts w:hint="eastAsia" w:ascii="Times New Roman" w:hAnsi="Times New Roman"/>
          <w:szCs w:val="24"/>
        </w:rPr>
        <w:t xml:space="preserve"> </w:t>
      </w:r>
      <w:r>
        <w:rPr>
          <w:rFonts w:ascii="Times New Roman" w:hAnsi="Times New Roman"/>
          <w:szCs w:val="24"/>
        </w:rPr>
        <w:t>mm），用螺栓连接，接头上设计有四个导槽，用以保护导线或光纤，传感器接头也有导槽，在四个方向上有四个传感器安装平面，用以安装压力传感器，用螺栓将压力传感器与安装平面固定，并记录下位置与压力传感器方位，逐根对接后下入钻孔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确保推力管顺利安装，孔口段保留一段护孔套管，其长度应不小于1.0</w:t>
      </w:r>
      <w:r>
        <w:rPr>
          <w:rFonts w:hint="eastAsia" w:ascii="Times New Roman" w:hAnsi="Times New Roman"/>
          <w:szCs w:val="24"/>
        </w:rPr>
        <w:t xml:space="preserve"> </w:t>
      </w:r>
      <w:r>
        <w:rPr>
          <w:rFonts w:ascii="Times New Roman" w:hAnsi="Times New Roman"/>
          <w:szCs w:val="24"/>
        </w:rPr>
        <w:t>m，或根据滑坡堆积层厚度而定。</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事先确定好压力传感器埋设的孔深位置和方位，并在推力管上作母线标志，以保证推力管下放钻孔后方位正确，按顺序编号，并用胶带将推力管与接头连接处缠绕平整。</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下放的第一根推力管应加一个接头，以免导线或光纤直接与孔壁相撞。</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推力管压力传感器与钻孔环状间隙，通过底部返浆法，用水泥砂浆灌注，灌浆完毕后，做好孔口保护。注意在光纤接头部分，不要踩坏或灌入水泥浆液，并做好四个接头的方向标记，做好安装记录。</w:t>
      </w:r>
    </w:p>
    <w:p>
      <w:pPr>
        <w:tabs>
          <w:tab w:val="center" w:pos="4201"/>
          <w:tab w:val="right" w:leader="dot" w:pos="9298"/>
        </w:tabs>
        <w:autoSpaceDE w:val="0"/>
        <w:autoSpaceDN w:val="0"/>
        <w:spacing w:before="120" w:beforeLines="50" w:after="120" w:afterLines="50"/>
        <w:jc w:val="left"/>
        <w:rPr>
          <w:rFonts w:ascii="黑体" w:hAnsi="黑体" w:eastAsia="黑体"/>
          <w:szCs w:val="21"/>
        </w:rPr>
        <w:sectPr>
          <w:pgSz w:w="11906" w:h="16838"/>
          <w:pgMar w:top="1418" w:right="1134" w:bottom="1134" w:left="1418" w:header="851" w:footer="992" w:gutter="0"/>
          <w:cols w:space="425" w:num="1"/>
          <w:docGrid w:linePitch="312" w:charSpace="0"/>
        </w:sectPr>
      </w:pPr>
    </w:p>
    <w:p>
      <w:pPr>
        <w:tabs>
          <w:tab w:val="center" w:pos="4201"/>
          <w:tab w:val="right" w:leader="dot" w:pos="9298"/>
        </w:tabs>
        <w:autoSpaceDE w:val="0"/>
        <w:autoSpaceDN w:val="0"/>
        <w:spacing w:before="120" w:beforeLines="50" w:after="120" w:afterLines="50"/>
        <w:jc w:val="left"/>
        <w:rPr>
          <w:rFonts w:ascii="宋体" w:hAnsi="Times New Roman"/>
          <w:kern w:val="0"/>
          <w:szCs w:val="21"/>
        </w:rPr>
      </w:pPr>
      <w:r>
        <w:rPr>
          <w:rFonts w:hint="eastAsia" w:ascii="黑体" w:hAnsi="黑体" w:eastAsia="黑体"/>
          <w:szCs w:val="21"/>
        </w:rPr>
        <w:t>G</w:t>
      </w:r>
      <w:r>
        <w:rPr>
          <w:rFonts w:ascii="黑体" w:hAnsi="黑体" w:eastAsia="黑体"/>
          <w:szCs w:val="21"/>
        </w:rPr>
        <w:t>.3.3</w:t>
      </w:r>
      <w:r>
        <w:rPr>
          <w:rFonts w:hint="eastAsia" w:ascii="黑体" w:hAnsi="黑体" w:eastAsia="黑体"/>
          <w:szCs w:val="21"/>
        </w:rPr>
        <w:t xml:space="preserve">  </w:t>
      </w:r>
      <w:r>
        <w:rPr>
          <w:rFonts w:ascii="黑体" w:hAnsi="黑体" w:eastAsia="黑体"/>
          <w:szCs w:val="21"/>
        </w:rPr>
        <w:t>滑坡推力监测钻孔结构见图</w:t>
      </w:r>
      <w:r>
        <w:rPr>
          <w:rFonts w:hint="eastAsia" w:ascii="黑体" w:hAnsi="黑体" w:eastAsia="黑体"/>
          <w:szCs w:val="21"/>
        </w:rPr>
        <w:t>G</w:t>
      </w:r>
      <w:r>
        <w:rPr>
          <w:rFonts w:ascii="黑体" w:hAnsi="黑体" w:eastAsia="黑体"/>
          <w:szCs w:val="21"/>
        </w:rPr>
        <w:t>-3。</w:t>
      </w:r>
    </w:p>
    <w:p>
      <w:pPr>
        <w:jc w:val="center"/>
        <w:rPr>
          <w:rFonts w:ascii="Times New Roman" w:hAnsi="Times New Roman"/>
          <w:szCs w:val="24"/>
        </w:rPr>
      </w:pPr>
      <w:r>
        <w:rPr>
          <w:rFonts w:ascii="Times New Roman" w:hAnsi="Times New Roman"/>
          <w:szCs w:val="24"/>
        </w:rPr>
        <w:drawing>
          <wp:inline distT="0" distB="0" distL="0" distR="0">
            <wp:extent cx="5645150" cy="4273550"/>
            <wp:effectExtent l="0" t="0" r="0" b="0"/>
            <wp:docPr id="7" name="图片 208"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08" descr="说明: 1"/>
                    <pic:cNvPicPr>
                      <a:picLocks noChangeAspect="1" noChangeArrowheads="1"/>
                    </pic:cNvPicPr>
                  </pic:nvPicPr>
                  <pic:blipFill>
                    <a:blip r:embed="rId12" cstate="print"/>
                    <a:srcRect l="5586" t="2057" r="5586" b="2373"/>
                    <a:stretch>
                      <a:fillRect/>
                    </a:stretch>
                  </pic:blipFill>
                  <pic:spPr>
                    <a:xfrm>
                      <a:off x="0" y="0"/>
                      <a:ext cx="5642225" cy="4271567"/>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-3</w:t>
      </w:r>
      <w:r>
        <w:rPr>
          <w:rFonts w:hint="eastAsia" w:ascii="黑体" w:hAnsi="黑体" w:eastAsia="黑体"/>
          <w:kern w:val="0"/>
          <w:szCs w:val="21"/>
        </w:rPr>
        <w:t xml:space="preserve">  </w:t>
      </w:r>
      <w:r>
        <w:rPr>
          <w:rFonts w:ascii="黑体" w:hAnsi="黑体" w:eastAsia="黑体"/>
          <w:kern w:val="0"/>
          <w:szCs w:val="21"/>
        </w:rPr>
        <w:t>滑</w:t>
      </w:r>
      <w:r>
        <w:rPr>
          <w:rFonts w:hint="eastAsia" w:ascii="黑体" w:hAnsi="黑体" w:eastAsia="黑体"/>
          <w:kern w:val="0"/>
          <w:szCs w:val="21"/>
        </w:rPr>
        <w:t>坡</w:t>
      </w:r>
      <w:r>
        <w:rPr>
          <w:rFonts w:ascii="黑体" w:hAnsi="黑体" w:eastAsia="黑体"/>
          <w:kern w:val="0"/>
          <w:szCs w:val="21"/>
        </w:rPr>
        <w:t>推力监测钻孔结构图</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168" w:name="_Toc21966414"/>
      <w:bookmarkStart w:id="169" w:name="_Toc534577771"/>
      <w:bookmarkStart w:id="170" w:name="_Toc534580128"/>
      <w:r>
        <w:rPr>
          <w:rFonts w:hint="eastAsia" w:ascii="黑体" w:hAnsi="黑体" w:eastAsia="黑体"/>
          <w:bCs/>
          <w:kern w:val="44"/>
          <w:szCs w:val="21"/>
        </w:rPr>
        <w:t>G</w:t>
      </w:r>
      <w:r>
        <w:rPr>
          <w:rFonts w:ascii="黑体" w:hAnsi="黑体" w:eastAsia="黑体"/>
          <w:bCs/>
          <w:kern w:val="44"/>
          <w:szCs w:val="21"/>
        </w:rPr>
        <w:t>.4</w:t>
      </w:r>
      <w:r>
        <w:rPr>
          <w:rFonts w:hint="eastAsia" w:ascii="黑体" w:hAnsi="黑体" w:eastAsia="黑体"/>
          <w:bCs/>
          <w:kern w:val="44"/>
          <w:szCs w:val="21"/>
        </w:rPr>
        <w:t xml:space="preserve">  </w:t>
      </w:r>
      <w:r>
        <w:rPr>
          <w:rFonts w:ascii="黑体" w:hAnsi="黑体" w:eastAsia="黑体"/>
          <w:bCs/>
          <w:kern w:val="44"/>
          <w:szCs w:val="21"/>
        </w:rPr>
        <w:t>监测孔孔口保护装置</w:t>
      </w:r>
      <w:bookmarkEnd w:id="168"/>
      <w:bookmarkEnd w:id="169"/>
      <w:bookmarkEnd w:id="170"/>
    </w:p>
    <w:p>
      <w:pPr>
        <w:spacing w:line="360" w:lineRule="auto"/>
        <w:ind w:firstLine="420" w:firstLineChars="200"/>
        <w:rPr>
          <w:rFonts w:ascii="Times New Roman" w:hAnsi="Times New Roman"/>
          <w:szCs w:val="24"/>
        </w:rPr>
      </w:pPr>
      <w:r>
        <w:rPr>
          <w:rFonts w:ascii="Times New Roman" w:hAnsi="Times New Roman"/>
          <w:szCs w:val="24"/>
        </w:rPr>
        <w:t>各类监测孔孔</w:t>
      </w:r>
      <w:r>
        <w:rPr>
          <w:rFonts w:hint="eastAsia" w:ascii="Times New Roman" w:hAnsi="Times New Roman"/>
          <w:szCs w:val="24"/>
        </w:rPr>
        <w:t>（</w:t>
      </w:r>
      <w:r>
        <w:rPr>
          <w:rFonts w:ascii="宋体" w:hAnsi="宋体"/>
          <w:szCs w:val="24"/>
        </w:rPr>
        <w:t>井</w:t>
      </w:r>
      <w:r>
        <w:rPr>
          <w:rFonts w:hint="eastAsia" w:ascii="Times New Roman" w:hAnsi="Times New Roman"/>
          <w:szCs w:val="24"/>
        </w:rPr>
        <w:t>）</w:t>
      </w:r>
      <w:r>
        <w:rPr>
          <w:rFonts w:ascii="Times New Roman" w:hAnsi="Times New Roman"/>
          <w:szCs w:val="24"/>
        </w:rPr>
        <w:t>口保护装置结构见图</w:t>
      </w:r>
      <w:r>
        <w:rPr>
          <w:rFonts w:hint="eastAsia" w:ascii="Times New Roman" w:hAnsi="Times New Roman"/>
          <w:szCs w:val="24"/>
        </w:rPr>
        <w:t>G</w:t>
      </w:r>
      <w:r>
        <w:rPr>
          <w:rFonts w:ascii="Times New Roman" w:hAnsi="Times New Roman"/>
          <w:szCs w:val="24"/>
        </w:rPr>
        <w:t>-4。</w:t>
      </w:r>
    </w:p>
    <w:p>
      <w:pPr>
        <w:jc w:val="center"/>
        <w:rPr>
          <w:rFonts w:ascii="Times New Roman" w:hAnsi="Times New Roman"/>
          <w:szCs w:val="24"/>
        </w:rPr>
      </w:pPr>
      <w:r>
        <w:rPr>
          <w:rFonts w:ascii="Times New Roman" w:hAnsi="Times New Roman"/>
          <w:szCs w:val="24"/>
        </w:rPr>
        <w:drawing>
          <wp:inline distT="0" distB="0" distL="0" distR="0">
            <wp:extent cx="3352165" cy="3213735"/>
            <wp:effectExtent l="0" t="0" r="0" b="0"/>
            <wp:docPr id="8" name="图片 209" descr="说明: 孔口保护装置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09" descr="说明: 孔口保护装置示意图"/>
                    <pic:cNvPicPr>
                      <a:picLocks noChangeAspect="1" noChangeArrowheads="1"/>
                    </pic:cNvPicPr>
                  </pic:nvPicPr>
                  <pic:blipFill>
                    <a:blip r:embed="rId13" cstate="print"/>
                    <a:srcRect l="2216" t="14059" r="2373" b="21764"/>
                    <a:stretch>
                      <a:fillRect/>
                    </a:stretch>
                  </pic:blipFill>
                  <pic:spPr>
                    <a:xfrm>
                      <a:off x="0" y="0"/>
                      <a:ext cx="3353639" cy="3215059"/>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-4</w:t>
      </w:r>
      <w:r>
        <w:rPr>
          <w:rFonts w:hint="eastAsia" w:ascii="黑体" w:hAnsi="黑体" w:eastAsia="黑体"/>
          <w:kern w:val="0"/>
          <w:szCs w:val="21"/>
        </w:rPr>
        <w:t xml:space="preserve">  </w:t>
      </w:r>
      <w:r>
        <w:rPr>
          <w:rFonts w:ascii="黑体" w:hAnsi="黑体" w:eastAsia="黑体"/>
          <w:kern w:val="0"/>
          <w:szCs w:val="21"/>
        </w:rPr>
        <w:t>孔口保护装置示意图</w:t>
      </w:r>
    </w:p>
    <w:p>
      <w:pPr>
        <w:keepNext/>
        <w:keepLines/>
        <w:adjustRightInd w:val="0"/>
        <w:snapToGrid w:val="0"/>
        <w:spacing w:before="120" w:beforeLines="50" w:after="120" w:afterLines="50"/>
        <w:jc w:val="left"/>
        <w:rPr>
          <w:rFonts w:ascii="黑体" w:hAnsi="黑体" w:eastAsia="黑体"/>
          <w:bCs/>
          <w:kern w:val="44"/>
          <w:szCs w:val="21"/>
        </w:rPr>
      </w:pPr>
      <w:bookmarkStart w:id="171" w:name="_Toc21966415"/>
      <w:bookmarkStart w:id="172" w:name="_Toc534580129"/>
      <w:bookmarkStart w:id="173" w:name="_Toc534577772"/>
      <w:r>
        <w:rPr>
          <w:rFonts w:hint="eastAsia" w:ascii="黑体" w:hAnsi="黑体" w:eastAsia="黑体"/>
          <w:bCs/>
          <w:kern w:val="44"/>
          <w:szCs w:val="21"/>
        </w:rPr>
        <w:t>G</w:t>
      </w:r>
      <w:r>
        <w:rPr>
          <w:rFonts w:ascii="黑体" w:hAnsi="黑体" w:eastAsia="黑体"/>
          <w:bCs/>
          <w:kern w:val="44"/>
          <w:szCs w:val="21"/>
        </w:rPr>
        <w:t>.5</w:t>
      </w:r>
      <w:r>
        <w:rPr>
          <w:rFonts w:hint="eastAsia" w:ascii="黑体" w:hAnsi="黑体" w:eastAsia="黑体"/>
          <w:bCs/>
          <w:kern w:val="44"/>
          <w:szCs w:val="21"/>
        </w:rPr>
        <w:t xml:space="preserve">  </w:t>
      </w:r>
      <w:r>
        <w:rPr>
          <w:rFonts w:ascii="黑体" w:hAnsi="黑体" w:eastAsia="黑体"/>
          <w:bCs/>
          <w:kern w:val="44"/>
          <w:szCs w:val="21"/>
        </w:rPr>
        <w:t>地表绝对位移观测墩结构</w:t>
      </w:r>
      <w:bookmarkEnd w:id="171"/>
      <w:bookmarkEnd w:id="172"/>
      <w:bookmarkEnd w:id="173"/>
    </w:p>
    <w:p>
      <w:pPr>
        <w:spacing w:line="360" w:lineRule="auto"/>
        <w:ind w:firstLine="420" w:firstLineChars="200"/>
        <w:rPr>
          <w:rFonts w:ascii="Times New Roman" w:hAnsi="Times New Roman"/>
          <w:szCs w:val="24"/>
        </w:rPr>
      </w:pPr>
      <w:r>
        <w:rPr>
          <w:rFonts w:ascii="Times New Roman" w:hAnsi="Times New Roman"/>
          <w:szCs w:val="24"/>
        </w:rPr>
        <w:t>地表绝对位移观测墩应采用钢筋混凝土制作，观测墩顶部嵌入强制归心装置（归心盘），归心盘为不锈钢板，中心设有强制对中螺丝（英制）。观测墩的设计规格和建设结构见图</w:t>
      </w:r>
      <w:r>
        <w:rPr>
          <w:rFonts w:hint="eastAsia" w:ascii="Times New Roman" w:hAnsi="Times New Roman"/>
          <w:szCs w:val="24"/>
        </w:rPr>
        <w:t>G</w:t>
      </w:r>
      <w:r>
        <w:rPr>
          <w:rFonts w:ascii="Times New Roman" w:hAnsi="Times New Roman"/>
          <w:szCs w:val="24"/>
        </w:rPr>
        <w:t>-5。</w:t>
      </w:r>
    </w:p>
    <w:p>
      <w:pPr>
        <w:jc w:val="center"/>
        <w:rPr>
          <w:rFonts w:ascii="Times New Roman" w:hAnsi="Times New Roman"/>
          <w:szCs w:val="24"/>
        </w:rPr>
      </w:pPr>
      <w:r>
        <w:rPr>
          <w:rFonts w:ascii="Times New Roman" w:hAnsi="Times New Roman"/>
          <w:szCs w:val="24"/>
        </w:rPr>
        <w:drawing>
          <wp:inline distT="0" distB="0" distL="0" distR="0">
            <wp:extent cx="4781550" cy="2809875"/>
            <wp:effectExtent l="19050" t="0" r="0" b="0"/>
            <wp:docPr id="9" name="图片 1" descr="说明: 说明: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说明: 说明: 4"/>
                    <pic:cNvPicPr>
                      <a:picLocks noChangeAspect="1" noChangeArrowheads="1"/>
                    </pic:cNvPicPr>
                  </pic:nvPicPr>
                  <pic:blipFill>
                    <a:blip r:embed="rId14" cstate="print"/>
                    <a:srcRect l="4341" t="2895" r="4431" b="4750"/>
                    <a:stretch>
                      <a:fillRect/>
                    </a:stretch>
                  </pic:blipFill>
                  <pic:spPr>
                    <a:xfrm>
                      <a:off x="0" y="0"/>
                      <a:ext cx="4781550" cy="2809875"/>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-5</w:t>
      </w:r>
      <w:r>
        <w:rPr>
          <w:rFonts w:hint="eastAsia" w:ascii="黑体" w:hAnsi="黑体" w:eastAsia="黑体"/>
          <w:kern w:val="0"/>
          <w:szCs w:val="21"/>
        </w:rPr>
        <w:t xml:space="preserve">  </w:t>
      </w:r>
      <w:r>
        <w:rPr>
          <w:rFonts w:ascii="黑体" w:hAnsi="黑体" w:eastAsia="黑体"/>
          <w:kern w:val="0"/>
          <w:szCs w:val="21"/>
        </w:rPr>
        <w:t>地表绝对位移观测墩结构示意图</w:t>
      </w:r>
    </w:p>
    <w:p>
      <w:pPr>
        <w:widowControl/>
        <w:tabs>
          <w:tab w:val="left" w:pos="360"/>
        </w:tabs>
        <w:spacing w:before="120" w:beforeLines="50" w:after="120" w:afterLines="50"/>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174" w:name="_Toc534577773"/>
      <w:bookmarkStart w:id="175" w:name="_Toc534580130"/>
      <w:bookmarkStart w:id="176" w:name="_Toc21966416"/>
      <w:r>
        <w:rPr>
          <w:rFonts w:hint="eastAsia" w:ascii="黑体" w:hAnsi="黑体" w:eastAsia="黑体"/>
          <w:bCs/>
          <w:kern w:val="44"/>
          <w:szCs w:val="21"/>
        </w:rPr>
        <w:t>G</w:t>
      </w:r>
      <w:r>
        <w:rPr>
          <w:rFonts w:ascii="黑体" w:hAnsi="黑体" w:eastAsia="黑体"/>
          <w:bCs/>
          <w:kern w:val="44"/>
          <w:szCs w:val="21"/>
        </w:rPr>
        <w:t>.6</w:t>
      </w:r>
      <w:r>
        <w:rPr>
          <w:rFonts w:hint="eastAsia" w:ascii="黑体" w:hAnsi="黑体" w:eastAsia="黑体"/>
          <w:bCs/>
          <w:kern w:val="44"/>
          <w:szCs w:val="21"/>
        </w:rPr>
        <w:t xml:space="preserve">  </w:t>
      </w:r>
      <w:r>
        <w:rPr>
          <w:rFonts w:ascii="黑体" w:hAnsi="黑体" w:eastAsia="黑体"/>
          <w:bCs/>
          <w:kern w:val="44"/>
          <w:szCs w:val="21"/>
        </w:rPr>
        <w:t>GNSS基墩施工要求及结构</w:t>
      </w:r>
      <w:bookmarkEnd w:id="174"/>
      <w:bookmarkEnd w:id="175"/>
      <w:bookmarkEnd w:id="176"/>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GNSS基墩分为三种类型：基岩型、土层型和屋顶型。基岩型基墩建在稳固的岩石上，施工时必须清除表层碎石，基础应与稳固岩石牢固连接；土层型基墩应保证牢固，应埋设至冻土层以下；屋顶型基墩建在房屋建筑物的承重墙上，通过一定的结构与承重墙的主结构相连。</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基墩高出地面一般不超过1</w:t>
      </w:r>
      <w:r>
        <w:rPr>
          <w:rFonts w:hint="eastAsia" w:ascii="Times New Roman" w:hAnsi="Times New Roman"/>
          <w:szCs w:val="24"/>
        </w:rPr>
        <w:t xml:space="preserve"> </w:t>
      </w:r>
      <w:r>
        <w:rPr>
          <w:rFonts w:ascii="Times New Roman" w:hAnsi="Times New Roman"/>
          <w:szCs w:val="24"/>
        </w:rPr>
        <w:t>m，但不低于0.2</w:t>
      </w:r>
      <w:r>
        <w:rPr>
          <w:rFonts w:hint="eastAsia" w:ascii="Times New Roman" w:hAnsi="Times New Roman"/>
          <w:szCs w:val="24"/>
        </w:rPr>
        <w:t xml:space="preserve"> </w:t>
      </w:r>
      <w:r>
        <w:rPr>
          <w:rFonts w:ascii="Times New Roman" w:hAnsi="Times New Roman"/>
          <w:szCs w:val="24"/>
        </w:rPr>
        <w:t>m。土层型监测基墩周围应有5</w:t>
      </w:r>
      <w:r>
        <w:rPr>
          <w:rFonts w:hint="eastAsia" w:ascii="Times New Roman" w:hAnsi="Times New Roman"/>
          <w:szCs w:val="24"/>
        </w:rPr>
        <w:t>-</w:t>
      </w:r>
      <w:r>
        <w:rPr>
          <w:rFonts w:ascii="Times New Roman" w:hAnsi="Times New Roman"/>
          <w:szCs w:val="24"/>
        </w:rPr>
        <w:t>10</w:t>
      </w:r>
      <w:r>
        <w:rPr>
          <w:rFonts w:hint="eastAsia" w:ascii="Times New Roman" w:hAnsi="Times New Roman"/>
          <w:szCs w:val="24"/>
        </w:rPr>
        <w:t xml:space="preserve"> </w:t>
      </w:r>
      <w:r>
        <w:rPr>
          <w:rFonts w:ascii="Times New Roman" w:hAnsi="Times New Roman"/>
          <w:szCs w:val="24"/>
        </w:rPr>
        <w:t>cm的防震槽，基墩顶部必须保持水平，符合设备安装要求。</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GNSS点标石用钢筋混凝土在选定的点位浇制，浇制混凝土应符合GB</w:t>
      </w:r>
      <w:r>
        <w:rPr>
          <w:rFonts w:hint="eastAsia" w:ascii="Times New Roman" w:hAnsi="Times New Roman"/>
          <w:szCs w:val="24"/>
        </w:rPr>
        <w:t>/T</w:t>
      </w:r>
      <w:r>
        <w:rPr>
          <w:rFonts w:ascii="Times New Roman" w:hAnsi="Times New Roman"/>
          <w:szCs w:val="24"/>
        </w:rPr>
        <w:t xml:space="preserve"> 50204规范要求。视场内障碍物高度角度不宜超过15°，基准点（B级）离高压输电线、变压器等信号干扰物200</w:t>
      </w:r>
      <w:r>
        <w:rPr>
          <w:rFonts w:hint="eastAsia" w:ascii="Times New Roman" w:hAnsi="Times New Roman"/>
          <w:szCs w:val="24"/>
        </w:rPr>
        <w:t xml:space="preserve"> </w:t>
      </w:r>
      <w:r>
        <w:rPr>
          <w:rFonts w:ascii="Times New Roman" w:hAnsi="Times New Roman"/>
          <w:szCs w:val="24"/>
        </w:rPr>
        <w:t>m以外，离无线电发射台、电视发射台等强信号源400</w:t>
      </w:r>
      <w:r>
        <w:rPr>
          <w:rFonts w:hint="eastAsia" w:ascii="Times New Roman" w:hAnsi="Times New Roman"/>
          <w:szCs w:val="24"/>
        </w:rPr>
        <w:t xml:space="preserve"> </w:t>
      </w:r>
      <w:r>
        <w:rPr>
          <w:rFonts w:ascii="Times New Roman" w:hAnsi="Times New Roman"/>
          <w:szCs w:val="24"/>
        </w:rPr>
        <w:t>m以外，距公路</w:t>
      </w:r>
      <w:r>
        <w:rPr>
          <w:rFonts w:hint="eastAsia" w:ascii="宋体" w:hAnsi="宋体"/>
          <w:szCs w:val="24"/>
        </w:rPr>
        <w:t>≥</w:t>
      </w:r>
      <w:r>
        <w:rPr>
          <w:rFonts w:ascii="Times New Roman" w:hAnsi="Times New Roman"/>
          <w:szCs w:val="24"/>
        </w:rPr>
        <w:t>5</w:t>
      </w:r>
      <w:r>
        <w:rPr>
          <w:rFonts w:hint="eastAsia" w:ascii="Times New Roman" w:hAnsi="Times New Roman"/>
          <w:szCs w:val="24"/>
        </w:rPr>
        <w:t xml:space="preserve"> </w:t>
      </w:r>
      <w:r>
        <w:rPr>
          <w:rFonts w:ascii="Times New Roman" w:hAnsi="Times New Roman"/>
          <w:szCs w:val="24"/>
        </w:rPr>
        <w:t>m；形变点（C级）能真实地反映地质灾害体变形的敏感部位，有利于构成监测剖面。</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基础上应埋设联测水平点，其位置应便于水平施测。</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基墩顶面中央应埋设强制对中装置，造埋时强制对中装置应用置平工具安平。</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基坑开挖前应将表层覆盖物清除干净，基墩开挖后应防止积水和坍坡，岩石基坑开挖不能用炸药爆破，天线墩施工前应将坑底杂物和积水清除干净，土层基坑底部应夯平。</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g)  </w:t>
      </w:r>
      <w:r>
        <w:rPr>
          <w:rFonts w:ascii="Times New Roman" w:hAnsi="Times New Roman"/>
          <w:szCs w:val="24"/>
        </w:rPr>
        <w:t>基墩建成后，应及时回填。回填前应清除基坑内</w:t>
      </w:r>
      <w:r>
        <w:rPr>
          <w:rFonts w:hint="eastAsia" w:ascii="Times New Roman" w:hAnsi="Times New Roman"/>
          <w:szCs w:val="24"/>
        </w:rPr>
        <w:t>的</w:t>
      </w:r>
      <w:r>
        <w:rPr>
          <w:rFonts w:ascii="Times New Roman" w:hAnsi="Times New Roman"/>
          <w:szCs w:val="24"/>
        </w:rPr>
        <w:t>积水和杂物，填土时应在基墩两侧同时进行分层夯实。</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h)  </w:t>
      </w:r>
      <w:r>
        <w:rPr>
          <w:rFonts w:ascii="Times New Roman" w:hAnsi="Times New Roman"/>
          <w:szCs w:val="24"/>
        </w:rPr>
        <w:t>GNSS基墩结构见图</w:t>
      </w:r>
      <w:r>
        <w:rPr>
          <w:rFonts w:hint="eastAsia" w:ascii="Times New Roman" w:hAnsi="Times New Roman"/>
          <w:szCs w:val="24"/>
        </w:rPr>
        <w:t>G</w:t>
      </w:r>
      <w:r>
        <w:rPr>
          <w:rFonts w:ascii="Times New Roman" w:hAnsi="Times New Roman"/>
          <w:szCs w:val="24"/>
        </w:rPr>
        <w:t>-6。</w:t>
      </w:r>
    </w:p>
    <w:p>
      <w:pPr>
        <w:spacing w:line="360" w:lineRule="auto"/>
        <w:ind w:left="840" w:leftChars="200" w:hanging="420" w:hangingChars="200"/>
        <w:rPr>
          <w:rFonts w:ascii="Times New Roman" w:hAnsi="Times New Roman"/>
          <w:szCs w:val="24"/>
        </w:rPr>
      </w:pPr>
    </w:p>
    <w:p>
      <w:pPr>
        <w:spacing w:line="360" w:lineRule="auto"/>
        <w:ind w:left="840" w:leftChars="200" w:hanging="420" w:hangingChars="200"/>
        <w:rPr>
          <w:rFonts w:ascii="Times New Roman" w:hAnsi="Times New Roman"/>
          <w:szCs w:val="24"/>
        </w:rPr>
      </w:pPr>
    </w:p>
    <w:p>
      <w:pPr>
        <w:spacing w:line="360" w:lineRule="auto"/>
        <w:jc w:val="center"/>
        <w:rPr>
          <w:rFonts w:ascii="Times New Roman" w:hAnsi="Times New Roman"/>
          <w:szCs w:val="24"/>
        </w:rPr>
      </w:pPr>
      <w:r>
        <w:drawing>
          <wp:inline distT="0" distB="0" distL="0" distR="0">
            <wp:extent cx="2858135" cy="2619375"/>
            <wp:effectExtent l="0" t="0" r="0" b="0"/>
            <wp:docPr id="627"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图片 14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7541" cy="2627903"/>
                    </a:xfrm>
                    <a:prstGeom prst="rect">
                      <a:avLst/>
                    </a:prstGeom>
                    <a:noFill/>
                    <a:ln w="9525">
                      <a:noFill/>
                      <a:miter lim="800000"/>
                      <a:headEnd/>
                      <a:tailEnd/>
                    </a:ln>
                  </pic:spPr>
                </pic:pic>
              </a:graphicData>
            </a:graphic>
          </wp:inline>
        </w:drawing>
      </w:r>
    </w:p>
    <w:p>
      <w:pPr>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-6</w:t>
      </w:r>
      <w:r>
        <w:rPr>
          <w:rFonts w:hint="eastAsia" w:ascii="黑体" w:hAnsi="黑体" w:eastAsia="黑体"/>
          <w:kern w:val="0"/>
          <w:szCs w:val="21"/>
        </w:rPr>
        <w:t xml:space="preserve">  </w:t>
      </w:r>
      <w:r>
        <w:rPr>
          <w:rFonts w:ascii="黑体" w:hAnsi="黑体" w:eastAsia="黑体"/>
          <w:kern w:val="0"/>
          <w:szCs w:val="21"/>
        </w:rPr>
        <w:t>GNSS基墩结构示意图</w:t>
      </w:r>
    </w:p>
    <w:p>
      <w:pPr>
        <w:spacing w:before="120" w:beforeLines="50" w:after="120" w:afterLines="50"/>
        <w:jc w:val="center"/>
        <w:rPr>
          <w:rFonts w:ascii="Times New Roman" w:hAnsi="Times New Roman"/>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177" w:name="_Toc534577774"/>
      <w:bookmarkStart w:id="178" w:name="_Toc534580131"/>
      <w:bookmarkStart w:id="179" w:name="_Toc21966417"/>
      <w:r>
        <w:rPr>
          <w:rFonts w:hint="eastAsia" w:ascii="黑体" w:hAnsi="黑体" w:eastAsia="黑体"/>
          <w:bCs/>
          <w:kern w:val="44"/>
          <w:szCs w:val="21"/>
        </w:rPr>
        <w:t>G</w:t>
      </w:r>
      <w:r>
        <w:rPr>
          <w:rFonts w:ascii="黑体" w:hAnsi="黑体" w:eastAsia="黑体"/>
          <w:bCs/>
          <w:kern w:val="44"/>
          <w:szCs w:val="21"/>
        </w:rPr>
        <w:t>.7</w:t>
      </w:r>
      <w:r>
        <w:rPr>
          <w:rFonts w:hint="eastAsia" w:ascii="黑体" w:hAnsi="黑体" w:eastAsia="黑体"/>
          <w:bCs/>
          <w:kern w:val="44"/>
          <w:szCs w:val="21"/>
        </w:rPr>
        <w:t xml:space="preserve">  </w:t>
      </w:r>
      <w:r>
        <w:rPr>
          <w:rFonts w:ascii="黑体" w:hAnsi="黑体" w:eastAsia="黑体"/>
          <w:bCs/>
          <w:kern w:val="44"/>
          <w:szCs w:val="21"/>
        </w:rPr>
        <w:t>裂缝相对位移观测墩结构</w:t>
      </w:r>
      <w:bookmarkEnd w:id="177"/>
      <w:bookmarkEnd w:id="178"/>
      <w:bookmarkEnd w:id="179"/>
    </w:p>
    <w:p>
      <w:pPr>
        <w:tabs>
          <w:tab w:val="center" w:pos="4201"/>
          <w:tab w:val="right" w:leader="dot" w:pos="9298"/>
        </w:tabs>
        <w:autoSpaceDE w:val="0"/>
        <w:autoSpaceDN w:val="0"/>
        <w:spacing w:before="120" w:beforeLines="50" w:after="120" w:afterLines="50"/>
        <w:jc w:val="left"/>
        <w:rPr>
          <w:rFonts w:ascii="宋体" w:hAnsi="Times New Roman"/>
          <w:kern w:val="0"/>
          <w:szCs w:val="21"/>
        </w:rPr>
      </w:pPr>
      <w:r>
        <w:rPr>
          <w:rFonts w:hint="eastAsia" w:ascii="黑体" w:hAnsi="黑体" w:eastAsia="黑体"/>
          <w:szCs w:val="21"/>
        </w:rPr>
        <w:t>G</w:t>
      </w:r>
      <w:r>
        <w:rPr>
          <w:rFonts w:ascii="黑体" w:hAnsi="黑体" w:eastAsia="黑体"/>
          <w:szCs w:val="21"/>
        </w:rPr>
        <w:t>.7.1</w:t>
      </w:r>
      <w:r>
        <w:rPr>
          <w:rFonts w:hint="eastAsia" w:ascii="黑体" w:hAnsi="黑体" w:eastAsia="黑体"/>
          <w:szCs w:val="21"/>
        </w:rPr>
        <w:t xml:space="preserve">  </w:t>
      </w:r>
      <w:r>
        <w:rPr>
          <w:rFonts w:ascii="黑体" w:hAnsi="黑体" w:eastAsia="黑体"/>
          <w:szCs w:val="21"/>
        </w:rPr>
        <w:t>单向裂缝位移计观测墩结构见图</w:t>
      </w:r>
      <w:r>
        <w:rPr>
          <w:rFonts w:hint="eastAsia" w:ascii="黑体" w:hAnsi="黑体" w:eastAsia="黑体"/>
          <w:szCs w:val="21"/>
        </w:rPr>
        <w:t>G</w:t>
      </w:r>
      <w:r>
        <w:rPr>
          <w:rFonts w:ascii="黑体" w:hAnsi="黑体" w:eastAsia="黑体"/>
          <w:szCs w:val="21"/>
        </w:rPr>
        <w:t>-7。</w:t>
      </w:r>
    </w:p>
    <w:p>
      <w:pPr>
        <w:widowControl/>
        <w:tabs>
          <w:tab w:val="center" w:pos="4201"/>
          <w:tab w:val="right" w:leader="dot" w:pos="9298"/>
        </w:tabs>
        <w:autoSpaceDE w:val="0"/>
        <w:autoSpaceDN w:val="0"/>
        <w:jc w:val="center"/>
        <w:rPr>
          <w:rFonts w:ascii="Times New Roman" w:hAnsi="Times New Roman"/>
          <w:kern w:val="0"/>
          <w:szCs w:val="20"/>
        </w:rPr>
      </w:pPr>
      <w:r>
        <w:rPr>
          <w:rFonts w:ascii="Times New Roman" w:hAnsi="Times New Roman"/>
          <w:kern w:val="0"/>
          <w:szCs w:val="20"/>
        </w:rPr>
        <w:drawing>
          <wp:inline distT="0" distB="0" distL="0" distR="0">
            <wp:extent cx="3143250" cy="1714500"/>
            <wp:effectExtent l="0" t="0" r="0" b="0"/>
            <wp:docPr id="10" name="图片 20" descr="说明: 说明: 张开（闭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0" descr="说明: 说明: 张开（闭合）"/>
                    <pic:cNvPicPr>
                      <a:picLocks noChangeAspect="1" noChangeArrowheads="1"/>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Lst>
                    </a:blip>
                    <a:srcRect l="4646" t="26459" r="3630" b="38051"/>
                    <a:stretch>
                      <a:fillRect/>
                    </a:stretch>
                  </pic:blipFill>
                  <pic:spPr>
                    <a:xfrm>
                      <a:off x="0" y="0"/>
                      <a:ext cx="3143250" cy="1714500"/>
                    </a:xfrm>
                    <a:prstGeom prst="rect">
                      <a:avLst/>
                    </a:prstGeom>
                    <a:noFill/>
                    <a:ln w="9525">
                      <a:noFill/>
                      <a:miter lim="800000"/>
                      <a:headEnd/>
                      <a:tailEnd/>
                    </a:ln>
                  </pic:spPr>
                </pic:pic>
              </a:graphicData>
            </a:graphic>
          </wp:inline>
        </w:drawing>
      </w:r>
    </w:p>
    <w:p>
      <w:pPr>
        <w:widowControl/>
        <w:tabs>
          <w:tab w:val="center" w:pos="4201"/>
          <w:tab w:val="right" w:leader="dot" w:pos="9298"/>
        </w:tabs>
        <w:autoSpaceDE w:val="0"/>
        <w:autoSpaceDN w:val="0"/>
        <w:jc w:val="center"/>
        <w:rPr>
          <w:rFonts w:ascii="黑体" w:hAnsi="黑体" w:eastAsia="黑体"/>
          <w:kern w:val="0"/>
          <w:szCs w:val="20"/>
        </w:rPr>
      </w:pPr>
      <w:r>
        <w:rPr>
          <w:rFonts w:ascii="黑体" w:hAnsi="黑体" w:eastAsia="黑体"/>
          <w:kern w:val="0"/>
          <w:szCs w:val="20"/>
        </w:rPr>
        <w:t>（a）张开（闭合）</w:t>
      </w:r>
    </w:p>
    <w:p>
      <w:pPr>
        <w:widowControl/>
        <w:tabs>
          <w:tab w:val="center" w:pos="4201"/>
          <w:tab w:val="right" w:leader="dot" w:pos="9298"/>
        </w:tabs>
        <w:autoSpaceDE w:val="0"/>
        <w:autoSpaceDN w:val="0"/>
        <w:jc w:val="center"/>
        <w:rPr>
          <w:rFonts w:ascii="Times New Roman" w:hAnsi="Times New Roman"/>
          <w:kern w:val="0"/>
          <w:szCs w:val="20"/>
        </w:rPr>
      </w:pPr>
      <w:r>
        <w:rPr>
          <w:rFonts w:ascii="Times New Roman" w:hAnsi="Times New Roman"/>
          <w:kern w:val="0"/>
          <w:szCs w:val="20"/>
        </w:rPr>
        <w:drawing>
          <wp:inline distT="0" distB="0" distL="0" distR="0">
            <wp:extent cx="2847975" cy="1952625"/>
            <wp:effectExtent l="0" t="0" r="0" b="0"/>
            <wp:docPr id="11" name="图片 24" descr="说明: 说明: 水平错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4" descr="说明: 说明: 水平错动"/>
                    <pic:cNvPicPr>
                      <a:picLocks noChangeAspect="1" noChangeArrowheads="1"/>
                    </pic:cNvPicPr>
                  </pic:nvPicPr>
                  <pic:blipFill>
                    <a:blip r:embed="rId18" cstate="print">
                      <a:extLst>
                        <a:ext uri="{BEBA8EAE-BF5A-486C-A8C5-ECC9F3942E4B}">
                          <a14:imgProps xmlns:a14="http://schemas.microsoft.com/office/drawing/2010/main">
                            <a14:imgLayer r:embed="rId19">
                              <a14:imgEffect>
                                <a14:saturation sat="0"/>
                              </a14:imgEffect>
                            </a14:imgLayer>
                          </a14:imgProps>
                        </a:ext>
                      </a:extLst>
                    </a:blip>
                    <a:srcRect l="5464" t="27608" r="3658" b="28525"/>
                    <a:stretch>
                      <a:fillRect/>
                    </a:stretch>
                  </pic:blipFill>
                  <pic:spPr>
                    <a:xfrm>
                      <a:off x="0" y="0"/>
                      <a:ext cx="2847975" cy="1952625"/>
                    </a:xfrm>
                    <a:prstGeom prst="rect">
                      <a:avLst/>
                    </a:prstGeom>
                    <a:noFill/>
                    <a:ln w="9525">
                      <a:noFill/>
                      <a:miter lim="800000"/>
                      <a:headEnd/>
                      <a:tailEnd/>
                    </a:ln>
                  </pic:spPr>
                </pic:pic>
              </a:graphicData>
            </a:graphic>
          </wp:inline>
        </w:drawing>
      </w:r>
      <w:r>
        <w:rPr>
          <w:rFonts w:ascii="Times New Roman" w:hAnsi="Times New Roman"/>
          <w:kern w:val="0"/>
          <w:szCs w:val="20"/>
        </w:rPr>
        <w:drawing>
          <wp:inline distT="0" distB="0" distL="0" distR="0">
            <wp:extent cx="2771775" cy="2038350"/>
            <wp:effectExtent l="0" t="0" r="0" b="0"/>
            <wp:docPr id="12" name="图片 43" descr="说明: 说明: 垂直下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3" descr="说明: 说明: 垂直下沉"/>
                    <pic:cNvPicPr>
                      <a:picLocks noChangeAspect="1" noChangeArrowheads="1"/>
                    </pic:cNvPicPr>
                  </pic:nvPicPr>
                  <pic:blipFill>
                    <a:blip r:embed="rId20" cstate="print">
                      <a:extLst>
                        <a:ext uri="{BEBA8EAE-BF5A-486C-A8C5-ECC9F3942E4B}">
                          <a14:imgProps xmlns:a14="http://schemas.microsoft.com/office/drawing/2010/main">
                            <a14:imgLayer r:embed="rId21">
                              <a14:imgEffect>
                                <a14:saturation sat="0"/>
                              </a14:imgEffect>
                            </a14:imgLayer>
                          </a14:imgProps>
                        </a:ext>
                      </a:extLst>
                    </a:blip>
                    <a:srcRect l="3079" t="26424" r="2951" b="24615"/>
                    <a:stretch>
                      <a:fillRect/>
                    </a:stretch>
                  </pic:blipFill>
                  <pic:spPr>
                    <a:xfrm>
                      <a:off x="0" y="0"/>
                      <a:ext cx="2771775" cy="2038350"/>
                    </a:xfrm>
                    <a:prstGeom prst="rect">
                      <a:avLst/>
                    </a:prstGeom>
                    <a:noFill/>
                    <a:ln w="9525">
                      <a:noFill/>
                      <a:miter lim="800000"/>
                      <a:headEnd/>
                      <a:tailEnd/>
                    </a:ln>
                  </pic:spPr>
                </pic:pic>
              </a:graphicData>
            </a:graphic>
          </wp:inline>
        </w:drawing>
      </w:r>
    </w:p>
    <w:p>
      <w:pPr>
        <w:widowControl/>
        <w:tabs>
          <w:tab w:val="center" w:pos="4201"/>
          <w:tab w:val="right" w:leader="dot" w:pos="9298"/>
        </w:tabs>
        <w:autoSpaceDE w:val="0"/>
        <w:autoSpaceDN w:val="0"/>
        <w:ind w:firstLine="1680" w:firstLineChars="800"/>
        <w:rPr>
          <w:rFonts w:ascii="黑体" w:hAnsi="黑体" w:eastAsia="黑体"/>
          <w:kern w:val="0"/>
          <w:szCs w:val="20"/>
        </w:rPr>
      </w:pPr>
      <w:r>
        <w:rPr>
          <w:rFonts w:ascii="黑体" w:hAnsi="黑体" w:eastAsia="黑体"/>
          <w:kern w:val="0"/>
          <w:szCs w:val="20"/>
        </w:rPr>
        <w:t>（b）水平位错                             （c）垂直下沉</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-7</w:t>
      </w:r>
      <w:r>
        <w:rPr>
          <w:rFonts w:hint="eastAsia" w:ascii="黑体" w:hAnsi="黑体" w:eastAsia="黑体"/>
          <w:kern w:val="0"/>
          <w:szCs w:val="21"/>
        </w:rPr>
        <w:t xml:space="preserve">  </w:t>
      </w:r>
      <w:r>
        <w:rPr>
          <w:rFonts w:ascii="黑体" w:hAnsi="黑体" w:eastAsia="黑体"/>
          <w:kern w:val="0"/>
          <w:szCs w:val="21"/>
        </w:rPr>
        <w:t>单向裂缝位移监测墩结构示意图（单位:cm）</w:t>
      </w:r>
    </w:p>
    <w:p>
      <w:pPr>
        <w:widowControl/>
        <w:tabs>
          <w:tab w:val="left" w:pos="360"/>
        </w:tabs>
        <w:spacing w:before="120" w:beforeLines="50" w:after="120" w:afterLines="50"/>
        <w:contextualSpacing/>
        <w:jc w:val="center"/>
        <w:rPr>
          <w:rFonts w:ascii="黑体" w:hAnsi="黑体" w:eastAsia="黑体"/>
          <w:kern w:val="0"/>
          <w:szCs w:val="21"/>
        </w:rPr>
      </w:pPr>
    </w:p>
    <w:p>
      <w:pPr>
        <w:widowControl/>
        <w:tabs>
          <w:tab w:val="left" w:pos="360"/>
        </w:tabs>
        <w:spacing w:before="120" w:beforeLines="50" w:after="120" w:afterLines="50"/>
        <w:contextualSpacing/>
        <w:jc w:val="center"/>
        <w:rPr>
          <w:rFonts w:ascii="黑体" w:hAnsi="黑体" w:eastAsia="黑体"/>
          <w:kern w:val="0"/>
          <w:szCs w:val="21"/>
        </w:rPr>
      </w:pPr>
    </w:p>
    <w:p>
      <w:pPr>
        <w:widowControl/>
        <w:tabs>
          <w:tab w:val="left" w:pos="360"/>
        </w:tabs>
        <w:spacing w:before="120" w:beforeLines="50" w:after="120" w:afterLines="50"/>
        <w:contextualSpacing/>
        <w:jc w:val="center"/>
        <w:rPr>
          <w:rFonts w:ascii="黑体" w:hAnsi="黑体" w:eastAsia="黑体"/>
          <w:kern w:val="0"/>
          <w:szCs w:val="21"/>
        </w:rPr>
      </w:pPr>
    </w:p>
    <w:p>
      <w:pPr>
        <w:widowControl/>
        <w:tabs>
          <w:tab w:val="left" w:pos="360"/>
        </w:tabs>
        <w:spacing w:before="120" w:beforeLines="50" w:after="120" w:afterLines="50"/>
        <w:contextualSpacing/>
        <w:jc w:val="center"/>
        <w:rPr>
          <w:rFonts w:ascii="黑体" w:hAnsi="黑体" w:eastAsia="黑体"/>
          <w:kern w:val="0"/>
          <w:szCs w:val="21"/>
        </w:rPr>
      </w:pPr>
    </w:p>
    <w:p>
      <w:pPr>
        <w:spacing w:before="120" w:beforeLines="50" w:after="120" w:afterLines="50"/>
        <w:jc w:val="left"/>
        <w:rPr>
          <w:rFonts w:ascii="黑体" w:hAnsi="黑体" w:eastAsia="黑体"/>
          <w:szCs w:val="21"/>
        </w:rPr>
      </w:pPr>
      <w:bookmarkStart w:id="180" w:name="_Toc479510415"/>
      <w:r>
        <w:rPr>
          <w:rFonts w:hint="eastAsia" w:ascii="黑体" w:hAnsi="黑体" w:eastAsia="黑体"/>
          <w:szCs w:val="21"/>
        </w:rPr>
        <w:t>G</w:t>
      </w:r>
      <w:r>
        <w:rPr>
          <w:rFonts w:ascii="黑体" w:hAnsi="黑体" w:eastAsia="黑体"/>
          <w:szCs w:val="21"/>
        </w:rPr>
        <w:t>.7.2</w:t>
      </w:r>
      <w:r>
        <w:rPr>
          <w:rFonts w:hint="eastAsia" w:ascii="黑体" w:hAnsi="黑体" w:eastAsia="黑体"/>
          <w:szCs w:val="21"/>
        </w:rPr>
        <w:t xml:space="preserve">  </w:t>
      </w:r>
      <w:r>
        <w:rPr>
          <w:rFonts w:ascii="黑体" w:hAnsi="黑体" w:eastAsia="黑体"/>
          <w:szCs w:val="21"/>
        </w:rPr>
        <w:t>三向裂缝位移计观测墩结构见图</w:t>
      </w:r>
      <w:r>
        <w:rPr>
          <w:rFonts w:hint="eastAsia" w:ascii="黑体" w:hAnsi="黑体" w:eastAsia="黑体"/>
          <w:szCs w:val="21"/>
        </w:rPr>
        <w:t>G</w:t>
      </w:r>
      <w:r>
        <w:rPr>
          <w:rFonts w:ascii="黑体" w:hAnsi="黑体" w:eastAsia="黑体"/>
          <w:szCs w:val="21"/>
        </w:rPr>
        <w:t>-8。</w:t>
      </w:r>
    </w:p>
    <w:bookmarkEnd w:id="180"/>
    <w:p>
      <w:pPr>
        <w:widowControl/>
        <w:tabs>
          <w:tab w:val="center" w:pos="4201"/>
          <w:tab w:val="right" w:leader="dot" w:pos="9298"/>
        </w:tabs>
        <w:autoSpaceDE w:val="0"/>
        <w:autoSpaceDN w:val="0"/>
        <w:ind w:firstLine="420" w:firstLineChars="200"/>
        <w:jc w:val="center"/>
        <w:rPr>
          <w:rFonts w:ascii="Times New Roman" w:hAnsi="Times New Roman"/>
          <w:kern w:val="0"/>
          <w:szCs w:val="20"/>
        </w:rPr>
      </w:pPr>
      <w:r>
        <w:rPr>
          <w:rFonts w:ascii="Times New Roman" w:hAnsi="Times New Roman"/>
          <w:kern w:val="0"/>
          <w:szCs w:val="20"/>
        </w:rPr>
        <w:drawing>
          <wp:inline distT="0" distB="0" distL="0" distR="0">
            <wp:extent cx="3910965" cy="2763520"/>
            <wp:effectExtent l="0" t="0" r="0" b="0"/>
            <wp:docPr id="1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4"/>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11042" cy="2763982"/>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-8</w:t>
      </w:r>
      <w:r>
        <w:rPr>
          <w:rFonts w:hint="eastAsia" w:ascii="黑体" w:hAnsi="黑体" w:eastAsia="黑体"/>
          <w:kern w:val="0"/>
          <w:szCs w:val="21"/>
        </w:rPr>
        <w:t xml:space="preserve">  </w:t>
      </w:r>
      <w:r>
        <w:rPr>
          <w:rFonts w:ascii="黑体" w:hAnsi="黑体" w:eastAsia="黑体"/>
          <w:kern w:val="0"/>
          <w:szCs w:val="21"/>
        </w:rPr>
        <w:t>三向裂缝位移监测墩三维展示图</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181" w:name="_Toc460322150"/>
      <w:bookmarkEnd w:id="181"/>
      <w:bookmarkStart w:id="182" w:name="_Toc460062037"/>
      <w:bookmarkEnd w:id="182"/>
      <w:bookmarkStart w:id="183" w:name="_Toc460062038"/>
      <w:bookmarkEnd w:id="183"/>
      <w:bookmarkStart w:id="184" w:name="_Toc534577775"/>
      <w:bookmarkStart w:id="185" w:name="_Toc534580132"/>
      <w:bookmarkStart w:id="186" w:name="_Toc21966418"/>
      <w:bookmarkStart w:id="187" w:name="_Toc460322185"/>
      <w:bookmarkStart w:id="188" w:name="_Toc479510428"/>
      <w:r>
        <w:rPr>
          <w:rFonts w:hint="eastAsia" w:ascii="黑体" w:hAnsi="黑体" w:eastAsia="黑体"/>
          <w:bCs/>
          <w:kern w:val="44"/>
          <w:szCs w:val="21"/>
        </w:rPr>
        <w:t>G</w:t>
      </w:r>
      <w:r>
        <w:rPr>
          <w:rFonts w:ascii="黑体" w:hAnsi="黑体" w:eastAsia="黑体"/>
          <w:bCs/>
          <w:kern w:val="44"/>
          <w:szCs w:val="21"/>
        </w:rPr>
        <w:t>.8</w:t>
      </w:r>
      <w:r>
        <w:rPr>
          <w:rFonts w:hint="eastAsia" w:ascii="黑体" w:hAnsi="黑体" w:eastAsia="黑体"/>
          <w:bCs/>
          <w:kern w:val="44"/>
          <w:szCs w:val="21"/>
        </w:rPr>
        <w:t xml:space="preserve">  </w:t>
      </w:r>
      <w:r>
        <w:rPr>
          <w:rFonts w:ascii="黑体" w:hAnsi="黑体" w:eastAsia="黑体"/>
          <w:bCs/>
          <w:kern w:val="44"/>
          <w:szCs w:val="21"/>
        </w:rPr>
        <w:t>地面倾斜观测墩结构</w:t>
      </w:r>
      <w:bookmarkEnd w:id="184"/>
      <w:bookmarkEnd w:id="185"/>
      <w:bookmarkEnd w:id="186"/>
    </w:p>
    <w:bookmarkEnd w:id="187"/>
    <w:bookmarkEnd w:id="188"/>
    <w:p>
      <w:pPr>
        <w:spacing w:line="360" w:lineRule="auto"/>
        <w:ind w:firstLine="420" w:firstLineChars="200"/>
        <w:rPr>
          <w:rFonts w:ascii="Times New Roman" w:hAnsi="Times New Roman"/>
          <w:szCs w:val="24"/>
        </w:rPr>
      </w:pPr>
      <w:r>
        <w:rPr>
          <w:rFonts w:ascii="Times New Roman" w:hAnsi="Times New Roman"/>
          <w:szCs w:val="24"/>
        </w:rPr>
        <w:t>地面倾斜观测墩结构见图</w:t>
      </w:r>
      <w:r>
        <w:rPr>
          <w:rFonts w:hint="eastAsia" w:ascii="Times New Roman" w:hAnsi="Times New Roman"/>
          <w:szCs w:val="24"/>
        </w:rPr>
        <w:t>G</w:t>
      </w:r>
      <w:r>
        <w:rPr>
          <w:rFonts w:ascii="Times New Roman" w:hAnsi="Times New Roman"/>
          <w:szCs w:val="24"/>
        </w:rPr>
        <w:t>-9。</w:t>
      </w:r>
    </w:p>
    <w:p>
      <w:pPr>
        <w:widowControl/>
        <w:tabs>
          <w:tab w:val="center" w:pos="4201"/>
          <w:tab w:val="right" w:leader="dot" w:pos="9298"/>
        </w:tabs>
        <w:autoSpaceDE w:val="0"/>
        <w:autoSpaceDN w:val="0"/>
        <w:ind w:firstLine="420" w:firstLineChars="200"/>
        <w:rPr>
          <w:rFonts w:ascii="Times New Roman" w:hAnsi="Times New Roman"/>
          <w:kern w:val="0"/>
          <w:szCs w:val="20"/>
        </w:rPr>
      </w:pPr>
      <w:r>
        <w:rPr>
          <w:rFonts w:ascii="Times New Roman" w:hAnsi="Times New Roman"/>
          <w:kern w:val="0"/>
          <w:szCs w:val="20"/>
        </w:rPr>
        <w:drawing>
          <wp:inline distT="0" distB="0" distL="0" distR="0">
            <wp:extent cx="2657475" cy="1695450"/>
            <wp:effectExtent l="19050" t="0" r="9525" b="0"/>
            <wp:docPr id="14" name="图片 18" descr="说明: 说明: 2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8" descr="说明: 说明: 2q"/>
                    <pic:cNvPicPr>
                      <a:picLocks noChangeAspect="1" noChangeArrowheads="1"/>
                    </pic:cNvPicPr>
                  </pic:nvPicPr>
                  <pic:blipFill>
                    <a:blip r:embed="rId23" cstate="print"/>
                    <a:srcRect t="11443"/>
                    <a:stretch>
                      <a:fillRect/>
                    </a:stretch>
                  </pic:blipFill>
                  <pic:spPr>
                    <a:xfrm>
                      <a:off x="0" y="0"/>
                      <a:ext cx="2657475" cy="1695450"/>
                    </a:xfrm>
                    <a:prstGeom prst="rect">
                      <a:avLst/>
                    </a:prstGeom>
                    <a:noFill/>
                    <a:ln w="9525">
                      <a:noFill/>
                      <a:miter lim="800000"/>
                      <a:headEnd/>
                      <a:tailEnd/>
                    </a:ln>
                  </pic:spPr>
                </pic:pic>
              </a:graphicData>
            </a:graphic>
          </wp:inline>
        </w:drawing>
      </w:r>
      <w:r>
        <w:rPr>
          <w:rFonts w:ascii="Times New Roman" w:hAnsi="Times New Roman"/>
          <w:kern w:val="0"/>
          <w:szCs w:val="20"/>
        </w:rPr>
        <w:t xml:space="preserve">  </w:t>
      </w:r>
      <w:r>
        <w:rPr>
          <w:rFonts w:ascii="Times New Roman" w:hAnsi="Times New Roman"/>
          <w:kern w:val="0"/>
          <w:szCs w:val="20"/>
        </w:rPr>
        <w:drawing>
          <wp:inline distT="0" distB="0" distL="0" distR="0">
            <wp:extent cx="2590800" cy="1695450"/>
            <wp:effectExtent l="19050" t="0" r="0" b="0"/>
            <wp:docPr id="15" name="图片 19" descr="说明: 说明: 3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9" descr="说明: 说明: 3q"/>
                    <pic:cNvPicPr>
                      <a:picLocks noChangeAspect="1" noChangeArrowheads="1"/>
                    </pic:cNvPicPr>
                  </pic:nvPicPr>
                  <pic:blipFill>
                    <a:blip r:embed="rId24" cstate="print"/>
                    <a:srcRect t="12746"/>
                    <a:stretch>
                      <a:fillRect/>
                    </a:stretch>
                  </pic:blipFill>
                  <pic:spPr>
                    <a:xfrm>
                      <a:off x="0" y="0"/>
                      <a:ext cx="2590800" cy="1695450"/>
                    </a:xfrm>
                    <a:prstGeom prst="rect">
                      <a:avLst/>
                    </a:prstGeom>
                    <a:noFill/>
                    <a:ln w="9525">
                      <a:noFill/>
                      <a:miter lim="800000"/>
                      <a:headEnd/>
                      <a:tailEnd/>
                    </a:ln>
                  </pic:spPr>
                </pic:pic>
              </a:graphicData>
            </a:graphic>
          </wp:inline>
        </w:drawing>
      </w:r>
    </w:p>
    <w:p>
      <w:pPr>
        <w:widowControl/>
        <w:tabs>
          <w:tab w:val="center" w:pos="4201"/>
          <w:tab w:val="right" w:leader="dot" w:pos="9298"/>
        </w:tabs>
        <w:autoSpaceDE w:val="0"/>
        <w:autoSpaceDN w:val="0"/>
        <w:ind w:firstLine="420" w:firstLineChars="200"/>
        <w:jc w:val="center"/>
        <w:rPr>
          <w:rFonts w:ascii="黑体" w:hAnsi="黑体" w:eastAsia="黑体"/>
          <w:kern w:val="0"/>
          <w:szCs w:val="20"/>
        </w:rPr>
      </w:pPr>
      <w:r>
        <w:rPr>
          <w:rFonts w:ascii="黑体" w:hAnsi="黑体" w:eastAsia="黑体"/>
          <w:kern w:val="0"/>
          <w:szCs w:val="20"/>
        </w:rPr>
        <w:t>（a）岩体（单位:cm）               （b）土体（单位:cm）</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-9</w:t>
      </w:r>
      <w:r>
        <w:rPr>
          <w:rFonts w:hint="eastAsia" w:ascii="黑体" w:hAnsi="黑体" w:eastAsia="黑体"/>
          <w:kern w:val="0"/>
          <w:szCs w:val="21"/>
        </w:rPr>
        <w:t xml:space="preserve">  </w:t>
      </w:r>
      <w:r>
        <w:rPr>
          <w:rFonts w:ascii="黑体" w:hAnsi="黑体" w:eastAsia="黑体"/>
          <w:kern w:val="0"/>
          <w:szCs w:val="21"/>
        </w:rPr>
        <w:t>地面倾斜观测墩结构示意图</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189" w:name="_Toc534577777"/>
      <w:bookmarkStart w:id="190" w:name="_Toc21966419"/>
      <w:bookmarkStart w:id="191" w:name="_Toc534580134"/>
      <w:r>
        <w:rPr>
          <w:rFonts w:hint="eastAsia" w:ascii="黑体" w:hAnsi="黑体" w:eastAsia="黑体"/>
          <w:bCs/>
          <w:kern w:val="44"/>
          <w:szCs w:val="21"/>
        </w:rPr>
        <w:t>G</w:t>
      </w:r>
      <w:r>
        <w:rPr>
          <w:rFonts w:ascii="黑体" w:hAnsi="黑体" w:eastAsia="黑体"/>
          <w:bCs/>
          <w:kern w:val="44"/>
          <w:szCs w:val="21"/>
        </w:rPr>
        <w:t>.9</w:t>
      </w:r>
      <w:r>
        <w:rPr>
          <w:rFonts w:hint="eastAsia" w:ascii="黑体" w:hAnsi="黑体" w:eastAsia="黑体"/>
          <w:bCs/>
          <w:kern w:val="44"/>
          <w:szCs w:val="21"/>
        </w:rPr>
        <w:t xml:space="preserve">  </w:t>
      </w:r>
      <w:r>
        <w:rPr>
          <w:rFonts w:ascii="黑体" w:hAnsi="黑体" w:eastAsia="黑体"/>
          <w:bCs/>
          <w:kern w:val="44"/>
          <w:szCs w:val="21"/>
        </w:rPr>
        <w:t>一体化附属建设结构示意图</w:t>
      </w:r>
      <w:bookmarkEnd w:id="189"/>
      <w:bookmarkEnd w:id="190"/>
      <w:bookmarkEnd w:id="191"/>
    </w:p>
    <w:p>
      <w:pPr>
        <w:jc w:val="center"/>
        <w:rPr>
          <w:rFonts w:ascii="Times New Roman" w:hAnsi="Times New Roman"/>
          <w:szCs w:val="24"/>
        </w:rPr>
      </w:pPr>
      <w:r>
        <w:rPr>
          <w:rFonts w:ascii="Times New Roman" w:hAnsi="Times New Roman"/>
          <w:szCs w:val="24"/>
        </w:rPr>
        <w:drawing>
          <wp:inline distT="0" distB="0" distL="0" distR="0">
            <wp:extent cx="4023995" cy="4921250"/>
            <wp:effectExtent l="0" t="0" r="0" b="0"/>
            <wp:docPr id="16"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8"/>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24450" cy="4921552"/>
                    </a:xfrm>
                    <a:prstGeom prst="rect">
                      <a:avLst/>
                    </a:prstGeom>
                    <a:noFill/>
                    <a:ln>
                      <a:noFill/>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-1</w:t>
      </w:r>
      <w:r>
        <w:rPr>
          <w:rFonts w:hint="eastAsia" w:ascii="黑体" w:hAnsi="黑体" w:eastAsia="黑体"/>
          <w:kern w:val="0"/>
          <w:szCs w:val="21"/>
        </w:rPr>
        <w:t xml:space="preserve">0  </w:t>
      </w:r>
      <w:r>
        <w:rPr>
          <w:rFonts w:ascii="黑体" w:hAnsi="黑体" w:eastAsia="黑体"/>
          <w:kern w:val="0"/>
          <w:szCs w:val="21"/>
        </w:rPr>
        <w:t>自动化监测一体化附属建设结构示意图</w:t>
      </w:r>
      <w:bookmarkStart w:id="192" w:name="_Toc534577776"/>
      <w:bookmarkStart w:id="193" w:name="_Toc534580133"/>
      <w:bookmarkStart w:id="194" w:name="_Toc21966420"/>
    </w:p>
    <w:p>
      <w:pPr>
        <w:widowControl/>
        <w:tabs>
          <w:tab w:val="left" w:pos="360"/>
        </w:tabs>
        <w:spacing w:before="120" w:beforeLines="50" w:after="120" w:afterLines="50"/>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r>
        <w:rPr>
          <w:rFonts w:hint="eastAsia" w:ascii="黑体" w:hAnsi="黑体" w:eastAsia="黑体"/>
          <w:bCs/>
          <w:kern w:val="44"/>
          <w:szCs w:val="21"/>
        </w:rPr>
        <w:t>G</w:t>
      </w:r>
      <w:r>
        <w:rPr>
          <w:rFonts w:ascii="黑体" w:hAnsi="黑体" w:eastAsia="黑体"/>
          <w:bCs/>
          <w:kern w:val="44"/>
          <w:szCs w:val="21"/>
        </w:rPr>
        <w:t>.10</w:t>
      </w:r>
      <w:r>
        <w:rPr>
          <w:rFonts w:hint="eastAsia" w:ascii="黑体" w:hAnsi="黑体" w:eastAsia="黑体"/>
          <w:bCs/>
          <w:kern w:val="44"/>
          <w:szCs w:val="21"/>
        </w:rPr>
        <w:t xml:space="preserve">  </w:t>
      </w:r>
      <w:r>
        <w:rPr>
          <w:rFonts w:ascii="黑体" w:hAnsi="黑体" w:eastAsia="黑体"/>
          <w:bCs/>
          <w:kern w:val="44"/>
          <w:szCs w:val="21"/>
        </w:rPr>
        <w:t>监测设施标识内容及格式</w:t>
      </w:r>
      <w:bookmarkEnd w:id="192"/>
      <w:bookmarkEnd w:id="193"/>
      <w:bookmarkEnd w:id="194"/>
    </w:p>
    <w:p>
      <w:pPr>
        <w:widowControl/>
        <w:tabs>
          <w:tab w:val="center" w:pos="4201"/>
          <w:tab w:val="right" w:leader="dot" w:pos="9298"/>
        </w:tabs>
        <w:autoSpaceDE w:val="0"/>
        <w:autoSpaceDN w:val="0"/>
        <w:jc w:val="center"/>
        <w:rPr>
          <w:rFonts w:ascii="Times New Roman" w:hAnsi="Times New Roman"/>
          <w:szCs w:val="24"/>
        </w:rPr>
      </w:pPr>
      <w:r>
        <w:rPr>
          <w:rFonts w:ascii="Times New Roman" w:hAnsi="Times New Roman"/>
          <w:szCs w:val="24"/>
        </w:rPr>
        <w:drawing>
          <wp:inline distT="0" distB="0" distL="0" distR="0">
            <wp:extent cx="3472180" cy="2597150"/>
            <wp:effectExtent l="57150" t="57150" r="33020" b="3175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noChangeArrowheads="1"/>
                    </pic:cNvPicPr>
                  </pic:nvPicPr>
                  <pic:blipFill>
                    <a:blip r:embed="rId26" cstate="print">
                      <a:extLst>
                        <a:ext uri="{BEBA8EAE-BF5A-486C-A8C5-ECC9F3942E4B}">
                          <a14:imgProps xmlns:a14="http://schemas.microsoft.com/office/drawing/2010/main">
                            <a14:imgLayer r:embed="rId27">
                              <a14:imgEffect>
                                <a14:saturation sat="0"/>
                              </a14:imgEffect>
                            </a14:imgLayer>
                          </a14:imgProps>
                        </a:ext>
                      </a:extLst>
                    </a:blip>
                    <a:srcRect/>
                    <a:stretch>
                      <a:fillRect/>
                    </a:stretch>
                  </pic:blipFill>
                  <pic:spPr>
                    <a:xfrm>
                      <a:off x="0" y="0"/>
                      <a:ext cx="3465073" cy="2592259"/>
                    </a:xfrm>
                    <a:prstGeom prst="rect">
                      <a:avLst/>
                    </a:prstGeom>
                    <a:noFill/>
                    <a:ln w="57150" cmpd="thickThin">
                      <a:solidFill>
                        <a:srgbClr val="000000"/>
                      </a:solidFill>
                      <a:miter lim="800000"/>
                      <a:headEnd/>
                      <a:tailEnd/>
                    </a:ln>
                    <a:effectLst/>
                  </pic:spPr>
                </pic:pic>
              </a:graphicData>
            </a:graphic>
          </wp:inline>
        </w:drawing>
      </w:r>
    </w:p>
    <w:p>
      <w:pPr>
        <w:widowControl/>
        <w:tabs>
          <w:tab w:val="left" w:pos="360"/>
        </w:tabs>
        <w:spacing w:before="120" w:beforeLines="50" w:after="120" w:afterLines="50"/>
        <w:jc w:val="center"/>
        <w:rPr>
          <w:rFonts w:ascii="宋体" w:hAnsi="Times New Roman"/>
          <w:kern w:val="0"/>
          <w:szCs w:val="21"/>
        </w:rPr>
      </w:pPr>
      <w:r>
        <w:rPr>
          <w:rFonts w:ascii="黑体" w:hAnsi="黑体" w:eastAsia="黑体"/>
          <w:kern w:val="0"/>
          <w:szCs w:val="21"/>
        </w:rPr>
        <w:t>图</w:t>
      </w:r>
      <w:r>
        <w:rPr>
          <w:rFonts w:hint="eastAsia" w:ascii="黑体" w:hAnsi="黑体" w:eastAsia="黑体"/>
          <w:kern w:val="0"/>
          <w:szCs w:val="21"/>
        </w:rPr>
        <w:t>G</w:t>
      </w:r>
      <w:r>
        <w:rPr>
          <w:rFonts w:ascii="黑体" w:hAnsi="黑体" w:eastAsia="黑体"/>
          <w:kern w:val="0"/>
          <w:szCs w:val="21"/>
        </w:rPr>
        <w:t>-1</w:t>
      </w:r>
      <w:r>
        <w:rPr>
          <w:rFonts w:hint="eastAsia" w:ascii="黑体" w:hAnsi="黑体" w:eastAsia="黑体"/>
          <w:kern w:val="0"/>
          <w:szCs w:val="21"/>
        </w:rPr>
        <w:t xml:space="preserve">1  </w:t>
      </w:r>
      <w:r>
        <w:rPr>
          <w:rFonts w:ascii="黑体" w:hAnsi="黑体" w:eastAsia="黑体"/>
          <w:kern w:val="0"/>
          <w:szCs w:val="21"/>
        </w:rPr>
        <w:t>监测设施标识内容及格式</w:t>
      </w: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bookmarkStart w:id="195" w:name="_Toc21966421"/>
      <w:bookmarkStart w:id="196" w:name="_Toc534577778"/>
      <w:bookmarkStart w:id="197" w:name="_Toc33177718"/>
      <w:r>
        <w:rPr>
          <w:rFonts w:ascii="黑体" w:hAnsi="黑体" w:eastAsia="黑体"/>
          <w:kern w:val="0"/>
          <w:szCs w:val="21"/>
        </w:rPr>
        <w:t xml:space="preserve">附  录  </w:t>
      </w:r>
      <w:r>
        <w:rPr>
          <w:rFonts w:hint="eastAsia" w:ascii="黑体" w:hAnsi="黑体" w:eastAsia="黑体"/>
          <w:kern w:val="0"/>
          <w:szCs w:val="21"/>
        </w:rPr>
        <w:t>H</w:t>
      </w:r>
    </w:p>
    <w:p>
      <w:pPr>
        <w:keepNext/>
        <w:widowControl/>
        <w:shd w:val="clear" w:color="FFFFFF" w:fill="FFFFFF"/>
        <w:tabs>
          <w:tab w:val="left" w:pos="360"/>
          <w:tab w:val="left" w:pos="6405"/>
        </w:tabs>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（资料性附录）</w:t>
      </w:r>
    </w:p>
    <w:p>
      <w:pPr>
        <w:keepNext/>
        <w:widowControl/>
        <w:shd w:val="clear" w:color="FFFFFF" w:fill="FFFFFF"/>
        <w:tabs>
          <w:tab w:val="left" w:pos="360"/>
          <w:tab w:val="left" w:pos="6405"/>
        </w:tabs>
        <w:jc w:val="center"/>
        <w:outlineLvl w:val="0"/>
        <w:rPr>
          <w:rFonts w:ascii="Times New Roman" w:hAnsi="Times New Roman" w:eastAsia="黑体"/>
          <w:b/>
          <w:bCs/>
          <w:kern w:val="44"/>
          <w:szCs w:val="21"/>
        </w:rPr>
      </w:pPr>
      <w:r>
        <w:rPr>
          <w:rFonts w:ascii="Times New Roman" w:hAnsi="Times New Roman" w:eastAsia="黑体"/>
          <w:kern w:val="0"/>
          <w:szCs w:val="21"/>
        </w:rPr>
        <w:t>自动化监测设备安装技术要求</w:t>
      </w:r>
      <w:bookmarkEnd w:id="195"/>
      <w:bookmarkEnd w:id="196"/>
      <w:bookmarkEnd w:id="197"/>
    </w:p>
    <w:p>
      <w:pPr>
        <w:keepNext/>
        <w:keepLines/>
        <w:adjustRightInd w:val="0"/>
        <w:snapToGrid w:val="0"/>
        <w:spacing w:before="120" w:beforeLines="50" w:after="120" w:afterLines="50"/>
        <w:jc w:val="left"/>
        <w:rPr>
          <w:rFonts w:ascii="黑体" w:hAnsi="黑体" w:eastAsia="黑体"/>
          <w:bCs/>
          <w:kern w:val="44"/>
          <w:szCs w:val="21"/>
        </w:rPr>
      </w:pPr>
      <w:bookmarkStart w:id="198" w:name="_Toc534580136"/>
      <w:bookmarkStart w:id="199" w:name="_Toc534577779"/>
      <w:bookmarkStart w:id="200" w:name="_Toc21966422"/>
      <w:r>
        <w:rPr>
          <w:rFonts w:hint="eastAsia" w:ascii="黑体" w:hAnsi="黑体" w:eastAsia="黑体"/>
          <w:bCs/>
          <w:kern w:val="44"/>
          <w:szCs w:val="21"/>
        </w:rPr>
        <w:t>H</w:t>
      </w:r>
      <w:r>
        <w:rPr>
          <w:rFonts w:ascii="黑体" w:hAnsi="黑体" w:eastAsia="黑体"/>
          <w:bCs/>
          <w:kern w:val="44"/>
          <w:szCs w:val="21"/>
        </w:rPr>
        <w:t>.1</w:t>
      </w:r>
      <w:r>
        <w:rPr>
          <w:rFonts w:hint="eastAsia" w:ascii="黑体" w:hAnsi="黑体" w:eastAsia="黑体"/>
          <w:bCs/>
          <w:kern w:val="44"/>
          <w:szCs w:val="21"/>
        </w:rPr>
        <w:t xml:space="preserve">  </w:t>
      </w:r>
      <w:r>
        <w:rPr>
          <w:rFonts w:ascii="黑体" w:hAnsi="黑体" w:eastAsia="黑体"/>
          <w:bCs/>
          <w:kern w:val="44"/>
          <w:szCs w:val="21"/>
        </w:rPr>
        <w:t>GNSS地表位移自动监测站安装</w:t>
      </w:r>
      <w:bookmarkEnd w:id="198"/>
      <w:bookmarkEnd w:id="199"/>
      <w:bookmarkEnd w:id="200"/>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按</w:t>
      </w:r>
      <w:r>
        <w:rPr>
          <w:rFonts w:hint="eastAsia" w:ascii="Times New Roman" w:hAnsi="Times New Roman"/>
          <w:szCs w:val="24"/>
        </w:rPr>
        <w:t>F</w:t>
      </w:r>
      <w:r>
        <w:rPr>
          <w:rFonts w:ascii="Times New Roman" w:hAnsi="Times New Roman"/>
          <w:szCs w:val="24"/>
        </w:rPr>
        <w:t>.6完成基础建设后，进行设备的安装。先将太阳能板固定在站杆上，引出电源线并做好标记，将站杆固定在基墩上，太阳能电池板倾斜面朝正南方，太阳能板及风机电源线经掩埋的管道连接到GNSS站杆上，将蓄电池放入GNSS站杆上，注意太阳能板及蓄电池的正负极，不要接反或者接错，连接所使用的导线截面积不小于1.5</w:t>
      </w:r>
      <w:r>
        <w:rPr>
          <w:rFonts w:hint="eastAsia" w:ascii="Times New Roman" w:hAnsi="Times New Roman"/>
          <w:szCs w:val="24"/>
        </w:rPr>
        <w:t xml:space="preserve"> </w:t>
      </w:r>
      <w:r>
        <w:rPr>
          <w:rFonts w:ascii="Times New Roman" w:hAnsi="Times New Roman"/>
          <w:szCs w:val="24"/>
        </w:rPr>
        <w:t>mm</w:t>
      </w:r>
      <w:r>
        <w:rPr>
          <w:rFonts w:ascii="Times New Roman" w:hAnsi="Times New Roman"/>
          <w:szCs w:val="24"/>
          <w:vertAlign w:val="superscript"/>
        </w:rPr>
        <w:t>2</w:t>
      </w:r>
      <w:r>
        <w:rPr>
          <w:rFonts w:ascii="Times New Roman" w:hAnsi="Times New Roman"/>
          <w:szCs w:val="24"/>
        </w:rPr>
        <w:t>，若太阳能板与设备之间距离大于10</w:t>
      </w:r>
      <w:r>
        <w:rPr>
          <w:rFonts w:hint="eastAsia" w:ascii="Times New Roman" w:hAnsi="Times New Roman"/>
          <w:szCs w:val="24"/>
        </w:rPr>
        <w:t xml:space="preserve"> </w:t>
      </w:r>
      <w:r>
        <w:rPr>
          <w:rFonts w:ascii="Times New Roman" w:hAnsi="Times New Roman"/>
          <w:szCs w:val="24"/>
        </w:rPr>
        <w:t>m，建议采用2.5</w:t>
      </w:r>
      <w:r>
        <w:rPr>
          <w:rFonts w:hint="eastAsia" w:ascii="Times New Roman" w:hAnsi="Times New Roman"/>
          <w:szCs w:val="24"/>
        </w:rPr>
        <w:t xml:space="preserve"> </w:t>
      </w:r>
      <w:r>
        <w:rPr>
          <w:rFonts w:ascii="Times New Roman" w:hAnsi="Times New Roman"/>
          <w:szCs w:val="24"/>
        </w:rPr>
        <w:t>mm</w:t>
      </w:r>
      <w:r>
        <w:rPr>
          <w:rFonts w:ascii="Times New Roman" w:hAnsi="Times New Roman"/>
          <w:szCs w:val="24"/>
          <w:vertAlign w:val="superscript"/>
        </w:rPr>
        <w:t>2</w:t>
      </w:r>
      <w:r>
        <w:rPr>
          <w:rFonts w:ascii="Times New Roman" w:hAnsi="Times New Roman"/>
          <w:szCs w:val="24"/>
        </w:rPr>
        <w:t>导线连接。</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将SIM卡装入设备，连接好GPRS天线，GNSS天线及输入电压，整理站杆内部的线，不要使GPRS天线及GNSS馈线压在蓄电池下面，以免影响数据接收及传送信号，安装完成后，罩上天线罩，用防盗螺丝固定。</w:t>
      </w:r>
    </w:p>
    <w:p>
      <w:pPr>
        <w:keepNext/>
        <w:keepLines/>
        <w:adjustRightInd w:val="0"/>
        <w:snapToGrid w:val="0"/>
        <w:spacing w:before="120" w:beforeLines="50" w:after="120" w:afterLines="50"/>
        <w:jc w:val="left"/>
        <w:rPr>
          <w:rFonts w:ascii="黑体" w:hAnsi="黑体" w:eastAsia="黑体"/>
          <w:bCs/>
          <w:kern w:val="44"/>
          <w:szCs w:val="21"/>
        </w:rPr>
      </w:pPr>
      <w:bookmarkStart w:id="201" w:name="_Toc534577780"/>
      <w:bookmarkStart w:id="202" w:name="_Toc534580137"/>
      <w:bookmarkStart w:id="203" w:name="_Toc21966423"/>
      <w:r>
        <w:rPr>
          <w:rFonts w:hint="eastAsia" w:ascii="黑体" w:hAnsi="黑体" w:eastAsia="黑体"/>
          <w:bCs/>
          <w:kern w:val="44"/>
          <w:szCs w:val="21"/>
        </w:rPr>
        <w:t>H</w:t>
      </w:r>
      <w:r>
        <w:rPr>
          <w:rFonts w:ascii="黑体" w:hAnsi="黑体" w:eastAsia="黑体"/>
          <w:bCs/>
          <w:kern w:val="44"/>
          <w:szCs w:val="21"/>
        </w:rPr>
        <w:t>.2</w:t>
      </w:r>
      <w:r>
        <w:rPr>
          <w:rFonts w:hint="eastAsia" w:ascii="黑体" w:hAnsi="黑体" w:eastAsia="黑体"/>
          <w:bCs/>
          <w:kern w:val="44"/>
          <w:szCs w:val="21"/>
        </w:rPr>
        <w:t xml:space="preserve">  </w:t>
      </w:r>
      <w:r>
        <w:rPr>
          <w:rFonts w:ascii="黑体" w:hAnsi="黑体" w:eastAsia="黑体"/>
          <w:bCs/>
          <w:kern w:val="44"/>
          <w:szCs w:val="21"/>
        </w:rPr>
        <w:t>地表裂缝自动监测站安装</w:t>
      </w:r>
      <w:bookmarkEnd w:id="201"/>
      <w:bookmarkEnd w:id="202"/>
      <w:bookmarkEnd w:id="203"/>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设备及支架安装：将传感器的信号线，通过立杆引入设备保护箱；固定立杆及设备保护箱；将位移传感器装入固定端地埋箱；外接铟钢丝穿入保护管</w:t>
      </w:r>
      <w:r>
        <w:rPr>
          <w:rFonts w:hint="eastAsia" w:ascii="Times New Roman" w:hAnsi="Times New Roman"/>
          <w:szCs w:val="24"/>
        </w:rPr>
        <w:t>，</w:t>
      </w:r>
      <w:r>
        <w:rPr>
          <w:rFonts w:ascii="Times New Roman" w:hAnsi="Times New Roman"/>
          <w:szCs w:val="24"/>
        </w:rPr>
        <w:t>与位移传感器自带铟钢丝对接；将铟钢丝拉直并引入滑动端地埋箱进行固定；安装太阳能电池板,并根据设备丝印标识进行接线；拉动滑动端钢丝并测量变化量</w:t>
      </w:r>
      <w:r>
        <w:rPr>
          <w:rFonts w:hint="eastAsia" w:ascii="Times New Roman" w:hAnsi="Times New Roman"/>
          <w:szCs w:val="24"/>
        </w:rPr>
        <w:t>，</w:t>
      </w:r>
      <w:r>
        <w:rPr>
          <w:rFonts w:ascii="Times New Roman" w:hAnsi="Times New Roman"/>
          <w:szCs w:val="24"/>
        </w:rPr>
        <w:t>与采集终端的数据进行对比；测试数据一致后</w:t>
      </w:r>
      <w:r>
        <w:rPr>
          <w:rFonts w:hint="eastAsia" w:ascii="Times New Roman" w:hAnsi="Times New Roman"/>
          <w:szCs w:val="24"/>
        </w:rPr>
        <w:t>，</w:t>
      </w:r>
      <w:r>
        <w:rPr>
          <w:rFonts w:ascii="Times New Roman" w:hAnsi="Times New Roman"/>
          <w:szCs w:val="24"/>
        </w:rPr>
        <w:t>将采集终端内的测试数据清零；对外接钢丝保护管进行回填。</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太阳能板安装：太阳能板安放在支架上必须平整、受力均匀。要注意支架安装的方向，太阳能板面向正南。所有连线都要注意正、负极性，严禁错接。连线必须牢固，不虚接，避免造成电力损失。在太阳能系统投入运行之前，确保正负极接线正确；供电系统中需先连接蓄电池，再连接太阳能板。</w:t>
      </w:r>
    </w:p>
    <w:p>
      <w:pPr>
        <w:keepNext/>
        <w:keepLines/>
        <w:adjustRightInd w:val="0"/>
        <w:snapToGrid w:val="0"/>
        <w:spacing w:before="120" w:beforeLines="50" w:after="120" w:afterLines="50"/>
        <w:jc w:val="left"/>
        <w:rPr>
          <w:rFonts w:ascii="黑体" w:hAnsi="黑体" w:eastAsia="黑体"/>
          <w:bCs/>
          <w:kern w:val="44"/>
          <w:szCs w:val="21"/>
        </w:rPr>
      </w:pPr>
      <w:bookmarkStart w:id="204" w:name="_Toc534577781"/>
      <w:bookmarkStart w:id="205" w:name="_Toc534580138"/>
      <w:bookmarkStart w:id="206" w:name="_Toc21966424"/>
      <w:r>
        <w:rPr>
          <w:rFonts w:hint="eastAsia" w:ascii="黑体" w:hAnsi="黑体" w:eastAsia="黑体"/>
          <w:bCs/>
          <w:kern w:val="44"/>
          <w:szCs w:val="21"/>
        </w:rPr>
        <w:t>H</w:t>
      </w:r>
      <w:r>
        <w:rPr>
          <w:rFonts w:ascii="黑体" w:hAnsi="黑体" w:eastAsia="黑体"/>
          <w:bCs/>
          <w:kern w:val="44"/>
          <w:szCs w:val="21"/>
        </w:rPr>
        <w:t>.3</w:t>
      </w:r>
      <w:r>
        <w:rPr>
          <w:rFonts w:hint="eastAsia" w:ascii="黑体" w:hAnsi="黑体" w:eastAsia="黑体"/>
          <w:bCs/>
          <w:kern w:val="44"/>
          <w:szCs w:val="21"/>
        </w:rPr>
        <w:t xml:space="preserve">  </w:t>
      </w:r>
      <w:r>
        <w:rPr>
          <w:rFonts w:ascii="黑体" w:hAnsi="黑体" w:eastAsia="黑体"/>
          <w:bCs/>
          <w:kern w:val="44"/>
          <w:szCs w:val="21"/>
        </w:rPr>
        <w:t>裂缝位移计安装</w:t>
      </w:r>
      <w:bookmarkEnd w:id="204"/>
      <w:bookmarkEnd w:id="205"/>
      <w:bookmarkEnd w:id="206"/>
    </w:p>
    <w:p>
      <w:pPr>
        <w:spacing w:line="360" w:lineRule="auto"/>
        <w:ind w:firstLine="420" w:firstLineChars="200"/>
        <w:rPr>
          <w:rFonts w:ascii="Times New Roman" w:hAnsi="Times New Roman"/>
          <w:szCs w:val="24"/>
        </w:rPr>
      </w:pPr>
      <w:r>
        <w:rPr>
          <w:rFonts w:ascii="Times New Roman" w:hAnsi="Times New Roman"/>
          <w:szCs w:val="24"/>
        </w:rPr>
        <w:t>单向、三向向裂缝位移计安装示意图见</w:t>
      </w:r>
      <w:r>
        <w:rPr>
          <w:rFonts w:hint="eastAsia" w:ascii="Times New Roman" w:hAnsi="Times New Roman"/>
          <w:szCs w:val="24"/>
        </w:rPr>
        <w:t>G</w:t>
      </w:r>
      <w:r>
        <w:rPr>
          <w:rFonts w:ascii="Times New Roman" w:hAnsi="Times New Roman"/>
          <w:szCs w:val="24"/>
        </w:rPr>
        <w:t>-3。位移计安装方法见图</w:t>
      </w:r>
      <w:r>
        <w:rPr>
          <w:rFonts w:hint="eastAsia" w:ascii="Times New Roman" w:hAnsi="Times New Roman"/>
          <w:szCs w:val="24"/>
        </w:rPr>
        <w:t>H</w:t>
      </w:r>
      <w:r>
        <w:rPr>
          <w:rFonts w:ascii="Times New Roman" w:hAnsi="Times New Roman"/>
          <w:szCs w:val="24"/>
        </w:rPr>
        <w:t>-1。</w:t>
      </w:r>
    </w:p>
    <w:p>
      <w:pPr>
        <w:jc w:val="center"/>
        <w:rPr>
          <w:rFonts w:ascii="Times New Roman" w:hAnsi="Times New Roman"/>
          <w:szCs w:val="21"/>
        </w:rPr>
      </w:pPr>
      <w:r>
        <w:rPr>
          <w:rFonts w:ascii="Times New Roman" w:hAnsi="Times New Roman"/>
          <w:szCs w:val="21"/>
        </w:rPr>
        <w:drawing>
          <wp:inline distT="0" distB="0" distL="0" distR="0">
            <wp:extent cx="4086860" cy="2532380"/>
            <wp:effectExtent l="0" t="0" r="0" b="0"/>
            <wp:docPr id="18" name="图片 1" descr="说明: 说明: 传感器剖面图-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说明: 说明: 传感器剖面图-Model"/>
                    <pic:cNvPicPr>
                      <a:picLocks noChangeAspect="1" noChangeArrowheads="1"/>
                    </pic:cNvPicPr>
                  </pic:nvPicPr>
                  <pic:blipFill>
                    <a:blip r:embed="rId28" cstate="print"/>
                    <a:srcRect t="5551" b="7310"/>
                    <a:stretch>
                      <a:fillRect/>
                    </a:stretch>
                  </pic:blipFill>
                  <pic:spPr>
                    <a:xfrm>
                      <a:off x="0" y="0"/>
                      <a:ext cx="4086651" cy="2532666"/>
                    </a:xfrm>
                    <a:prstGeom prst="rect">
                      <a:avLst/>
                    </a:prstGeom>
                    <a:noFill/>
                    <a:ln>
                      <a:noFill/>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-1</w:t>
      </w:r>
      <w:r>
        <w:rPr>
          <w:rFonts w:hint="eastAsia" w:ascii="黑体" w:hAnsi="黑体" w:eastAsia="黑体"/>
          <w:kern w:val="0"/>
          <w:szCs w:val="21"/>
        </w:rPr>
        <w:t xml:space="preserve">  </w:t>
      </w:r>
      <w:r>
        <w:rPr>
          <w:rFonts w:ascii="黑体" w:hAnsi="黑体" w:eastAsia="黑体"/>
          <w:kern w:val="0"/>
          <w:szCs w:val="21"/>
        </w:rPr>
        <w:t>位移计安装示意图（单位：cm）</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207" w:name="_Toc21966425"/>
      <w:bookmarkStart w:id="208" w:name="_Toc534580139"/>
      <w:bookmarkStart w:id="209" w:name="_Toc534577782"/>
      <w:r>
        <w:rPr>
          <w:rFonts w:hint="eastAsia" w:ascii="黑体" w:hAnsi="黑体" w:eastAsia="黑体"/>
          <w:bCs/>
          <w:kern w:val="44"/>
          <w:szCs w:val="21"/>
        </w:rPr>
        <w:t>H</w:t>
      </w:r>
      <w:r>
        <w:rPr>
          <w:rFonts w:ascii="黑体" w:hAnsi="黑体" w:eastAsia="黑体"/>
          <w:bCs/>
          <w:kern w:val="44"/>
          <w:szCs w:val="21"/>
        </w:rPr>
        <w:t>.4</w:t>
      </w:r>
      <w:r>
        <w:rPr>
          <w:rFonts w:hint="eastAsia" w:ascii="黑体" w:hAnsi="黑体" w:eastAsia="黑体"/>
          <w:bCs/>
          <w:kern w:val="44"/>
          <w:szCs w:val="21"/>
        </w:rPr>
        <w:t xml:space="preserve">  </w:t>
      </w:r>
      <w:r>
        <w:rPr>
          <w:rFonts w:ascii="黑体" w:hAnsi="黑体" w:eastAsia="黑体"/>
          <w:bCs/>
          <w:kern w:val="44"/>
          <w:szCs w:val="21"/>
        </w:rPr>
        <w:t>激光位移自动监测站安装</w:t>
      </w:r>
      <w:bookmarkEnd w:id="207"/>
      <w:bookmarkEnd w:id="208"/>
      <w:bookmarkEnd w:id="209"/>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打开一体化支架包装箱，取出一体化支架，放置在事先预埋的混凝土基桩上，拧紧四个平垫、弹垫、螺母固定于基座上即可。</w:t>
      </w:r>
    </w:p>
    <w:p>
      <w:pPr>
        <w:spacing w:line="360" w:lineRule="auto"/>
        <w:jc w:val="center"/>
        <w:rPr>
          <w:rFonts w:ascii="Times New Roman" w:hAnsi="Times New Roman"/>
          <w:szCs w:val="24"/>
        </w:rPr>
      </w:pPr>
      <w:r>
        <w:rPr>
          <w:rFonts w:ascii="Times New Roman" w:hAnsi="Times New Roman"/>
          <w:szCs w:val="24"/>
        </w:rPr>
        <w:drawing>
          <wp:inline distT="0" distB="0" distL="0" distR="0">
            <wp:extent cx="4248150" cy="2618105"/>
            <wp:effectExtent l="0" t="0" r="0"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图片 630"/>
                    <pic:cNvPicPr>
                      <a:picLocks noChangeAspect="1" noChangeArrowheads="1"/>
                    </pic:cNvPicPr>
                  </pic:nvPicPr>
                  <pic:blipFill>
                    <a:blip r:embed="rId29" cstate="print"/>
                    <a:srcRect/>
                    <a:stretch>
                      <a:fillRect/>
                    </a:stretch>
                  </pic:blipFill>
                  <pic:spPr>
                    <a:xfrm>
                      <a:off x="0" y="0"/>
                      <a:ext cx="4250433" cy="2619536"/>
                    </a:xfrm>
                    <a:prstGeom prst="rect">
                      <a:avLst/>
                    </a:prstGeom>
                    <a:noFill/>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-2</w:t>
      </w:r>
      <w:r>
        <w:rPr>
          <w:rFonts w:hint="eastAsia" w:ascii="黑体" w:hAnsi="黑体" w:eastAsia="黑体"/>
          <w:kern w:val="0"/>
          <w:szCs w:val="21"/>
        </w:rPr>
        <w:t xml:space="preserve">  </w:t>
      </w:r>
      <w:r>
        <w:rPr>
          <w:rFonts w:ascii="黑体" w:hAnsi="黑体" w:eastAsia="黑体"/>
          <w:kern w:val="0"/>
          <w:szCs w:val="21"/>
        </w:rPr>
        <w:t>一体化支架安装示意图</w:t>
      </w:r>
    </w:p>
    <w:p>
      <w:pPr>
        <w:widowControl/>
        <w:tabs>
          <w:tab w:val="left" w:pos="360"/>
        </w:tabs>
        <w:spacing w:before="120" w:beforeLines="50" w:after="120" w:afterLines="50"/>
        <w:contextualSpacing/>
        <w:jc w:val="center"/>
        <w:rPr>
          <w:rFonts w:ascii="黑体" w:hAnsi="黑体" w:eastAsia="黑体"/>
          <w:kern w:val="0"/>
          <w:szCs w:val="21"/>
        </w:rPr>
      </w:pP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终端机安装：打开终端机箱，取出终端机；用螺栓、垫片从终端机法兰向下穿过4个底板固定孔，用螺母进行第一次固定，然后将终端机底板上边4个螺栓长出的部分插入一体化支架的法兰盘上，用螺母将终端机与法兰盘拧紧固定；打开终端机箱，将锂聚合物电池安装到终端机内；安装太阳能电池板；将激光位移传感器接到终端机上。</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太阳能板安装：在太阳能系统投入运行之前，确保接线正确。先连接控制器与蓄电池，因为控制器的工作电压来自蓄电池。连接控制器与负载。最后连接控制器与太阳能电池板。</w:t>
      </w:r>
    </w:p>
    <w:p>
      <w:pPr>
        <w:jc w:val="center"/>
        <w:rPr>
          <w:rFonts w:ascii="Times New Roman" w:hAnsi="Times New Roman" w:eastAsia="仿宋"/>
        </w:rPr>
      </w:pPr>
      <w:r>
        <w:rPr>
          <w:rFonts w:ascii="Times New Roman" w:hAnsi="Times New Roman" w:eastAsia="仿宋"/>
        </w:rPr>
        <w:drawing>
          <wp:inline distT="0" distB="0" distL="0" distR="0">
            <wp:extent cx="4220210" cy="3006725"/>
            <wp:effectExtent l="0" t="0" r="0"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图片 631"/>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20301" cy="3006841"/>
                    </a:xfrm>
                    <a:prstGeom prst="rect">
                      <a:avLst/>
                    </a:prstGeom>
                    <a:noFill/>
                    <a:ln>
                      <a:noFill/>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-3</w:t>
      </w:r>
      <w:r>
        <w:rPr>
          <w:rFonts w:hint="eastAsia" w:ascii="黑体" w:hAnsi="黑体" w:eastAsia="黑体"/>
          <w:kern w:val="0"/>
          <w:szCs w:val="21"/>
        </w:rPr>
        <w:t xml:space="preserve">  </w:t>
      </w:r>
      <w:r>
        <w:rPr>
          <w:rFonts w:ascii="黑体" w:hAnsi="黑体" w:eastAsia="黑体"/>
          <w:kern w:val="0"/>
          <w:szCs w:val="21"/>
        </w:rPr>
        <w:t>激光位移监测站设备构成示意图</w:t>
      </w:r>
    </w:p>
    <w:p>
      <w:pPr>
        <w:keepNext/>
        <w:keepLines/>
        <w:adjustRightInd w:val="0"/>
        <w:snapToGrid w:val="0"/>
        <w:spacing w:before="120" w:beforeLines="50" w:after="120" w:afterLines="50"/>
        <w:jc w:val="left"/>
        <w:rPr>
          <w:rFonts w:ascii="黑体" w:hAnsi="黑体" w:eastAsia="黑体"/>
          <w:bCs/>
          <w:kern w:val="44"/>
          <w:szCs w:val="21"/>
        </w:rPr>
      </w:pPr>
      <w:bookmarkStart w:id="210" w:name="_Toc534580140"/>
      <w:bookmarkStart w:id="211" w:name="_Toc534577783"/>
      <w:bookmarkStart w:id="212" w:name="_Toc21966426"/>
      <w:r>
        <w:rPr>
          <w:rFonts w:hint="eastAsia" w:ascii="黑体" w:hAnsi="黑体" w:eastAsia="黑体"/>
          <w:bCs/>
          <w:kern w:val="44"/>
          <w:szCs w:val="21"/>
        </w:rPr>
        <w:t>H</w:t>
      </w:r>
      <w:r>
        <w:rPr>
          <w:rFonts w:ascii="黑体" w:hAnsi="黑体" w:eastAsia="黑体"/>
          <w:bCs/>
          <w:kern w:val="44"/>
          <w:szCs w:val="21"/>
        </w:rPr>
        <w:t>.5</w:t>
      </w:r>
      <w:r>
        <w:rPr>
          <w:rFonts w:hint="eastAsia" w:ascii="黑体" w:hAnsi="黑体" w:eastAsia="黑体"/>
          <w:bCs/>
          <w:kern w:val="44"/>
          <w:szCs w:val="21"/>
        </w:rPr>
        <w:t xml:space="preserve">  </w:t>
      </w:r>
      <w:r>
        <w:rPr>
          <w:rFonts w:ascii="黑体" w:hAnsi="黑体" w:eastAsia="黑体"/>
          <w:bCs/>
          <w:kern w:val="44"/>
          <w:szCs w:val="21"/>
        </w:rPr>
        <w:t>深部位移自动监测站安装</w:t>
      </w:r>
      <w:bookmarkEnd w:id="210"/>
      <w:bookmarkEnd w:id="211"/>
      <w:bookmarkEnd w:id="212"/>
    </w:p>
    <w:p>
      <w:pPr>
        <w:spacing w:before="120" w:beforeLines="50" w:after="120" w:afterLines="50"/>
        <w:rPr>
          <w:rFonts w:ascii="黑体" w:hAnsi="黑体" w:eastAsia="黑体"/>
          <w:szCs w:val="21"/>
        </w:rPr>
      </w:pPr>
      <w:bookmarkStart w:id="213" w:name="_Toc460322175"/>
      <w:bookmarkStart w:id="214" w:name="_Toc479510425"/>
      <w:bookmarkStart w:id="215" w:name="OLE_LINK1"/>
      <w:r>
        <w:rPr>
          <w:rFonts w:hint="eastAsia" w:ascii="黑体" w:hAnsi="黑体" w:eastAsia="黑体"/>
          <w:szCs w:val="21"/>
        </w:rPr>
        <w:t>H</w:t>
      </w:r>
      <w:r>
        <w:rPr>
          <w:rFonts w:ascii="黑体" w:hAnsi="黑体" w:eastAsia="黑体"/>
          <w:szCs w:val="21"/>
        </w:rPr>
        <w:t>.5.1</w:t>
      </w:r>
      <w:bookmarkEnd w:id="213"/>
      <w:bookmarkEnd w:id="214"/>
      <w:r>
        <w:rPr>
          <w:rFonts w:hint="eastAsia" w:ascii="黑体" w:hAnsi="黑体" w:eastAsia="黑体"/>
          <w:szCs w:val="21"/>
        </w:rPr>
        <w:t xml:space="preserve">  一般规定</w:t>
      </w:r>
    </w:p>
    <w:bookmarkEnd w:id="215"/>
    <w:p>
      <w:pPr>
        <w:spacing w:line="360" w:lineRule="auto"/>
        <w:ind w:left="840" w:leftChars="200" w:hanging="420" w:hangingChars="200"/>
        <w:rPr>
          <w:rFonts w:ascii="Times New Roman" w:hAnsi="Times New Roman"/>
          <w:szCs w:val="24"/>
        </w:rPr>
      </w:pPr>
      <w:bookmarkStart w:id="216" w:name="_Toc460322176"/>
      <w:r>
        <w:rPr>
          <w:rFonts w:hint="eastAsia" w:ascii="Times New Roman" w:hAnsi="Times New Roman"/>
          <w:szCs w:val="24"/>
        </w:rPr>
        <w:t>a</w:t>
      </w:r>
      <w:r>
        <w:rPr>
          <w:rFonts w:hint="eastAsia" w:ascii="宋体" w:hAnsi="宋体"/>
          <w:szCs w:val="21"/>
        </w:rPr>
        <w:t xml:space="preserve">)  </w:t>
      </w:r>
      <w:r>
        <w:rPr>
          <w:rFonts w:hint="eastAsia" w:ascii="Times New Roman" w:hAnsi="Times New Roman"/>
          <w:szCs w:val="24"/>
        </w:rPr>
        <w:t>地质灾害深部位移监测，应在钻孔中设计监测点，采用深部位移监测设备进行监测：当现场勘查或其他监测结果显示崩塌、滑坡等地质灾害处于急剧变形阶段时，不宜布设监测孔开展深部位移监测，可结合地质灾害应急监测规范开展应急监测。</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b</w:t>
      </w:r>
      <w:r>
        <w:rPr>
          <w:rFonts w:hint="eastAsia" w:ascii="宋体" w:hAnsi="宋体"/>
          <w:szCs w:val="21"/>
        </w:rPr>
        <w:t xml:space="preserve">)  </w:t>
      </w:r>
      <w:r>
        <w:rPr>
          <w:rFonts w:hint="eastAsia" w:ascii="Times New Roman" w:hAnsi="Times New Roman"/>
          <w:szCs w:val="24"/>
        </w:rPr>
        <w:t>对于滑带位置无法准确判断，或对滑带存在异议的深部位移监测。仪器安装前需人工测量1个月左右，根据监测结果，确定滑带后再安装深部位移。</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c</w:t>
      </w:r>
      <w:r>
        <w:rPr>
          <w:rFonts w:hint="eastAsia" w:ascii="宋体" w:hAnsi="宋体"/>
          <w:szCs w:val="21"/>
        </w:rPr>
        <w:t xml:space="preserve">)  </w:t>
      </w:r>
      <w:r>
        <w:rPr>
          <w:rFonts w:hint="eastAsia" w:ascii="Times New Roman" w:hAnsi="Times New Roman"/>
          <w:szCs w:val="24"/>
        </w:rPr>
        <w:t>测斜管的安装需测扭。</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d</w:t>
      </w:r>
      <w:r>
        <w:rPr>
          <w:rFonts w:hint="eastAsia" w:ascii="宋体" w:hAnsi="宋体"/>
          <w:szCs w:val="21"/>
        </w:rPr>
        <w:t xml:space="preserve">)  </w:t>
      </w:r>
      <w:r>
        <w:rPr>
          <w:rFonts w:hint="eastAsia" w:ascii="Times New Roman" w:hAnsi="Times New Roman"/>
          <w:szCs w:val="24"/>
        </w:rPr>
        <w:t>钻孔测斜仪监测点宜采用埋设测斜管的形式，钻孔终孔口径宜为110</w:t>
      </w:r>
      <w:r>
        <w:rPr>
          <w:rFonts w:hint="eastAsia" w:ascii="MS Mincho" w:hAnsi="MS Mincho" w:cs="MS Mincho" w:eastAsiaTheme="minorEastAsia"/>
          <w:szCs w:val="24"/>
        </w:rPr>
        <w:t>-</w:t>
      </w:r>
      <w:r>
        <w:rPr>
          <w:rFonts w:hint="eastAsia" w:ascii="Times New Roman" w:hAnsi="Times New Roman"/>
          <w:szCs w:val="24"/>
        </w:rPr>
        <w:t>130 mm，测斜管的直径宜为45</w:t>
      </w:r>
      <w:r>
        <w:rPr>
          <w:rFonts w:hint="eastAsia" w:ascii="MS Mincho" w:hAnsi="MS Mincho" w:cs="MS Mincho" w:eastAsiaTheme="minorEastAsia"/>
          <w:szCs w:val="24"/>
        </w:rPr>
        <w:t>-</w:t>
      </w:r>
      <w:r>
        <w:rPr>
          <w:rFonts w:hint="eastAsia" w:ascii="Times New Roman" w:hAnsi="Times New Roman"/>
          <w:szCs w:val="24"/>
        </w:rPr>
        <w:t>90 mm，测斜管管口部位宜采用钢套管保护，管底应进行封堵。</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e</w:t>
      </w:r>
      <w:r>
        <w:rPr>
          <w:rFonts w:hint="eastAsia" w:ascii="宋体" w:hAnsi="宋体"/>
          <w:szCs w:val="21"/>
        </w:rPr>
        <w:t xml:space="preserve">)  </w:t>
      </w:r>
      <w:r>
        <w:rPr>
          <w:rFonts w:hint="eastAsia" w:ascii="Times New Roman" w:hAnsi="Times New Roman"/>
          <w:szCs w:val="24"/>
        </w:rPr>
        <w:t>测斜管宜采用PVC、ABS塑料、玻璃纤维或铝合金等材料加工而成，其刚度宜与周围质的相当，管内壁须有双向互成90°的导槽。</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f</w:t>
      </w:r>
      <w:r>
        <w:rPr>
          <w:rFonts w:hint="eastAsia" w:ascii="宋体" w:hAnsi="宋体"/>
          <w:szCs w:val="21"/>
        </w:rPr>
        <w:t xml:space="preserve">)  </w:t>
      </w:r>
      <w:r>
        <w:rPr>
          <w:rFonts w:hint="eastAsia" w:ascii="Times New Roman" w:hAnsi="Times New Roman"/>
          <w:szCs w:val="24"/>
        </w:rPr>
        <w:t>长期监测宜用铝合金测斜管，临时性监测可用塑料测斜管。</w:t>
      </w:r>
    </w:p>
    <w:p>
      <w:pPr>
        <w:spacing w:before="120" w:beforeLines="50" w:after="120" w:afterLines="50" w:line="360" w:lineRule="auto"/>
        <w:rPr>
          <w:rFonts w:ascii="Times New Roman" w:hAnsi="Times New Roman"/>
          <w:szCs w:val="24"/>
        </w:rPr>
      </w:pPr>
      <w:r>
        <w:rPr>
          <w:rFonts w:hint="eastAsia" w:ascii="黑体" w:hAnsi="黑体" w:eastAsia="黑体"/>
          <w:szCs w:val="21"/>
        </w:rPr>
        <w:t>H</w:t>
      </w:r>
      <w:r>
        <w:rPr>
          <w:rFonts w:ascii="黑体" w:hAnsi="黑体" w:eastAsia="黑体"/>
          <w:szCs w:val="21"/>
        </w:rPr>
        <w:t>.5.</w:t>
      </w:r>
      <w:r>
        <w:rPr>
          <w:rFonts w:hint="eastAsia" w:ascii="黑体" w:hAnsi="黑体" w:eastAsia="黑体"/>
          <w:szCs w:val="21"/>
        </w:rPr>
        <w:t>2  钻孔施工应满足下列要求</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a</w:t>
      </w:r>
      <w:r>
        <w:rPr>
          <w:rFonts w:hint="eastAsia" w:ascii="宋体" w:hAnsi="宋体"/>
          <w:szCs w:val="21"/>
        </w:rPr>
        <w:t xml:space="preserve">)  </w:t>
      </w:r>
      <w:r>
        <w:rPr>
          <w:rFonts w:hint="eastAsia" w:ascii="Times New Roman" w:hAnsi="Times New Roman"/>
          <w:szCs w:val="24"/>
        </w:rPr>
        <w:t>钻孔孔径应满足监测孔布设要求，钻进工艺应满足地层编录的需要，钻孔施工过程中应同时完成钻孔编录，并根据钻孔编录绘制钻孔柱状图。</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b</w:t>
      </w:r>
      <w:r>
        <w:rPr>
          <w:rFonts w:hint="eastAsia" w:ascii="宋体" w:hAnsi="宋体"/>
          <w:szCs w:val="21"/>
        </w:rPr>
        <w:t xml:space="preserve">)  </w:t>
      </w:r>
      <w:r>
        <w:rPr>
          <w:rFonts w:hint="eastAsia" w:ascii="Times New Roman" w:hAnsi="Times New Roman"/>
          <w:szCs w:val="24"/>
        </w:rPr>
        <w:t>钻孔开始前，先校核钻孔位置、方向和孔深。</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c</w:t>
      </w:r>
      <w:r>
        <w:rPr>
          <w:rFonts w:hint="eastAsia" w:ascii="宋体" w:hAnsi="宋体"/>
          <w:szCs w:val="21"/>
        </w:rPr>
        <w:t xml:space="preserve">)  </w:t>
      </w:r>
      <w:r>
        <w:rPr>
          <w:rFonts w:hint="eastAsia" w:ascii="Times New Roman" w:hAnsi="Times New Roman"/>
          <w:szCs w:val="24"/>
        </w:rPr>
        <w:t>应选择同轴度好、刚性强的地质钻机，配壁厚6-8 mm的粗径钻具，并加钻杆扶正器，钻机的安放应坚固稳定。</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d</w:t>
      </w:r>
      <w:r>
        <w:rPr>
          <w:rFonts w:hint="eastAsia" w:ascii="宋体" w:hAnsi="宋体"/>
          <w:szCs w:val="21"/>
        </w:rPr>
        <w:t xml:space="preserve">)  </w:t>
      </w:r>
      <w:r>
        <w:rPr>
          <w:rFonts w:hint="eastAsia" w:ascii="Times New Roman" w:hAnsi="Times New Roman"/>
          <w:szCs w:val="24"/>
        </w:rPr>
        <w:t>钻孔深度宜大于监测孔深度1-2 m。</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e</w:t>
      </w:r>
      <w:r>
        <w:rPr>
          <w:rFonts w:hint="eastAsia" w:ascii="宋体" w:hAnsi="宋体"/>
          <w:szCs w:val="21"/>
        </w:rPr>
        <w:t xml:space="preserve">)  </w:t>
      </w:r>
      <w:r>
        <w:rPr>
          <w:rFonts w:hint="eastAsia" w:ascii="Times New Roman" w:hAnsi="Times New Roman"/>
          <w:szCs w:val="24"/>
        </w:rPr>
        <w:t>钻孔轴线每100 m累计顶角变化应不超过1°；钻孔顶角变化超限时，应使用钻孔纠斜方法纠正。</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f</w:t>
      </w:r>
      <w:r>
        <w:rPr>
          <w:rFonts w:hint="eastAsia" w:ascii="宋体" w:hAnsi="宋体"/>
          <w:szCs w:val="21"/>
        </w:rPr>
        <w:t xml:space="preserve">)  </w:t>
      </w:r>
      <w:r>
        <w:rPr>
          <w:rFonts w:hint="eastAsia" w:ascii="Times New Roman" w:hAnsi="Times New Roman"/>
          <w:szCs w:val="24"/>
        </w:rPr>
        <w:t>在不良地质条件下，应降低转速减压钻进，如有塌孔，采用下套管和注浆扫孔法护壁。</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g</w:t>
      </w:r>
      <w:r>
        <w:rPr>
          <w:rFonts w:hint="eastAsia" w:ascii="宋体" w:hAnsi="宋体"/>
          <w:szCs w:val="21"/>
        </w:rPr>
        <w:t xml:space="preserve">)  </w:t>
      </w:r>
      <w:r>
        <w:rPr>
          <w:rFonts w:hint="eastAsia" w:ascii="Times New Roman" w:hAnsi="Times New Roman"/>
          <w:szCs w:val="24"/>
        </w:rPr>
        <w:t>钻孔结束后仪器安装前用压力清水将钻孔冲洗干净。检查钻孔通畅情况，测量钻孔深度、方位、顶角。</w:t>
      </w:r>
    </w:p>
    <w:p>
      <w:pPr>
        <w:spacing w:before="120" w:beforeLines="50" w:after="120" w:afterLines="50"/>
        <w:rPr>
          <w:rFonts w:ascii="Times New Roman" w:hAnsi="Times New Roman"/>
          <w:szCs w:val="24"/>
        </w:rPr>
      </w:pPr>
      <w:r>
        <w:rPr>
          <w:rFonts w:hint="eastAsia" w:ascii="黑体" w:hAnsi="黑体" w:eastAsia="黑体"/>
          <w:szCs w:val="21"/>
        </w:rPr>
        <w:t>H</w:t>
      </w:r>
      <w:r>
        <w:rPr>
          <w:rFonts w:ascii="黑体" w:hAnsi="黑体" w:eastAsia="黑体"/>
          <w:szCs w:val="21"/>
        </w:rPr>
        <w:t>.5.</w:t>
      </w:r>
      <w:r>
        <w:rPr>
          <w:rFonts w:hint="eastAsia" w:ascii="黑体" w:hAnsi="黑体" w:eastAsia="黑体"/>
          <w:szCs w:val="21"/>
        </w:rPr>
        <w:t>3  测斜管埋设技术要求</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a</w:t>
      </w:r>
      <w:r>
        <w:rPr>
          <w:rFonts w:hint="eastAsia" w:ascii="宋体" w:hAnsi="宋体"/>
          <w:szCs w:val="21"/>
        </w:rPr>
        <w:t xml:space="preserve">)  </w:t>
      </w:r>
      <w:r>
        <w:rPr>
          <w:rFonts w:hint="eastAsia" w:ascii="Times New Roman" w:hAnsi="Times New Roman"/>
          <w:szCs w:val="24"/>
        </w:rPr>
        <w:t>测斜管安装前要检查测斜管是否平直，两端是否平整，内壁应平整圆滑，导槽不得有裂纹结瘤，按埋设长度要求在现场将测斜管逐根进行标记预接。安装时测斜管的对接处导槽必须对准，并套上管接头，使用铝合金测斜管时在其周围对称地钻4个孔以便铆接，铆接测斜管接头应避开导槽。在管接头与测斜管接缝处用胶泥填塞，再用防水胶带缠紧。测斜管底端加底盖并用胶带缠紧密封，以防止注浆液渗入管内。装配好的测斜管导槽扭转角≤0.17°。</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b</w:t>
      </w:r>
      <w:r>
        <w:rPr>
          <w:rFonts w:hint="eastAsia" w:ascii="宋体" w:hAnsi="宋体"/>
          <w:szCs w:val="21"/>
        </w:rPr>
        <w:t xml:space="preserve">)  </w:t>
      </w:r>
      <w:r>
        <w:rPr>
          <w:rFonts w:hint="eastAsia" w:ascii="Times New Roman" w:hAnsi="Times New Roman"/>
          <w:szCs w:val="24"/>
        </w:rPr>
        <w:t>测斜管应保证下放到设计孔深。用承重吊绳、绞车、套管夹等装置，起吊对接好的测斜管，缓慢地放入测孔内，确认下放测孔底后，才能松开起吊装置。</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c</w:t>
      </w:r>
      <w:r>
        <w:rPr>
          <w:rFonts w:hint="eastAsia" w:ascii="宋体" w:hAnsi="宋体"/>
          <w:szCs w:val="21"/>
        </w:rPr>
        <w:t xml:space="preserve">)  </w:t>
      </w:r>
      <w:r>
        <w:rPr>
          <w:rFonts w:hint="eastAsia" w:ascii="Times New Roman" w:hAnsi="Times New Roman"/>
          <w:szCs w:val="24"/>
        </w:rPr>
        <w:t>钻孔内有地下水时，要在测斜管内注清水，避免测斜管被水浮起而无法下放。</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d</w:t>
      </w:r>
      <w:r>
        <w:rPr>
          <w:rFonts w:hint="eastAsia" w:ascii="宋体" w:hAnsi="宋体"/>
          <w:szCs w:val="21"/>
        </w:rPr>
        <w:t xml:space="preserve">)  </w:t>
      </w:r>
      <w:r>
        <w:rPr>
          <w:rFonts w:hint="eastAsia" w:ascii="Times New Roman" w:hAnsi="Times New Roman"/>
          <w:szCs w:val="24"/>
        </w:rPr>
        <w:t>检查记录下放到孔底的每一测斜管接头的深度和测斜管导槽的方向，使其中一对导槽的方向与预计的位移方向保持一致，并用罗盘或其他测量仪器校对准确。</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e</w:t>
      </w:r>
      <w:r>
        <w:rPr>
          <w:rFonts w:hint="eastAsia" w:ascii="宋体" w:hAnsi="宋体"/>
          <w:szCs w:val="21"/>
        </w:rPr>
        <w:t xml:space="preserve">)  </w:t>
      </w:r>
      <w:r>
        <w:rPr>
          <w:rFonts w:hint="eastAsia" w:ascii="Times New Roman" w:hAnsi="Times New Roman"/>
          <w:szCs w:val="24"/>
        </w:rPr>
        <w:t>将模拟探头放入测斜管并沿导槽检查确认导槽畅通无阻后，才能固定测斜管。为防止浆液或其他杂物掉人测斜管内，应在测斜管上端加盖封口。</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f</w:t>
      </w:r>
      <w:r>
        <w:rPr>
          <w:rFonts w:hint="eastAsia" w:ascii="宋体" w:hAnsi="宋体"/>
          <w:szCs w:val="21"/>
        </w:rPr>
        <w:t xml:space="preserve">)  </w:t>
      </w:r>
      <w:r>
        <w:rPr>
          <w:rFonts w:hint="eastAsia" w:ascii="Times New Roman" w:hAnsi="Times New Roman"/>
          <w:szCs w:val="24"/>
        </w:rPr>
        <w:t>固管水泥浆凝固后的变形性质、弹性模量，应与钻孔周围岩土体相近。为此，应事先进行试验，确定水灰等物配合比。</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g</w:t>
      </w:r>
      <w:r>
        <w:rPr>
          <w:rFonts w:hint="eastAsia" w:ascii="宋体" w:hAnsi="宋体"/>
          <w:szCs w:val="21"/>
        </w:rPr>
        <w:t xml:space="preserve">)  </w:t>
      </w:r>
      <w:r>
        <w:rPr>
          <w:rFonts w:hint="eastAsia" w:ascii="Times New Roman" w:hAnsi="Times New Roman"/>
          <w:szCs w:val="24"/>
        </w:rPr>
        <w:t>测斜管与钻孔之间的空隙，应采用底部返浆法注浆(边注边拔)，不得从孔口倒浆液，覆注完成后做好孔口保护装置和测试平台（1.5 m×1.5 m）。</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h</w:t>
      </w:r>
      <w:r>
        <w:rPr>
          <w:rFonts w:hint="eastAsia" w:ascii="宋体" w:hAnsi="宋体"/>
          <w:szCs w:val="21"/>
        </w:rPr>
        <w:t xml:space="preserve">)  </w:t>
      </w:r>
      <w:r>
        <w:rPr>
          <w:rFonts w:hint="eastAsia" w:ascii="Times New Roman" w:hAnsi="Times New Roman"/>
          <w:szCs w:val="24"/>
        </w:rPr>
        <w:t>用灌浆法将测斜管牢固地固定在钻孔中，不能出现晃动和转动，井量测测斜管导槽方位，管口坐标及高程。</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i</w:t>
      </w:r>
      <w:r>
        <w:rPr>
          <w:rFonts w:hint="eastAsia" w:ascii="宋体" w:hAnsi="宋体"/>
          <w:szCs w:val="21"/>
        </w:rPr>
        <w:t xml:space="preserve">)  </w:t>
      </w:r>
      <w:r>
        <w:rPr>
          <w:rFonts w:hint="eastAsia" w:ascii="Times New Roman" w:hAnsi="Times New Roman"/>
          <w:szCs w:val="24"/>
        </w:rPr>
        <w:t>对安装埋设过程中发生的问题要作详细记录。</w:t>
      </w:r>
    </w:p>
    <w:p>
      <w:pPr>
        <w:spacing w:before="120" w:beforeLines="50" w:after="120" w:afterLines="50"/>
        <w:rPr>
          <w:rFonts w:ascii="Times New Roman" w:hAnsi="Times New Roman"/>
          <w:szCs w:val="24"/>
        </w:rPr>
      </w:pPr>
      <w:r>
        <w:rPr>
          <w:rFonts w:hint="eastAsia" w:ascii="黑体" w:hAnsi="黑体" w:eastAsia="黑体"/>
          <w:szCs w:val="21"/>
        </w:rPr>
        <w:t>H</w:t>
      </w:r>
      <w:r>
        <w:rPr>
          <w:rFonts w:ascii="黑体" w:hAnsi="黑体" w:eastAsia="黑体"/>
          <w:szCs w:val="21"/>
        </w:rPr>
        <w:t>.5.</w:t>
      </w:r>
      <w:r>
        <w:rPr>
          <w:rFonts w:hint="eastAsia" w:ascii="黑体" w:hAnsi="黑体" w:eastAsia="黑体"/>
          <w:szCs w:val="21"/>
        </w:rPr>
        <w:t xml:space="preserve">4  </w:t>
      </w:r>
      <w:r>
        <w:rPr>
          <w:rFonts w:ascii="黑体" w:hAnsi="黑体" w:eastAsia="黑体"/>
          <w:szCs w:val="21"/>
        </w:rPr>
        <w:t>固定式钻孔测斜仪安装</w:t>
      </w:r>
    </w:p>
    <w:p>
      <w:pPr>
        <w:spacing w:before="120" w:beforeLines="50" w:after="120" w:afterLines="50"/>
        <w:jc w:val="left"/>
        <w:rPr>
          <w:rFonts w:ascii="黑体" w:hAnsi="黑体" w:eastAsia="黑体"/>
          <w:szCs w:val="24"/>
        </w:rPr>
      </w:pPr>
      <w:r>
        <w:rPr>
          <w:rFonts w:hint="eastAsia" w:ascii="黑体" w:hAnsi="黑体" w:eastAsia="黑体"/>
          <w:szCs w:val="24"/>
        </w:rPr>
        <w:t xml:space="preserve">H.5.4.1  </w:t>
      </w:r>
      <w:r>
        <w:rPr>
          <w:rFonts w:ascii="黑体" w:hAnsi="黑体" w:eastAsia="黑体"/>
          <w:szCs w:val="24"/>
        </w:rPr>
        <w:t>设备安装之前</w:t>
      </w:r>
      <w:bookmarkEnd w:id="216"/>
      <w:r>
        <w:rPr>
          <w:rFonts w:ascii="黑体" w:hAnsi="黑体" w:eastAsia="黑体"/>
          <w:szCs w:val="24"/>
        </w:rPr>
        <w:t>的准备工作</w:t>
      </w:r>
    </w:p>
    <w:p>
      <w:pPr>
        <w:spacing w:line="360" w:lineRule="auto"/>
        <w:ind w:left="840" w:leftChars="200" w:hanging="420" w:hangingChars="200"/>
        <w:rPr>
          <w:rFonts w:ascii="Times New Roman" w:hAnsi="Times New Roman"/>
          <w:szCs w:val="24"/>
        </w:rPr>
      </w:pPr>
      <w:r>
        <w:rPr>
          <w:rFonts w:ascii="Times New Roman" w:hAnsi="Times New Roman"/>
          <w:szCs w:val="24"/>
        </w:rPr>
        <w:t>a</w:t>
      </w:r>
      <w:r>
        <w:rPr>
          <w:rFonts w:hint="eastAsia" w:ascii="宋体" w:hAnsi="宋体"/>
          <w:szCs w:val="21"/>
        </w:rPr>
        <w:t xml:space="preserve">)  </w:t>
      </w:r>
      <w:r>
        <w:rPr>
          <w:rFonts w:hint="eastAsia" w:ascii="Times New Roman" w:hAnsi="Times New Roman"/>
          <w:szCs w:val="24"/>
        </w:rPr>
        <w:t>应先采取周期不少于1个月的人工倾斜仪监测，根据监测数据找准滑带埋深后，结合</w:t>
      </w:r>
      <w:r>
        <w:rPr>
          <w:rFonts w:ascii="Times New Roman" w:hAnsi="Times New Roman"/>
          <w:szCs w:val="24"/>
        </w:rPr>
        <w:t>钻孔柱状图</w:t>
      </w:r>
      <w:r>
        <w:rPr>
          <w:rFonts w:hint="eastAsia" w:ascii="Times New Roman" w:hAnsi="Times New Roman"/>
          <w:szCs w:val="24"/>
        </w:rPr>
        <w:t>等</w:t>
      </w:r>
      <w:r>
        <w:rPr>
          <w:rFonts w:ascii="Times New Roman" w:hAnsi="Times New Roman"/>
          <w:szCs w:val="24"/>
        </w:rPr>
        <w:t>确定滑动带（面）位置</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b</w:t>
      </w:r>
      <w:r>
        <w:rPr>
          <w:rFonts w:hint="eastAsia" w:ascii="宋体" w:hAnsi="宋体"/>
          <w:szCs w:val="21"/>
        </w:rPr>
        <w:t xml:space="preserve">)  </w:t>
      </w:r>
      <w:r>
        <w:rPr>
          <w:rFonts w:ascii="Times New Roman" w:hAnsi="Times New Roman"/>
          <w:szCs w:val="24"/>
        </w:rPr>
        <w:t>根据滑动带（面）的位置，设计传感器数量、连接杆长度及牵引钢丝绳的长度，确保传感器能够安装在滑动带（面）部位</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c</w:t>
      </w:r>
      <w:r>
        <w:rPr>
          <w:rFonts w:hint="eastAsia" w:ascii="宋体" w:hAnsi="宋体"/>
          <w:szCs w:val="21"/>
        </w:rPr>
        <w:t xml:space="preserve">)  </w:t>
      </w:r>
      <w:r>
        <w:rPr>
          <w:rFonts w:ascii="Times New Roman" w:hAnsi="Times New Roman"/>
          <w:szCs w:val="24"/>
        </w:rPr>
        <w:t>采用模拟探头对测斜管内堵塞情况进行探明，防止仪器设备下放时卡死在孔内。</w:t>
      </w:r>
    </w:p>
    <w:p>
      <w:pPr>
        <w:spacing w:before="120" w:beforeLines="50" w:after="120" w:afterLines="50"/>
        <w:rPr>
          <w:rFonts w:ascii="黑体" w:hAnsi="黑体" w:eastAsia="黑体"/>
          <w:szCs w:val="24"/>
        </w:rPr>
      </w:pPr>
      <w:bookmarkStart w:id="217" w:name="_Toc460322177"/>
      <w:r>
        <w:rPr>
          <w:rFonts w:hint="eastAsia" w:ascii="黑体" w:hAnsi="黑体" w:eastAsia="黑体"/>
          <w:szCs w:val="24"/>
        </w:rPr>
        <w:t xml:space="preserve">H.5.4.2  </w:t>
      </w:r>
      <w:r>
        <w:rPr>
          <w:rFonts w:ascii="黑体" w:hAnsi="黑体" w:eastAsia="黑体"/>
          <w:szCs w:val="24"/>
        </w:rPr>
        <w:t>仪器设备的安装步骤</w:t>
      </w:r>
    </w:p>
    <w:p>
      <w:pPr>
        <w:spacing w:line="360" w:lineRule="auto"/>
        <w:ind w:left="840" w:leftChars="200" w:hanging="420" w:hangingChars="200"/>
        <w:rPr>
          <w:rFonts w:ascii="Times New Roman" w:hAnsi="Times New Roman"/>
          <w:szCs w:val="24"/>
        </w:rPr>
      </w:pPr>
      <w:r>
        <w:rPr>
          <w:rFonts w:ascii="Times New Roman" w:hAnsi="Times New Roman"/>
          <w:szCs w:val="24"/>
        </w:rPr>
        <w:t>a</w:t>
      </w:r>
      <w:r>
        <w:rPr>
          <w:rFonts w:hint="eastAsia" w:ascii="宋体" w:hAnsi="宋体"/>
          <w:szCs w:val="21"/>
        </w:rPr>
        <w:t xml:space="preserve">)  </w:t>
      </w:r>
      <w:r>
        <w:rPr>
          <w:rFonts w:ascii="Times New Roman" w:hAnsi="Times New Roman"/>
          <w:szCs w:val="24"/>
        </w:rPr>
        <w:t>确定主滑方向或倾覆方向，安装时保证探头极性一致</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b</w:t>
      </w:r>
      <w:r>
        <w:rPr>
          <w:rFonts w:hint="eastAsia" w:ascii="宋体" w:hAnsi="宋体"/>
          <w:szCs w:val="21"/>
        </w:rPr>
        <w:t xml:space="preserve">)  </w:t>
      </w:r>
      <w:r>
        <w:rPr>
          <w:rFonts w:ascii="Times New Roman" w:hAnsi="Times New Roman"/>
          <w:szCs w:val="24"/>
        </w:rPr>
        <w:t>按编号顺序将传感器、连接杆及牵引钢丝绳、孔口吊环逐一连接，组成传感器组，探头与连接杆及轮组件之间配合处应紧固到位，传感器通信线缆绷直后，与传感器、连接杆、牵引钢丝等牢固捆绑，捆绑点的间距不大于2</w:t>
      </w:r>
      <w:r>
        <w:rPr>
          <w:rFonts w:hint="eastAsia" w:ascii="Times New Roman" w:hAnsi="Times New Roman"/>
          <w:szCs w:val="24"/>
        </w:rPr>
        <w:t xml:space="preserve"> </w:t>
      </w:r>
      <w:r>
        <w:rPr>
          <w:rFonts w:ascii="Times New Roman" w:hAnsi="Times New Roman"/>
          <w:szCs w:val="24"/>
        </w:rPr>
        <w:t>m</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c</w:t>
      </w:r>
      <w:r>
        <w:rPr>
          <w:rFonts w:hint="eastAsia" w:ascii="宋体" w:hAnsi="宋体"/>
          <w:szCs w:val="21"/>
        </w:rPr>
        <w:t xml:space="preserve">)  </w:t>
      </w:r>
      <w:r>
        <w:rPr>
          <w:rFonts w:ascii="Times New Roman" w:hAnsi="Times New Roman"/>
          <w:szCs w:val="24"/>
        </w:rPr>
        <w:t>将传感器组对准导槽缓慢放置于测斜管内，直至传感器组到达设计位置。下放过程中，应将传感器通信线缆绷直，与传感器、连接杆、牵引钢丝等牢固捆绑，捆绑点的间距不大于2</w:t>
      </w:r>
      <w:r>
        <w:rPr>
          <w:rFonts w:hint="eastAsia" w:ascii="Times New Roman" w:hAnsi="Times New Roman"/>
          <w:szCs w:val="24"/>
        </w:rPr>
        <w:t xml:space="preserve"> </w:t>
      </w:r>
      <w:r>
        <w:rPr>
          <w:rFonts w:ascii="Times New Roman" w:hAnsi="Times New Roman"/>
          <w:szCs w:val="24"/>
        </w:rPr>
        <w:t>m。传感器组较重时，可采用起吊装置辅助安装。</w:t>
      </w:r>
    </w:p>
    <w:p>
      <w:pPr>
        <w:spacing w:line="360" w:lineRule="auto"/>
        <w:ind w:left="840" w:leftChars="200" w:hanging="420" w:hangingChars="200"/>
        <w:rPr>
          <w:rFonts w:ascii="Times New Roman" w:hAnsi="Times New Roman"/>
          <w:szCs w:val="24"/>
        </w:rPr>
      </w:pPr>
      <w:r>
        <w:rPr>
          <w:rFonts w:ascii="Times New Roman" w:hAnsi="Times New Roman"/>
          <w:szCs w:val="24"/>
        </w:rPr>
        <w:t>d</w:t>
      </w:r>
      <w:r>
        <w:rPr>
          <w:rFonts w:hint="eastAsia" w:ascii="宋体" w:hAnsi="宋体"/>
          <w:szCs w:val="21"/>
        </w:rPr>
        <w:t xml:space="preserve">)  </w:t>
      </w:r>
      <w:r>
        <w:rPr>
          <w:rFonts w:ascii="Times New Roman" w:hAnsi="Times New Roman"/>
          <w:szCs w:val="24"/>
        </w:rPr>
        <w:t>传感器组下放过程中，应对各传感器进行持续测试，确认探头数据输出正常方可继续下放，否则应及时取出，更换或维修</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e</w:t>
      </w:r>
      <w:r>
        <w:rPr>
          <w:rFonts w:hint="eastAsia" w:ascii="宋体" w:hAnsi="宋体"/>
          <w:szCs w:val="21"/>
        </w:rPr>
        <w:t xml:space="preserve">)  </w:t>
      </w:r>
      <w:r>
        <w:rPr>
          <w:rFonts w:ascii="Times New Roman" w:hAnsi="Times New Roman"/>
          <w:szCs w:val="24"/>
        </w:rPr>
        <w:t>传感器组下放完成后，将牵引钢丝绳末端吊环悬挂于孔口，将通信线缆整理、标记</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f</w:t>
      </w:r>
      <w:r>
        <w:rPr>
          <w:rFonts w:hint="eastAsia" w:ascii="宋体" w:hAnsi="宋体"/>
          <w:szCs w:val="21"/>
        </w:rPr>
        <w:t xml:space="preserve">)  </w:t>
      </w:r>
      <w:r>
        <w:rPr>
          <w:rFonts w:ascii="Times New Roman" w:hAnsi="Times New Roman"/>
          <w:szCs w:val="24"/>
        </w:rPr>
        <w:t>进行最后一次测试，传感器输出正常后，完成安装。固定式钻孔倾斜仪安装示意图见图</w:t>
      </w:r>
      <w:bookmarkEnd w:id="217"/>
      <w:r>
        <w:rPr>
          <w:rFonts w:hint="eastAsia" w:ascii="Times New Roman" w:hAnsi="Times New Roman"/>
          <w:szCs w:val="24"/>
        </w:rPr>
        <w:t>H</w:t>
      </w:r>
      <w:r>
        <w:rPr>
          <w:rFonts w:ascii="Times New Roman" w:hAnsi="Times New Roman"/>
          <w:szCs w:val="24"/>
        </w:rPr>
        <w:t>-4。</w:t>
      </w:r>
    </w:p>
    <w:p>
      <w:pPr>
        <w:widowControl/>
        <w:tabs>
          <w:tab w:val="center" w:pos="4201"/>
          <w:tab w:val="right" w:leader="dot" w:pos="9298"/>
        </w:tabs>
        <w:autoSpaceDE w:val="0"/>
        <w:autoSpaceDN w:val="0"/>
        <w:jc w:val="center"/>
        <w:rPr>
          <w:rFonts w:ascii="Times New Roman" w:hAnsi="Times New Roman" w:eastAsia="黑体"/>
          <w:kern w:val="0"/>
          <w:szCs w:val="21"/>
        </w:rPr>
      </w:pPr>
    </w:p>
    <w:p>
      <w:pPr>
        <w:widowControl/>
        <w:tabs>
          <w:tab w:val="center" w:pos="4201"/>
          <w:tab w:val="right" w:leader="dot" w:pos="9298"/>
        </w:tabs>
        <w:autoSpaceDE w:val="0"/>
        <w:autoSpaceDN w:val="0"/>
        <w:jc w:val="center"/>
        <w:rPr>
          <w:rFonts w:ascii="Times New Roman" w:hAnsi="Times New Roman" w:eastAsia="黑体"/>
          <w:kern w:val="0"/>
          <w:szCs w:val="21"/>
        </w:rPr>
      </w:pPr>
      <w:r>
        <w:rPr>
          <w:rFonts w:ascii="Times New Roman" w:hAnsi="Times New Roman" w:eastAsia="黑体"/>
          <w:kern w:val="0"/>
          <w:szCs w:val="21"/>
        </w:rPr>
        <w:drawing>
          <wp:inline distT="0" distB="0" distL="0" distR="0">
            <wp:extent cx="5732780" cy="557974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733234" cy="5580000"/>
                    </a:xfrm>
                    <a:prstGeom prst="rect">
                      <a:avLst/>
                    </a:prstGeom>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-4</w:t>
      </w:r>
      <w:r>
        <w:rPr>
          <w:rFonts w:hint="eastAsia" w:ascii="黑体" w:hAnsi="黑体" w:eastAsia="黑体"/>
          <w:kern w:val="0"/>
          <w:szCs w:val="21"/>
        </w:rPr>
        <w:t xml:space="preserve">  </w:t>
      </w:r>
      <w:r>
        <w:rPr>
          <w:rFonts w:ascii="黑体" w:hAnsi="黑体" w:eastAsia="黑体"/>
          <w:kern w:val="0"/>
          <w:szCs w:val="21"/>
        </w:rPr>
        <w:t>固定式钻孔倾斜仪安装示意图</w:t>
      </w:r>
    </w:p>
    <w:p>
      <w:pPr>
        <w:widowControl/>
        <w:tabs>
          <w:tab w:val="left" w:pos="360"/>
        </w:tabs>
        <w:spacing w:before="120" w:beforeLines="50" w:after="120" w:afterLines="50"/>
        <w:contextualSpacing/>
        <w:jc w:val="center"/>
        <w:rPr>
          <w:rFonts w:ascii="黑体" w:hAnsi="黑体" w:eastAsia="黑体"/>
          <w:kern w:val="0"/>
          <w:szCs w:val="21"/>
        </w:rPr>
      </w:pPr>
    </w:p>
    <w:p>
      <w:pPr>
        <w:spacing w:before="120" w:beforeLines="50" w:after="120" w:afterLines="50"/>
        <w:rPr>
          <w:rFonts w:ascii="黑体" w:hAnsi="黑体" w:eastAsia="黑体"/>
          <w:szCs w:val="24"/>
        </w:rPr>
      </w:pPr>
      <w:bookmarkStart w:id="218" w:name="_Toc460322178"/>
      <w:bookmarkStart w:id="219" w:name="_Toc479510426"/>
      <w:r>
        <w:rPr>
          <w:rFonts w:hint="eastAsia" w:ascii="黑体" w:hAnsi="黑体" w:eastAsia="黑体"/>
          <w:szCs w:val="24"/>
        </w:rPr>
        <w:t xml:space="preserve">H.5.4.3  </w:t>
      </w:r>
      <w:r>
        <w:rPr>
          <w:rFonts w:ascii="黑体" w:hAnsi="黑体" w:eastAsia="黑体"/>
          <w:szCs w:val="24"/>
        </w:rPr>
        <w:t>移动式钻孔测斜仪使用技术要求</w:t>
      </w:r>
      <w:bookmarkEnd w:id="218"/>
      <w:bookmarkEnd w:id="219"/>
    </w:p>
    <w:p>
      <w:pPr>
        <w:spacing w:line="360" w:lineRule="auto"/>
        <w:ind w:left="840" w:leftChars="200" w:hanging="420" w:hangingChars="200"/>
        <w:rPr>
          <w:rFonts w:ascii="Times New Roman" w:hAnsi="Times New Roman"/>
          <w:szCs w:val="24"/>
        </w:rPr>
      </w:pPr>
      <w:bookmarkStart w:id="220" w:name="_Toc460322179"/>
      <w:r>
        <w:rPr>
          <w:rFonts w:ascii="Times New Roman" w:hAnsi="Times New Roman"/>
          <w:szCs w:val="24"/>
        </w:rPr>
        <w:t>a</w:t>
      </w:r>
      <w:r>
        <w:rPr>
          <w:rFonts w:hint="eastAsia" w:ascii="宋体" w:hAnsi="宋体"/>
          <w:szCs w:val="21"/>
        </w:rPr>
        <w:t xml:space="preserve">)  </w:t>
      </w:r>
      <w:r>
        <w:rPr>
          <w:rFonts w:ascii="Times New Roman" w:hAnsi="Times New Roman"/>
          <w:szCs w:val="24"/>
        </w:rPr>
        <w:t>确认电缆盘电源关闭及测头连接器处密封圈完好，将电缆连接器和测头连接器对齐，然后拧紧紧固螺丝。用手压缩导轮组，使之平滑放入导槽内，转动电缆盘释放电缆，缓缓将测头置于测斜管测量深度的底部，然后在测斜管管口放置井口装置。</w:t>
      </w:r>
      <w:bookmarkEnd w:id="220"/>
      <w:bookmarkStart w:id="221" w:name="_Toc158699762"/>
    </w:p>
    <w:p>
      <w:pPr>
        <w:spacing w:line="360" w:lineRule="auto"/>
        <w:ind w:left="840" w:leftChars="200" w:hanging="420" w:hangingChars="200"/>
        <w:rPr>
          <w:rFonts w:ascii="Times New Roman" w:hAnsi="Times New Roman"/>
          <w:szCs w:val="24"/>
        </w:rPr>
      </w:pPr>
      <w:bookmarkStart w:id="222" w:name="_Toc460322180"/>
      <w:r>
        <w:rPr>
          <w:rFonts w:ascii="Times New Roman" w:hAnsi="Times New Roman"/>
          <w:szCs w:val="24"/>
        </w:rPr>
        <w:t>b</w:t>
      </w:r>
      <w:r>
        <w:rPr>
          <w:rFonts w:hint="eastAsia" w:ascii="宋体" w:hAnsi="宋体"/>
          <w:szCs w:val="21"/>
        </w:rPr>
        <w:t xml:space="preserve">)  </w:t>
      </w:r>
      <w:r>
        <w:rPr>
          <w:rFonts w:ascii="Times New Roman" w:hAnsi="Times New Roman"/>
          <w:szCs w:val="24"/>
        </w:rPr>
        <w:t>将测头拉起至首个深度标志为测读起点，每0.5</w:t>
      </w:r>
      <w:r>
        <w:rPr>
          <w:rFonts w:hint="eastAsia" w:ascii="Times New Roman" w:hAnsi="Times New Roman"/>
          <w:szCs w:val="24"/>
        </w:rPr>
        <w:t xml:space="preserve"> </w:t>
      </w:r>
      <w:r>
        <w:rPr>
          <w:rFonts w:ascii="Times New Roman" w:hAnsi="Times New Roman"/>
          <w:szCs w:val="24"/>
        </w:rPr>
        <w:t>m观测并记录一次数据。每次测读时都应将电缆标志对准，以防读数不准确。利用电缆标志测读，使测头升至测斜管顶端为止。</w:t>
      </w:r>
      <w:bookmarkEnd w:id="222"/>
    </w:p>
    <w:p>
      <w:pPr>
        <w:spacing w:line="360" w:lineRule="auto"/>
        <w:ind w:left="840" w:leftChars="200" w:hanging="420" w:hangingChars="200"/>
        <w:rPr>
          <w:rFonts w:ascii="Times New Roman" w:hAnsi="Times New Roman"/>
          <w:szCs w:val="24"/>
        </w:rPr>
      </w:pPr>
      <w:bookmarkStart w:id="223" w:name="_Toc460322181"/>
      <w:r>
        <w:rPr>
          <w:rFonts w:ascii="Times New Roman" w:hAnsi="Times New Roman"/>
          <w:szCs w:val="24"/>
        </w:rPr>
        <w:t>c</w:t>
      </w:r>
      <w:r>
        <w:rPr>
          <w:rFonts w:hint="eastAsia" w:ascii="宋体" w:hAnsi="宋体"/>
          <w:szCs w:val="21"/>
        </w:rPr>
        <w:t xml:space="preserve">)  </w:t>
      </w:r>
      <w:r>
        <w:rPr>
          <w:rFonts w:ascii="Times New Roman" w:hAnsi="Times New Roman"/>
          <w:szCs w:val="24"/>
        </w:rPr>
        <w:t>一次观测完成后，将测斜仪反转180度，重复以上过程，完成第二次观测，如图</w:t>
      </w:r>
      <w:r>
        <w:rPr>
          <w:rFonts w:hint="eastAsia" w:ascii="Times New Roman" w:hAnsi="Times New Roman"/>
          <w:szCs w:val="24"/>
        </w:rPr>
        <w:t>H</w:t>
      </w:r>
      <w:r>
        <w:rPr>
          <w:rFonts w:ascii="Times New Roman" w:hAnsi="Times New Roman"/>
          <w:szCs w:val="24"/>
        </w:rPr>
        <w:t>-5。</w:t>
      </w:r>
      <w:bookmarkEnd w:id="223"/>
    </w:p>
    <w:p>
      <w:pPr>
        <w:spacing w:line="360" w:lineRule="auto"/>
        <w:ind w:left="840" w:leftChars="200" w:hanging="420" w:hangingChars="200"/>
        <w:rPr>
          <w:rFonts w:ascii="Times New Roman" w:hAnsi="Times New Roman"/>
          <w:szCs w:val="24"/>
        </w:rPr>
      </w:pPr>
      <w:bookmarkStart w:id="224" w:name="_Toc460322182"/>
      <w:r>
        <w:rPr>
          <w:rFonts w:ascii="Times New Roman" w:hAnsi="Times New Roman"/>
          <w:szCs w:val="24"/>
        </w:rPr>
        <w:t>d</w:t>
      </w:r>
      <w:r>
        <w:rPr>
          <w:rFonts w:hint="eastAsia" w:ascii="宋体" w:hAnsi="宋体"/>
          <w:szCs w:val="21"/>
        </w:rPr>
        <w:t xml:space="preserve">)  </w:t>
      </w:r>
      <w:r>
        <w:rPr>
          <w:rFonts w:ascii="Times New Roman" w:hAnsi="Times New Roman"/>
          <w:szCs w:val="24"/>
        </w:rPr>
        <w:t>对于单轴型移动式钻孔倾斜仪，在二次观测完成后仅测得一组导槽方向的水平位移，应将测斜仪沿另一组导槽方向</w:t>
      </w:r>
      <w:r>
        <w:rPr>
          <w:rFonts w:hint="eastAsia" w:ascii="Times New Roman" w:hAnsi="Times New Roman"/>
          <w:szCs w:val="24"/>
        </w:rPr>
        <w:t>重复</w:t>
      </w:r>
      <w:r>
        <w:rPr>
          <w:rFonts w:ascii="Times New Roman" w:hAnsi="Times New Roman"/>
          <w:szCs w:val="24"/>
        </w:rPr>
        <w:t>以上观测过程，完成第三、第四次观测；对于双轴型移动式钻孔倾斜仪，完成第二次观测后即完成本次监测作业。</w:t>
      </w:r>
      <w:bookmarkEnd w:id="224"/>
    </w:p>
    <w:p>
      <w:pPr>
        <w:jc w:val="center"/>
        <w:rPr>
          <w:rFonts w:ascii="Times New Roman" w:hAnsi="Times New Roman"/>
          <w:szCs w:val="24"/>
        </w:rPr>
      </w:pPr>
      <w:r>
        <w:rPr>
          <w:rFonts w:ascii="Times New Roman" w:hAnsi="Times New Roman"/>
          <w:szCs w:val="24"/>
        </w:rPr>
        <w:drawing>
          <wp:inline distT="0" distB="0" distL="0" distR="0">
            <wp:extent cx="3563620" cy="275209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64000" cy="2752389"/>
                    </a:xfrm>
                    <a:prstGeom prst="rect">
                      <a:avLst/>
                    </a:prstGeom>
                  </pic:spPr>
                </pic:pic>
              </a:graphicData>
            </a:graphic>
          </wp:inline>
        </w:drawing>
      </w:r>
    </w:p>
    <w:p>
      <w:pPr>
        <w:ind w:firstLine="2730" w:firstLineChars="1300"/>
        <w:rPr>
          <w:rFonts w:ascii="Times New Roman" w:hAnsi="Times New Roman" w:eastAsia="黑体"/>
          <w:snapToGrid w:val="0"/>
          <w:szCs w:val="21"/>
        </w:rPr>
      </w:pPr>
      <w:r>
        <w:rPr>
          <w:rFonts w:ascii="Times New Roman" w:hAnsi="Times New Roman" w:eastAsia="黑体"/>
          <w:snapToGrid w:val="0"/>
          <w:szCs w:val="21"/>
        </w:rPr>
        <w:t xml:space="preserve">(a)               </w:t>
      </w:r>
      <w:r>
        <w:rPr>
          <w:rFonts w:hint="eastAsia" w:ascii="Times New Roman" w:hAnsi="Times New Roman" w:eastAsia="黑体"/>
          <w:snapToGrid w:val="0"/>
          <w:szCs w:val="21"/>
        </w:rPr>
        <w:t xml:space="preserve">          </w:t>
      </w:r>
      <w:r>
        <w:rPr>
          <w:rFonts w:ascii="Times New Roman" w:hAnsi="Times New Roman" w:eastAsia="黑体"/>
          <w:snapToGrid w:val="0"/>
          <w:szCs w:val="21"/>
        </w:rPr>
        <w:t xml:space="preserve">     (b)</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-5</w:t>
      </w:r>
      <w:r>
        <w:rPr>
          <w:rFonts w:hint="eastAsia" w:ascii="黑体" w:hAnsi="黑体" w:eastAsia="黑体"/>
          <w:kern w:val="0"/>
          <w:szCs w:val="21"/>
        </w:rPr>
        <w:t xml:space="preserve">  </w:t>
      </w:r>
      <w:r>
        <w:rPr>
          <w:rFonts w:ascii="黑体" w:hAnsi="黑体" w:eastAsia="黑体"/>
          <w:kern w:val="0"/>
          <w:szCs w:val="21"/>
        </w:rPr>
        <w:t>垂直测头的结构(a)和正反方向测量(b)示意图</w:t>
      </w:r>
    </w:p>
    <w:p>
      <w:pPr>
        <w:widowControl/>
        <w:tabs>
          <w:tab w:val="left" w:pos="360"/>
        </w:tabs>
        <w:spacing w:before="120" w:beforeLines="50" w:after="120" w:afterLines="50"/>
        <w:contextualSpacing/>
        <w:jc w:val="center"/>
        <w:rPr>
          <w:rFonts w:ascii="黑体" w:hAnsi="黑体" w:eastAsia="黑体"/>
          <w:kern w:val="0"/>
          <w:szCs w:val="21"/>
        </w:rPr>
      </w:pPr>
    </w:p>
    <w:bookmarkEnd w:id="221"/>
    <w:p>
      <w:pPr>
        <w:keepNext/>
        <w:keepLines/>
        <w:adjustRightInd w:val="0"/>
        <w:snapToGrid w:val="0"/>
        <w:spacing w:before="120" w:beforeLines="50" w:after="120" w:afterLines="50"/>
        <w:jc w:val="left"/>
        <w:rPr>
          <w:rFonts w:ascii="黑体" w:hAnsi="黑体" w:eastAsia="黑体"/>
          <w:bCs/>
          <w:kern w:val="44"/>
          <w:szCs w:val="21"/>
        </w:rPr>
      </w:pPr>
      <w:bookmarkStart w:id="225" w:name="_Toc21966427"/>
      <w:bookmarkStart w:id="226" w:name="_Toc534577784"/>
      <w:bookmarkStart w:id="227" w:name="_Toc534580141"/>
      <w:r>
        <w:rPr>
          <w:rFonts w:hint="eastAsia" w:ascii="黑体" w:hAnsi="黑体" w:eastAsia="黑体"/>
          <w:bCs/>
          <w:kern w:val="44"/>
          <w:szCs w:val="21"/>
        </w:rPr>
        <w:t>H</w:t>
      </w:r>
      <w:r>
        <w:rPr>
          <w:rFonts w:ascii="黑体" w:hAnsi="黑体" w:eastAsia="黑体"/>
          <w:bCs/>
          <w:kern w:val="44"/>
          <w:szCs w:val="21"/>
        </w:rPr>
        <w:t>.6</w:t>
      </w:r>
      <w:r>
        <w:rPr>
          <w:rFonts w:hint="eastAsia" w:ascii="黑体" w:hAnsi="黑体" w:eastAsia="黑体"/>
          <w:bCs/>
          <w:kern w:val="44"/>
          <w:szCs w:val="21"/>
        </w:rPr>
        <w:t xml:space="preserve">  </w:t>
      </w:r>
      <w:r>
        <w:rPr>
          <w:rFonts w:ascii="黑体" w:hAnsi="黑体" w:eastAsia="黑体"/>
          <w:bCs/>
          <w:kern w:val="44"/>
          <w:szCs w:val="21"/>
        </w:rPr>
        <w:t>危岩倾角计自动监测站安装</w:t>
      </w:r>
      <w:bookmarkEnd w:id="225"/>
      <w:bookmarkEnd w:id="226"/>
      <w:bookmarkEnd w:id="227"/>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根据要求测量各倾角传感器监测点位置</w:t>
      </w:r>
      <w:r>
        <w:rPr>
          <w:rFonts w:hint="eastAsia" w:ascii="Times New Roman" w:hAnsi="Times New Roman"/>
          <w:szCs w:val="24"/>
        </w:rPr>
        <w:t>，</w:t>
      </w:r>
      <w:r>
        <w:rPr>
          <w:rFonts w:ascii="Times New Roman" w:hAnsi="Times New Roman"/>
          <w:szCs w:val="24"/>
        </w:rPr>
        <w:t>标记监测点位置并同时标记可能的主滑方向及其垂直方向。</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制作尺寸为20</w:t>
      </w:r>
      <w:r>
        <w:rPr>
          <w:rFonts w:hint="eastAsia" w:ascii="Times New Roman" w:hAnsi="Times New Roman"/>
          <w:szCs w:val="24"/>
        </w:rPr>
        <w:t xml:space="preserve"> </w:t>
      </w:r>
      <w:r>
        <w:rPr>
          <w:rFonts w:ascii="Times New Roman" w:hAnsi="Times New Roman"/>
          <w:szCs w:val="24"/>
        </w:rPr>
        <w:t>cm</w:t>
      </w:r>
      <w:r>
        <w:rPr>
          <w:rFonts w:hint="eastAsia" w:ascii="Times New Roman" w:hAnsi="Times New Roman"/>
          <w:szCs w:val="24"/>
        </w:rPr>
        <w:t>×</w:t>
      </w:r>
      <w:r>
        <w:rPr>
          <w:rFonts w:ascii="Times New Roman" w:hAnsi="Times New Roman"/>
          <w:szCs w:val="24"/>
        </w:rPr>
        <w:t>20</w:t>
      </w:r>
      <w:r>
        <w:rPr>
          <w:rFonts w:hint="eastAsia" w:ascii="Times New Roman" w:hAnsi="Times New Roman"/>
          <w:szCs w:val="24"/>
        </w:rPr>
        <w:t xml:space="preserve"> </w:t>
      </w:r>
      <w:r>
        <w:rPr>
          <w:rFonts w:ascii="Times New Roman" w:hAnsi="Times New Roman"/>
          <w:szCs w:val="24"/>
        </w:rPr>
        <w:t>cm</w:t>
      </w:r>
      <w:r>
        <w:rPr>
          <w:rFonts w:hint="eastAsia" w:ascii="Times New Roman" w:hAnsi="Times New Roman"/>
          <w:szCs w:val="24"/>
        </w:rPr>
        <w:t>×</w:t>
      </w:r>
      <w:r>
        <w:rPr>
          <w:rFonts w:ascii="Times New Roman" w:hAnsi="Times New Roman"/>
          <w:szCs w:val="24"/>
        </w:rPr>
        <w:t>50</w:t>
      </w:r>
      <w:r>
        <w:rPr>
          <w:rFonts w:hint="eastAsia" w:ascii="Times New Roman" w:hAnsi="Times New Roman"/>
          <w:szCs w:val="24"/>
        </w:rPr>
        <w:t xml:space="preserve"> </w:t>
      </w:r>
      <w:r>
        <w:rPr>
          <w:rFonts w:ascii="Times New Roman" w:hAnsi="Times New Roman"/>
          <w:szCs w:val="24"/>
        </w:rPr>
        <w:t>cm混凝土预埋件，在浇筑混凝土时将倾角传感器及1</w:t>
      </w:r>
      <w:r>
        <w:rPr>
          <w:rFonts w:hint="eastAsia" w:ascii="Times New Roman" w:hAnsi="Times New Roman"/>
          <w:szCs w:val="24"/>
        </w:rPr>
        <w:t xml:space="preserve"> </w:t>
      </w:r>
      <w:r>
        <w:rPr>
          <w:rFonts w:ascii="Times New Roman" w:hAnsi="Times New Roman"/>
          <w:szCs w:val="24"/>
        </w:rPr>
        <w:t>m长Φ20钢筋一同嵌入其中</w:t>
      </w:r>
      <w:r>
        <w:rPr>
          <w:rFonts w:hint="eastAsia" w:ascii="Times New Roman" w:hAnsi="Times New Roman"/>
          <w:szCs w:val="24"/>
        </w:rPr>
        <w:t>，</w:t>
      </w:r>
      <w:r>
        <w:rPr>
          <w:rFonts w:ascii="Times New Roman" w:hAnsi="Times New Roman"/>
          <w:szCs w:val="24"/>
        </w:rPr>
        <w:t>并保证仪器及钢筋处于预埋件轴心位置处。倾角传感器、混凝土预埋件及钢筋三者共同组成一有机整体。</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待混凝土强度达到设计强度80%时，埋设倾角传感器。埋设前</w:t>
      </w:r>
      <w:r>
        <w:rPr>
          <w:rFonts w:hint="eastAsia" w:ascii="Times New Roman" w:hAnsi="Times New Roman"/>
          <w:szCs w:val="24"/>
        </w:rPr>
        <w:t>，</w:t>
      </w:r>
      <w:r>
        <w:rPr>
          <w:rFonts w:ascii="Times New Roman" w:hAnsi="Times New Roman"/>
          <w:szCs w:val="24"/>
        </w:rPr>
        <w:t>在已标记的布点位置开挖尺寸为20</w:t>
      </w:r>
      <w:r>
        <w:rPr>
          <w:rFonts w:hint="eastAsia" w:ascii="Times New Roman" w:hAnsi="Times New Roman"/>
          <w:szCs w:val="24"/>
        </w:rPr>
        <w:t xml:space="preserve"> </w:t>
      </w:r>
      <w:r>
        <w:rPr>
          <w:rFonts w:ascii="Times New Roman" w:hAnsi="Times New Roman"/>
          <w:szCs w:val="24"/>
        </w:rPr>
        <w:t>cm</w:t>
      </w:r>
      <w:r>
        <w:rPr>
          <w:rFonts w:hint="eastAsia" w:ascii="Times New Roman" w:hAnsi="Times New Roman"/>
          <w:szCs w:val="24"/>
        </w:rPr>
        <w:t>×</w:t>
      </w:r>
      <w:r>
        <w:rPr>
          <w:rFonts w:ascii="Times New Roman" w:hAnsi="Times New Roman"/>
          <w:szCs w:val="24"/>
        </w:rPr>
        <w:t>20</w:t>
      </w:r>
      <w:r>
        <w:rPr>
          <w:rFonts w:hint="eastAsia" w:ascii="Times New Roman" w:hAnsi="Times New Roman"/>
          <w:szCs w:val="24"/>
        </w:rPr>
        <w:t xml:space="preserve"> </w:t>
      </w:r>
      <w:r>
        <w:rPr>
          <w:rFonts w:ascii="Times New Roman" w:hAnsi="Times New Roman"/>
          <w:szCs w:val="24"/>
        </w:rPr>
        <w:t>cm</w:t>
      </w:r>
      <w:r>
        <w:rPr>
          <w:rFonts w:hint="eastAsia" w:ascii="Times New Roman" w:hAnsi="Times New Roman"/>
          <w:szCs w:val="24"/>
        </w:rPr>
        <w:t>×</w:t>
      </w:r>
      <w:r>
        <w:rPr>
          <w:rFonts w:ascii="Times New Roman" w:hAnsi="Times New Roman"/>
          <w:szCs w:val="24"/>
        </w:rPr>
        <w:t>60</w:t>
      </w:r>
      <w:r>
        <w:rPr>
          <w:rFonts w:hint="eastAsia" w:ascii="Times New Roman" w:hAnsi="Times New Roman"/>
          <w:szCs w:val="24"/>
        </w:rPr>
        <w:t xml:space="preserve"> </w:t>
      </w:r>
      <w:r>
        <w:rPr>
          <w:rFonts w:ascii="Times New Roman" w:hAnsi="Times New Roman"/>
          <w:szCs w:val="24"/>
        </w:rPr>
        <w:t>cm的坑</w:t>
      </w:r>
      <w:r>
        <w:rPr>
          <w:rFonts w:hint="eastAsia" w:ascii="Times New Roman" w:hAnsi="Times New Roman"/>
          <w:szCs w:val="24"/>
        </w:rPr>
        <w:t>，</w:t>
      </w:r>
      <w:r>
        <w:rPr>
          <w:rFonts w:ascii="Times New Roman" w:hAnsi="Times New Roman"/>
          <w:szCs w:val="24"/>
        </w:rPr>
        <w:t>并保证开挖坑的方向与已标记的可能主滑方向及其垂直方向一致</w:t>
      </w:r>
      <w:r>
        <w:rPr>
          <w:rFonts w:hint="eastAsia" w:ascii="Times New Roman" w:hAnsi="Times New Roman"/>
          <w:szCs w:val="24"/>
        </w:rPr>
        <w:t>，</w:t>
      </w:r>
      <w:r>
        <w:rPr>
          <w:rFonts w:ascii="Times New Roman" w:hAnsi="Times New Roman"/>
          <w:szCs w:val="24"/>
        </w:rPr>
        <w:t>若岩土层较坚硬</w:t>
      </w:r>
      <w:r>
        <w:rPr>
          <w:rFonts w:hint="eastAsia" w:ascii="Times New Roman" w:hAnsi="Times New Roman"/>
          <w:szCs w:val="24"/>
        </w:rPr>
        <w:t>，</w:t>
      </w:r>
      <w:r>
        <w:rPr>
          <w:rFonts w:ascii="Times New Roman" w:hAnsi="Times New Roman"/>
          <w:szCs w:val="24"/>
        </w:rPr>
        <w:t>钢筋难以插入岩土体，则开挖坑的深度可适当增加。将倾角传感器系统置入坑内，预埋件与岩土体之</w:t>
      </w:r>
      <w:r>
        <w:rPr>
          <w:rFonts w:hint="eastAsia" w:ascii="Times New Roman" w:hAnsi="Times New Roman"/>
          <w:szCs w:val="24"/>
        </w:rPr>
        <w:t>间</w:t>
      </w:r>
      <w:r>
        <w:rPr>
          <w:rFonts w:ascii="Times New Roman" w:hAnsi="Times New Roman"/>
          <w:szCs w:val="24"/>
        </w:rPr>
        <w:t>的孔隙用水泥砂浆灌压密实，以保证传感器系统与周围岩土体变形协调。</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回填并夯实填土，使其与原地面平齐，示意如图所示：</w:t>
      </w:r>
    </w:p>
    <w:p>
      <w:pPr>
        <w:spacing w:after="120" w:afterLines="50"/>
        <w:jc w:val="center"/>
        <w:rPr>
          <w:rFonts w:ascii="Times New Roman" w:hAnsi="Times New Roman"/>
          <w:sz w:val="24"/>
          <w:szCs w:val="24"/>
        </w:rPr>
      </w:pPr>
      <w:r>
        <w:rPr>
          <w:rFonts w:ascii="Times New Roman" w:hAnsi="Times New Roman"/>
          <w:sz w:val="24"/>
          <w:szCs w:val="24"/>
        </w:rPr>
        <w:drawing>
          <wp:inline distT="0" distB="0" distL="0" distR="0">
            <wp:extent cx="2092325" cy="2247900"/>
            <wp:effectExtent l="0" t="0" r="0" b="0"/>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92677" cy="22479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倾角传感器安装示意图</w:t>
      </w:r>
    </w:p>
    <w:p>
      <w:pPr>
        <w:spacing w:line="360" w:lineRule="auto"/>
        <w:ind w:firstLine="361" w:firstLineChars="200"/>
        <w:jc w:val="left"/>
        <w:rPr>
          <w:rFonts w:ascii="Times New Roman" w:hAnsi="Times New Roman"/>
          <w:b/>
          <w:sz w:val="18"/>
          <w:szCs w:val="18"/>
        </w:rPr>
      </w:pPr>
      <w:r>
        <w:rPr>
          <w:rFonts w:ascii="Times New Roman" w:hAnsi="Times New Roman"/>
          <w:b/>
          <w:sz w:val="18"/>
          <w:szCs w:val="18"/>
        </w:rPr>
        <w:t>注意事项：</w:t>
      </w:r>
    </w:p>
    <w:p>
      <w:pPr>
        <w:spacing w:line="360" w:lineRule="auto"/>
        <w:ind w:firstLine="360" w:firstLineChars="200"/>
        <w:rPr>
          <w:rFonts w:ascii="Times New Roman" w:hAnsi="Times New Roman"/>
          <w:sz w:val="18"/>
          <w:szCs w:val="18"/>
        </w:rPr>
      </w:pPr>
      <w:r>
        <w:rPr>
          <w:rFonts w:ascii="Times New Roman" w:hAnsi="Times New Roman"/>
          <w:sz w:val="18"/>
          <w:szCs w:val="18"/>
        </w:rPr>
        <w:t>正确的安装方式可以避免产生测量误差，传感器安装时要做到如下几点：</w:t>
      </w:r>
    </w:p>
    <w:p>
      <w:pPr>
        <w:spacing w:line="360" w:lineRule="auto"/>
        <w:ind w:firstLine="360" w:firstLineChars="200"/>
        <w:rPr>
          <w:rFonts w:ascii="Times New Roman" w:hAnsi="Times New Roman"/>
          <w:sz w:val="18"/>
          <w:szCs w:val="18"/>
        </w:rPr>
      </w:pPr>
      <w:r>
        <w:rPr>
          <w:rFonts w:ascii="Times New Roman" w:hAnsi="Times New Roman"/>
          <w:sz w:val="18"/>
          <w:szCs w:val="18"/>
        </w:rPr>
        <w:t>首先，要保证传感器安装面与被测量面完全紧靠，被测量面要尽可能水平，不能有如图A和图C所示的夹角产生，正确安装方式如图B和图D所示。</w:t>
      </w:r>
    </w:p>
    <w:p>
      <w:pPr>
        <w:spacing w:after="120" w:afterLines="50" w:line="360" w:lineRule="auto"/>
        <w:jc w:val="center"/>
        <w:rPr>
          <w:rFonts w:ascii="Times New Roman" w:hAnsi="Times New Roman"/>
          <w:sz w:val="24"/>
          <w:szCs w:val="24"/>
        </w:rPr>
      </w:pPr>
      <w:r>
        <w:rPr>
          <w:rFonts w:ascii="Times New Roman" w:hAnsi="Times New Roman"/>
          <w:sz w:val="24"/>
          <w:szCs w:val="24"/>
        </w:rPr>
        <w:drawing>
          <wp:inline distT="0" distB="0" distL="0" distR="0">
            <wp:extent cx="4991100" cy="272415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noChangeArrowheads="1"/>
                    </pic:cNvPicPr>
                  </pic:nvPicPr>
                  <pic:blipFill>
                    <a:blip r:embed="rId34" cstate="print">
                      <a:extLst>
                        <a:ext uri="{BEBA8EAE-BF5A-486C-A8C5-ECC9F3942E4B}">
                          <a14:imgProps xmlns:a14="http://schemas.microsoft.com/office/drawing/2010/main">
                            <a14:imgLayer r:embed="rId35">
                              <a14:imgEffect>
                                <a14:saturation sat="0"/>
                              </a14:imgEffect>
                            </a14:imgLayer>
                          </a14:imgProps>
                        </a:ext>
                      </a:extLst>
                    </a:blip>
                    <a:srcRect l="5365" t="2592" r="2235"/>
                    <a:stretch>
                      <a:fillRect/>
                    </a:stretch>
                  </pic:blipFill>
                  <pic:spPr>
                    <a:xfrm>
                      <a:off x="0" y="0"/>
                      <a:ext cx="4991100" cy="2724150"/>
                    </a:xfrm>
                    <a:prstGeom prst="rect">
                      <a:avLst/>
                    </a:prstGeom>
                    <a:noFill/>
                    <a:ln w="9525">
                      <a:noFill/>
                      <a:miter lim="800000"/>
                      <a:headEnd/>
                      <a:tailEnd/>
                    </a:ln>
                  </pic:spPr>
                </pic:pic>
              </a:graphicData>
            </a:graphic>
          </wp:inline>
        </w:drawing>
      </w:r>
    </w:p>
    <w:p>
      <w:pPr>
        <w:spacing w:line="360" w:lineRule="auto"/>
        <w:ind w:firstLine="360" w:firstLineChars="200"/>
        <w:rPr>
          <w:rFonts w:ascii="Times New Roman" w:hAnsi="Times New Roman"/>
          <w:sz w:val="18"/>
          <w:szCs w:val="18"/>
        </w:rPr>
      </w:pPr>
      <w:r>
        <w:rPr>
          <w:rFonts w:ascii="Times New Roman" w:hAnsi="Times New Roman"/>
          <w:sz w:val="18"/>
          <w:szCs w:val="18"/>
        </w:rPr>
        <w:t>其次，传感器底边线和被测物体轴线不能有如E图所示的夹角产生，安装时应保持传感器边线与被测物体转动轴线平行或正交。本产品可水平安装也可垂直安装（垂直安装需要定制），正确安装方式如图F所示。</w:t>
      </w:r>
    </w:p>
    <w:p>
      <w:pPr>
        <w:jc w:val="center"/>
        <w:rPr>
          <w:rFonts w:ascii="Times New Roman" w:hAnsi="Times New Roman"/>
          <w:sz w:val="24"/>
          <w:szCs w:val="24"/>
        </w:rPr>
      </w:pPr>
      <w:r>
        <w:rPr>
          <w:rFonts w:ascii="Times New Roman" w:hAnsi="Times New Roman"/>
          <w:sz w:val="24"/>
          <w:szCs w:val="24"/>
        </w:rPr>
        <w:drawing>
          <wp:inline distT="0" distB="0" distL="0" distR="0">
            <wp:extent cx="5276850" cy="1819275"/>
            <wp:effectExtent l="0" t="0" r="0" b="0"/>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noChangeArrowheads="1"/>
                    </pic:cNvPicPr>
                  </pic:nvPicPr>
                  <pic:blipFill>
                    <a:blip r:embed="rId36" cstate="print">
                      <a:extLst>
                        <a:ext uri="{BEBA8EAE-BF5A-486C-A8C5-ECC9F3942E4B}">
                          <a14:imgProps xmlns:a14="http://schemas.microsoft.com/office/drawing/2010/main">
                            <a14:imgLayer r:embed="rId37">
                              <a14:imgEffect>
                                <a14:saturation sat="0"/>
                              </a14:imgEffect>
                            </a14:imgLayer>
                          </a14:imgProps>
                        </a:ext>
                      </a:extLst>
                    </a:blip>
                    <a:srcRect/>
                    <a:stretch>
                      <a:fillRect/>
                    </a:stretch>
                  </pic:blipFill>
                  <pic:spPr>
                    <a:xfrm>
                      <a:off x="0" y="0"/>
                      <a:ext cx="5276850" cy="1819275"/>
                    </a:xfrm>
                    <a:prstGeom prst="rect">
                      <a:avLst/>
                    </a:prstGeom>
                    <a:noFill/>
                    <a:ln w="9525">
                      <a:noFill/>
                      <a:miter lim="800000"/>
                      <a:headEnd/>
                      <a:tailEnd/>
                    </a:ln>
                  </pic:spPr>
                </pic:pic>
              </a:graphicData>
            </a:graphic>
          </wp:inline>
        </w:drawing>
      </w:r>
    </w:p>
    <w:p>
      <w:pPr>
        <w:spacing w:line="360" w:lineRule="auto"/>
        <w:ind w:firstLine="360" w:firstLineChars="200"/>
        <w:rPr>
          <w:rFonts w:ascii="Times New Roman" w:hAnsi="Times New Roman"/>
          <w:sz w:val="18"/>
          <w:szCs w:val="18"/>
        </w:rPr>
      </w:pPr>
      <w:r>
        <w:rPr>
          <w:rFonts w:ascii="Times New Roman" w:hAnsi="Times New Roman"/>
          <w:sz w:val="18"/>
          <w:szCs w:val="18"/>
        </w:rPr>
        <w:t>最后，传感器的安装面与被测面必须固定紧密、接触平整、转动稳定、要避免由于加速度、振动产生的没量误差。</w:t>
      </w:r>
    </w:p>
    <w:p>
      <w:pPr>
        <w:keepNext/>
        <w:keepLines/>
        <w:adjustRightInd w:val="0"/>
        <w:snapToGrid w:val="0"/>
        <w:spacing w:before="120" w:beforeLines="50" w:after="120" w:afterLines="50"/>
        <w:jc w:val="left"/>
        <w:rPr>
          <w:rFonts w:ascii="黑体" w:hAnsi="黑体" w:eastAsia="黑体"/>
          <w:bCs/>
          <w:kern w:val="44"/>
          <w:szCs w:val="21"/>
        </w:rPr>
      </w:pPr>
      <w:bookmarkStart w:id="228" w:name="_Toc534577785"/>
      <w:bookmarkStart w:id="229" w:name="_Toc534580142"/>
      <w:bookmarkStart w:id="230" w:name="_Toc21966428"/>
      <w:r>
        <w:rPr>
          <w:rFonts w:hint="eastAsia" w:ascii="黑体" w:hAnsi="黑体" w:eastAsia="黑体"/>
          <w:bCs/>
          <w:kern w:val="44"/>
          <w:szCs w:val="21"/>
        </w:rPr>
        <w:t>H</w:t>
      </w:r>
      <w:r>
        <w:rPr>
          <w:rFonts w:ascii="黑体" w:hAnsi="黑体" w:eastAsia="黑体"/>
          <w:bCs/>
          <w:kern w:val="44"/>
          <w:szCs w:val="21"/>
        </w:rPr>
        <w:t>.7</w:t>
      </w:r>
      <w:r>
        <w:rPr>
          <w:rFonts w:hint="eastAsia" w:ascii="黑体" w:hAnsi="黑体" w:eastAsia="黑体"/>
          <w:bCs/>
          <w:kern w:val="44"/>
          <w:szCs w:val="21"/>
        </w:rPr>
        <w:t xml:space="preserve">  </w:t>
      </w:r>
      <w:r>
        <w:rPr>
          <w:rFonts w:ascii="黑体" w:hAnsi="黑体" w:eastAsia="黑体"/>
          <w:bCs/>
          <w:kern w:val="44"/>
          <w:szCs w:val="21"/>
        </w:rPr>
        <w:t>岩土体压力自动监测站安装</w:t>
      </w:r>
      <w:bookmarkEnd w:id="228"/>
      <w:bookmarkEnd w:id="229"/>
      <w:bookmarkEnd w:id="230"/>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用螺栓、垫片从终端机法兰向下穿过4个底板固定孔，用螺母进行第一次固定，然后将终端机底板上边4个螺栓长出的部分插入一体化支架的法兰盘上，用螺母将终端机与法兰盘拧紧固定。</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将锂聚合物电池安装到终端机内。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安装太阳能电池板，先连接控制器与蓄电池，再连接控制器与负载，最后连接控制器与太阳能电池板，太阳能板面向正南。</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将传感器接到采集终端机上。</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岩体、土体应力监测点建设见图</w:t>
      </w:r>
      <w:r>
        <w:rPr>
          <w:rFonts w:hint="eastAsia" w:ascii="Times New Roman" w:hAnsi="Times New Roman"/>
          <w:szCs w:val="24"/>
        </w:rPr>
        <w:t>H</w:t>
      </w:r>
      <w:r>
        <w:rPr>
          <w:rFonts w:ascii="Times New Roman" w:hAnsi="Times New Roman"/>
          <w:szCs w:val="24"/>
        </w:rPr>
        <w:t>-6。</w:t>
      </w:r>
    </w:p>
    <w:p>
      <w:pPr>
        <w:widowControl/>
        <w:tabs>
          <w:tab w:val="center" w:pos="4201"/>
          <w:tab w:val="right" w:leader="dot" w:pos="9298"/>
        </w:tabs>
        <w:autoSpaceDE w:val="0"/>
        <w:autoSpaceDN w:val="0"/>
        <w:jc w:val="center"/>
        <w:rPr>
          <w:rFonts w:ascii="Times New Roman" w:hAnsi="Times New Roman"/>
        </w:rPr>
      </w:pPr>
      <w:r>
        <w:rPr>
          <w:rFonts w:ascii="Times New Roman" w:hAnsi="Times New Roman"/>
        </w:rPr>
        <w:drawing>
          <wp:inline distT="0" distB="0" distL="0" distR="0">
            <wp:extent cx="2543175" cy="2257425"/>
            <wp:effectExtent l="19050" t="0" r="9525" b="0"/>
            <wp:docPr id="24" name="图片 14" descr="说明: 说明: 岩体压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descr="说明: 说明: 岩体压力"/>
                    <pic:cNvPicPr>
                      <a:picLocks noChangeAspect="1" noChangeArrowheads="1"/>
                    </pic:cNvPicPr>
                  </pic:nvPicPr>
                  <pic:blipFill>
                    <a:blip r:embed="rId38" cstate="print"/>
                    <a:srcRect l="6673" t="22398" r="6674" b="23242"/>
                    <a:stretch>
                      <a:fillRect/>
                    </a:stretch>
                  </pic:blipFill>
                  <pic:spPr>
                    <a:xfrm>
                      <a:off x="0" y="0"/>
                      <a:ext cx="2543175" cy="2257425"/>
                    </a:xfrm>
                    <a:prstGeom prst="rect">
                      <a:avLst/>
                    </a:prstGeom>
                    <a:noFill/>
                    <a:ln w="9525">
                      <a:noFill/>
                      <a:miter lim="800000"/>
                      <a:headEnd/>
                      <a:tailEnd/>
                    </a:ln>
                  </pic:spPr>
                </pic:pic>
              </a:graphicData>
            </a:graphic>
          </wp:inline>
        </w:drawing>
      </w:r>
      <w:r>
        <w:rPr>
          <w:rFonts w:ascii="Times New Roman" w:hAnsi="Times New Roman"/>
        </w:rPr>
        <w:drawing>
          <wp:inline distT="0" distB="0" distL="0" distR="0">
            <wp:extent cx="2400300" cy="2257425"/>
            <wp:effectExtent l="19050" t="0" r="0" b="0"/>
            <wp:docPr id="25" name="图片 15" descr="说明: 说明: 土体压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5" descr="说明: 说明: 土体压力"/>
                    <pic:cNvPicPr>
                      <a:picLocks noChangeAspect="1" noChangeArrowheads="1"/>
                    </pic:cNvPicPr>
                  </pic:nvPicPr>
                  <pic:blipFill>
                    <a:blip r:embed="rId39" cstate="print"/>
                    <a:srcRect t="17613" r="4419" b="18668"/>
                    <a:stretch>
                      <a:fillRect/>
                    </a:stretch>
                  </pic:blipFill>
                  <pic:spPr>
                    <a:xfrm>
                      <a:off x="0" y="0"/>
                      <a:ext cx="2400300" cy="2257425"/>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bookmarkStart w:id="231" w:name="_Toc433629041"/>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-6</w:t>
      </w:r>
      <w:r>
        <w:rPr>
          <w:rFonts w:hint="eastAsia" w:ascii="黑体" w:hAnsi="黑体" w:eastAsia="黑体"/>
          <w:kern w:val="0"/>
          <w:szCs w:val="21"/>
        </w:rPr>
        <w:t xml:space="preserve">  </w:t>
      </w:r>
      <w:r>
        <w:rPr>
          <w:rFonts w:ascii="黑体" w:hAnsi="黑体" w:eastAsia="黑体"/>
          <w:kern w:val="0"/>
          <w:szCs w:val="21"/>
        </w:rPr>
        <w:t>岩、土体压（应）力监测点安装示意图</w:t>
      </w:r>
      <w:bookmarkEnd w:id="231"/>
      <w:r>
        <w:rPr>
          <w:rFonts w:ascii="黑体" w:hAnsi="黑体" w:eastAsia="黑体"/>
          <w:kern w:val="0"/>
          <w:szCs w:val="21"/>
        </w:rPr>
        <w:t>（单位：cm）</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232" w:name="_Toc534577786"/>
      <w:bookmarkStart w:id="233" w:name="_Toc21966429"/>
      <w:bookmarkStart w:id="234" w:name="_Toc534580143"/>
      <w:r>
        <w:rPr>
          <w:rFonts w:hint="eastAsia" w:ascii="黑体" w:hAnsi="黑体" w:eastAsia="黑体"/>
          <w:bCs/>
          <w:kern w:val="44"/>
          <w:szCs w:val="21"/>
        </w:rPr>
        <w:t>H</w:t>
      </w:r>
      <w:r>
        <w:rPr>
          <w:rFonts w:ascii="黑体" w:hAnsi="黑体" w:eastAsia="黑体"/>
          <w:bCs/>
          <w:kern w:val="44"/>
          <w:szCs w:val="21"/>
        </w:rPr>
        <w:t>.8</w:t>
      </w:r>
      <w:r>
        <w:rPr>
          <w:rFonts w:hint="eastAsia" w:ascii="黑体" w:hAnsi="黑体" w:eastAsia="黑体"/>
          <w:bCs/>
          <w:kern w:val="44"/>
          <w:szCs w:val="21"/>
        </w:rPr>
        <w:t xml:space="preserve">  </w:t>
      </w:r>
      <w:r>
        <w:rPr>
          <w:rFonts w:ascii="黑体" w:hAnsi="黑体" w:eastAsia="黑体"/>
          <w:bCs/>
          <w:kern w:val="44"/>
          <w:szCs w:val="21"/>
        </w:rPr>
        <w:t>滑坡推力自动监测站安装</w:t>
      </w:r>
      <w:bookmarkEnd w:id="232"/>
      <w:bookmarkEnd w:id="233"/>
      <w:bookmarkEnd w:id="234"/>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滑坡推力监测传感器布置安装见图</w:t>
      </w:r>
      <w:r>
        <w:rPr>
          <w:rFonts w:hint="eastAsia" w:ascii="Times New Roman" w:hAnsi="Times New Roman"/>
          <w:szCs w:val="24"/>
        </w:rPr>
        <w:t>H</w:t>
      </w:r>
      <w:r>
        <w:rPr>
          <w:rFonts w:ascii="Times New Roman" w:hAnsi="Times New Roman"/>
          <w:szCs w:val="24"/>
        </w:rPr>
        <w:t>-7。</w:t>
      </w:r>
    </w:p>
    <w:p>
      <w:pPr>
        <w:autoSpaceDE w:val="0"/>
        <w:autoSpaceDN w:val="0"/>
        <w:spacing w:line="300" w:lineRule="auto"/>
        <w:jc w:val="center"/>
        <w:rPr>
          <w:rFonts w:ascii="Times New Roman" w:hAnsi="Times New Roman"/>
          <w:kern w:val="0"/>
          <w:szCs w:val="21"/>
        </w:rPr>
      </w:pPr>
      <w:r>
        <w:rPr>
          <w:rFonts w:ascii="Times New Roman" w:hAnsi="Times New Roman"/>
          <w:kern w:val="0"/>
          <w:szCs w:val="21"/>
        </w:rPr>
        <w:drawing>
          <wp:inline distT="0" distB="0" distL="0" distR="0">
            <wp:extent cx="2876550" cy="2628900"/>
            <wp:effectExtent l="0" t="0" r="0" b="0"/>
            <wp:docPr id="2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pic:cNvPicPr>
                      <a:picLocks noChangeAspect="1" noChangeArrowheads="1"/>
                    </pic:cNvPicPr>
                  </pic:nvPicPr>
                  <pic:blipFill>
                    <a:blip r:embed="rId40" cstate="print">
                      <a:extLst>
                        <a:ext uri="{BEBA8EAE-BF5A-486C-A8C5-ECC9F3942E4B}">
                          <a14:imgProps xmlns:a14="http://schemas.microsoft.com/office/drawing/2010/main">
                            <a14:imgLayer r:embed="rId41">
                              <a14:imgEffect>
                                <a14:saturation sat="0"/>
                              </a14:imgEffect>
                            </a14:imgLayer>
                          </a14:imgProps>
                        </a:ext>
                      </a:extLst>
                    </a:blip>
                    <a:srcRect/>
                    <a:stretch>
                      <a:fillRect/>
                    </a:stretch>
                  </pic:blipFill>
                  <pic:spPr>
                    <a:xfrm>
                      <a:off x="0" y="0"/>
                      <a:ext cx="2876550" cy="26289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-7</w:t>
      </w:r>
      <w:r>
        <w:rPr>
          <w:rFonts w:hint="eastAsia" w:ascii="黑体" w:hAnsi="黑体" w:eastAsia="黑体"/>
          <w:kern w:val="0"/>
          <w:szCs w:val="21"/>
        </w:rPr>
        <w:t xml:space="preserve">  </w:t>
      </w:r>
      <w:r>
        <w:rPr>
          <w:rFonts w:ascii="黑体" w:hAnsi="黑体" w:eastAsia="黑体"/>
          <w:kern w:val="0"/>
          <w:szCs w:val="21"/>
        </w:rPr>
        <w:t>滑坡推力监测传感器布置安装示意图</w:t>
      </w:r>
    </w:p>
    <w:p>
      <w:pPr>
        <w:widowControl/>
        <w:tabs>
          <w:tab w:val="left" w:pos="360"/>
        </w:tabs>
        <w:spacing w:before="120" w:beforeLines="50" w:after="120" w:afterLines="50"/>
        <w:contextualSpacing/>
        <w:jc w:val="center"/>
        <w:rPr>
          <w:rFonts w:ascii="黑体" w:hAnsi="黑体" w:eastAsia="黑体"/>
          <w:kern w:val="0"/>
          <w:szCs w:val="21"/>
        </w:rPr>
      </w:pP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推力管、传感器、管接头应对号联接牢固，定位准确，传感器及管接头安装螺栓应紧固到位，其传感器与管接头安装方位要一致（导槽方向统一），推力管、传感器、管接头都在同一条母线上；各传感器对应的单膜光纤需较松弛而又整齐排列于推力管和管接头导槽内，彼此对应的传感器及其单膜光纤排向一致（同南向或同北向），单膜光纤排列松弛允许曲率半径大于40</w:t>
      </w:r>
      <w:r>
        <w:rPr>
          <w:rFonts w:hint="eastAsia" w:ascii="Times New Roman" w:hAnsi="Times New Roman"/>
          <w:szCs w:val="24"/>
        </w:rPr>
        <w:t xml:space="preserve"> </w:t>
      </w:r>
      <w:r>
        <w:rPr>
          <w:rFonts w:ascii="Times New Roman" w:hAnsi="Times New Roman"/>
          <w:szCs w:val="24"/>
        </w:rPr>
        <w:t>mm，方位角允许误差±15°，记录传感器和其对应单膜光纤的编号与位置关系，对不符合安装技术要求或光纤有破损、折曲（曲率半径小于40</w:t>
      </w:r>
      <w:r>
        <w:rPr>
          <w:rFonts w:hint="eastAsia" w:ascii="Times New Roman" w:hAnsi="Times New Roman"/>
          <w:szCs w:val="24"/>
        </w:rPr>
        <w:t xml:space="preserve"> </w:t>
      </w:r>
      <w:r>
        <w:rPr>
          <w:rFonts w:ascii="Times New Roman" w:hAnsi="Times New Roman"/>
          <w:szCs w:val="24"/>
        </w:rPr>
        <w:t>mm）和记录不完整、不清楚的为安装质量不合格。</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组装完成的推力感应系统应进行合格检测，其安装于孔内的主传感器感应方向与滑坡主滑方向或勘探剖面线方向一致；传感器安装设计位置允许误差：方位</w:t>
      </w:r>
      <w:r>
        <w:rPr>
          <w:rFonts w:asciiTheme="minorEastAsia" w:hAnsiTheme="minorEastAsia" w:eastAsiaTheme="minorEastAsia"/>
          <w:szCs w:val="24"/>
        </w:rPr>
        <w:t>≤</w:t>
      </w:r>
      <w:r>
        <w:rPr>
          <w:rFonts w:ascii="Times New Roman" w:hAnsi="Times New Roman"/>
          <w:szCs w:val="24"/>
        </w:rPr>
        <w:t>±5°，倾角</w:t>
      </w:r>
      <w:r>
        <w:rPr>
          <w:rFonts w:asciiTheme="minorEastAsia" w:hAnsiTheme="minorEastAsia" w:eastAsiaTheme="minorEastAsia"/>
          <w:szCs w:val="24"/>
        </w:rPr>
        <w:t>≤</w:t>
      </w:r>
      <w:r>
        <w:rPr>
          <w:rFonts w:ascii="Times New Roman" w:hAnsi="Times New Roman"/>
          <w:szCs w:val="24"/>
        </w:rPr>
        <w:t>±1°</w:t>
      </w:r>
      <w:r>
        <w:rPr>
          <w:rFonts w:hint="eastAsia" w:ascii="Times New Roman" w:hAnsi="Times New Roman"/>
          <w:szCs w:val="24"/>
        </w:rPr>
        <w:t>/</w:t>
      </w:r>
      <w:r>
        <w:rPr>
          <w:rFonts w:ascii="Times New Roman" w:hAnsi="Times New Roman"/>
          <w:szCs w:val="24"/>
        </w:rPr>
        <w:t>100</w:t>
      </w:r>
      <w:r>
        <w:rPr>
          <w:rFonts w:hint="eastAsia" w:ascii="Times New Roman" w:hAnsi="Times New Roman"/>
          <w:szCs w:val="24"/>
        </w:rPr>
        <w:t xml:space="preserve"> </w:t>
      </w:r>
      <w:r>
        <w:rPr>
          <w:rFonts w:ascii="Times New Roman" w:hAnsi="Times New Roman"/>
          <w:szCs w:val="24"/>
        </w:rPr>
        <w:t>m，各层传感器组孔内分层深度（或指定地层）定位</w:t>
      </w:r>
      <w:r>
        <w:rPr>
          <w:rFonts w:asciiTheme="minorEastAsia" w:hAnsiTheme="minorEastAsia" w:eastAsiaTheme="minorEastAsia"/>
          <w:szCs w:val="24"/>
        </w:rPr>
        <w:t>≤</w:t>
      </w:r>
      <w:r>
        <w:rPr>
          <w:rFonts w:ascii="Times New Roman" w:hAnsi="Times New Roman"/>
          <w:szCs w:val="24"/>
        </w:rPr>
        <w:t>士50</w:t>
      </w:r>
      <w:r>
        <w:rPr>
          <w:rFonts w:hint="eastAsia" w:ascii="Times New Roman" w:hAnsi="Times New Roman"/>
          <w:szCs w:val="24"/>
        </w:rPr>
        <w:t xml:space="preserve"> </w:t>
      </w:r>
      <w:r>
        <w:rPr>
          <w:rFonts w:ascii="Times New Roman" w:hAnsi="Times New Roman"/>
          <w:szCs w:val="24"/>
        </w:rPr>
        <w:t>mm。</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推力感应系统的管底端距孔底400±100</w:t>
      </w:r>
      <w:r>
        <w:rPr>
          <w:rFonts w:hint="eastAsia" w:ascii="Times New Roman" w:hAnsi="Times New Roman"/>
          <w:szCs w:val="24"/>
        </w:rPr>
        <w:t xml:space="preserve"> </w:t>
      </w:r>
      <w:r>
        <w:rPr>
          <w:rFonts w:ascii="Times New Roman" w:hAnsi="Times New Roman"/>
          <w:szCs w:val="24"/>
        </w:rPr>
        <w:t>mm（尽量保持推力感应系统的自然悬垂状态）；推力感应系统在钻孔中的环状间隙尽量均匀，最小间不应小于10</w:t>
      </w:r>
      <w:r>
        <w:rPr>
          <w:rFonts w:hint="eastAsia" w:ascii="Times New Roman" w:hAnsi="Times New Roman"/>
          <w:szCs w:val="24"/>
        </w:rPr>
        <w:t xml:space="preserve"> </w:t>
      </w:r>
      <w:r>
        <w:rPr>
          <w:rFonts w:ascii="Times New Roman" w:hAnsi="Times New Roman"/>
          <w:szCs w:val="24"/>
        </w:rPr>
        <w:t>mm。</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安装到位的推力感应系统必须通过专门的滑坡推力监测位（BYT－5）进行检测，检测合格后方可进行注浆。</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推力感应系统在孔口以上保留各传感器的单膜光纤长度大于15</w:t>
      </w:r>
      <w:r>
        <w:rPr>
          <w:rFonts w:hint="eastAsia" w:ascii="Times New Roman" w:hAnsi="Times New Roman"/>
          <w:szCs w:val="24"/>
        </w:rPr>
        <w:t xml:space="preserve"> </w:t>
      </w:r>
      <w:r>
        <w:rPr>
          <w:rFonts w:ascii="Times New Roman" w:hAnsi="Times New Roman"/>
          <w:szCs w:val="24"/>
        </w:rPr>
        <w:t>m，光纤盘卷曲率半径大于40</w:t>
      </w:r>
      <w:r>
        <w:rPr>
          <w:rFonts w:hint="eastAsia" w:ascii="Times New Roman" w:hAnsi="Times New Roman"/>
          <w:szCs w:val="24"/>
        </w:rPr>
        <w:t xml:space="preserve"> </w:t>
      </w:r>
      <w:r>
        <w:rPr>
          <w:rFonts w:ascii="Times New Roman" w:hAnsi="Times New Roman"/>
          <w:szCs w:val="24"/>
        </w:rPr>
        <w:t>mm，并按来至四个方向光纤编号标记清楚各传感器，作好安装记录，以便地面仪器监测使用。</w:t>
      </w:r>
    </w:p>
    <w:p>
      <w:pPr>
        <w:keepNext/>
        <w:keepLines/>
        <w:adjustRightInd w:val="0"/>
        <w:snapToGrid w:val="0"/>
        <w:spacing w:before="120" w:beforeLines="50" w:after="120" w:afterLines="50"/>
        <w:jc w:val="left"/>
        <w:rPr>
          <w:rFonts w:ascii="黑体" w:hAnsi="黑体" w:eastAsia="黑体"/>
          <w:bCs/>
          <w:kern w:val="44"/>
          <w:szCs w:val="21"/>
        </w:rPr>
      </w:pPr>
      <w:bookmarkStart w:id="235" w:name="_Toc534580144"/>
      <w:bookmarkStart w:id="236" w:name="_Toc21966430"/>
      <w:bookmarkStart w:id="237" w:name="_Toc534577787"/>
      <w:r>
        <w:rPr>
          <w:rFonts w:hint="eastAsia" w:ascii="黑体" w:hAnsi="黑体" w:eastAsia="黑体"/>
          <w:bCs/>
          <w:kern w:val="44"/>
          <w:szCs w:val="21"/>
        </w:rPr>
        <w:t>H</w:t>
      </w:r>
      <w:r>
        <w:rPr>
          <w:rFonts w:ascii="黑体" w:hAnsi="黑体" w:eastAsia="黑体"/>
          <w:bCs/>
          <w:kern w:val="44"/>
          <w:szCs w:val="21"/>
        </w:rPr>
        <w:t>.9</w:t>
      </w:r>
      <w:r>
        <w:rPr>
          <w:rFonts w:hint="eastAsia" w:ascii="黑体" w:hAnsi="黑体" w:eastAsia="黑体"/>
          <w:bCs/>
          <w:kern w:val="44"/>
          <w:szCs w:val="21"/>
        </w:rPr>
        <w:t xml:space="preserve">  </w:t>
      </w:r>
      <w:r>
        <w:rPr>
          <w:rFonts w:ascii="黑体" w:hAnsi="黑体" w:eastAsia="黑体"/>
          <w:bCs/>
          <w:kern w:val="44"/>
          <w:szCs w:val="21"/>
        </w:rPr>
        <w:t>孔隙水渗压自动监测站安装</w:t>
      </w:r>
      <w:bookmarkEnd w:id="235"/>
      <w:bookmarkEnd w:id="236"/>
      <w:bookmarkEnd w:id="237"/>
    </w:p>
    <w:p>
      <w:pPr>
        <w:spacing w:before="120" w:beforeLines="50" w:after="120" w:afterLines="50"/>
        <w:rPr>
          <w:rFonts w:ascii="黑体" w:hAnsi="黑体" w:eastAsia="黑体"/>
          <w:szCs w:val="21"/>
        </w:rPr>
      </w:pPr>
      <w:r>
        <w:rPr>
          <w:rFonts w:hint="eastAsia" w:ascii="黑体" w:hAnsi="黑体" w:eastAsia="黑体"/>
          <w:szCs w:val="21"/>
        </w:rPr>
        <w:t>H.</w:t>
      </w:r>
      <w:r>
        <w:rPr>
          <w:rFonts w:ascii="黑体" w:hAnsi="黑体" w:eastAsia="黑体"/>
          <w:szCs w:val="21"/>
        </w:rPr>
        <w:t>9.1</w:t>
      </w:r>
      <w:r>
        <w:rPr>
          <w:rFonts w:hint="eastAsia" w:ascii="黑体" w:hAnsi="黑体" w:eastAsia="黑体"/>
          <w:szCs w:val="21"/>
        </w:rPr>
        <w:t xml:space="preserve">  </w:t>
      </w:r>
      <w:r>
        <w:rPr>
          <w:rFonts w:ascii="黑体" w:hAnsi="黑体" w:eastAsia="黑体"/>
          <w:szCs w:val="21"/>
        </w:rPr>
        <w:t>传感器安装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将孔隙水压计连接好测试仪进行测量</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调零，手工记录好孔隙水压计编号、零点时温度。</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用测试仪对整个安装过程进行监测。在整个安装过程中，孔隙水压计埋设深度由柔性钢丝长度准确控制。首先把钢丝抱箍固定在孔隙水压计上，柔性钢丝固定在抱箍上。然后把孔隙水压计往孔里面放，在放的同时需要同时放线缆。根据先前确定好的钢丝长度来确定孔隙水位计的安装深度。待安装到预埋深度时，停止放线缆，并同时在孔外固定好钢丝，避免在接下来的施工过程中影响孔隙水压计的位置。确定孔隙水压计安装后工作是否正常。记录好孔隙水压计埋设深度、段面里程、测点编号、现场埋设安装人员、日期、天气。</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将准备好的干粘土球以逐个投入的方式投入钻孔中，干粘土球每填深1米左右，用钢管夯实。</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埋设安装好该断面孔隙水压计后，将孔隙水压计测试导线集中套上PVC钢丝软管进行保护，并挖槽将PVC钢丝软管从一侧引出路基，制作好相应标示牌，插在孔隙水压计导线布置部位，以作标示。并安排专职人员负责看管，以防孔隙水压计导线因施工或自然因素而破坏。</w:t>
      </w:r>
    </w:p>
    <w:p>
      <w:pPr>
        <w:spacing w:before="120" w:beforeLines="50" w:after="120" w:afterLines="50"/>
        <w:rPr>
          <w:rFonts w:ascii="黑体" w:hAnsi="黑体" w:eastAsia="黑体"/>
          <w:szCs w:val="24"/>
        </w:rPr>
      </w:pPr>
      <w:r>
        <w:rPr>
          <w:rFonts w:hint="eastAsia" w:ascii="黑体" w:hAnsi="黑体" w:eastAsia="黑体"/>
          <w:szCs w:val="24"/>
        </w:rPr>
        <w:t>H.</w:t>
      </w:r>
      <w:r>
        <w:rPr>
          <w:rFonts w:ascii="黑体" w:hAnsi="黑体" w:eastAsia="黑体"/>
          <w:szCs w:val="24"/>
        </w:rPr>
        <w:t>9.2</w:t>
      </w:r>
      <w:r>
        <w:rPr>
          <w:rFonts w:hint="eastAsia" w:ascii="黑体" w:hAnsi="黑体" w:eastAsia="黑体"/>
          <w:szCs w:val="21"/>
        </w:rPr>
        <w:t xml:space="preserve">  </w:t>
      </w:r>
      <w:r>
        <w:rPr>
          <w:rFonts w:ascii="黑体" w:hAnsi="黑体" w:eastAsia="黑体"/>
          <w:szCs w:val="24"/>
        </w:rPr>
        <w:t>数据采集终端（RTU）安装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用螺栓、垫片从终端机法兰向下穿过4个底板固定孔，用螺母进行第一次固定，然后将终端机底板上边4个螺栓长出的部分插入一体化支架的法兰盘上，用螺母将终端机与法兰盘拧紧固定；</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打开终端机箱，将锂聚合物电池安装到终端机内；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安装太阳能电池板；</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将渗压计传感器接到终端机上。</w:t>
      </w:r>
    </w:p>
    <w:p>
      <w:pPr>
        <w:jc w:val="center"/>
        <w:rPr>
          <w:rFonts w:ascii="Times New Roman" w:hAnsi="Times New Roman" w:eastAsia="黑体"/>
          <w:kern w:val="0"/>
          <w:szCs w:val="21"/>
        </w:rPr>
      </w:pPr>
      <w:r>
        <w:rPr>
          <w:rFonts w:ascii="Times New Roman" w:hAnsi="Times New Roman" w:eastAsia="黑体"/>
          <w:kern w:val="0"/>
          <w:szCs w:val="21"/>
        </w:rPr>
        <w:drawing>
          <wp:inline distT="0" distB="0" distL="0" distR="0">
            <wp:extent cx="5400675" cy="3236595"/>
            <wp:effectExtent l="0" t="0" r="0" b="0"/>
            <wp:docPr id="27" name="图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59"/>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00675" cy="3237218"/>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-8</w:t>
      </w:r>
      <w:r>
        <w:rPr>
          <w:rFonts w:hint="eastAsia" w:ascii="黑体" w:hAnsi="黑体" w:eastAsia="黑体"/>
          <w:kern w:val="0"/>
          <w:szCs w:val="21"/>
        </w:rPr>
        <w:t xml:space="preserve">  </w:t>
      </w:r>
      <w:r>
        <w:rPr>
          <w:rFonts w:ascii="黑体" w:hAnsi="黑体" w:eastAsia="黑体"/>
          <w:kern w:val="0"/>
          <w:szCs w:val="21"/>
        </w:rPr>
        <w:t>压力式水位计安装示意图</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238" w:name="_Toc534577788"/>
      <w:bookmarkStart w:id="239" w:name="_Toc534580145"/>
      <w:bookmarkStart w:id="240" w:name="_Toc21966431"/>
      <w:r>
        <w:rPr>
          <w:rFonts w:hint="eastAsia" w:ascii="黑体" w:hAnsi="黑体" w:eastAsia="黑体"/>
          <w:bCs/>
          <w:kern w:val="44"/>
          <w:szCs w:val="21"/>
        </w:rPr>
        <w:t>H</w:t>
      </w:r>
      <w:r>
        <w:rPr>
          <w:rFonts w:ascii="黑体" w:hAnsi="黑体" w:eastAsia="黑体"/>
          <w:bCs/>
          <w:kern w:val="44"/>
          <w:szCs w:val="21"/>
        </w:rPr>
        <w:t>.10</w:t>
      </w:r>
      <w:r>
        <w:rPr>
          <w:rFonts w:hint="eastAsia" w:ascii="黑体" w:hAnsi="黑体" w:eastAsia="黑体"/>
          <w:bCs/>
          <w:kern w:val="44"/>
          <w:szCs w:val="21"/>
        </w:rPr>
        <w:t xml:space="preserve">  </w:t>
      </w:r>
      <w:r>
        <w:rPr>
          <w:rFonts w:ascii="黑体" w:hAnsi="黑体" w:eastAsia="黑体"/>
          <w:bCs/>
          <w:kern w:val="44"/>
          <w:szCs w:val="21"/>
        </w:rPr>
        <w:t>雨量自动监测站安装</w:t>
      </w:r>
      <w:bookmarkEnd w:id="238"/>
      <w:bookmarkEnd w:id="239"/>
      <w:bookmarkEnd w:id="240"/>
    </w:p>
    <w:p>
      <w:pPr>
        <w:spacing w:before="120" w:beforeLines="50" w:after="120" w:afterLines="50"/>
        <w:rPr>
          <w:rFonts w:ascii="Times New Roman" w:hAnsi="Times New Roman"/>
          <w:b/>
          <w:szCs w:val="24"/>
        </w:rPr>
      </w:pPr>
      <w:r>
        <w:rPr>
          <w:rFonts w:hint="eastAsia" w:ascii="黑体" w:hAnsi="黑体" w:eastAsia="黑体"/>
          <w:szCs w:val="21"/>
        </w:rPr>
        <w:t>H.</w:t>
      </w:r>
      <w:r>
        <w:rPr>
          <w:rFonts w:ascii="黑体" w:hAnsi="黑体" w:eastAsia="黑体"/>
          <w:szCs w:val="21"/>
        </w:rPr>
        <w:t>10.1</w:t>
      </w:r>
      <w:r>
        <w:rPr>
          <w:rFonts w:hint="eastAsia" w:ascii="黑体" w:hAnsi="黑体" w:eastAsia="黑体"/>
          <w:szCs w:val="21"/>
        </w:rPr>
        <w:t xml:space="preserve">  </w:t>
      </w:r>
      <w:r>
        <w:rPr>
          <w:rFonts w:ascii="黑体" w:hAnsi="黑体" w:eastAsia="黑体"/>
          <w:szCs w:val="21"/>
        </w:rPr>
        <w:t>雨量传感器的安装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雨量传感器安装时，应用水平将承雨口校平。</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雨量传感器底座上三个地角的安装孔借3个M6地脚螺栓、螺线（或膨胀螺钉）将其固定在基座上。基座埋入土中深度应能保证仪器安装牢固，在暴风雨中不发生抖动或倾斜。</w:t>
      </w:r>
    </w:p>
    <w:p>
      <w:pPr>
        <w:spacing w:line="360" w:lineRule="auto"/>
        <w:ind w:left="780" w:leftChars="200" w:hanging="360" w:hangingChars="200"/>
        <w:rPr>
          <w:rFonts w:ascii="Times New Roman" w:hAnsi="Times New Roman"/>
          <w:sz w:val="18"/>
          <w:szCs w:val="18"/>
        </w:rPr>
      </w:pPr>
      <w:r>
        <w:rPr>
          <w:rFonts w:ascii="黑体" w:hAnsi="黑体" w:eastAsia="黑体"/>
          <w:sz w:val="18"/>
          <w:szCs w:val="18"/>
        </w:rPr>
        <w:t>注：</w:t>
      </w:r>
      <w:r>
        <w:rPr>
          <w:rFonts w:ascii="Times New Roman" w:hAnsi="Times New Roman"/>
          <w:sz w:val="18"/>
          <w:szCs w:val="18"/>
        </w:rPr>
        <w:t>应确保三个地脚螺栓M6*60三等分120°，三个地脚螺钉中心所在圆周直径为Φ236 mm或Φ280 mm。</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调整调平螺钉，使圆水泡居中，仪器调平后，再缓慢将三个固定螺钉拧紧，如水准泡改变，再重新调整，将其固定。</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基座应有排水管道出口和电缆的通道。如需要收集排水量以检测系统的测量精度，应建造一个安装放集水容器的小室（坑）。</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信号输出电缆为两芯屏蔽线。</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电缆从仪器底座橡胶电缆套穿进，用螺帽锁紧，以增加抗拉强度，避免接线拉脱。电缆两芯电线分别剥长20</w:t>
      </w:r>
      <w:r>
        <w:rPr>
          <w:rFonts w:hint="eastAsia" w:ascii="Times New Roman" w:hAnsi="Times New Roman"/>
          <w:szCs w:val="24"/>
        </w:rPr>
        <w:t xml:space="preserve"> </w:t>
      </w:r>
      <w:r>
        <w:rPr>
          <w:rFonts w:ascii="Times New Roman" w:hAnsi="Times New Roman"/>
          <w:szCs w:val="24"/>
        </w:rPr>
        <w:t>mm，折半，绞成股，塞进接线座中常用发信部件的两接线孔，用螺钉紧固。</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g)  </w:t>
      </w:r>
      <w:r>
        <w:rPr>
          <w:rFonts w:ascii="Times New Roman" w:hAnsi="Times New Roman"/>
          <w:szCs w:val="24"/>
        </w:rPr>
        <w:t>用手轻轻</w:t>
      </w:r>
      <w:r>
        <w:rPr>
          <w:rFonts w:hint="eastAsia" w:ascii="Times New Roman" w:hAnsi="Times New Roman"/>
          <w:szCs w:val="24"/>
        </w:rPr>
        <w:t>拨</w:t>
      </w:r>
      <w:r>
        <w:rPr>
          <w:rFonts w:ascii="Times New Roman" w:hAnsi="Times New Roman"/>
          <w:szCs w:val="24"/>
        </w:rPr>
        <w:t>翻斗部件，检查接收部分的信号是否正常。</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h)  </w:t>
      </w:r>
      <w:r>
        <w:rPr>
          <w:rFonts w:ascii="Times New Roman" w:hAnsi="Times New Roman"/>
          <w:szCs w:val="24"/>
        </w:rPr>
        <w:t>进行人工给水检定。</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i)  </w:t>
      </w:r>
      <w:r>
        <w:rPr>
          <w:rFonts w:ascii="Times New Roman" w:hAnsi="Times New Roman"/>
          <w:szCs w:val="24"/>
        </w:rPr>
        <w:t>将承雨部件筒套在基座上，至此，仪器安装完毕。</w:t>
      </w:r>
    </w:p>
    <w:p>
      <w:pPr>
        <w:spacing w:before="120" w:beforeLines="50" w:after="120" w:afterLines="50"/>
        <w:rPr>
          <w:rFonts w:ascii="Times New Roman" w:hAnsi="Times New Roman"/>
          <w:szCs w:val="24"/>
        </w:rPr>
      </w:pPr>
      <w:r>
        <w:rPr>
          <w:rFonts w:hint="eastAsia" w:ascii="Times New Roman" w:hAnsi="Times New Roman"/>
          <w:szCs w:val="24"/>
        </w:rPr>
        <w:t>G.</w:t>
      </w:r>
      <w:r>
        <w:rPr>
          <w:rFonts w:ascii="Times New Roman" w:hAnsi="Times New Roman"/>
          <w:szCs w:val="24"/>
        </w:rPr>
        <w:t>10.2</w:t>
      </w:r>
      <w:r>
        <w:rPr>
          <w:rFonts w:hint="eastAsia" w:ascii="黑体" w:hAnsi="黑体" w:eastAsia="黑体"/>
          <w:szCs w:val="21"/>
        </w:rPr>
        <w:t xml:space="preserve">  </w:t>
      </w:r>
      <w:r>
        <w:rPr>
          <w:rFonts w:ascii="Times New Roman" w:hAnsi="Times New Roman"/>
          <w:szCs w:val="24"/>
        </w:rPr>
        <w:t>终端机安装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用螺栓、垫片从终端机法兰向下穿过4个底板固定孔，用螺母进行第一次固定，然后将终端机机箱底板上边4个螺栓长出的部分插入一体化支架的法兰盘上，用螺母将终端机与法兰盘拧紧固定；</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拧开终端机箱上的螺丝，抽出终端机固定板，依次将机箱内预留的雨量线接头接到终端机上的雨量端口，雨量线另一端接到雨量桶的接线端子上，再将4.2</w:t>
      </w:r>
      <w:r>
        <w:rPr>
          <w:rFonts w:hint="eastAsia" w:ascii="Times New Roman" w:hAnsi="Times New Roman"/>
          <w:szCs w:val="24"/>
        </w:rPr>
        <w:t xml:space="preserve"> </w:t>
      </w:r>
      <w:r>
        <w:rPr>
          <w:rFonts w:ascii="Times New Roman" w:hAnsi="Times New Roman"/>
          <w:szCs w:val="24"/>
        </w:rPr>
        <w:t>V/16</w:t>
      </w:r>
      <w:r>
        <w:rPr>
          <w:rFonts w:hint="eastAsia" w:ascii="Times New Roman" w:hAnsi="Times New Roman"/>
          <w:szCs w:val="24"/>
        </w:rPr>
        <w:t xml:space="preserve"> </w:t>
      </w:r>
      <w:r>
        <w:rPr>
          <w:rFonts w:ascii="Times New Roman" w:hAnsi="Times New Roman"/>
          <w:szCs w:val="24"/>
        </w:rPr>
        <w:t>AH锂电池端子插接到终端机上的电源接口上；最后将安装太阳能电池板接线端子插到终端机的充电端子上。</w:t>
      </w:r>
    </w:p>
    <w:p>
      <w:pPr>
        <w:keepNext/>
        <w:keepLines/>
        <w:adjustRightInd w:val="0"/>
        <w:snapToGrid w:val="0"/>
        <w:spacing w:before="120" w:beforeLines="50" w:after="120" w:afterLines="50"/>
        <w:jc w:val="left"/>
        <w:rPr>
          <w:rFonts w:ascii="黑体" w:hAnsi="黑体" w:eastAsia="黑体"/>
          <w:bCs/>
          <w:kern w:val="44"/>
          <w:szCs w:val="21"/>
        </w:rPr>
      </w:pPr>
      <w:bookmarkStart w:id="241" w:name="_Toc534577789"/>
      <w:bookmarkStart w:id="242" w:name="_Toc21966432"/>
      <w:bookmarkStart w:id="243" w:name="_Toc534580146"/>
      <w:r>
        <w:rPr>
          <w:rFonts w:hint="eastAsia" w:ascii="黑体" w:hAnsi="黑体" w:eastAsia="黑体"/>
          <w:bCs/>
          <w:kern w:val="44"/>
          <w:szCs w:val="21"/>
        </w:rPr>
        <w:t>H</w:t>
      </w:r>
      <w:r>
        <w:rPr>
          <w:rFonts w:ascii="黑体" w:hAnsi="黑体" w:eastAsia="黑体"/>
          <w:bCs/>
          <w:kern w:val="44"/>
          <w:szCs w:val="21"/>
        </w:rPr>
        <w:t>.11</w:t>
      </w:r>
      <w:r>
        <w:rPr>
          <w:rFonts w:hint="eastAsia" w:ascii="黑体" w:hAnsi="黑体" w:eastAsia="黑体"/>
          <w:bCs/>
          <w:kern w:val="44"/>
          <w:szCs w:val="21"/>
        </w:rPr>
        <w:t xml:space="preserve">  </w:t>
      </w:r>
      <w:r>
        <w:rPr>
          <w:rFonts w:ascii="黑体" w:hAnsi="黑体" w:eastAsia="黑体"/>
          <w:bCs/>
          <w:kern w:val="44"/>
          <w:szCs w:val="21"/>
        </w:rPr>
        <w:t>含水率自动监测站安装</w:t>
      </w:r>
      <w:bookmarkEnd w:id="241"/>
      <w:bookmarkEnd w:id="242"/>
      <w:bookmarkEnd w:id="243"/>
    </w:p>
    <w:p>
      <w:pPr>
        <w:spacing w:before="120" w:beforeLines="50" w:after="120" w:afterLines="50"/>
        <w:rPr>
          <w:rFonts w:ascii="黑体" w:hAnsi="黑体" w:eastAsia="黑体"/>
          <w:szCs w:val="24"/>
        </w:rPr>
      </w:pPr>
      <w:r>
        <w:rPr>
          <w:rFonts w:hint="eastAsia" w:ascii="黑体" w:hAnsi="黑体" w:eastAsia="黑体"/>
          <w:szCs w:val="24"/>
        </w:rPr>
        <w:t xml:space="preserve">H.11.1  </w:t>
      </w:r>
      <w:r>
        <w:rPr>
          <w:rFonts w:ascii="黑体" w:hAnsi="黑体" w:eastAsia="黑体"/>
          <w:szCs w:val="24"/>
        </w:rPr>
        <w:t>土壤含水率传感器安装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在水泥基墩旁边挖一个1.5</w:t>
      </w:r>
      <w:r>
        <w:rPr>
          <w:rFonts w:hint="eastAsia" w:ascii="Times New Roman" w:hAnsi="Times New Roman"/>
          <w:szCs w:val="24"/>
        </w:rPr>
        <w:t xml:space="preserve"> </w:t>
      </w:r>
      <w:r>
        <w:rPr>
          <w:rFonts w:ascii="Times New Roman" w:hAnsi="Times New Roman"/>
          <w:szCs w:val="24"/>
        </w:rPr>
        <w:t>m深的坑。</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传感器分别在1.5</w:t>
      </w:r>
      <w:r>
        <w:rPr>
          <w:rFonts w:hint="eastAsia" w:ascii="Times New Roman" w:hAnsi="Times New Roman"/>
          <w:szCs w:val="24"/>
        </w:rPr>
        <w:t xml:space="preserve"> </w:t>
      </w:r>
      <w:r>
        <w:rPr>
          <w:rFonts w:ascii="Times New Roman" w:hAnsi="Times New Roman"/>
          <w:szCs w:val="24"/>
        </w:rPr>
        <w:t>m</w:t>
      </w:r>
      <w:r>
        <w:rPr>
          <w:rFonts w:hint="eastAsia" w:ascii="Times New Roman" w:hAnsi="Times New Roman"/>
          <w:szCs w:val="24"/>
        </w:rPr>
        <w:t>、</w:t>
      </w:r>
      <w:r>
        <w:rPr>
          <w:rFonts w:ascii="Times New Roman" w:hAnsi="Times New Roman"/>
          <w:szCs w:val="24"/>
        </w:rPr>
        <w:t>1.0</w:t>
      </w:r>
      <w:r>
        <w:rPr>
          <w:rFonts w:hint="eastAsia" w:ascii="Times New Roman" w:hAnsi="Times New Roman"/>
          <w:szCs w:val="24"/>
        </w:rPr>
        <w:t xml:space="preserve"> </w:t>
      </w:r>
      <w:r>
        <w:rPr>
          <w:rFonts w:ascii="Times New Roman" w:hAnsi="Times New Roman"/>
          <w:szCs w:val="24"/>
        </w:rPr>
        <w:t>m和0.5</w:t>
      </w:r>
      <w:r>
        <w:rPr>
          <w:rFonts w:hint="eastAsia" w:ascii="Times New Roman" w:hAnsi="Times New Roman"/>
          <w:szCs w:val="24"/>
        </w:rPr>
        <w:t xml:space="preserve"> </w:t>
      </w:r>
      <w:r>
        <w:rPr>
          <w:rFonts w:ascii="Times New Roman" w:hAnsi="Times New Roman"/>
          <w:szCs w:val="24"/>
        </w:rPr>
        <w:t>m的地方放置，可以更好的监测土壤的湿度。</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每只传感器都用Φ50</w:t>
      </w:r>
      <w:r>
        <w:rPr>
          <w:rFonts w:hint="eastAsia" w:ascii="Times New Roman" w:hAnsi="Times New Roman"/>
          <w:szCs w:val="24"/>
        </w:rPr>
        <w:t xml:space="preserve"> </w:t>
      </w:r>
      <w:r>
        <w:rPr>
          <w:rFonts w:ascii="Times New Roman" w:hAnsi="Times New Roman"/>
          <w:szCs w:val="24"/>
        </w:rPr>
        <w:t>PVC管、三通套牢，连接到采集仪上。</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接线时应注意电源电压值和极性，确保信号线连接正确。</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测量时传感器探针要完全插入土壤中，并确保与土壤紧密接触。</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被测点应尽量避开孔穴、石子、根茎较多的地方。</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g)  </w:t>
      </w:r>
      <w:r>
        <w:rPr>
          <w:rFonts w:ascii="Times New Roman" w:hAnsi="Times New Roman"/>
          <w:szCs w:val="24"/>
        </w:rPr>
        <w:t>如果土质较硬，应先钻孔（孔径应小于探针直径），再插入土壤测量。</w:t>
      </w:r>
    </w:p>
    <w:p>
      <w:pPr>
        <w:jc w:val="center"/>
        <w:rPr>
          <w:rFonts w:ascii="Times New Roman" w:hAnsi="Times New Roman"/>
        </w:rPr>
      </w:pPr>
      <w:r>
        <w:rPr>
          <w:rFonts w:ascii="Times New Roman" w:hAnsi="Times New Roman"/>
        </w:rPr>
        <w:drawing>
          <wp:inline distT="0" distB="0" distL="0" distR="0">
            <wp:extent cx="3776980" cy="3267075"/>
            <wp:effectExtent l="0" t="0" r="0" b="0"/>
            <wp:docPr id="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776999" cy="3267075"/>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-9</w:t>
      </w:r>
      <w:r>
        <w:rPr>
          <w:rFonts w:hint="eastAsia" w:ascii="黑体" w:hAnsi="黑体" w:eastAsia="黑体"/>
          <w:kern w:val="0"/>
          <w:szCs w:val="21"/>
        </w:rPr>
        <w:t xml:space="preserve">  </w:t>
      </w:r>
      <w:r>
        <w:rPr>
          <w:rFonts w:ascii="黑体" w:hAnsi="黑体" w:eastAsia="黑体"/>
          <w:kern w:val="0"/>
          <w:szCs w:val="21"/>
        </w:rPr>
        <w:t>土壤含水率传感器安装示意图</w:t>
      </w:r>
    </w:p>
    <w:p>
      <w:pPr>
        <w:widowControl/>
        <w:tabs>
          <w:tab w:val="left" w:pos="360"/>
        </w:tabs>
        <w:spacing w:before="120" w:beforeLines="50" w:after="120" w:afterLines="50"/>
        <w:contextualSpacing/>
        <w:jc w:val="center"/>
        <w:rPr>
          <w:rFonts w:ascii="黑体" w:hAnsi="黑体" w:eastAsia="黑体"/>
          <w:kern w:val="0"/>
          <w:szCs w:val="21"/>
        </w:rPr>
      </w:pPr>
    </w:p>
    <w:p>
      <w:pPr>
        <w:spacing w:before="120" w:beforeLines="50" w:after="120" w:afterLines="50"/>
        <w:rPr>
          <w:rFonts w:ascii="黑体" w:hAnsi="黑体" w:eastAsia="黑体"/>
          <w:szCs w:val="24"/>
        </w:rPr>
      </w:pPr>
      <w:r>
        <w:rPr>
          <w:rFonts w:hint="eastAsia" w:ascii="黑体" w:hAnsi="黑体" w:eastAsia="黑体"/>
          <w:szCs w:val="24"/>
        </w:rPr>
        <w:t xml:space="preserve">H.11.2  </w:t>
      </w:r>
      <w:r>
        <w:rPr>
          <w:rFonts w:ascii="黑体" w:hAnsi="黑体" w:eastAsia="黑体"/>
          <w:szCs w:val="24"/>
        </w:rPr>
        <w:t>数据采集终端（RTU）安装</w:t>
      </w:r>
    </w:p>
    <w:p>
      <w:pPr>
        <w:spacing w:line="360" w:lineRule="auto"/>
        <w:ind w:left="840" w:leftChars="200" w:hanging="420" w:hangingChars="200"/>
        <w:rPr>
          <w:rFonts w:ascii="Times New Roman" w:hAnsi="Times New Roman"/>
          <w:szCs w:val="24"/>
        </w:rPr>
      </w:pPr>
      <w:r>
        <w:rPr>
          <w:rFonts w:ascii="Times New Roman" w:hAnsi="Times New Roman"/>
          <w:szCs w:val="24"/>
        </w:rPr>
        <w:t>a</w:t>
      </w:r>
      <w:r>
        <w:rPr>
          <w:rFonts w:hint="eastAsia" w:ascii="宋体" w:hAnsi="宋体"/>
          <w:szCs w:val="21"/>
        </w:rPr>
        <w:t xml:space="preserve">)  </w:t>
      </w:r>
      <w:r>
        <w:rPr>
          <w:rFonts w:ascii="Times New Roman" w:hAnsi="Times New Roman"/>
          <w:szCs w:val="24"/>
        </w:rPr>
        <w:t>用螺栓、垫片从终端机法兰向下穿过4个底板固定孔，用螺母进行第一次固定，然后将终端机底板上边4个螺栓长出的部分插入一体化支架的法兰盘上，用螺母将终端机与法兰盘拧紧固定</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b</w:t>
      </w:r>
      <w:r>
        <w:rPr>
          <w:rFonts w:hint="eastAsia" w:ascii="宋体" w:hAnsi="宋体"/>
          <w:szCs w:val="21"/>
        </w:rPr>
        <w:t xml:space="preserve">)  </w:t>
      </w:r>
      <w:r>
        <w:rPr>
          <w:rFonts w:ascii="Times New Roman" w:hAnsi="Times New Roman"/>
          <w:szCs w:val="24"/>
        </w:rPr>
        <w:t>将锂聚合物电池安装到终端机内</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c</w:t>
      </w:r>
      <w:r>
        <w:rPr>
          <w:rFonts w:hint="eastAsia" w:ascii="宋体" w:hAnsi="宋体"/>
          <w:szCs w:val="21"/>
        </w:rPr>
        <w:t xml:space="preserve">)  </w:t>
      </w:r>
      <w:r>
        <w:rPr>
          <w:rFonts w:ascii="Times New Roman" w:hAnsi="Times New Roman"/>
          <w:szCs w:val="24"/>
        </w:rPr>
        <w:t>安装太阳能电池板</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d</w:t>
      </w:r>
      <w:r>
        <w:rPr>
          <w:rFonts w:hint="eastAsia" w:ascii="宋体" w:hAnsi="宋体"/>
          <w:szCs w:val="21"/>
        </w:rPr>
        <w:t xml:space="preserve">)  </w:t>
      </w:r>
      <w:r>
        <w:rPr>
          <w:rFonts w:ascii="Times New Roman" w:hAnsi="Times New Roman"/>
          <w:szCs w:val="24"/>
        </w:rPr>
        <w:t>整体安装注意事项</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e</w:t>
      </w:r>
      <w:r>
        <w:rPr>
          <w:rFonts w:hint="eastAsia" w:ascii="宋体" w:hAnsi="宋体"/>
          <w:szCs w:val="21"/>
        </w:rPr>
        <w:t xml:space="preserve">)  </w:t>
      </w:r>
      <w:r>
        <w:rPr>
          <w:rFonts w:ascii="Times New Roman" w:hAnsi="Times New Roman"/>
          <w:szCs w:val="24"/>
        </w:rPr>
        <w:t>立杆前，用RTU连接传感器进行数据采集，通信测试，确保功能正常后进行安装</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f</w:t>
      </w:r>
      <w:r>
        <w:rPr>
          <w:rFonts w:hint="eastAsia" w:ascii="宋体" w:hAnsi="宋体"/>
          <w:szCs w:val="21"/>
        </w:rPr>
        <w:t xml:space="preserve">)  </w:t>
      </w:r>
      <w:r>
        <w:rPr>
          <w:rFonts w:ascii="Times New Roman" w:hAnsi="Times New Roman"/>
          <w:szCs w:val="24"/>
        </w:rPr>
        <w:t>安装太阳能板支架、设备箱，注意电池正负极与设备正确连接</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g</w:t>
      </w:r>
      <w:r>
        <w:rPr>
          <w:rFonts w:hint="eastAsia" w:ascii="宋体" w:hAnsi="宋体"/>
          <w:szCs w:val="21"/>
        </w:rPr>
        <w:t xml:space="preserve">)  </w:t>
      </w:r>
      <w:r>
        <w:rPr>
          <w:rFonts w:ascii="Times New Roman" w:hAnsi="Times New Roman"/>
          <w:szCs w:val="24"/>
        </w:rPr>
        <w:t>注意隐蔽工程，所有走线全部穿孔，机箱外部不散落线缆</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h</w:t>
      </w:r>
      <w:r>
        <w:rPr>
          <w:rFonts w:hint="eastAsia" w:ascii="宋体" w:hAnsi="宋体"/>
          <w:szCs w:val="21"/>
        </w:rPr>
        <w:t xml:space="preserve">)  </w:t>
      </w:r>
      <w:r>
        <w:rPr>
          <w:rFonts w:ascii="Times New Roman" w:hAnsi="Times New Roman"/>
          <w:szCs w:val="24"/>
        </w:rPr>
        <w:t>安装完毕，给设备加电，启动测量，检查传感器采集数据是否与实际数据相符</w:t>
      </w:r>
      <w:r>
        <w:rPr>
          <w:rFonts w:hint="eastAsia" w:ascii="Times New Roman" w:hAnsi="Times New Roman"/>
          <w:szCs w:val="24"/>
        </w:rPr>
        <w:t>。</w:t>
      </w:r>
    </w:p>
    <w:p>
      <w:pPr>
        <w:keepNext/>
        <w:keepLines/>
        <w:adjustRightInd w:val="0"/>
        <w:snapToGrid w:val="0"/>
        <w:spacing w:before="120" w:beforeLines="50" w:after="120" w:afterLines="50"/>
        <w:jc w:val="left"/>
        <w:rPr>
          <w:rFonts w:ascii="黑体" w:hAnsi="黑体" w:eastAsia="黑体"/>
          <w:bCs/>
          <w:kern w:val="44"/>
          <w:szCs w:val="21"/>
        </w:rPr>
      </w:pPr>
      <w:bookmarkStart w:id="244" w:name="_Toc534580147"/>
      <w:bookmarkStart w:id="245" w:name="_Toc534577790"/>
      <w:bookmarkStart w:id="246" w:name="_Toc21966433"/>
      <w:r>
        <w:rPr>
          <w:rFonts w:hint="eastAsia" w:ascii="黑体" w:hAnsi="黑体" w:eastAsia="黑体"/>
          <w:bCs/>
          <w:kern w:val="44"/>
          <w:szCs w:val="21"/>
        </w:rPr>
        <w:t>H</w:t>
      </w:r>
      <w:r>
        <w:rPr>
          <w:rFonts w:ascii="黑体" w:hAnsi="黑体" w:eastAsia="黑体"/>
          <w:bCs/>
          <w:kern w:val="44"/>
          <w:szCs w:val="21"/>
        </w:rPr>
        <w:t>.12</w:t>
      </w:r>
      <w:r>
        <w:rPr>
          <w:rFonts w:hint="eastAsia" w:ascii="黑体" w:hAnsi="黑体" w:eastAsia="黑体"/>
          <w:bCs/>
          <w:kern w:val="44"/>
          <w:szCs w:val="21"/>
        </w:rPr>
        <w:t xml:space="preserve">  </w:t>
      </w:r>
      <w:r>
        <w:rPr>
          <w:rFonts w:ascii="黑体" w:hAnsi="黑体" w:eastAsia="黑体"/>
          <w:bCs/>
          <w:kern w:val="44"/>
          <w:szCs w:val="21"/>
        </w:rPr>
        <w:t>地下水自动监测站安装</w:t>
      </w:r>
      <w:bookmarkEnd w:id="244"/>
      <w:bookmarkEnd w:id="245"/>
      <w:bookmarkEnd w:id="246"/>
    </w:p>
    <w:p>
      <w:pPr>
        <w:spacing w:before="120" w:beforeLines="50" w:after="120" w:afterLines="50"/>
        <w:rPr>
          <w:rFonts w:ascii="黑体" w:hAnsi="黑体" w:eastAsia="黑体"/>
          <w:szCs w:val="21"/>
        </w:rPr>
      </w:pPr>
      <w:r>
        <w:rPr>
          <w:rFonts w:hint="eastAsia" w:ascii="黑体" w:hAnsi="黑体" w:eastAsia="黑体"/>
          <w:szCs w:val="21"/>
        </w:rPr>
        <w:t>H.</w:t>
      </w:r>
      <w:r>
        <w:rPr>
          <w:rFonts w:ascii="黑体" w:hAnsi="黑体" w:eastAsia="黑体"/>
          <w:szCs w:val="21"/>
        </w:rPr>
        <w:t>12.1</w:t>
      </w:r>
      <w:r>
        <w:rPr>
          <w:rFonts w:hint="eastAsia" w:ascii="黑体" w:hAnsi="黑体" w:eastAsia="黑体"/>
          <w:szCs w:val="21"/>
        </w:rPr>
        <w:t xml:space="preserve">  </w:t>
      </w:r>
      <w:r>
        <w:rPr>
          <w:rFonts w:ascii="黑体" w:hAnsi="黑体" w:eastAsia="黑体"/>
          <w:szCs w:val="21"/>
        </w:rPr>
        <w:t>地下水监测孔井管安装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按地下水监测（钻）孔施工和成孔要求检査班报表，核定设计的花管长度与深度、包裏滤网、填砂砾深度、填粘土隔离地表水等。</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松散层中的监测孔，应设置滤水管。滤水管外周边回填的砂砾石厚度不宜小于30</w:t>
      </w:r>
      <w:r>
        <w:rPr>
          <w:rFonts w:hint="eastAsia" w:ascii="Times New Roman" w:hAnsi="Times New Roman"/>
          <w:szCs w:val="24"/>
        </w:rPr>
        <w:t xml:space="preserve"> </w:t>
      </w:r>
      <w:r>
        <w:rPr>
          <w:rFonts w:ascii="Times New Roman" w:hAnsi="Times New Roman"/>
          <w:szCs w:val="24"/>
        </w:rPr>
        <w:t xml:space="preserve">mm，粒径和级配及填埋部位应符合设计。 </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用测钟进行简易水文观测，检验测钟是否能顺利下入孔底或到液面，符合观测质量要求则为合格。</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孔口保护管安装：孔口保护管与孔口平台固结牢固，固结长度不小于1</w:t>
      </w:r>
      <w:r>
        <w:rPr>
          <w:rFonts w:hint="eastAsia" w:ascii="Times New Roman" w:hAnsi="Times New Roman"/>
          <w:szCs w:val="24"/>
        </w:rPr>
        <w:t xml:space="preserve"> </w:t>
      </w:r>
      <w:r>
        <w:rPr>
          <w:rFonts w:ascii="Times New Roman" w:hAnsi="Times New Roman"/>
          <w:szCs w:val="24"/>
        </w:rPr>
        <w:t>m；孔口保护管与滤水管同轴度允许偏差最大6</w:t>
      </w:r>
      <w:r>
        <w:rPr>
          <w:rFonts w:hint="eastAsia" w:ascii="Times New Roman" w:hAnsi="Times New Roman"/>
          <w:szCs w:val="24"/>
        </w:rPr>
        <w:t xml:space="preserve"> </w:t>
      </w:r>
      <w:r>
        <w:rPr>
          <w:rFonts w:ascii="Times New Roman" w:hAnsi="Times New Roman"/>
          <w:szCs w:val="24"/>
        </w:rPr>
        <w:t>mm（居中），两者之间间隙用固管砂浆填充饱满，基本平齐滤水管口（低于管口3</w:t>
      </w:r>
      <w:r>
        <w:rPr>
          <w:rFonts w:hint="eastAsia" w:ascii="Times New Roman" w:hAnsi="Times New Roman"/>
          <w:szCs w:val="24"/>
        </w:rPr>
        <w:t>-</w:t>
      </w:r>
      <w:r>
        <w:rPr>
          <w:rFonts w:ascii="Times New Roman" w:hAnsi="Times New Roman"/>
          <w:szCs w:val="24"/>
        </w:rPr>
        <w:t>10</w:t>
      </w:r>
      <w:r>
        <w:rPr>
          <w:rFonts w:hint="eastAsia" w:ascii="Times New Roman" w:hAnsi="Times New Roman"/>
          <w:szCs w:val="24"/>
        </w:rPr>
        <w:t xml:space="preserve"> </w:t>
      </w:r>
      <w:r>
        <w:rPr>
          <w:rFonts w:ascii="Times New Roman" w:hAnsi="Times New Roman"/>
          <w:szCs w:val="24"/>
        </w:rPr>
        <w:t>mm），保护管内清洁；孔口保护管出露平台高度符合设计并确保孔口保护管上的一个小孔露出平台；孔口保护管冒与滤水管口间距一般300</w:t>
      </w:r>
      <w:r>
        <w:rPr>
          <w:rFonts w:hint="eastAsia" w:ascii="Times New Roman" w:hAnsi="Times New Roman"/>
          <w:szCs w:val="24"/>
        </w:rPr>
        <w:t>-</w:t>
      </w:r>
      <w:r>
        <w:rPr>
          <w:rFonts w:ascii="Times New Roman" w:hAnsi="Times New Roman"/>
          <w:szCs w:val="24"/>
        </w:rPr>
        <w:t>350</w:t>
      </w:r>
      <w:r>
        <w:rPr>
          <w:rFonts w:hint="eastAsia" w:ascii="Times New Roman" w:hAnsi="Times New Roman"/>
          <w:szCs w:val="24"/>
        </w:rPr>
        <w:t xml:space="preserve"> </w:t>
      </w:r>
      <w:r>
        <w:rPr>
          <w:rFonts w:ascii="Times New Roman" w:hAnsi="Times New Roman"/>
          <w:szCs w:val="24"/>
        </w:rPr>
        <w:t>m（保护管内隔离板盖下方70土15</w:t>
      </w:r>
      <w:r>
        <w:rPr>
          <w:rFonts w:hint="eastAsia" w:ascii="Times New Roman" w:hAnsi="Times New Roman"/>
          <w:szCs w:val="24"/>
        </w:rPr>
        <w:t xml:space="preserve"> </w:t>
      </w:r>
      <w:r>
        <w:rPr>
          <w:rFonts w:ascii="Times New Roman" w:hAnsi="Times New Roman"/>
          <w:szCs w:val="24"/>
        </w:rPr>
        <w:t>mm）：孔口保护盖开合顺畅，符合设计要求。</w:t>
      </w:r>
    </w:p>
    <w:p>
      <w:pPr>
        <w:spacing w:before="120" w:beforeLines="50" w:after="120" w:afterLines="50"/>
        <w:rPr>
          <w:rFonts w:ascii="黑体" w:hAnsi="黑体" w:eastAsia="黑体"/>
          <w:szCs w:val="24"/>
        </w:rPr>
      </w:pPr>
      <w:r>
        <w:rPr>
          <w:rFonts w:hint="eastAsia" w:ascii="黑体" w:hAnsi="黑体" w:eastAsia="黑体"/>
          <w:szCs w:val="24"/>
        </w:rPr>
        <w:t>H.</w:t>
      </w:r>
      <w:r>
        <w:rPr>
          <w:rFonts w:ascii="黑体" w:hAnsi="黑体" w:eastAsia="黑体"/>
          <w:szCs w:val="24"/>
        </w:rPr>
        <w:t>12.2</w:t>
      </w:r>
      <w:r>
        <w:rPr>
          <w:rFonts w:hint="eastAsia" w:ascii="黑体" w:hAnsi="黑体" w:eastAsia="黑体"/>
          <w:szCs w:val="21"/>
        </w:rPr>
        <w:t xml:space="preserve">  </w:t>
      </w:r>
      <w:r>
        <w:rPr>
          <w:rFonts w:ascii="黑体" w:hAnsi="黑体" w:eastAsia="黑体"/>
          <w:szCs w:val="24"/>
        </w:rPr>
        <w:t>测压管安装</w:t>
      </w:r>
    </w:p>
    <w:p>
      <w:pPr>
        <w:spacing w:line="360" w:lineRule="auto"/>
        <w:ind w:firstLine="420" w:firstLineChars="200"/>
        <w:rPr>
          <w:rFonts w:ascii="Times New Roman" w:hAnsi="Times New Roman"/>
          <w:szCs w:val="24"/>
        </w:rPr>
      </w:pPr>
      <w:r>
        <w:rPr>
          <w:rFonts w:ascii="Times New Roman" w:hAnsi="Times New Roman"/>
          <w:szCs w:val="24"/>
        </w:rPr>
        <w:t>测压管在钻孔套管取出前及时安装，安装时要严格控制测压管的垂直度。测压管安装完成后要及时塞住孔口，防止孔内掉落杂物。</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测压管接长</w:t>
      </w:r>
      <w:r>
        <w:rPr>
          <w:rFonts w:hint="eastAsia" w:ascii="Times New Roman" w:hAnsi="Times New Roman"/>
          <w:szCs w:val="24"/>
        </w:rPr>
        <w:t>：</w:t>
      </w:r>
      <w:r>
        <w:rPr>
          <w:rFonts w:ascii="Times New Roman" w:hAnsi="Times New Roman"/>
          <w:szCs w:val="24"/>
        </w:rPr>
        <w:t>在测压管需要接长时需要用2米长镂空外衬管套住加长管和被加长管，确保对接平直，对接焊要注意保证管内壁不留焊渣，确保管内壁平顺无毛刺。也可采用外管箍方式进行接长，但要确保管箍直径小于钻孔套管内径。</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管外回填：测压管依次下入设计深度后，调整好测压管垂直度，测压管与孔壁间采用动水细砂料回填，回填距管口0.5</w:t>
      </w:r>
      <w:r>
        <w:rPr>
          <w:rFonts w:hint="eastAsia" w:ascii="Times New Roman" w:hAnsi="Times New Roman"/>
          <w:szCs w:val="24"/>
        </w:rPr>
        <w:t xml:space="preserve"> </w:t>
      </w:r>
      <w:r>
        <w:rPr>
          <w:rFonts w:ascii="Times New Roman" w:hAnsi="Times New Roman"/>
          <w:szCs w:val="24"/>
        </w:rPr>
        <w:t>m深度后采用粘土球回填并夯实。</w:t>
      </w:r>
    </w:p>
    <w:p>
      <w:pPr>
        <w:spacing w:before="120" w:beforeLines="50" w:after="120" w:afterLines="50"/>
        <w:rPr>
          <w:rFonts w:ascii="黑体" w:hAnsi="黑体" w:eastAsia="黑体"/>
          <w:szCs w:val="24"/>
        </w:rPr>
      </w:pPr>
      <w:r>
        <w:rPr>
          <w:rFonts w:hint="eastAsia" w:ascii="黑体" w:hAnsi="黑体" w:eastAsia="黑体"/>
          <w:szCs w:val="24"/>
        </w:rPr>
        <w:t>H.</w:t>
      </w:r>
      <w:r>
        <w:rPr>
          <w:rFonts w:ascii="黑体" w:hAnsi="黑体" w:eastAsia="黑体"/>
          <w:szCs w:val="24"/>
        </w:rPr>
        <w:t>12.3</w:t>
      </w:r>
      <w:r>
        <w:rPr>
          <w:rFonts w:hint="eastAsia" w:ascii="黑体" w:hAnsi="黑体" w:eastAsia="黑体"/>
          <w:szCs w:val="21"/>
        </w:rPr>
        <w:t xml:space="preserve">  </w:t>
      </w:r>
      <w:r>
        <w:rPr>
          <w:rFonts w:ascii="黑体" w:hAnsi="黑体" w:eastAsia="黑体"/>
          <w:szCs w:val="24"/>
        </w:rPr>
        <w:t>地下水水位计安装</w:t>
      </w:r>
    </w:p>
    <w:p>
      <w:pPr>
        <w:spacing w:line="360" w:lineRule="auto"/>
        <w:ind w:firstLine="420" w:firstLineChars="200"/>
        <w:rPr>
          <w:rFonts w:ascii="Times New Roman" w:hAnsi="Times New Roman"/>
          <w:szCs w:val="24"/>
        </w:rPr>
      </w:pPr>
      <w:r>
        <w:rPr>
          <w:rFonts w:ascii="Times New Roman" w:hAnsi="Times New Roman"/>
          <w:szCs w:val="24"/>
        </w:rPr>
        <w:t>将水压计安装到距离孔底20</w:t>
      </w:r>
      <w:r>
        <w:rPr>
          <w:rFonts w:hint="eastAsia" w:ascii="华文新魏" w:hAnsi="Times New Roman" w:eastAsia="华文新魏"/>
          <w:szCs w:val="24"/>
        </w:rPr>
        <w:t>-</w:t>
      </w:r>
      <w:r>
        <w:rPr>
          <w:rFonts w:ascii="Times New Roman" w:hAnsi="Times New Roman"/>
          <w:szCs w:val="24"/>
        </w:rPr>
        <w:t>30</w:t>
      </w:r>
      <w:r>
        <w:rPr>
          <w:rFonts w:hint="eastAsia" w:ascii="Times New Roman" w:hAnsi="Times New Roman"/>
          <w:szCs w:val="24"/>
        </w:rPr>
        <w:t xml:space="preserve"> cm</w:t>
      </w:r>
      <w:r>
        <w:rPr>
          <w:rFonts w:ascii="Times New Roman" w:hAnsi="Times New Roman"/>
          <w:szCs w:val="24"/>
        </w:rPr>
        <w:t>，在安装之前获取初始读数，记录下后用于以后计算水位变化使用。</w:t>
      </w:r>
    </w:p>
    <w:p>
      <w:pPr>
        <w:spacing w:before="120" w:beforeLines="50" w:after="120" w:afterLines="50"/>
        <w:rPr>
          <w:rFonts w:ascii="黑体" w:hAnsi="黑体" w:eastAsia="黑体"/>
          <w:szCs w:val="24"/>
        </w:rPr>
      </w:pPr>
      <w:r>
        <w:rPr>
          <w:rFonts w:hint="eastAsia" w:ascii="黑体" w:hAnsi="黑体" w:eastAsia="黑体"/>
          <w:szCs w:val="24"/>
        </w:rPr>
        <w:t>H.</w:t>
      </w:r>
      <w:r>
        <w:rPr>
          <w:rFonts w:ascii="黑体" w:hAnsi="黑体" w:eastAsia="黑体"/>
          <w:szCs w:val="24"/>
        </w:rPr>
        <w:t>12.4</w:t>
      </w:r>
      <w:r>
        <w:rPr>
          <w:rFonts w:hint="eastAsia" w:ascii="黑体" w:hAnsi="黑体" w:eastAsia="黑体"/>
          <w:szCs w:val="21"/>
        </w:rPr>
        <w:t xml:space="preserve">  </w:t>
      </w:r>
      <w:r>
        <w:rPr>
          <w:rFonts w:ascii="黑体" w:hAnsi="黑体" w:eastAsia="黑体"/>
          <w:szCs w:val="24"/>
        </w:rPr>
        <w:t>终端机安装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用螺栓、垫片从终端机法兰向下穿过4个底板固定孔，用螺母进行第一次固定，然后将终端机底板上边4个螺栓长出的部分插入一体化支架的法兰盘上，用螺母将终端机与法兰盘拧紧固定；</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打开终端机箱，将锂聚合物电池安装到终端机内；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安装太阳能电池板；</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将水位计传感器接到终端机上</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ascii="Times New Roman" w:hAnsi="Times New Roman"/>
          <w:szCs w:val="24"/>
        </w:rPr>
        <w:t>e)  调试压力式水位计及数据采集仪（RTU）。</w:t>
      </w:r>
    </w:p>
    <w:p>
      <w:pPr>
        <w:jc w:val="center"/>
        <w:rPr>
          <w:rFonts w:ascii="Times New Roman" w:hAnsi="Times New Roman" w:eastAsia="仿宋"/>
        </w:rPr>
      </w:pPr>
      <w:r>
        <w:rPr>
          <w:rFonts w:ascii="Times New Roman" w:hAnsi="Times New Roman" w:eastAsia="仿宋"/>
        </w:rPr>
        <w:drawing>
          <wp:inline distT="0" distB="0" distL="0" distR="0">
            <wp:extent cx="2447925" cy="3396615"/>
            <wp:effectExtent l="0" t="0" r="0" b="0"/>
            <wp:docPr id="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4"/>
                    <pic:cNvPicPr>
                      <a:picLocks noChangeAspect="1" noChangeArrowheads="1"/>
                    </pic:cNvPicPr>
                  </pic:nvPicPr>
                  <pic:blipFill>
                    <a:blip r:embed="rId44" cstate="print">
                      <a:extLst>
                        <a:ext uri="{28A0092B-C50C-407E-A947-70E740481C1C}">
                          <a14:useLocalDpi xmlns:a14="http://schemas.microsoft.com/office/drawing/2010/main" val="0"/>
                        </a:ext>
                      </a:extLst>
                    </a:blip>
                    <a:srcRect t="1925"/>
                    <a:stretch>
                      <a:fillRect/>
                    </a:stretch>
                  </pic:blipFill>
                  <pic:spPr>
                    <a:xfrm>
                      <a:off x="0" y="0"/>
                      <a:ext cx="2448000" cy="3397251"/>
                    </a:xfrm>
                    <a:prstGeom prst="rect">
                      <a:avLst/>
                    </a:prstGeom>
                    <a:noFill/>
                    <a:ln>
                      <a:noFill/>
                    </a:ln>
                  </pic:spPr>
                </pic:pic>
              </a:graphicData>
            </a:graphic>
          </wp:inline>
        </w:drawing>
      </w:r>
    </w:p>
    <w:p>
      <w:pPr>
        <w:jc w:val="center"/>
        <w:rPr>
          <w:rFonts w:ascii="Times New Roman" w:hAnsi="Times New Roman" w:eastAsia="仿宋"/>
        </w:rPr>
      </w:pPr>
    </w:p>
    <w:p>
      <w:pPr>
        <w:jc w:val="center"/>
        <w:rPr>
          <w:rFonts w:ascii="Times New Roman" w:hAnsi="Times New Roman" w:eastAsia="仿宋"/>
        </w:rPr>
      </w:pPr>
      <w:r>
        <w:rPr>
          <w:rFonts w:ascii="Times New Roman" w:hAnsi="Times New Roman" w:eastAsia="仿宋"/>
        </w:rPr>
        <w:drawing>
          <wp:inline distT="0" distB="0" distL="0" distR="0">
            <wp:extent cx="2447925" cy="3766185"/>
            <wp:effectExtent l="0" t="0" r="0" b="0"/>
            <wp:docPr id="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448000" cy="3766208"/>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-10</w:t>
      </w:r>
      <w:r>
        <w:rPr>
          <w:rFonts w:hint="eastAsia" w:ascii="黑体" w:hAnsi="黑体" w:eastAsia="黑体"/>
          <w:kern w:val="0"/>
          <w:szCs w:val="21"/>
        </w:rPr>
        <w:t xml:space="preserve">  </w:t>
      </w:r>
      <w:r>
        <w:rPr>
          <w:rFonts w:ascii="黑体" w:hAnsi="黑体" w:eastAsia="黑体"/>
          <w:kern w:val="0"/>
          <w:szCs w:val="21"/>
        </w:rPr>
        <w:t>压力式水位计安装示意图</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247" w:name="_Toc534580148"/>
      <w:bookmarkStart w:id="248" w:name="_Toc21966434"/>
      <w:bookmarkStart w:id="249" w:name="_Toc534577791"/>
      <w:r>
        <w:rPr>
          <w:rFonts w:hint="eastAsia" w:ascii="黑体" w:hAnsi="黑体" w:eastAsia="黑体"/>
          <w:bCs/>
          <w:kern w:val="44"/>
          <w:szCs w:val="21"/>
        </w:rPr>
        <w:t>H</w:t>
      </w:r>
      <w:r>
        <w:rPr>
          <w:rFonts w:ascii="黑体" w:hAnsi="黑体" w:eastAsia="黑体"/>
          <w:bCs/>
          <w:kern w:val="44"/>
          <w:szCs w:val="21"/>
        </w:rPr>
        <w:t>.13</w:t>
      </w:r>
      <w:r>
        <w:rPr>
          <w:rFonts w:hint="eastAsia" w:ascii="黑体" w:hAnsi="黑体" w:eastAsia="黑体"/>
          <w:bCs/>
          <w:kern w:val="44"/>
          <w:szCs w:val="21"/>
        </w:rPr>
        <w:t xml:space="preserve">  </w:t>
      </w:r>
      <w:r>
        <w:rPr>
          <w:rFonts w:ascii="黑体" w:hAnsi="黑体" w:eastAsia="黑体"/>
          <w:bCs/>
          <w:kern w:val="44"/>
          <w:szCs w:val="21"/>
        </w:rPr>
        <w:t>视频监控站安装</w:t>
      </w:r>
      <w:bookmarkEnd w:id="247"/>
      <w:bookmarkEnd w:id="248"/>
      <w:bookmarkEnd w:id="249"/>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把支架安装在水泥基墩上面。</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把摄像头视频按客户需求调整到合适的位置，以便准确的监测。</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调试摄像头视频监测仪器，查看数据采集情况。</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视频监测站结构及安装见图</w:t>
      </w:r>
      <w:r>
        <w:rPr>
          <w:rFonts w:hint="eastAsia" w:ascii="Times New Roman" w:hAnsi="Times New Roman"/>
          <w:szCs w:val="24"/>
        </w:rPr>
        <w:t>H</w:t>
      </w:r>
      <w:r>
        <w:rPr>
          <w:rFonts w:ascii="Times New Roman" w:hAnsi="Times New Roman"/>
          <w:szCs w:val="24"/>
        </w:rPr>
        <w:t>-11</w:t>
      </w:r>
      <w:r>
        <w:rPr>
          <w:rFonts w:hint="eastAsia" w:ascii="Times New Roman" w:hAnsi="Times New Roman"/>
          <w:szCs w:val="24"/>
        </w:rPr>
        <w:t>。</w:t>
      </w:r>
    </w:p>
    <w:p>
      <w:pPr>
        <w:jc w:val="center"/>
        <w:rPr>
          <w:rFonts w:ascii="Times New Roman" w:hAnsi="Times New Roman"/>
          <w:szCs w:val="24"/>
        </w:rPr>
      </w:pPr>
      <w:r>
        <w:rPr>
          <w:rFonts w:ascii="Times New Roman" w:hAnsi="Times New Roman"/>
          <w:szCs w:val="24"/>
        </w:rPr>
        <w:drawing>
          <wp:inline distT="0" distB="0" distL="0" distR="0">
            <wp:extent cx="4029075" cy="5505450"/>
            <wp:effectExtent l="19050" t="0" r="9525" b="0"/>
            <wp:docPr id="31" name="图片 363" descr="说明: 视频装置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63" descr="说明: 视频装置结构图"/>
                    <pic:cNvPicPr>
                      <a:picLocks noChangeAspect="1" noChangeArrowheads="1"/>
                    </pic:cNvPicPr>
                  </pic:nvPicPr>
                  <pic:blipFill>
                    <a:blip r:embed="rId46" cstate="print"/>
                    <a:srcRect l="23517" t="1492" b="2835"/>
                    <a:stretch>
                      <a:fillRect/>
                    </a:stretch>
                  </pic:blipFill>
                  <pic:spPr>
                    <a:xfrm>
                      <a:off x="0" y="0"/>
                      <a:ext cx="4029075" cy="550545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-11</w:t>
      </w:r>
      <w:r>
        <w:rPr>
          <w:rFonts w:hint="eastAsia" w:ascii="黑体" w:hAnsi="黑体" w:eastAsia="黑体"/>
          <w:kern w:val="0"/>
          <w:szCs w:val="21"/>
        </w:rPr>
        <w:t xml:space="preserve">  </w:t>
      </w:r>
      <w:r>
        <w:rPr>
          <w:rFonts w:ascii="黑体" w:hAnsi="黑体" w:eastAsia="黑体"/>
          <w:kern w:val="0"/>
          <w:szCs w:val="21"/>
        </w:rPr>
        <w:t>一体化视频监控安装示意图</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250" w:name="_Toc534577792"/>
      <w:bookmarkStart w:id="251" w:name="_Toc534580149"/>
      <w:bookmarkStart w:id="252" w:name="_Toc21966435"/>
      <w:r>
        <w:rPr>
          <w:rFonts w:hint="eastAsia" w:ascii="黑体" w:hAnsi="黑体" w:eastAsia="黑体"/>
          <w:bCs/>
          <w:kern w:val="44"/>
          <w:szCs w:val="21"/>
        </w:rPr>
        <w:t>H</w:t>
      </w:r>
      <w:r>
        <w:rPr>
          <w:rFonts w:ascii="黑体" w:hAnsi="黑体" w:eastAsia="黑体"/>
          <w:bCs/>
          <w:kern w:val="44"/>
          <w:szCs w:val="21"/>
        </w:rPr>
        <w:t>.14</w:t>
      </w:r>
      <w:r>
        <w:rPr>
          <w:rFonts w:hint="eastAsia" w:ascii="黑体" w:hAnsi="黑体" w:eastAsia="黑体"/>
          <w:bCs/>
          <w:kern w:val="44"/>
          <w:szCs w:val="21"/>
        </w:rPr>
        <w:t xml:space="preserve">  </w:t>
      </w:r>
      <w:r>
        <w:rPr>
          <w:rFonts w:ascii="黑体" w:hAnsi="黑体" w:eastAsia="黑体"/>
          <w:bCs/>
          <w:kern w:val="44"/>
          <w:szCs w:val="21"/>
        </w:rPr>
        <w:t>泥/水位自动监测站安装</w:t>
      </w:r>
      <w:bookmarkEnd w:id="250"/>
      <w:bookmarkEnd w:id="251"/>
      <w:bookmarkEnd w:id="252"/>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设备安装在泥石流沟侧壁，设备和太阳能板固定在高5</w:t>
      </w:r>
      <w:r>
        <w:rPr>
          <w:rFonts w:hint="eastAsia" w:ascii="Times New Roman" w:hAnsi="Times New Roman"/>
          <w:szCs w:val="24"/>
        </w:rPr>
        <w:t xml:space="preserve"> </w:t>
      </w:r>
      <w:r>
        <w:rPr>
          <w:rFonts w:ascii="Times New Roman" w:hAnsi="Times New Roman"/>
          <w:szCs w:val="24"/>
        </w:rPr>
        <w:t>m、直径160</w:t>
      </w:r>
      <w:r>
        <w:rPr>
          <w:rFonts w:hint="eastAsia" w:ascii="Times New Roman" w:hAnsi="Times New Roman"/>
          <w:szCs w:val="24"/>
        </w:rPr>
        <w:t xml:space="preserve"> </w:t>
      </w:r>
      <w:r>
        <w:rPr>
          <w:rFonts w:ascii="Times New Roman" w:hAnsi="Times New Roman"/>
          <w:szCs w:val="24"/>
        </w:rPr>
        <w:t>cm、管壁厚5</w:t>
      </w:r>
      <w:r>
        <w:rPr>
          <w:rFonts w:hint="eastAsia" w:ascii="Times New Roman" w:hAnsi="Times New Roman"/>
          <w:szCs w:val="24"/>
        </w:rPr>
        <w:t xml:space="preserve"> </w:t>
      </w:r>
      <w:r>
        <w:rPr>
          <w:rFonts w:ascii="Times New Roman" w:hAnsi="Times New Roman"/>
          <w:szCs w:val="24"/>
        </w:rPr>
        <w:t>mm的钢管立杆上，在立杆四米高处伸出长4</w:t>
      </w:r>
      <w:r>
        <w:rPr>
          <w:rFonts w:hint="eastAsia" w:ascii="Times New Roman" w:hAnsi="Times New Roman"/>
          <w:szCs w:val="24"/>
        </w:rPr>
        <w:t xml:space="preserve"> </w:t>
      </w:r>
      <w:r>
        <w:rPr>
          <w:rFonts w:ascii="Times New Roman" w:hAnsi="Times New Roman"/>
          <w:szCs w:val="24"/>
        </w:rPr>
        <w:t>m的横杆，用于悬挂传感器，传感器探头正对泥石流沟底。</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将一体化支架放置在事先预埋的混凝土基桩上，拧紧四个平垫、弹垫、螺母固定于基座。见图</w:t>
      </w:r>
      <w:r>
        <w:rPr>
          <w:rFonts w:hint="eastAsia" w:ascii="Times New Roman" w:hAnsi="Times New Roman"/>
          <w:szCs w:val="24"/>
        </w:rPr>
        <w:t>H</w:t>
      </w:r>
      <w:r>
        <w:rPr>
          <w:rFonts w:ascii="Times New Roman" w:hAnsi="Times New Roman"/>
          <w:szCs w:val="24"/>
        </w:rPr>
        <w:t>-2。</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终端机安装：用螺栓、垫片从终端机法兰向下穿过4个底板固定孔，用螺母进行第一次固定，然后将终端机底板上边4个螺栓长出的部分插入一体化支架的法兰盘上，用螺母将终端机与法兰盘拧紧固定；打开终端机箱，将锂聚合物电池安装到终端机内；安装太阳能电池板；将泥位传感器接到终端机上。</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太阳能板安装：在太阳能系统投入运行之前，确保接线正确；先连接控制器与蓄电池，再连接控制器与负载，最后连接控制器与太阳能电池板。</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安装调试：调试泥位传感器及数据采集仪（RTU），设置预警值。</w:t>
      </w:r>
    </w:p>
    <w:p>
      <w:pPr>
        <w:keepNext/>
        <w:keepLines/>
        <w:adjustRightInd w:val="0"/>
        <w:snapToGrid w:val="0"/>
        <w:spacing w:before="120" w:beforeLines="50" w:after="120" w:afterLines="50"/>
        <w:jc w:val="left"/>
        <w:rPr>
          <w:rFonts w:ascii="黑体" w:hAnsi="黑体" w:eastAsia="黑体"/>
          <w:bCs/>
          <w:kern w:val="44"/>
          <w:szCs w:val="21"/>
        </w:rPr>
      </w:pPr>
      <w:bookmarkStart w:id="253" w:name="_Toc21966436"/>
      <w:bookmarkStart w:id="254" w:name="_Toc534577793"/>
      <w:bookmarkStart w:id="255" w:name="_Toc534580150"/>
      <w:r>
        <w:rPr>
          <w:rFonts w:hint="eastAsia" w:ascii="黑体" w:hAnsi="黑体" w:eastAsia="黑体"/>
          <w:bCs/>
          <w:kern w:val="44"/>
          <w:szCs w:val="21"/>
        </w:rPr>
        <w:t>H</w:t>
      </w:r>
      <w:r>
        <w:rPr>
          <w:rFonts w:ascii="黑体" w:hAnsi="黑体" w:eastAsia="黑体"/>
          <w:bCs/>
          <w:kern w:val="44"/>
          <w:szCs w:val="21"/>
        </w:rPr>
        <w:t>.15</w:t>
      </w:r>
      <w:r>
        <w:rPr>
          <w:rFonts w:hint="eastAsia" w:ascii="黑体" w:hAnsi="黑体" w:eastAsia="黑体"/>
          <w:bCs/>
          <w:kern w:val="44"/>
          <w:szCs w:val="21"/>
        </w:rPr>
        <w:t xml:space="preserve">  </w:t>
      </w:r>
      <w:r>
        <w:rPr>
          <w:rFonts w:ascii="黑体" w:hAnsi="黑体" w:eastAsia="黑体"/>
          <w:bCs/>
          <w:kern w:val="44"/>
          <w:szCs w:val="21"/>
        </w:rPr>
        <w:t>泥石流地声（次声）自动监测站安装</w:t>
      </w:r>
      <w:bookmarkEnd w:id="253"/>
      <w:bookmarkEnd w:id="254"/>
      <w:bookmarkEnd w:id="255"/>
    </w:p>
    <w:p>
      <w:pPr>
        <w:spacing w:before="120" w:beforeLines="50" w:after="120" w:afterLines="50"/>
        <w:rPr>
          <w:rFonts w:ascii="黑体" w:hAnsi="黑体" w:eastAsia="黑体"/>
          <w:szCs w:val="21"/>
        </w:rPr>
      </w:pPr>
      <w:r>
        <w:rPr>
          <w:rFonts w:hint="eastAsia" w:ascii="黑体" w:hAnsi="黑体" w:eastAsia="黑体"/>
          <w:szCs w:val="21"/>
        </w:rPr>
        <w:t>H.</w:t>
      </w:r>
      <w:r>
        <w:rPr>
          <w:rFonts w:ascii="黑体" w:hAnsi="黑体" w:eastAsia="黑体"/>
          <w:szCs w:val="21"/>
        </w:rPr>
        <w:t>15.1</w:t>
      </w:r>
      <w:r>
        <w:rPr>
          <w:rFonts w:hint="eastAsia" w:ascii="黑体" w:hAnsi="黑体" w:eastAsia="黑体"/>
          <w:szCs w:val="21"/>
        </w:rPr>
        <w:t xml:space="preserve">  </w:t>
      </w:r>
      <w:r>
        <w:rPr>
          <w:rFonts w:ascii="黑体" w:hAnsi="黑体" w:eastAsia="黑体"/>
          <w:szCs w:val="21"/>
        </w:rPr>
        <w:t>微震传感器安装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微震传感器应采用钻孔安装，钻孔可从坡面往下钻垂直孔或下斜孔，也可利用探槽、探洞、平洞或其他已有地下硐室钻水平孔或上斜孔。</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钻孔安装前应确保孔内无碎石残渣，并采用水泥砂浆浇灌，砂浆强度等级不得低于M10。应深入中风化基岩至少1米，总体孔深不小于3</w:t>
      </w:r>
      <w:r>
        <w:rPr>
          <w:rFonts w:hint="eastAsia" w:ascii="Times New Roman" w:hAnsi="Times New Roman"/>
          <w:szCs w:val="24"/>
        </w:rPr>
        <w:t xml:space="preserve"> </w:t>
      </w:r>
      <w:r>
        <w:rPr>
          <w:rFonts w:ascii="Times New Roman" w:hAnsi="Times New Roman"/>
          <w:szCs w:val="24"/>
        </w:rPr>
        <w:t>m，确保浇灌砂浆后的传感器与基岩充分耦合。孔径宜为传感器外径的1.3</w:t>
      </w:r>
      <w:r>
        <w:rPr>
          <w:rFonts w:hint="eastAsia" w:ascii="Times New Roman" w:hAnsi="Times New Roman"/>
          <w:szCs w:val="24"/>
        </w:rPr>
        <w:t>-</w:t>
      </w:r>
      <w:r>
        <w:rPr>
          <w:rFonts w:ascii="Times New Roman" w:hAnsi="Times New Roman"/>
          <w:szCs w:val="24"/>
        </w:rPr>
        <w:t>1.5倍，且不应小于32 mm。安装示意图参见图</w:t>
      </w:r>
      <w:r>
        <w:rPr>
          <w:rFonts w:hint="eastAsia" w:ascii="Times New Roman" w:hAnsi="Times New Roman"/>
          <w:szCs w:val="24"/>
        </w:rPr>
        <w:t>H</w:t>
      </w:r>
      <w:r>
        <w:rPr>
          <w:rFonts w:ascii="Times New Roman" w:hAnsi="Times New Roman"/>
          <w:szCs w:val="24"/>
        </w:rPr>
        <w:t>-12和</w:t>
      </w:r>
      <w:r>
        <w:rPr>
          <w:rFonts w:hint="eastAsia" w:ascii="Times New Roman" w:hAnsi="Times New Roman"/>
          <w:szCs w:val="24"/>
        </w:rPr>
        <w:t>H</w:t>
      </w:r>
      <w:r>
        <w:rPr>
          <w:rFonts w:ascii="Times New Roman" w:hAnsi="Times New Roman"/>
          <w:szCs w:val="24"/>
        </w:rPr>
        <w:t>-13。</w:t>
      </w:r>
    </w:p>
    <w:p>
      <w:pPr>
        <w:spacing w:line="360" w:lineRule="auto"/>
        <w:jc w:val="center"/>
        <w:rPr>
          <w:rFonts w:ascii="Times New Roman" w:hAnsi="Times New Roman"/>
          <w:szCs w:val="24"/>
        </w:rPr>
      </w:pPr>
      <w:r>
        <w:rPr>
          <w:rFonts w:ascii="Times New Roman" w:hAnsi="Times New Roman"/>
          <w:szCs w:val="24"/>
        </w:rPr>
        <w:drawing>
          <wp:inline distT="0" distB="0" distL="0" distR="0">
            <wp:extent cx="4782820" cy="2514600"/>
            <wp:effectExtent l="0" t="0" r="0" b="0"/>
            <wp:docPr id="32"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64"/>
                    <pic:cNvPicPr>
                      <a:picLocks noChangeAspect="1" noChangeArrowheads="1"/>
                    </pic:cNvPicPr>
                  </pic:nvPicPr>
                  <pic:blipFill>
                    <a:blip r:embed="rId47" cstate="print">
                      <a:extLst>
                        <a:ext uri="{28A0092B-C50C-407E-A947-70E740481C1C}">
                          <a14:useLocalDpi xmlns:a14="http://schemas.microsoft.com/office/drawing/2010/main" val="0"/>
                        </a:ext>
                      </a:extLst>
                    </a:blip>
                    <a:srcRect t="2222" b="2222"/>
                    <a:stretch>
                      <a:fillRect/>
                    </a:stretch>
                  </pic:blipFill>
                  <pic:spPr>
                    <a:xfrm>
                      <a:off x="0" y="0"/>
                      <a:ext cx="4786692" cy="2516421"/>
                    </a:xfrm>
                    <a:prstGeom prst="rect">
                      <a:avLst/>
                    </a:prstGeom>
                    <a:noFill/>
                    <a:ln>
                      <a:noFill/>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-1</w:t>
      </w:r>
      <w:r>
        <w:rPr>
          <w:rFonts w:hint="eastAsia" w:ascii="黑体" w:hAnsi="黑体" w:eastAsia="黑体"/>
          <w:kern w:val="0"/>
          <w:szCs w:val="21"/>
        </w:rPr>
        <w:t xml:space="preserve">2  </w:t>
      </w:r>
      <w:r>
        <w:rPr>
          <w:rFonts w:ascii="黑体" w:hAnsi="黑体" w:eastAsia="黑体"/>
          <w:kern w:val="0"/>
          <w:szCs w:val="21"/>
        </w:rPr>
        <w:t xml:space="preserve">微震传感器孔内安装示意图图 </w:t>
      </w:r>
      <w:r>
        <w:rPr>
          <w:rFonts w:hint="eastAsia" w:ascii="黑体" w:hAnsi="黑体" w:eastAsia="黑体"/>
          <w:kern w:val="0"/>
          <w:szCs w:val="21"/>
        </w:rPr>
        <w:t xml:space="preserve"> </w:t>
      </w:r>
      <w:r>
        <w:rPr>
          <w:rFonts w:ascii="黑体" w:hAnsi="黑体" w:eastAsia="黑体"/>
          <w:kern w:val="0"/>
          <w:szCs w:val="21"/>
        </w:rPr>
        <w:t xml:space="preserve"> </w:t>
      </w:r>
      <w:r>
        <w:rPr>
          <w:rFonts w:hint="eastAsia" w:ascii="黑体" w:hAnsi="黑体" w:eastAsia="黑体"/>
          <w:kern w:val="0"/>
          <w:szCs w:val="21"/>
        </w:rPr>
        <w:t>图H</w:t>
      </w:r>
      <w:r>
        <w:rPr>
          <w:rFonts w:ascii="黑体" w:hAnsi="黑体" w:eastAsia="黑体"/>
          <w:kern w:val="0"/>
          <w:szCs w:val="21"/>
        </w:rPr>
        <w:t>-1</w:t>
      </w:r>
      <w:r>
        <w:rPr>
          <w:rFonts w:hint="eastAsia" w:ascii="黑体" w:hAnsi="黑体" w:eastAsia="黑体"/>
          <w:kern w:val="0"/>
          <w:szCs w:val="21"/>
        </w:rPr>
        <w:t xml:space="preserve">3  </w:t>
      </w:r>
      <w:r>
        <w:rPr>
          <w:rFonts w:ascii="黑体" w:hAnsi="黑体" w:eastAsia="黑体"/>
          <w:kern w:val="0"/>
          <w:szCs w:val="21"/>
        </w:rPr>
        <w:t>微震传感器上斜孔安装示意图</w:t>
      </w:r>
    </w:p>
    <w:p>
      <w:pPr>
        <w:spacing w:line="360" w:lineRule="auto"/>
        <w:ind w:left="840" w:leftChars="200" w:hanging="420" w:hangingChars="200"/>
        <w:rPr>
          <w:rFonts w:ascii="Times New Roman" w:hAnsi="Times New Roman"/>
          <w:szCs w:val="24"/>
        </w:rPr>
      </w:pP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若钻孔为水平孔、下斜孔或垂直孔，应利用安装杆将带电缆线的传感器放置至孔底，排气管应放置于孔口，防止被砂浆堵住无法排出孔内空气，注浆管应深入底部，距孔底1</w:t>
      </w:r>
      <w:r>
        <w:rPr>
          <w:rFonts w:hint="eastAsia" w:ascii="Times New Roman" w:hAnsi="Times New Roman"/>
          <w:szCs w:val="24"/>
        </w:rPr>
        <w:t>-</w:t>
      </w:r>
      <w:r>
        <w:rPr>
          <w:rFonts w:ascii="Times New Roman" w:hAnsi="Times New Roman"/>
          <w:szCs w:val="24"/>
        </w:rPr>
        <w:t>2</w:t>
      </w:r>
      <w:r>
        <w:rPr>
          <w:rFonts w:hint="eastAsia" w:ascii="Times New Roman" w:hAnsi="Times New Roman"/>
          <w:szCs w:val="24"/>
        </w:rPr>
        <w:t xml:space="preserve"> </w:t>
      </w:r>
      <w:r>
        <w:rPr>
          <w:rFonts w:ascii="Times New Roman" w:hAnsi="Times New Roman"/>
          <w:szCs w:val="24"/>
        </w:rPr>
        <w:t>m为宜，浆液注满标准与上倾孔时要求一致。</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若钻孔为上斜孔，应利用安装杆将带电缆线的传感器与排气管捆绑伸入孔底，孔口应采用木塞密封，排气管、注浆管和电缆线可从木塞的预制孔中穿出，注浆管不宜深入底部，以探入孔内1</w:t>
      </w:r>
      <w:r>
        <w:rPr>
          <w:rFonts w:hint="eastAsia" w:ascii="Times New Roman" w:hAnsi="Times New Roman"/>
          <w:szCs w:val="24"/>
        </w:rPr>
        <w:t>-</w:t>
      </w:r>
      <w:r>
        <w:rPr>
          <w:rFonts w:ascii="Times New Roman" w:hAnsi="Times New Roman"/>
          <w:szCs w:val="24"/>
        </w:rPr>
        <w:t>2</w:t>
      </w:r>
      <w:r>
        <w:rPr>
          <w:rFonts w:hint="eastAsia" w:ascii="Times New Roman" w:hAnsi="Times New Roman"/>
          <w:szCs w:val="24"/>
        </w:rPr>
        <w:t xml:space="preserve"> </w:t>
      </w:r>
      <w:r>
        <w:rPr>
          <w:rFonts w:ascii="Times New Roman" w:hAnsi="Times New Roman"/>
          <w:szCs w:val="24"/>
        </w:rPr>
        <w:t>m为宜，应以排气孔溢出浆液为注满标准。</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如因地质条件限制，传感器只能埋设在断层或其他破碎岩层中，应采用导波杆作为辅助工具。</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传感器安装完成后，应对其进行编号，并记录其所在的空间位置坐标，记录结果应写入表</w:t>
      </w:r>
      <w:r>
        <w:rPr>
          <w:rFonts w:hint="eastAsia" w:ascii="Times New Roman" w:hAnsi="Times New Roman"/>
          <w:szCs w:val="24"/>
        </w:rPr>
        <w:t>H</w:t>
      </w:r>
      <w:r>
        <w:rPr>
          <w:rFonts w:ascii="Times New Roman" w:hAnsi="Times New Roman"/>
          <w:szCs w:val="24"/>
        </w:rPr>
        <w:t>-1。</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g)  </w:t>
      </w:r>
      <w:r>
        <w:rPr>
          <w:rFonts w:ascii="Times New Roman" w:hAnsi="Times New Roman"/>
          <w:szCs w:val="24"/>
        </w:rPr>
        <w:t>数据采集仪应安装在室内，并应符合GB</w:t>
      </w:r>
      <w:r>
        <w:rPr>
          <w:rFonts w:hint="eastAsia" w:ascii="Times New Roman" w:hAnsi="Times New Roman"/>
          <w:szCs w:val="24"/>
        </w:rPr>
        <w:t xml:space="preserve">/T </w:t>
      </w:r>
      <w:r>
        <w:rPr>
          <w:rFonts w:ascii="Times New Roman" w:hAnsi="Times New Roman"/>
          <w:szCs w:val="24"/>
        </w:rPr>
        <w:t>50343</w:t>
      </w:r>
      <w:r>
        <w:rPr>
          <w:rFonts w:hint="eastAsia" w:ascii="宋体" w:hAnsi="宋体"/>
          <w:szCs w:val="24"/>
        </w:rPr>
        <w:t>―</w:t>
      </w:r>
      <w:r>
        <w:rPr>
          <w:rFonts w:ascii="Times New Roman" w:hAnsi="Times New Roman"/>
          <w:szCs w:val="24"/>
        </w:rPr>
        <w:t>2012关于防雷的有关规定。室内所有金属外壳、金属门窗、进出的金属管线都应与等电位箱做可靠连接。接地电阻不宜大于4</w:t>
      </w:r>
      <w:r>
        <w:rPr>
          <w:rFonts w:hint="eastAsia" w:ascii="Times New Roman" w:hAnsi="Times New Roman"/>
          <w:szCs w:val="24"/>
        </w:rPr>
        <w:t xml:space="preserve"> </w:t>
      </w:r>
      <w:r>
        <w:rPr>
          <w:rFonts w:ascii="Times New Roman" w:hAnsi="Times New Roman"/>
          <w:szCs w:val="24"/>
        </w:rPr>
        <w:t>Ω，宜采用等电位放射式连接，禁止串接。如周边岩层接地电阻大于16</w:t>
      </w:r>
      <w:r>
        <w:rPr>
          <w:rFonts w:hint="eastAsia" w:ascii="Times New Roman" w:hAnsi="Times New Roman"/>
          <w:szCs w:val="24"/>
        </w:rPr>
        <w:t xml:space="preserve"> </w:t>
      </w:r>
      <w:r>
        <w:rPr>
          <w:rFonts w:ascii="Times New Roman" w:hAnsi="Times New Roman"/>
          <w:szCs w:val="24"/>
        </w:rPr>
        <w:t>Ω，宜采用换土法或导电剂加以改善。进出建筑物的线缆、管线也必须做等电位可靠连接。</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h)  </w:t>
      </w:r>
      <w:r>
        <w:rPr>
          <w:rFonts w:ascii="Times New Roman" w:hAnsi="Times New Roman"/>
          <w:szCs w:val="24"/>
        </w:rPr>
        <w:t>数据采集仪应安装在距地面在1.4</w:t>
      </w:r>
      <w:r>
        <w:rPr>
          <w:rFonts w:hint="eastAsia" w:ascii="Times New Roman" w:hAnsi="Times New Roman"/>
          <w:szCs w:val="24"/>
        </w:rPr>
        <w:t>-</w:t>
      </w:r>
      <w:r>
        <w:rPr>
          <w:rFonts w:ascii="Times New Roman" w:hAnsi="Times New Roman"/>
          <w:szCs w:val="24"/>
        </w:rPr>
        <w:t>1.6</w:t>
      </w:r>
      <w:r>
        <w:rPr>
          <w:rFonts w:hint="eastAsia" w:ascii="Times New Roman" w:hAnsi="Times New Roman"/>
          <w:szCs w:val="24"/>
        </w:rPr>
        <w:t xml:space="preserve"> </w:t>
      </w:r>
      <w:r>
        <w:rPr>
          <w:rFonts w:ascii="Times New Roman" w:hAnsi="Times New Roman"/>
          <w:szCs w:val="24"/>
        </w:rPr>
        <w:t>m高度位置，采集仪上方应避开窗户和管路。</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i)  </w:t>
      </w:r>
      <w:r>
        <w:rPr>
          <w:rFonts w:ascii="Times New Roman" w:hAnsi="Times New Roman"/>
          <w:szCs w:val="24"/>
        </w:rPr>
        <w:t>采用电缆传输时，线路宜采用埋地敷设，穿越路基、构造物、河流湖泊等，与其它管道交叉必须穿金属保护管。</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j)  </w:t>
      </w:r>
      <w:r>
        <w:rPr>
          <w:rFonts w:ascii="Times New Roman" w:hAnsi="Times New Roman"/>
          <w:szCs w:val="24"/>
        </w:rPr>
        <w:t>传输电缆在开阔地带或易遭雷击处严禁采用架空敷设。</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k)  </w:t>
      </w:r>
      <w:r>
        <w:rPr>
          <w:rFonts w:ascii="Times New Roman" w:hAnsi="Times New Roman"/>
          <w:szCs w:val="24"/>
        </w:rPr>
        <w:t>监测系统用电等级为一级，宜配备不间断电源或发电机。供电系统宜采用自动转换装置，如需手动转换，应能在5分钟内完成供电线路的切换。发电机或其它备用电源的接地必须与主电源的接地做等电位可靠连接。</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l)  </w:t>
      </w:r>
      <w:r>
        <w:rPr>
          <w:rFonts w:ascii="Times New Roman" w:hAnsi="Times New Roman"/>
          <w:szCs w:val="24"/>
        </w:rPr>
        <w:t>监测系统供电回路严禁与其他大功率设备同用，并应配备稳压器。</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m)  </w:t>
      </w:r>
      <w:r>
        <w:rPr>
          <w:rFonts w:ascii="Times New Roman" w:hAnsi="Times New Roman"/>
          <w:szCs w:val="24"/>
        </w:rPr>
        <w:t>在低温高寒地区，室外缆线应选择耐寒类型，或采取其它有效的防寒措施。</w:t>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H</w:t>
      </w:r>
      <w:r>
        <w:rPr>
          <w:rFonts w:ascii="黑体" w:hAnsi="黑体" w:eastAsia="黑体"/>
          <w:kern w:val="0"/>
          <w:szCs w:val="21"/>
        </w:rPr>
        <w:t>-1</w:t>
      </w:r>
      <w:r>
        <w:rPr>
          <w:rFonts w:hint="eastAsia" w:ascii="黑体" w:hAnsi="黑体" w:eastAsia="黑体"/>
          <w:kern w:val="0"/>
          <w:szCs w:val="21"/>
        </w:rPr>
        <w:t xml:space="preserve">  </w:t>
      </w:r>
      <w:r>
        <w:rPr>
          <w:rFonts w:ascii="黑体" w:hAnsi="黑体" w:eastAsia="黑体"/>
          <w:kern w:val="0"/>
          <w:szCs w:val="21"/>
        </w:rPr>
        <w:t>微震传感器空间位置记录表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4"/>
        <w:gridCol w:w="1914"/>
        <w:gridCol w:w="1914"/>
        <w:gridCol w:w="1914"/>
        <w:gridCol w:w="1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14" w:type="dxa"/>
            <w:vMerge w:val="restart"/>
            <w:shd w:val="clear" w:color="auto" w:fill="auto"/>
            <w:vAlign w:val="center"/>
          </w:tcPr>
          <w:p>
            <w:pPr>
              <w:jc w:val="center"/>
              <w:rPr>
                <w:rFonts w:ascii="Times New Roman" w:hAnsi="Times New Roman"/>
                <w:sz w:val="18"/>
              </w:rPr>
            </w:pPr>
            <w:r>
              <w:rPr>
                <w:rFonts w:ascii="Times New Roman" w:hAnsi="Times New Roman"/>
                <w:sz w:val="18"/>
              </w:rPr>
              <w:t>传感器编号</w:t>
            </w:r>
          </w:p>
        </w:tc>
        <w:tc>
          <w:tcPr>
            <w:tcW w:w="5742" w:type="dxa"/>
            <w:gridSpan w:val="3"/>
            <w:shd w:val="clear" w:color="auto" w:fill="auto"/>
            <w:vAlign w:val="center"/>
          </w:tcPr>
          <w:p>
            <w:pPr>
              <w:jc w:val="center"/>
              <w:rPr>
                <w:rFonts w:ascii="Times New Roman" w:hAnsi="Times New Roman"/>
                <w:sz w:val="18"/>
              </w:rPr>
            </w:pPr>
            <w:r>
              <w:rPr>
                <w:rFonts w:ascii="Times New Roman" w:hAnsi="Times New Roman"/>
                <w:sz w:val="18"/>
              </w:rPr>
              <w:t>空间位置（大地坐标系）</w:t>
            </w:r>
          </w:p>
        </w:tc>
        <w:tc>
          <w:tcPr>
            <w:tcW w:w="1914" w:type="dxa"/>
            <w:vMerge w:val="restart"/>
            <w:shd w:val="clear" w:color="auto" w:fill="auto"/>
            <w:vAlign w:val="center"/>
          </w:tcPr>
          <w:p>
            <w:pPr>
              <w:jc w:val="center"/>
              <w:rPr>
                <w:rFonts w:ascii="Times New Roman" w:hAnsi="Times New Roman"/>
                <w:sz w:val="18"/>
              </w:rPr>
            </w:pPr>
            <w:r>
              <w:rPr>
                <w:rFonts w:ascii="Times New Roman" w:hAnsi="Times New Roman"/>
                <w:sz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14" w:type="dxa"/>
            <w:vMerge w:val="continue"/>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r>
              <w:rPr>
                <w:rFonts w:ascii="Times New Roman" w:hAnsi="Times New Roman"/>
                <w:sz w:val="18"/>
              </w:rPr>
              <w:t>X</w:t>
            </w:r>
          </w:p>
        </w:tc>
        <w:tc>
          <w:tcPr>
            <w:tcW w:w="1914" w:type="dxa"/>
            <w:shd w:val="clear" w:color="auto" w:fill="auto"/>
            <w:vAlign w:val="center"/>
          </w:tcPr>
          <w:p>
            <w:pPr>
              <w:jc w:val="center"/>
              <w:rPr>
                <w:rFonts w:ascii="Times New Roman" w:hAnsi="Times New Roman"/>
                <w:sz w:val="18"/>
              </w:rPr>
            </w:pPr>
            <w:r>
              <w:rPr>
                <w:rFonts w:ascii="Times New Roman" w:hAnsi="Times New Roman"/>
                <w:sz w:val="18"/>
              </w:rPr>
              <w:t>Y</w:t>
            </w:r>
          </w:p>
        </w:tc>
        <w:tc>
          <w:tcPr>
            <w:tcW w:w="1914" w:type="dxa"/>
            <w:shd w:val="clear" w:color="auto" w:fill="auto"/>
            <w:vAlign w:val="center"/>
          </w:tcPr>
          <w:p>
            <w:pPr>
              <w:jc w:val="center"/>
              <w:rPr>
                <w:rFonts w:ascii="Times New Roman" w:hAnsi="Times New Roman"/>
                <w:sz w:val="18"/>
              </w:rPr>
            </w:pPr>
            <w:r>
              <w:rPr>
                <w:rFonts w:ascii="Times New Roman" w:hAnsi="Times New Roman"/>
                <w:sz w:val="18"/>
              </w:rPr>
              <w:t>Z</w:t>
            </w:r>
          </w:p>
        </w:tc>
        <w:tc>
          <w:tcPr>
            <w:tcW w:w="1914" w:type="dxa"/>
            <w:vMerge w:val="continue"/>
            <w:shd w:val="clear" w:color="auto" w:fill="auto"/>
            <w:vAlign w:val="center"/>
          </w:tcPr>
          <w:p>
            <w:pPr>
              <w:jc w:val="center"/>
              <w:rPr>
                <w:rFonts w:ascii="Times New Roman" w:hAns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c>
          <w:tcPr>
            <w:tcW w:w="1914" w:type="dxa"/>
            <w:shd w:val="clear" w:color="auto" w:fill="auto"/>
            <w:vAlign w:val="center"/>
          </w:tcPr>
          <w:p>
            <w:pPr>
              <w:jc w:val="center"/>
              <w:rPr>
                <w:rFonts w:ascii="Times New Roman" w:hAns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9" w:hRule="atLeast"/>
        </w:trPr>
        <w:tc>
          <w:tcPr>
            <w:tcW w:w="9570" w:type="dxa"/>
            <w:gridSpan w:val="5"/>
            <w:shd w:val="clear" w:color="auto" w:fill="auto"/>
          </w:tcPr>
          <w:p>
            <w:pPr>
              <w:rPr>
                <w:rFonts w:ascii="Times New Roman" w:hAnsi="Times New Roman"/>
                <w:sz w:val="18"/>
              </w:rPr>
            </w:pPr>
            <w:r>
              <w:rPr>
                <w:rFonts w:ascii="Times New Roman" w:hAnsi="Times New Roman"/>
                <w:sz w:val="18"/>
                <w:szCs w:val="18"/>
              </w:rPr>
              <w:t>传感器空间位置（平面图）</w:t>
            </w:r>
          </w:p>
        </w:tc>
      </w:tr>
    </w:tbl>
    <w:p>
      <w:pPr>
        <w:spacing w:before="120" w:beforeLines="50" w:after="120" w:afterLines="50"/>
        <w:rPr>
          <w:rFonts w:ascii="黑体" w:hAnsi="黑体" w:eastAsia="黑体"/>
          <w:szCs w:val="24"/>
        </w:rPr>
      </w:pPr>
    </w:p>
    <w:p>
      <w:pPr>
        <w:spacing w:before="120" w:beforeLines="50" w:after="120" w:afterLines="50"/>
        <w:rPr>
          <w:rFonts w:ascii="黑体" w:hAnsi="黑体" w:eastAsia="黑体"/>
          <w:szCs w:val="24"/>
        </w:rPr>
      </w:pPr>
      <w:r>
        <w:rPr>
          <w:rFonts w:hint="eastAsia" w:ascii="黑体" w:hAnsi="黑体" w:eastAsia="黑体"/>
          <w:szCs w:val="24"/>
        </w:rPr>
        <w:t>H.</w:t>
      </w:r>
      <w:r>
        <w:rPr>
          <w:rFonts w:ascii="黑体" w:hAnsi="黑体" w:eastAsia="黑体"/>
          <w:szCs w:val="24"/>
        </w:rPr>
        <w:t>15.2</w:t>
      </w:r>
      <w:r>
        <w:rPr>
          <w:rFonts w:hint="eastAsia" w:ascii="黑体" w:hAnsi="黑体" w:eastAsia="黑体"/>
          <w:szCs w:val="21"/>
        </w:rPr>
        <w:t xml:space="preserve">  </w:t>
      </w:r>
      <w:r>
        <w:rPr>
          <w:rFonts w:ascii="黑体" w:hAnsi="黑体" w:eastAsia="黑体"/>
          <w:szCs w:val="24"/>
        </w:rPr>
        <w:t>次声传感器安装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次声监测仪器宜采用一体化安装，传感器、数据采集模块、蓄能电池、供电系统、通讯系统宜置于通风的建筑物内，该建筑物可距流通区数公里，应有较好的通视性。如在室外，则应置于保护箱内，保护箱应具备防雨、防风、防腐蚀的功能，应在保护箱的下部设计百叶窗式通风口，确保泥石流次声信号能进入保护箱并被次声传感器接收。</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无线传输天线应置于保护箱外，确保数据传输顺畅。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保护箱应高于地面1.8</w:t>
      </w:r>
      <w:r>
        <w:rPr>
          <w:rFonts w:hint="eastAsia" w:ascii="Times New Roman" w:hAnsi="Times New Roman"/>
          <w:szCs w:val="24"/>
        </w:rPr>
        <w:t xml:space="preserve"> </w:t>
      </w:r>
      <w:r>
        <w:rPr>
          <w:rFonts w:ascii="Times New Roman" w:hAnsi="Times New Roman"/>
          <w:szCs w:val="24"/>
        </w:rPr>
        <w:t>m以上，可将保护箱绑定在金属空心立杆上，应确保立杆和保护箱安装牢固，避免仪器箱振动产生的谐振噪音信号，立杆应置于稳定基座之上，并应安装避雷装置。监测仪器安装参见图</w:t>
      </w:r>
      <w:r>
        <w:rPr>
          <w:rFonts w:hint="eastAsia" w:ascii="Times New Roman" w:hAnsi="Times New Roman"/>
          <w:szCs w:val="24"/>
        </w:rPr>
        <w:t>H</w:t>
      </w:r>
      <w:r>
        <w:rPr>
          <w:rFonts w:ascii="Times New Roman" w:hAnsi="Times New Roman"/>
          <w:szCs w:val="24"/>
        </w:rPr>
        <w:t>-15。</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如采用太阳能作为供电系统，应将太阳能电池板支架固定在立杆上，并确保太阳能板方向朝南。</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应在次声监测设备周边加设防护栏，防护栏应适应户外条件，抗腐蚀、防锈能力强，受温度、冻融、雨水、大风等影响小，防护栏与设备及配件边界之间应留出至少30</w:t>
      </w:r>
      <w:r>
        <w:rPr>
          <w:rFonts w:hint="eastAsia" w:ascii="Times New Roman" w:hAnsi="Times New Roman"/>
          <w:szCs w:val="24"/>
        </w:rPr>
        <w:t xml:space="preserve"> </w:t>
      </w:r>
      <w:r>
        <w:rPr>
          <w:rFonts w:ascii="Times New Roman" w:hAnsi="Times New Roman"/>
          <w:szCs w:val="24"/>
        </w:rPr>
        <w:t>cm间隙。</w:t>
      </w:r>
    </w:p>
    <w:p>
      <w:pPr>
        <w:widowControl/>
        <w:tabs>
          <w:tab w:val="center" w:pos="4201"/>
          <w:tab w:val="right" w:leader="dot" w:pos="9298"/>
        </w:tabs>
        <w:autoSpaceDE w:val="0"/>
        <w:autoSpaceDN w:val="0"/>
        <w:adjustRightInd w:val="0"/>
        <w:snapToGrid w:val="0"/>
        <w:jc w:val="center"/>
        <w:rPr>
          <w:rFonts w:ascii="Times New Roman" w:hAnsi="Times New Roman" w:eastAsia="黑体"/>
          <w:kern w:val="0"/>
          <w:szCs w:val="21"/>
        </w:rPr>
      </w:pPr>
      <w:r>
        <w:rPr>
          <w:rFonts w:ascii="Times New Roman" w:hAnsi="Times New Roman" w:eastAsia="黑体"/>
          <w:kern w:val="0"/>
          <w:szCs w:val="21"/>
        </w:rPr>
        <w:drawing>
          <wp:inline distT="0" distB="0" distL="0" distR="0">
            <wp:extent cx="1769745" cy="2611120"/>
            <wp:effectExtent l="0" t="0" r="0" b="0"/>
            <wp:docPr id="33"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65"/>
                    <pic:cNvPicPr>
                      <a:picLocks noChangeAspect="1" noChangeArrowheads="1"/>
                    </pic:cNvPicPr>
                  </pic:nvPicPr>
                  <pic:blipFill>
                    <a:blip r:embed="rId48" cstate="print"/>
                    <a:srcRect/>
                    <a:stretch>
                      <a:fillRect/>
                    </a:stretch>
                  </pic:blipFill>
                  <pic:spPr>
                    <a:xfrm>
                      <a:off x="0" y="0"/>
                      <a:ext cx="1774838" cy="2618758"/>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-1</w:t>
      </w:r>
      <w:r>
        <w:rPr>
          <w:rFonts w:hint="eastAsia" w:ascii="黑体" w:hAnsi="黑体" w:eastAsia="黑体"/>
          <w:kern w:val="0"/>
          <w:szCs w:val="21"/>
        </w:rPr>
        <w:t xml:space="preserve">4  </w:t>
      </w:r>
      <w:r>
        <w:rPr>
          <w:rFonts w:ascii="黑体" w:hAnsi="黑体" w:eastAsia="黑体"/>
          <w:kern w:val="0"/>
          <w:szCs w:val="21"/>
        </w:rPr>
        <w:t>次声监测仪器安装示意图</w:t>
      </w:r>
    </w:p>
    <w:p>
      <w:pPr>
        <w:widowControl/>
        <w:tabs>
          <w:tab w:val="left" w:pos="360"/>
        </w:tabs>
        <w:spacing w:before="120" w:beforeLines="50" w:after="120" w:afterLines="50"/>
        <w:contextualSpacing/>
        <w:jc w:val="center"/>
        <w:rPr>
          <w:rFonts w:ascii="黑体" w:hAnsi="黑体" w:eastAsia="黑体"/>
          <w:kern w:val="0"/>
          <w:szCs w:val="21"/>
        </w:rPr>
      </w:pP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基座施工安装：对于松散土层而言，基坑开挖方式为人工开挖，尺寸不小于500</w:t>
      </w:r>
      <w:r>
        <w:rPr>
          <w:rFonts w:hint="eastAsia" w:ascii="Times New Roman" w:hAnsi="Times New Roman"/>
          <w:szCs w:val="24"/>
        </w:rPr>
        <w:t xml:space="preserve"> </w:t>
      </w:r>
      <w:r>
        <w:rPr>
          <w:rFonts w:ascii="Times New Roman" w:hAnsi="Times New Roman"/>
          <w:szCs w:val="24"/>
        </w:rPr>
        <w:t>mm×500</w:t>
      </w:r>
      <w:r>
        <w:rPr>
          <w:rFonts w:hint="eastAsia" w:ascii="Times New Roman" w:hAnsi="Times New Roman"/>
          <w:szCs w:val="24"/>
        </w:rPr>
        <w:t xml:space="preserve"> </w:t>
      </w:r>
      <w:r>
        <w:rPr>
          <w:rFonts w:ascii="Times New Roman" w:hAnsi="Times New Roman"/>
          <w:szCs w:val="24"/>
        </w:rPr>
        <w:t>mm×</w:t>
      </w:r>
      <w:r>
        <w:rPr>
          <w:rFonts w:hint="eastAsia" w:ascii="Times New Roman" w:hAnsi="Times New Roman"/>
          <w:szCs w:val="24"/>
        </w:rPr>
        <w:t xml:space="preserve"> </w:t>
      </w:r>
      <w:r>
        <w:rPr>
          <w:rFonts w:ascii="Times New Roman" w:hAnsi="Times New Roman"/>
          <w:szCs w:val="24"/>
        </w:rPr>
        <w:t>1</w:t>
      </w:r>
      <w:r>
        <w:rPr>
          <w:rFonts w:hint="eastAsia" w:ascii="Times New Roman" w:hAnsi="Times New Roman"/>
          <w:szCs w:val="24"/>
        </w:rPr>
        <w:t xml:space="preserve"> </w:t>
      </w:r>
      <w:r>
        <w:rPr>
          <w:rFonts w:ascii="Times New Roman" w:hAnsi="Times New Roman"/>
          <w:szCs w:val="24"/>
        </w:rPr>
        <w:t>000</w:t>
      </w:r>
      <w:r>
        <w:rPr>
          <w:rFonts w:hint="eastAsia" w:ascii="Times New Roman" w:hAnsi="Times New Roman"/>
          <w:szCs w:val="24"/>
        </w:rPr>
        <w:t xml:space="preserve"> </w:t>
      </w:r>
      <w:r>
        <w:rPr>
          <w:rFonts w:ascii="Times New Roman" w:hAnsi="Times New Roman"/>
          <w:szCs w:val="24"/>
        </w:rPr>
        <w:t>mm（长×宽×深），基底处理方式为人工夯实，基坑浇筑混凝土强度不低于C25，浇筑后的基座顶部应保持水平，砼养护期满后方可进行仪器安装。松散土层基础施工示意图见</w:t>
      </w:r>
      <w:r>
        <w:rPr>
          <w:rFonts w:hint="eastAsia" w:ascii="Times New Roman" w:hAnsi="Times New Roman"/>
          <w:szCs w:val="24"/>
        </w:rPr>
        <w:t>G</w:t>
      </w:r>
      <w:r>
        <w:rPr>
          <w:rFonts w:ascii="Times New Roman" w:hAnsi="Times New Roman"/>
          <w:szCs w:val="24"/>
        </w:rPr>
        <w:t>-1</w:t>
      </w:r>
      <w:r>
        <w:rPr>
          <w:rFonts w:hint="eastAsia" w:ascii="Times New Roman" w:hAnsi="Times New Roman"/>
          <w:szCs w:val="24"/>
        </w:rPr>
        <w:t>5</w:t>
      </w:r>
      <w:r>
        <w:rPr>
          <w:rFonts w:ascii="Times New Roman" w:hAnsi="Times New Roman"/>
          <w:szCs w:val="24"/>
        </w:rPr>
        <w:t>。对于基岩地层来说，基础施工可以采用岩石凿孔下放钢筋的方式进行基础建设，岩石凿孔深度不少于500</w:t>
      </w:r>
      <w:r>
        <w:rPr>
          <w:rFonts w:hint="eastAsia" w:ascii="Times New Roman" w:hAnsi="Times New Roman"/>
          <w:szCs w:val="24"/>
        </w:rPr>
        <w:t xml:space="preserve"> </w:t>
      </w:r>
      <w:r>
        <w:rPr>
          <w:rFonts w:ascii="Times New Roman" w:hAnsi="Times New Roman"/>
          <w:szCs w:val="24"/>
        </w:rPr>
        <w:t>mm，下钢筋后用C30混凝土浇筑凿孔和钢筋，在露出地面后浇筑一个100</w:t>
      </w:r>
      <w:r>
        <w:rPr>
          <w:rFonts w:hint="eastAsia" w:ascii="Times New Roman" w:hAnsi="Times New Roman"/>
          <w:szCs w:val="24"/>
        </w:rPr>
        <w:t xml:space="preserve"> </w:t>
      </w:r>
      <w:r>
        <w:rPr>
          <w:rFonts w:ascii="Times New Roman" w:hAnsi="Times New Roman"/>
          <w:szCs w:val="24"/>
        </w:rPr>
        <w:t>mm高方平台，顶部保持水平，砼养护期满后方可进行仪器安装，基岩层内基础施工示意图见</w:t>
      </w:r>
      <w:r>
        <w:rPr>
          <w:rFonts w:hint="eastAsia" w:ascii="Times New Roman" w:hAnsi="Times New Roman"/>
          <w:szCs w:val="24"/>
        </w:rPr>
        <w:t>H</w:t>
      </w:r>
      <w:r>
        <w:rPr>
          <w:rFonts w:ascii="Times New Roman" w:hAnsi="Times New Roman"/>
          <w:szCs w:val="24"/>
        </w:rPr>
        <w:t>-1</w:t>
      </w:r>
      <w:r>
        <w:rPr>
          <w:rFonts w:hint="eastAsia" w:ascii="Times New Roman" w:hAnsi="Times New Roman"/>
          <w:szCs w:val="24"/>
        </w:rPr>
        <w:t>6</w:t>
      </w:r>
      <w:r>
        <w:rPr>
          <w:rFonts w:ascii="Times New Roman" w:hAnsi="Times New Roman"/>
          <w:szCs w:val="24"/>
        </w:rPr>
        <w:t>。</w:t>
      </w:r>
    </w:p>
    <w:p>
      <w:pPr>
        <w:widowControl/>
        <w:tabs>
          <w:tab w:val="center" w:pos="4201"/>
          <w:tab w:val="right" w:leader="dot" w:pos="9298"/>
        </w:tabs>
        <w:autoSpaceDE w:val="0"/>
        <w:autoSpaceDN w:val="0"/>
        <w:adjustRightInd w:val="0"/>
        <w:snapToGrid w:val="0"/>
        <w:jc w:val="center"/>
        <w:rPr>
          <w:rFonts w:ascii="Times New Roman" w:hAnsi="Times New Roman"/>
        </w:rPr>
      </w:pPr>
      <w:r>
        <w:rPr>
          <w:rFonts w:ascii="Times New Roman" w:hAnsi="Times New Roman"/>
          <w:szCs w:val="24"/>
        </w:rPr>
        <w:drawing>
          <wp:inline distT="0" distB="0" distL="0" distR="0">
            <wp:extent cx="4737735" cy="2084705"/>
            <wp:effectExtent l="0" t="0" r="0" b="0"/>
            <wp:docPr id="34"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66"/>
                    <pic:cNvPicPr>
                      <a:picLocks noChangeAspect="1" noChangeArrowheads="1"/>
                    </pic:cNvPicPr>
                  </pic:nvPicPr>
                  <pic:blipFill>
                    <a:blip r:embed="rId49" cstate="print"/>
                    <a:srcRect t="2322" b="2440"/>
                    <a:stretch>
                      <a:fillRect/>
                    </a:stretch>
                  </pic:blipFill>
                  <pic:spPr>
                    <a:xfrm>
                      <a:off x="0" y="0"/>
                      <a:ext cx="4741619" cy="2086651"/>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-1</w:t>
      </w:r>
      <w:r>
        <w:rPr>
          <w:rFonts w:hint="eastAsia" w:ascii="黑体" w:hAnsi="黑体" w:eastAsia="黑体"/>
          <w:kern w:val="0"/>
          <w:szCs w:val="21"/>
        </w:rPr>
        <w:t xml:space="preserve">5  </w:t>
      </w:r>
      <w:r>
        <w:rPr>
          <w:rFonts w:ascii="黑体" w:hAnsi="黑体" w:eastAsia="黑体"/>
          <w:kern w:val="0"/>
          <w:szCs w:val="21"/>
        </w:rPr>
        <w:t>松散土层基础施工示意图</w:t>
      </w:r>
    </w:p>
    <w:p>
      <w:pPr>
        <w:jc w:val="center"/>
        <w:rPr>
          <w:rFonts w:ascii="Times New Roman" w:hAnsi="Times New Roman" w:eastAsia="黑体"/>
          <w:szCs w:val="21"/>
        </w:rPr>
      </w:pPr>
      <w:r>
        <w:rPr>
          <w:rFonts w:ascii="Times New Roman" w:hAnsi="Times New Roman" w:eastAsia="黑体"/>
          <w:szCs w:val="21"/>
        </w:rPr>
        <w:drawing>
          <wp:inline distT="0" distB="0" distL="0" distR="0">
            <wp:extent cx="4000500" cy="172402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50" cstate="print"/>
                    <a:srcRect t="5853"/>
                    <a:stretch>
                      <a:fillRect/>
                    </a:stretch>
                  </pic:blipFill>
                  <pic:spPr>
                    <a:xfrm>
                      <a:off x="0" y="0"/>
                      <a:ext cx="4000500" cy="1724025"/>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-1</w:t>
      </w:r>
      <w:r>
        <w:rPr>
          <w:rFonts w:hint="eastAsia" w:ascii="黑体" w:hAnsi="黑体" w:eastAsia="黑体"/>
          <w:kern w:val="0"/>
          <w:szCs w:val="21"/>
        </w:rPr>
        <w:t xml:space="preserve">6  </w:t>
      </w:r>
      <w:r>
        <w:rPr>
          <w:rFonts w:ascii="黑体" w:hAnsi="黑体" w:eastAsia="黑体"/>
          <w:kern w:val="0"/>
          <w:szCs w:val="21"/>
        </w:rPr>
        <w:t>基岩地层基础施工示意图</w:t>
      </w:r>
    </w:p>
    <w:p>
      <w:pPr>
        <w:widowControl/>
        <w:tabs>
          <w:tab w:val="left" w:pos="360"/>
        </w:tabs>
        <w:spacing w:before="120" w:beforeLines="50" w:after="120" w:afterLines="50"/>
        <w:contextualSpacing/>
        <w:jc w:val="center"/>
        <w:rPr>
          <w:rFonts w:ascii="黑体" w:hAnsi="黑体" w:eastAsia="黑体"/>
          <w:kern w:val="0"/>
          <w:szCs w:val="21"/>
        </w:rPr>
      </w:pPr>
    </w:p>
    <w:p>
      <w:pPr>
        <w:spacing w:before="120" w:beforeLines="50" w:after="120" w:afterLines="50"/>
        <w:rPr>
          <w:rFonts w:ascii="黑体" w:hAnsi="黑体" w:eastAsia="黑体"/>
          <w:szCs w:val="24"/>
        </w:rPr>
      </w:pPr>
      <w:r>
        <w:rPr>
          <w:rFonts w:hint="eastAsia" w:ascii="黑体" w:hAnsi="黑体" w:eastAsia="黑体"/>
          <w:szCs w:val="24"/>
        </w:rPr>
        <w:t>H.</w:t>
      </w:r>
      <w:r>
        <w:rPr>
          <w:rFonts w:ascii="黑体" w:hAnsi="黑体" w:eastAsia="黑体"/>
          <w:szCs w:val="24"/>
        </w:rPr>
        <w:t>15.3</w:t>
      </w:r>
      <w:r>
        <w:rPr>
          <w:rFonts w:hint="eastAsia" w:ascii="黑体" w:hAnsi="黑体" w:eastAsia="黑体"/>
          <w:szCs w:val="21"/>
        </w:rPr>
        <w:t xml:space="preserve">  </w:t>
      </w:r>
      <w:r>
        <w:rPr>
          <w:rFonts w:ascii="黑体" w:hAnsi="黑体" w:eastAsia="黑体"/>
          <w:szCs w:val="24"/>
        </w:rPr>
        <w:t>地震检波器安装</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地震检波器应紧密贴合基岩或混凝土平台，传感器应有防护罩及防潮隔热措施，应用混凝土将整个传感器及防护罩埋设，安装见示意图</w:t>
      </w:r>
      <w:r>
        <w:rPr>
          <w:rFonts w:hint="eastAsia" w:ascii="Times New Roman" w:hAnsi="Times New Roman"/>
          <w:szCs w:val="24"/>
        </w:rPr>
        <w:t>H</w:t>
      </w:r>
      <w:r>
        <w:rPr>
          <w:rFonts w:ascii="Times New Roman" w:hAnsi="Times New Roman"/>
          <w:szCs w:val="24"/>
        </w:rPr>
        <w:t>-1</w:t>
      </w:r>
      <w:r>
        <w:rPr>
          <w:rFonts w:hint="eastAsia" w:ascii="Times New Roman" w:hAnsi="Times New Roman"/>
          <w:szCs w:val="24"/>
        </w:rPr>
        <w:t>7</w:t>
      </w:r>
      <w:r>
        <w:rPr>
          <w:rFonts w:ascii="Times New Roman" w:hAnsi="Times New Roman"/>
          <w:szCs w:val="24"/>
        </w:rPr>
        <w:t>。</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应采取以下防护措施减少环境对传感器的影响</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传感器应采用气密外壳进行封装，并采用干燥剂防潮</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传感器应避开电磁干扰，应与信号电缆和电源线保持一定的距离</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传感器的安装应使用绝缘底座，避免对地回路引起的噪声</w:t>
      </w:r>
      <w:r>
        <w:rPr>
          <w:rFonts w:hint="eastAsia" w:ascii="Times New Roman" w:hAnsi="Times New Roman"/>
          <w:szCs w:val="24"/>
        </w:rPr>
        <w:t>。</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传感器应满足雷电防护要求，信号电缆长度不应超过300</w:t>
      </w:r>
      <w:r>
        <w:rPr>
          <w:rFonts w:hint="eastAsia" w:ascii="Times New Roman" w:hAnsi="Times New Roman"/>
          <w:szCs w:val="24"/>
        </w:rPr>
        <w:t xml:space="preserve"> m</w:t>
      </w:r>
      <w:r>
        <w:rPr>
          <w:rFonts w:ascii="Times New Roman" w:hAnsi="Times New Roman"/>
          <w:szCs w:val="24"/>
        </w:rPr>
        <w:t>。</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g)  </w:t>
      </w:r>
      <w:r>
        <w:rPr>
          <w:rFonts w:ascii="Times New Roman" w:hAnsi="Times New Roman"/>
          <w:szCs w:val="24"/>
        </w:rPr>
        <w:t>地面震动监测仪器的数据采集模块、蓄能电池、通讯系统等应置于保护箱内，无线传输装置应置于保护箱之外。</w:t>
      </w:r>
    </w:p>
    <w:p>
      <w:pPr>
        <w:jc w:val="center"/>
        <w:rPr>
          <w:rFonts w:ascii="Times New Roman" w:hAnsi="Times New Roman"/>
        </w:rPr>
      </w:pPr>
      <w:r>
        <w:rPr>
          <w:rFonts w:ascii="Times New Roman" w:hAnsi="Times New Roman"/>
          <w:sz w:val="28"/>
          <w:szCs w:val="28"/>
        </w:rPr>
        <w:drawing>
          <wp:inline distT="0" distB="0" distL="0" distR="0">
            <wp:extent cx="4067175" cy="2238375"/>
            <wp:effectExtent l="19050" t="0" r="9525" b="0"/>
            <wp:docPr id="36" name="图片 4" descr="说明: 说明: FVERJUW6X]33B2UR76]2J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 descr="说明: 说明: FVERJUW6X]33B2UR76]2J73"/>
                    <pic:cNvPicPr>
                      <a:picLocks noChangeAspect="1" noChangeArrowheads="1"/>
                    </pic:cNvPicPr>
                  </pic:nvPicPr>
                  <pic:blipFill>
                    <a:blip r:embed="rId51" cstate="print"/>
                    <a:srcRect t="1866" b="3358"/>
                    <a:stretch>
                      <a:fillRect/>
                    </a:stretch>
                  </pic:blipFill>
                  <pic:spPr>
                    <a:xfrm>
                      <a:off x="0" y="0"/>
                      <a:ext cx="4067175" cy="2238375"/>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H</w:t>
      </w:r>
      <w:r>
        <w:rPr>
          <w:rFonts w:ascii="黑体" w:hAnsi="黑体" w:eastAsia="黑体"/>
          <w:kern w:val="0"/>
          <w:szCs w:val="21"/>
        </w:rPr>
        <w:t>-1</w:t>
      </w:r>
      <w:r>
        <w:rPr>
          <w:rFonts w:hint="eastAsia" w:ascii="黑体" w:hAnsi="黑体" w:eastAsia="黑体"/>
          <w:kern w:val="0"/>
          <w:szCs w:val="21"/>
        </w:rPr>
        <w:t xml:space="preserve">7  </w:t>
      </w:r>
      <w:r>
        <w:rPr>
          <w:rFonts w:ascii="黑体" w:hAnsi="黑体" w:eastAsia="黑体"/>
          <w:kern w:val="0"/>
          <w:szCs w:val="21"/>
        </w:rPr>
        <w:t>地震检波器地表安装示意图</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bookmarkStart w:id="256" w:name="_Toc21966437"/>
      <w:bookmarkStart w:id="257" w:name="_Toc33177719"/>
      <w:r>
        <w:rPr>
          <w:rFonts w:ascii="黑体" w:hAnsi="黑体" w:eastAsia="黑体"/>
          <w:kern w:val="0"/>
          <w:szCs w:val="21"/>
        </w:rPr>
        <w:t xml:space="preserve">附  录  </w:t>
      </w:r>
      <w:r>
        <w:rPr>
          <w:rFonts w:hint="eastAsia" w:ascii="黑体" w:hAnsi="黑体" w:eastAsia="黑体"/>
          <w:kern w:val="0"/>
          <w:szCs w:val="21"/>
        </w:rPr>
        <w:t>I</w:t>
      </w:r>
    </w:p>
    <w:p>
      <w:pPr>
        <w:keepNext/>
        <w:widowControl/>
        <w:shd w:val="clear" w:color="FFFFFF" w:fill="FFFFFF"/>
        <w:tabs>
          <w:tab w:val="left" w:pos="360"/>
          <w:tab w:val="left" w:pos="6405"/>
        </w:tabs>
        <w:spacing w:before="120" w:beforeLines="50" w:after="120" w:afterLines="50"/>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w:t>
      </w:r>
      <w:r>
        <w:rPr>
          <w:rFonts w:hint="eastAsia" w:ascii="Times New Roman" w:hAnsi="Times New Roman" w:eastAsia="黑体"/>
          <w:kern w:val="0"/>
          <w:szCs w:val="21"/>
        </w:rPr>
        <w:t>规范</w:t>
      </w:r>
      <w:r>
        <w:rPr>
          <w:rFonts w:ascii="Times New Roman" w:hAnsi="Times New Roman" w:eastAsia="黑体"/>
          <w:kern w:val="0"/>
          <w:szCs w:val="21"/>
        </w:rPr>
        <w:t>性附录）</w:t>
      </w:r>
    </w:p>
    <w:p>
      <w:pPr>
        <w:keepNext/>
        <w:widowControl/>
        <w:shd w:val="clear" w:color="FFFFFF" w:fill="FFFFFF"/>
        <w:tabs>
          <w:tab w:val="left" w:pos="360"/>
          <w:tab w:val="left" w:pos="6405"/>
        </w:tabs>
        <w:spacing w:before="120" w:beforeLines="50" w:after="120" w:afterLines="50"/>
        <w:jc w:val="center"/>
        <w:outlineLvl w:val="0"/>
        <w:rPr>
          <w:rFonts w:ascii="Times New Roman" w:hAnsi="Times New Roman" w:eastAsia="黑体"/>
          <w:b/>
          <w:bCs/>
          <w:kern w:val="44"/>
          <w:szCs w:val="21"/>
        </w:rPr>
      </w:pPr>
      <w:r>
        <w:rPr>
          <w:rFonts w:ascii="Times New Roman" w:hAnsi="Times New Roman" w:eastAsia="黑体"/>
          <w:kern w:val="0"/>
          <w:szCs w:val="21"/>
        </w:rPr>
        <w:t>地质灾害预警专题报告提纲</w:t>
      </w:r>
      <w:bookmarkEnd w:id="256"/>
      <w:bookmarkEnd w:id="257"/>
    </w:p>
    <w:p>
      <w:pPr>
        <w:keepNext/>
        <w:keepLines/>
        <w:adjustRightInd w:val="0"/>
        <w:snapToGrid w:val="0"/>
        <w:spacing w:before="120" w:beforeLines="50" w:after="120" w:afterLines="50"/>
        <w:jc w:val="left"/>
        <w:rPr>
          <w:rFonts w:ascii="黑体" w:hAnsi="黑体" w:eastAsia="黑体"/>
          <w:bCs/>
          <w:kern w:val="44"/>
          <w:szCs w:val="21"/>
        </w:rPr>
      </w:pPr>
      <w:bookmarkStart w:id="258" w:name="_Toc534577795"/>
      <w:bookmarkStart w:id="259" w:name="_Toc21966438"/>
      <w:bookmarkStart w:id="260" w:name="_Toc534580152"/>
      <w:r>
        <w:rPr>
          <w:rFonts w:hint="eastAsia" w:ascii="黑体" w:hAnsi="黑体" w:eastAsia="黑体"/>
          <w:bCs/>
          <w:kern w:val="44"/>
          <w:szCs w:val="21"/>
        </w:rPr>
        <w:t>I</w:t>
      </w:r>
      <w:r>
        <w:rPr>
          <w:rFonts w:ascii="黑体" w:hAnsi="黑体" w:eastAsia="黑体"/>
          <w:bCs/>
          <w:kern w:val="44"/>
          <w:szCs w:val="21"/>
        </w:rPr>
        <w:t>.1</w:t>
      </w:r>
      <w:r>
        <w:rPr>
          <w:rFonts w:hint="eastAsia" w:ascii="黑体" w:hAnsi="黑体" w:eastAsia="黑体"/>
          <w:bCs/>
          <w:kern w:val="44"/>
          <w:szCs w:val="21"/>
        </w:rPr>
        <w:t xml:space="preserve">  </w:t>
      </w:r>
      <w:r>
        <w:rPr>
          <w:rFonts w:ascii="黑体" w:hAnsi="黑体" w:eastAsia="黑体"/>
          <w:bCs/>
          <w:kern w:val="44"/>
          <w:szCs w:val="21"/>
        </w:rPr>
        <w:t>报告名称</w:t>
      </w:r>
      <w:bookmarkEnd w:id="258"/>
      <w:bookmarkEnd w:id="259"/>
      <w:bookmarkEnd w:id="260"/>
    </w:p>
    <w:p>
      <w:pPr>
        <w:spacing w:line="360" w:lineRule="auto"/>
        <w:ind w:firstLine="420" w:firstLineChars="200"/>
        <w:rPr>
          <w:rFonts w:ascii="Times New Roman" w:hAnsi="Times New Roman"/>
          <w:szCs w:val="24"/>
        </w:rPr>
      </w:pPr>
      <w:r>
        <w:rPr>
          <w:rFonts w:ascii="Times New Roman" w:hAnsi="Times New Roman"/>
          <w:szCs w:val="24"/>
        </w:rPr>
        <w:t>《湖北省**市（区、县）**滑坡（或其它灾种）进入*色预警阶段的报告》或《湖北省**市（区、县）**滑坡（或其它灾种）调整预警级别的报告》</w:t>
      </w:r>
    </w:p>
    <w:p>
      <w:pPr>
        <w:keepNext/>
        <w:keepLines/>
        <w:adjustRightInd w:val="0"/>
        <w:snapToGrid w:val="0"/>
        <w:spacing w:before="120" w:beforeLines="50" w:after="120" w:afterLines="50"/>
        <w:jc w:val="left"/>
        <w:rPr>
          <w:rFonts w:ascii="黑体" w:hAnsi="黑体" w:eastAsia="黑体"/>
          <w:bCs/>
          <w:kern w:val="44"/>
          <w:szCs w:val="21"/>
        </w:rPr>
      </w:pPr>
      <w:bookmarkStart w:id="261" w:name="_Toc534577796"/>
      <w:bookmarkStart w:id="262" w:name="_Toc534580153"/>
      <w:bookmarkStart w:id="263" w:name="_Toc21966439"/>
      <w:r>
        <w:rPr>
          <w:rFonts w:hint="eastAsia" w:ascii="黑体" w:hAnsi="黑体" w:eastAsia="黑体"/>
          <w:bCs/>
          <w:kern w:val="44"/>
          <w:szCs w:val="21"/>
        </w:rPr>
        <w:t>I</w:t>
      </w:r>
      <w:r>
        <w:rPr>
          <w:rFonts w:ascii="黑体" w:hAnsi="黑体" w:eastAsia="黑体"/>
          <w:bCs/>
          <w:kern w:val="44"/>
          <w:szCs w:val="21"/>
        </w:rPr>
        <w:t>.2</w:t>
      </w:r>
      <w:r>
        <w:rPr>
          <w:rFonts w:hint="eastAsia" w:ascii="黑体" w:hAnsi="黑体" w:eastAsia="黑体"/>
          <w:bCs/>
          <w:kern w:val="44"/>
          <w:szCs w:val="21"/>
        </w:rPr>
        <w:t xml:space="preserve">  </w:t>
      </w:r>
      <w:r>
        <w:rPr>
          <w:rFonts w:ascii="黑体" w:hAnsi="黑体" w:eastAsia="黑体"/>
          <w:bCs/>
          <w:kern w:val="44"/>
          <w:szCs w:val="21"/>
        </w:rPr>
        <w:t>报告提纲</w:t>
      </w:r>
      <w:bookmarkEnd w:id="261"/>
      <w:bookmarkEnd w:id="262"/>
      <w:bookmarkEnd w:id="263"/>
    </w:p>
    <w:p>
      <w:pPr>
        <w:spacing w:line="360" w:lineRule="auto"/>
        <w:rPr>
          <w:rFonts w:ascii="Times New Roman" w:hAnsi="Times New Roman"/>
          <w:szCs w:val="24"/>
        </w:rPr>
      </w:pPr>
      <w:r>
        <w:rPr>
          <w:rFonts w:hint="eastAsia" w:ascii="Times New Roman" w:hAnsi="Times New Roman"/>
          <w:szCs w:val="24"/>
        </w:rPr>
        <w:t xml:space="preserve">第一章  </w:t>
      </w:r>
      <w:r>
        <w:rPr>
          <w:rFonts w:ascii="Times New Roman" w:hAnsi="Times New Roman"/>
          <w:szCs w:val="24"/>
        </w:rPr>
        <w:t>基本概况（以滑坡为例）</w:t>
      </w:r>
    </w:p>
    <w:p>
      <w:pPr>
        <w:spacing w:line="360" w:lineRule="auto"/>
        <w:ind w:firstLine="420" w:firstLineChars="200"/>
        <w:rPr>
          <w:rFonts w:ascii="Times New Roman" w:hAnsi="Times New Roman"/>
          <w:szCs w:val="24"/>
        </w:rPr>
      </w:pPr>
      <w:r>
        <w:rPr>
          <w:rFonts w:hint="eastAsia" w:ascii="Times New Roman" w:hAnsi="Times New Roman"/>
          <w:szCs w:val="24"/>
        </w:rPr>
        <w:t xml:space="preserve">第一节  </w:t>
      </w:r>
      <w:r>
        <w:rPr>
          <w:rFonts w:ascii="Times New Roman" w:hAnsi="Times New Roman"/>
          <w:szCs w:val="24"/>
        </w:rPr>
        <w:t>滑坡地理位置、规模、主要危害及防治措施</w:t>
      </w:r>
    </w:p>
    <w:p>
      <w:pPr>
        <w:spacing w:line="360" w:lineRule="auto"/>
        <w:ind w:firstLine="420" w:firstLineChars="200"/>
        <w:rPr>
          <w:rFonts w:ascii="Times New Roman" w:hAnsi="Times New Roman"/>
          <w:szCs w:val="24"/>
        </w:rPr>
      </w:pPr>
      <w:r>
        <w:rPr>
          <w:rFonts w:ascii="Times New Roman" w:hAnsi="Times New Roman"/>
          <w:szCs w:val="24"/>
        </w:rPr>
        <w:t>包括滑坡地理位置及坐标、前后缘高程、滑坡体的规模（长、宽、厚，面积、体积）、历史变形情况、影响范围、威胁对象及目前采取的防治措施等情况。</w:t>
      </w:r>
    </w:p>
    <w:p>
      <w:pPr>
        <w:spacing w:line="360" w:lineRule="auto"/>
        <w:ind w:firstLine="420" w:firstLineChars="200"/>
        <w:rPr>
          <w:rFonts w:ascii="Times New Roman" w:hAnsi="Times New Roman"/>
          <w:szCs w:val="24"/>
        </w:rPr>
      </w:pPr>
      <w:r>
        <w:rPr>
          <w:rFonts w:hint="eastAsia" w:ascii="Times New Roman" w:hAnsi="Times New Roman"/>
          <w:szCs w:val="24"/>
        </w:rPr>
        <w:t xml:space="preserve">第二节  </w:t>
      </w:r>
      <w:r>
        <w:rPr>
          <w:rFonts w:ascii="Times New Roman" w:hAnsi="Times New Roman"/>
          <w:szCs w:val="24"/>
        </w:rPr>
        <w:t>滑坡基本地质特征</w:t>
      </w:r>
    </w:p>
    <w:p>
      <w:pPr>
        <w:spacing w:line="360" w:lineRule="auto"/>
        <w:ind w:firstLine="420" w:firstLineChars="200"/>
        <w:rPr>
          <w:rFonts w:ascii="Times New Roman" w:hAnsi="Times New Roman"/>
          <w:szCs w:val="24"/>
        </w:rPr>
      </w:pPr>
      <w:r>
        <w:rPr>
          <w:rFonts w:ascii="Times New Roman" w:hAnsi="Times New Roman"/>
          <w:szCs w:val="24"/>
        </w:rPr>
        <w:t>简述滑坡地形地貌、地层岩性、地质构造、滑体物质构成、滑带（面）特征、滑床物质构成特征。须附有滑坡平面图与剖面图、滑坡全貌照片（标注滑坡范围）。</w:t>
      </w:r>
    </w:p>
    <w:p>
      <w:pPr>
        <w:spacing w:line="360" w:lineRule="auto"/>
        <w:ind w:firstLine="420" w:firstLineChars="200"/>
        <w:rPr>
          <w:rFonts w:ascii="Times New Roman" w:hAnsi="Times New Roman"/>
          <w:szCs w:val="24"/>
        </w:rPr>
      </w:pPr>
      <w:r>
        <w:rPr>
          <w:rFonts w:hint="eastAsia" w:ascii="Times New Roman" w:hAnsi="Times New Roman"/>
          <w:szCs w:val="24"/>
        </w:rPr>
        <w:t xml:space="preserve">第三节  </w:t>
      </w:r>
      <w:r>
        <w:rPr>
          <w:rFonts w:ascii="Times New Roman" w:hAnsi="Times New Roman"/>
          <w:szCs w:val="24"/>
        </w:rPr>
        <w:t>滑坡变形概述</w:t>
      </w:r>
    </w:p>
    <w:p>
      <w:pPr>
        <w:spacing w:line="360" w:lineRule="auto"/>
        <w:ind w:firstLine="420" w:firstLineChars="200"/>
        <w:rPr>
          <w:rFonts w:ascii="Times New Roman" w:hAnsi="Times New Roman"/>
          <w:szCs w:val="24"/>
        </w:rPr>
      </w:pPr>
      <w:r>
        <w:rPr>
          <w:rFonts w:ascii="Times New Roman" w:hAnsi="Times New Roman"/>
          <w:szCs w:val="24"/>
        </w:rPr>
        <w:t>历史上滑坡重大变形时间、规模及特征、自监测以来变形情况概述。</w:t>
      </w:r>
    </w:p>
    <w:p>
      <w:pPr>
        <w:spacing w:line="360" w:lineRule="auto"/>
        <w:rPr>
          <w:rFonts w:ascii="Times New Roman" w:hAnsi="Times New Roman"/>
          <w:szCs w:val="24"/>
        </w:rPr>
      </w:pPr>
      <w:r>
        <w:rPr>
          <w:rFonts w:hint="eastAsia" w:ascii="Times New Roman" w:hAnsi="Times New Roman"/>
          <w:szCs w:val="24"/>
        </w:rPr>
        <w:t xml:space="preserve">第二章  </w:t>
      </w:r>
      <w:r>
        <w:rPr>
          <w:rFonts w:ascii="Times New Roman" w:hAnsi="Times New Roman"/>
          <w:szCs w:val="24"/>
        </w:rPr>
        <w:t>专业监测工作</w:t>
      </w:r>
    </w:p>
    <w:p>
      <w:pPr>
        <w:spacing w:line="360" w:lineRule="auto"/>
        <w:ind w:firstLine="420" w:firstLineChars="200"/>
        <w:rPr>
          <w:rFonts w:ascii="Times New Roman" w:hAnsi="Times New Roman"/>
          <w:szCs w:val="24"/>
        </w:rPr>
      </w:pPr>
      <w:r>
        <w:rPr>
          <w:rFonts w:hint="eastAsia" w:ascii="Times New Roman" w:hAnsi="Times New Roman"/>
          <w:szCs w:val="24"/>
        </w:rPr>
        <w:t xml:space="preserve">第一节  </w:t>
      </w:r>
      <w:r>
        <w:rPr>
          <w:rFonts w:ascii="Times New Roman" w:hAnsi="Times New Roman"/>
          <w:szCs w:val="24"/>
        </w:rPr>
        <w:t>监测网点的布设及监测内容。须附有专业监测工程平、剖面布置图。</w:t>
      </w:r>
    </w:p>
    <w:p>
      <w:pPr>
        <w:spacing w:line="360" w:lineRule="auto"/>
        <w:ind w:firstLine="420" w:firstLineChars="200"/>
        <w:rPr>
          <w:rFonts w:ascii="Times New Roman" w:hAnsi="Times New Roman"/>
          <w:szCs w:val="24"/>
        </w:rPr>
      </w:pPr>
      <w:r>
        <w:rPr>
          <w:rFonts w:hint="eastAsia" w:ascii="Times New Roman" w:hAnsi="Times New Roman"/>
          <w:szCs w:val="24"/>
        </w:rPr>
        <w:t xml:space="preserve">第二节  </w:t>
      </w:r>
      <w:r>
        <w:rPr>
          <w:rFonts w:ascii="Times New Roman" w:hAnsi="Times New Roman"/>
          <w:szCs w:val="24"/>
        </w:rPr>
        <w:t>监测成果与滑坡变形特征（以典型监测方法为例）</w:t>
      </w:r>
    </w:p>
    <w:p>
      <w:pPr>
        <w:spacing w:line="360" w:lineRule="auto"/>
        <w:ind w:left="840" w:leftChars="200" w:hanging="420" w:hangingChars="200"/>
        <w:rPr>
          <w:rFonts w:ascii="Times New Roman" w:hAnsi="Times New Roman"/>
          <w:szCs w:val="24"/>
        </w:rPr>
      </w:pPr>
      <w:r>
        <w:rPr>
          <w:rFonts w:ascii="Times New Roman" w:hAnsi="Times New Roman"/>
          <w:szCs w:val="24"/>
        </w:rPr>
        <w:t>a</w:t>
      </w:r>
      <w:r>
        <w:rPr>
          <w:rFonts w:hint="eastAsia" w:ascii="宋体" w:hAnsi="宋体"/>
          <w:szCs w:val="21"/>
        </w:rPr>
        <w:t xml:space="preserve">)  </w:t>
      </w:r>
      <w:r>
        <w:rPr>
          <w:rFonts w:ascii="Times New Roman" w:hAnsi="Times New Roman"/>
          <w:szCs w:val="24"/>
        </w:rPr>
        <w:t>GNSS监测</w:t>
      </w:r>
      <w:r>
        <w:rPr>
          <w:rFonts w:hint="eastAsia" w:ascii="Times New Roman" w:hAnsi="Times New Roman"/>
          <w:szCs w:val="24"/>
        </w:rPr>
        <w:t>。</w:t>
      </w:r>
      <w:r>
        <w:rPr>
          <w:rFonts w:ascii="Times New Roman" w:hAnsi="Times New Roman"/>
          <w:szCs w:val="24"/>
        </w:rPr>
        <w:t>简明叙述变形时段及变形量、日变形速率、监测点所控制变形范围、变形的同步性及差异性。附GNSS监测累计位移表、位移速率表、监测时程曲线图、位移矢量图等。进行与降雨、地下水位等相关分析。</w:t>
      </w:r>
    </w:p>
    <w:p>
      <w:pPr>
        <w:spacing w:line="360" w:lineRule="auto"/>
        <w:ind w:left="840" w:leftChars="200" w:hanging="420" w:hangingChars="200"/>
        <w:rPr>
          <w:rFonts w:ascii="Times New Roman" w:hAnsi="Times New Roman"/>
          <w:szCs w:val="24"/>
        </w:rPr>
      </w:pPr>
      <w:r>
        <w:rPr>
          <w:rFonts w:ascii="Times New Roman" w:hAnsi="Times New Roman"/>
          <w:szCs w:val="24"/>
        </w:rPr>
        <w:t>b</w:t>
      </w:r>
      <w:r>
        <w:rPr>
          <w:rFonts w:hint="eastAsia" w:ascii="宋体" w:hAnsi="宋体"/>
          <w:szCs w:val="21"/>
        </w:rPr>
        <w:t xml:space="preserve">)  </w:t>
      </w:r>
      <w:r>
        <w:rPr>
          <w:rFonts w:ascii="Times New Roman" w:hAnsi="Times New Roman"/>
          <w:szCs w:val="24"/>
        </w:rPr>
        <w:t>钻孔倾斜仪监测</w:t>
      </w:r>
      <w:r>
        <w:rPr>
          <w:rFonts w:hint="eastAsia" w:ascii="Times New Roman" w:hAnsi="Times New Roman"/>
          <w:szCs w:val="24"/>
        </w:rPr>
        <w:t>。</w:t>
      </w:r>
      <w:r>
        <w:rPr>
          <w:rFonts w:ascii="Times New Roman" w:hAnsi="Times New Roman"/>
          <w:szCs w:val="24"/>
        </w:rPr>
        <w:t>叙述钻孔监测的主要变形位置、变形量、变形速率，分析各钻孔的同步性，差异性，附钻孔检验表、监测曲线。与地表变形、降雨、库水位、地下水位进行变形相关分析。</w:t>
      </w:r>
    </w:p>
    <w:p>
      <w:pPr>
        <w:spacing w:line="360" w:lineRule="auto"/>
        <w:ind w:left="840" w:leftChars="200" w:hanging="420" w:hangingChars="200"/>
        <w:rPr>
          <w:rFonts w:ascii="Times New Roman" w:hAnsi="Times New Roman"/>
          <w:szCs w:val="24"/>
        </w:rPr>
      </w:pPr>
      <w:r>
        <w:rPr>
          <w:rFonts w:ascii="Times New Roman" w:hAnsi="Times New Roman"/>
          <w:szCs w:val="24"/>
        </w:rPr>
        <w:t>c</w:t>
      </w:r>
      <w:r>
        <w:rPr>
          <w:rFonts w:hint="eastAsia" w:ascii="宋体" w:hAnsi="宋体"/>
          <w:szCs w:val="21"/>
        </w:rPr>
        <w:t xml:space="preserve">)  </w:t>
      </w:r>
      <w:r>
        <w:rPr>
          <w:rFonts w:ascii="Times New Roman" w:hAnsi="Times New Roman"/>
          <w:szCs w:val="24"/>
        </w:rPr>
        <w:t>滑坡推力监测</w:t>
      </w:r>
      <w:r>
        <w:rPr>
          <w:rFonts w:hint="eastAsia" w:ascii="Times New Roman" w:hAnsi="Times New Roman"/>
          <w:szCs w:val="24"/>
        </w:rPr>
        <w:t>。</w:t>
      </w:r>
      <w:r>
        <w:rPr>
          <w:rFonts w:ascii="Times New Roman" w:hAnsi="Times New Roman"/>
          <w:szCs w:val="24"/>
        </w:rPr>
        <w:t>叙述推力监测孔监测情况，推力变化部位（埋深）量级、过程，与地表变形、钻孔倾斜变形，降雨、库水位、地下水位进行变形相关分析。附钻孔检验表，监测的推力时程曲线。</w:t>
      </w:r>
    </w:p>
    <w:p>
      <w:pPr>
        <w:spacing w:line="360" w:lineRule="auto"/>
        <w:ind w:left="840" w:leftChars="200" w:hanging="420" w:hangingChars="200"/>
        <w:rPr>
          <w:rFonts w:ascii="Times New Roman" w:hAnsi="Times New Roman"/>
          <w:szCs w:val="24"/>
        </w:rPr>
      </w:pPr>
      <w:r>
        <w:rPr>
          <w:rFonts w:ascii="Times New Roman" w:hAnsi="Times New Roman"/>
          <w:szCs w:val="24"/>
        </w:rPr>
        <w:t>d</w:t>
      </w:r>
      <w:r>
        <w:rPr>
          <w:rFonts w:hint="eastAsia" w:ascii="宋体" w:hAnsi="宋体"/>
          <w:szCs w:val="21"/>
        </w:rPr>
        <w:t xml:space="preserve">)  </w:t>
      </w:r>
      <w:r>
        <w:rPr>
          <w:rFonts w:ascii="Times New Roman" w:hAnsi="Times New Roman"/>
          <w:szCs w:val="24"/>
        </w:rPr>
        <w:t>地下水监测</w:t>
      </w:r>
      <w:r>
        <w:rPr>
          <w:rFonts w:hint="eastAsia" w:ascii="Times New Roman" w:hAnsi="Times New Roman"/>
          <w:szCs w:val="24"/>
        </w:rPr>
        <w:t>。</w:t>
      </w:r>
      <w:r>
        <w:rPr>
          <w:rFonts w:ascii="Times New Roman" w:hAnsi="Times New Roman"/>
          <w:szCs w:val="24"/>
        </w:rPr>
        <w:t>叙述地下水监测情况，进行地下水位变化受降水、库水位的影响的相关分析。附水位变化时程曲线。</w:t>
      </w:r>
    </w:p>
    <w:p>
      <w:pPr>
        <w:spacing w:line="360" w:lineRule="auto"/>
        <w:ind w:left="840" w:leftChars="200" w:hanging="420" w:hangingChars="200"/>
        <w:rPr>
          <w:rFonts w:ascii="Times New Roman" w:hAnsi="Times New Roman"/>
          <w:szCs w:val="24"/>
        </w:rPr>
      </w:pPr>
      <w:r>
        <w:rPr>
          <w:rFonts w:ascii="Times New Roman" w:hAnsi="Times New Roman"/>
          <w:szCs w:val="24"/>
        </w:rPr>
        <w:t>e</w:t>
      </w:r>
      <w:r>
        <w:rPr>
          <w:rFonts w:hint="eastAsia" w:ascii="宋体" w:hAnsi="宋体"/>
          <w:szCs w:val="21"/>
        </w:rPr>
        <w:t xml:space="preserve">)  </w:t>
      </w:r>
      <w:r>
        <w:rPr>
          <w:rFonts w:ascii="Times New Roman" w:hAnsi="Times New Roman"/>
          <w:szCs w:val="24"/>
        </w:rPr>
        <w:t>宏观地质调查及相对位移监测</w:t>
      </w:r>
      <w:r>
        <w:rPr>
          <w:rFonts w:hint="eastAsia" w:ascii="Times New Roman" w:hAnsi="Times New Roman"/>
          <w:szCs w:val="24"/>
        </w:rPr>
        <w:t>。</w:t>
      </w:r>
      <w:r>
        <w:rPr>
          <w:rFonts w:ascii="Times New Roman" w:hAnsi="Times New Roman"/>
          <w:szCs w:val="24"/>
        </w:rPr>
        <w:t>在平面图上标识宏观变形形迹，包括地面裂缝、井泉、房屋变形地点、地面鼓胀、地面下陷等。标识相对位移监测点的分布、编号，阐述宏观变形的特征、规律，附相对位移监测数据表，相对位移监测时程曲线。附滑坡变形区平面图、变形区剖面图、变形区全貌照片（标注变形区范围）及变形特征照片。</w:t>
      </w:r>
    </w:p>
    <w:p>
      <w:pPr>
        <w:spacing w:line="360" w:lineRule="auto"/>
        <w:ind w:left="840" w:leftChars="200" w:hanging="420" w:hangingChars="200"/>
        <w:rPr>
          <w:rFonts w:ascii="Times New Roman" w:hAnsi="Times New Roman"/>
          <w:szCs w:val="24"/>
        </w:rPr>
      </w:pPr>
      <w:r>
        <w:rPr>
          <w:rFonts w:ascii="Times New Roman" w:hAnsi="Times New Roman"/>
          <w:szCs w:val="24"/>
        </w:rPr>
        <w:t>f</w:t>
      </w:r>
      <w:r>
        <w:rPr>
          <w:rFonts w:hint="eastAsia" w:ascii="宋体" w:hAnsi="宋体"/>
          <w:szCs w:val="21"/>
        </w:rPr>
        <w:t xml:space="preserve">)  </w:t>
      </w:r>
      <w:r>
        <w:rPr>
          <w:rFonts w:ascii="Times New Roman" w:hAnsi="Times New Roman"/>
          <w:szCs w:val="24"/>
        </w:rPr>
        <w:t>监测成果与滑坡变形特征综合分析</w:t>
      </w:r>
      <w:r>
        <w:rPr>
          <w:rFonts w:hint="eastAsia" w:ascii="Times New Roman" w:hAnsi="Times New Roman"/>
          <w:szCs w:val="24"/>
        </w:rPr>
        <w:t>。</w:t>
      </w:r>
      <w:r>
        <w:rPr>
          <w:rFonts w:ascii="Times New Roman" w:hAnsi="Times New Roman"/>
          <w:szCs w:val="24"/>
        </w:rPr>
        <w:t>进行立体、多因素相关分析，地表与深部变形相结合，推力与位移、地下水相结合，进行多元相关综合分析。</w:t>
      </w:r>
    </w:p>
    <w:p>
      <w:pPr>
        <w:spacing w:line="360" w:lineRule="auto"/>
        <w:rPr>
          <w:rFonts w:ascii="Times New Roman" w:hAnsi="Times New Roman"/>
          <w:szCs w:val="24"/>
        </w:rPr>
      </w:pPr>
      <w:r>
        <w:rPr>
          <w:rFonts w:hint="eastAsia" w:ascii="Times New Roman" w:hAnsi="Times New Roman"/>
          <w:szCs w:val="24"/>
        </w:rPr>
        <w:t xml:space="preserve">第三章  </w:t>
      </w:r>
      <w:r>
        <w:rPr>
          <w:rFonts w:ascii="Times New Roman" w:hAnsi="Times New Roman"/>
          <w:szCs w:val="24"/>
        </w:rPr>
        <w:t>滑坡变形阶段的级别分析认定</w:t>
      </w:r>
    </w:p>
    <w:p>
      <w:pPr>
        <w:spacing w:line="360" w:lineRule="auto"/>
        <w:ind w:firstLine="420" w:firstLineChars="200"/>
        <w:rPr>
          <w:rFonts w:ascii="Times New Roman" w:hAnsi="Times New Roman"/>
          <w:szCs w:val="24"/>
        </w:rPr>
      </w:pPr>
      <w:r>
        <w:rPr>
          <w:rFonts w:ascii="Times New Roman" w:hAnsi="Times New Roman"/>
          <w:szCs w:val="24"/>
        </w:rPr>
        <w:t>对产生变形的或已成灾害的滑坡类型，目前稳定程度，变形阶段，发展趋势，作出监测分析结论。</w:t>
      </w:r>
    </w:p>
    <w:p>
      <w:pPr>
        <w:spacing w:line="360" w:lineRule="auto"/>
        <w:ind w:firstLine="420" w:firstLineChars="200"/>
        <w:rPr>
          <w:rFonts w:ascii="Times New Roman" w:hAnsi="Times New Roman"/>
          <w:szCs w:val="24"/>
        </w:rPr>
      </w:pPr>
      <w:r>
        <w:rPr>
          <w:rFonts w:ascii="Times New Roman" w:hAnsi="Times New Roman"/>
          <w:szCs w:val="24"/>
        </w:rPr>
        <w:t>按规定预警级别[预警分级为警报级（红色）、警戒级（橙色）、警示级（黄色）、注意级（蓝色）四种]，划分认定目前的预警级别。</w:t>
      </w:r>
    </w:p>
    <w:p>
      <w:pPr>
        <w:spacing w:line="360" w:lineRule="auto"/>
        <w:rPr>
          <w:rFonts w:ascii="Times New Roman" w:hAnsi="Times New Roman"/>
          <w:szCs w:val="24"/>
        </w:rPr>
      </w:pPr>
      <w:r>
        <w:rPr>
          <w:rFonts w:hint="eastAsia" w:ascii="Times New Roman" w:hAnsi="Times New Roman"/>
          <w:szCs w:val="24"/>
        </w:rPr>
        <w:t xml:space="preserve">第四章  </w:t>
      </w:r>
      <w:r>
        <w:rPr>
          <w:rFonts w:ascii="Times New Roman" w:hAnsi="Times New Roman"/>
          <w:szCs w:val="24"/>
        </w:rPr>
        <w:t>危害预测</w:t>
      </w:r>
    </w:p>
    <w:p>
      <w:pPr>
        <w:spacing w:line="360" w:lineRule="auto"/>
        <w:rPr>
          <w:rFonts w:ascii="Times New Roman" w:hAnsi="Times New Roman"/>
          <w:szCs w:val="24"/>
        </w:rPr>
      </w:pPr>
      <w:r>
        <w:rPr>
          <w:rFonts w:hint="eastAsia" w:ascii="Times New Roman" w:hAnsi="Times New Roman"/>
          <w:szCs w:val="24"/>
        </w:rPr>
        <w:t xml:space="preserve">第五章  </w:t>
      </w:r>
      <w:r>
        <w:rPr>
          <w:rFonts w:ascii="Times New Roman" w:hAnsi="Times New Roman"/>
          <w:szCs w:val="24"/>
        </w:rPr>
        <w:t>应急措施及建议</w:t>
      </w:r>
    </w:p>
    <w:p>
      <w:pPr>
        <w:tabs>
          <w:tab w:val="center" w:pos="4201"/>
          <w:tab w:val="right" w:leader="dot" w:pos="9298"/>
        </w:tabs>
        <w:autoSpaceDE w:val="0"/>
        <w:autoSpaceDN w:val="0"/>
        <w:spacing w:line="360" w:lineRule="auto"/>
        <w:ind w:firstLine="420" w:firstLineChars="200"/>
        <w:jc w:val="left"/>
        <w:rPr>
          <w:rFonts w:ascii="宋体" w:hAnsi="Times New Roman"/>
          <w:kern w:val="0"/>
          <w:szCs w:val="21"/>
        </w:rPr>
      </w:pPr>
      <w:r>
        <w:rPr>
          <w:rFonts w:ascii="Times New Roman" w:hAnsi="Times New Roman"/>
          <w:szCs w:val="24"/>
        </w:rPr>
        <w:t>专业监测单位所采取的应急措施；当地政府已采取的应急措施；建议当地政府以及主管部门采取的应急措施。</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bookmarkStart w:id="264" w:name="_Toc534577797"/>
      <w:bookmarkStart w:id="265" w:name="_Toc21966440"/>
      <w:bookmarkStart w:id="266" w:name="_Toc33177720"/>
      <w:r>
        <w:rPr>
          <w:rFonts w:ascii="黑体" w:hAnsi="黑体" w:eastAsia="黑体"/>
          <w:kern w:val="0"/>
          <w:szCs w:val="21"/>
        </w:rPr>
        <w:t xml:space="preserve">附  录  </w:t>
      </w:r>
      <w:r>
        <w:rPr>
          <w:rFonts w:hint="eastAsia" w:ascii="黑体" w:hAnsi="黑体" w:eastAsia="黑体"/>
          <w:kern w:val="0"/>
          <w:szCs w:val="21"/>
        </w:rPr>
        <w:t>J</w:t>
      </w: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r>
        <w:rPr>
          <w:rFonts w:ascii="黑体" w:hAnsi="黑体" w:eastAsia="黑体"/>
          <w:kern w:val="0"/>
          <w:szCs w:val="21"/>
        </w:rPr>
        <w:t>（资料性附录）</w:t>
      </w:r>
    </w:p>
    <w:p>
      <w:pPr>
        <w:keepNext/>
        <w:widowControl/>
        <w:shd w:val="clear" w:color="FFFFFF" w:fill="FFFFFF"/>
        <w:tabs>
          <w:tab w:val="left" w:pos="360"/>
          <w:tab w:val="left" w:pos="6405"/>
        </w:tabs>
        <w:spacing w:before="120" w:beforeLines="50" w:after="120" w:afterLines="50"/>
        <w:jc w:val="center"/>
        <w:outlineLvl w:val="0"/>
        <w:rPr>
          <w:rFonts w:ascii="黑体" w:hAnsi="黑体" w:eastAsia="黑体"/>
          <w:kern w:val="0"/>
          <w:szCs w:val="21"/>
        </w:rPr>
      </w:pPr>
      <w:r>
        <w:rPr>
          <w:rFonts w:ascii="黑体" w:hAnsi="黑体" w:eastAsia="黑体"/>
          <w:kern w:val="0"/>
          <w:szCs w:val="21"/>
        </w:rPr>
        <w:t>监测资料整编及图表格式集</w:t>
      </w:r>
      <w:bookmarkEnd w:id="264"/>
      <w:bookmarkEnd w:id="265"/>
      <w:bookmarkEnd w:id="266"/>
    </w:p>
    <w:p>
      <w:pPr>
        <w:keepNext/>
        <w:keepLines/>
        <w:adjustRightInd w:val="0"/>
        <w:snapToGrid w:val="0"/>
        <w:spacing w:line="300" w:lineRule="auto"/>
        <w:jc w:val="left"/>
        <w:rPr>
          <w:rFonts w:ascii="黑体" w:hAnsi="黑体" w:eastAsia="黑体"/>
          <w:bCs/>
          <w:kern w:val="44"/>
          <w:szCs w:val="21"/>
        </w:rPr>
      </w:pPr>
      <w:bookmarkStart w:id="267" w:name="_Toc534577798"/>
      <w:bookmarkStart w:id="268" w:name="_Toc534580155"/>
      <w:bookmarkStart w:id="269" w:name="_Toc21966441"/>
      <w:r>
        <w:rPr>
          <w:rFonts w:hint="eastAsia" w:ascii="黑体" w:hAnsi="黑体" w:eastAsia="黑体"/>
          <w:bCs/>
          <w:kern w:val="44"/>
          <w:szCs w:val="21"/>
        </w:rPr>
        <w:t>J</w:t>
      </w:r>
      <w:r>
        <w:rPr>
          <w:rFonts w:ascii="黑体" w:hAnsi="黑体" w:eastAsia="黑体"/>
          <w:bCs/>
          <w:kern w:val="44"/>
          <w:szCs w:val="21"/>
        </w:rPr>
        <w:t>.1</w:t>
      </w:r>
      <w:r>
        <w:rPr>
          <w:rFonts w:hint="eastAsia" w:ascii="黑体" w:hAnsi="黑体" w:eastAsia="黑体"/>
          <w:bCs/>
          <w:kern w:val="44"/>
          <w:szCs w:val="21"/>
        </w:rPr>
        <w:t xml:space="preserve">  </w:t>
      </w:r>
      <w:r>
        <w:rPr>
          <w:rFonts w:ascii="黑体" w:hAnsi="黑体" w:eastAsia="黑体"/>
          <w:bCs/>
          <w:kern w:val="44"/>
          <w:szCs w:val="21"/>
        </w:rPr>
        <w:t>区域监测资料整编图内容及要求</w:t>
      </w:r>
      <w:bookmarkEnd w:id="267"/>
      <w:bookmarkEnd w:id="268"/>
      <w:bookmarkEnd w:id="269"/>
    </w:p>
    <w:p>
      <w:pPr>
        <w:spacing w:before="120" w:beforeLines="50" w:after="120" w:afterLines="50"/>
        <w:rPr>
          <w:rFonts w:ascii="黑体" w:hAnsi="黑体" w:eastAsia="黑体"/>
          <w:szCs w:val="21"/>
        </w:rPr>
      </w:pPr>
      <w:r>
        <w:rPr>
          <w:rFonts w:hint="eastAsia" w:ascii="黑体" w:hAnsi="黑体" w:eastAsia="黑体"/>
          <w:szCs w:val="21"/>
        </w:rPr>
        <w:t>J</w:t>
      </w:r>
      <w:r>
        <w:rPr>
          <w:rFonts w:ascii="黑体" w:hAnsi="黑体" w:eastAsia="黑体"/>
          <w:szCs w:val="21"/>
        </w:rPr>
        <w:t>.1.1</w:t>
      </w:r>
      <w:r>
        <w:rPr>
          <w:rFonts w:hint="eastAsia" w:ascii="黑体" w:hAnsi="黑体" w:eastAsia="黑体"/>
          <w:szCs w:val="21"/>
        </w:rPr>
        <w:t xml:space="preserve">  </w:t>
      </w:r>
      <w:r>
        <w:rPr>
          <w:rFonts w:ascii="黑体" w:hAnsi="黑体" w:eastAsia="黑体"/>
          <w:szCs w:val="21"/>
        </w:rPr>
        <w:t>整编图内容</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整编图应满足基本图面要素要求</w:t>
      </w:r>
      <w:r>
        <w:rPr>
          <w:rFonts w:hint="eastAsia" w:ascii="Times New Roman" w:hAnsi="Times New Roman"/>
          <w:szCs w:val="24"/>
        </w:rPr>
        <w:t>，</w:t>
      </w:r>
      <w:r>
        <w:rPr>
          <w:rFonts w:ascii="Times New Roman" w:hAnsi="Times New Roman"/>
          <w:szCs w:val="24"/>
        </w:rPr>
        <w:t>参考遥感影像平面图制作规范</w:t>
      </w:r>
      <w:r>
        <w:rPr>
          <w:rFonts w:hint="eastAsia" w:ascii="Times New Roman" w:hAnsi="Times New Roman"/>
          <w:szCs w:val="24"/>
        </w:rPr>
        <w:t>（</w:t>
      </w:r>
      <w:r>
        <w:rPr>
          <w:rFonts w:ascii="Times New Roman" w:hAnsi="Times New Roman"/>
          <w:szCs w:val="24"/>
        </w:rPr>
        <w:t>GB/T 15968</w:t>
      </w:r>
      <w:r>
        <w:rPr>
          <w:rFonts w:hint="eastAsia" w:ascii="宋体" w:hAnsi="宋体"/>
          <w:szCs w:val="24"/>
        </w:rPr>
        <w:t>―</w:t>
      </w:r>
      <w:r>
        <w:rPr>
          <w:rFonts w:ascii="Times New Roman" w:hAnsi="Times New Roman"/>
          <w:szCs w:val="24"/>
        </w:rPr>
        <w:t>2008</w:t>
      </w:r>
      <w:r>
        <w:rPr>
          <w:rFonts w:hint="eastAsia" w:ascii="Times New Roman" w:hAnsi="Times New Roman"/>
          <w:szCs w:val="24"/>
        </w:rPr>
        <w:t>）</w:t>
      </w:r>
      <w:r>
        <w:rPr>
          <w:rFonts w:ascii="Times New Roman" w:hAnsi="Times New Roman"/>
          <w:szCs w:val="24"/>
        </w:rPr>
        <w:t>、遥感解译地质图制作规范</w:t>
      </w:r>
      <w:r>
        <w:rPr>
          <w:rFonts w:hint="eastAsia" w:ascii="Times New Roman" w:hAnsi="Times New Roman"/>
          <w:szCs w:val="24"/>
        </w:rPr>
        <w:t>（</w:t>
      </w:r>
      <w:r>
        <w:rPr>
          <w:rFonts w:ascii="Times New Roman" w:hAnsi="Times New Roman"/>
          <w:szCs w:val="24"/>
        </w:rPr>
        <w:t>DD</w:t>
      </w:r>
      <w:r>
        <w:rPr>
          <w:rFonts w:hint="eastAsia" w:ascii="Times New Roman" w:hAnsi="Times New Roman"/>
          <w:szCs w:val="24"/>
        </w:rPr>
        <w:t xml:space="preserve"> </w:t>
      </w:r>
      <w:r>
        <w:rPr>
          <w:rFonts w:ascii="Times New Roman" w:hAnsi="Times New Roman"/>
          <w:szCs w:val="24"/>
        </w:rPr>
        <w:t>2011</w:t>
      </w:r>
      <w:r>
        <w:rPr>
          <w:rFonts w:hint="eastAsia" w:ascii="宋体" w:hAnsi="宋体"/>
          <w:szCs w:val="24"/>
        </w:rPr>
        <w:t>―</w:t>
      </w:r>
      <w:r>
        <w:rPr>
          <w:rFonts w:ascii="Times New Roman" w:hAnsi="Times New Roman"/>
          <w:szCs w:val="24"/>
        </w:rPr>
        <w:t>02）。</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b)  </w:t>
      </w:r>
      <w:r>
        <w:rPr>
          <w:rFonts w:ascii="Times New Roman" w:hAnsi="Times New Roman"/>
          <w:szCs w:val="24"/>
        </w:rPr>
        <w:t>整编图宜包括区域变形速率图（或区域累计变形量图）、地质灾害变形速率剖面图、地质灾害典型部位变形时程曲线图、变形时间序列图像。</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c)  </w:t>
      </w:r>
      <w:r>
        <w:rPr>
          <w:rFonts w:ascii="Times New Roman" w:hAnsi="Times New Roman"/>
          <w:szCs w:val="24"/>
        </w:rPr>
        <w:t>应编制覆盖整个监测区的变形速率渲染图和累计变形量图，以反映出区域总体变形程度、地质灾害空间分布发育规律、误差程度等内容，针对各灾种应附加特有灾害信息符号：</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1</w:t>
      </w:r>
      <w:r>
        <w:rPr>
          <w:rFonts w:hint="eastAsia" w:ascii="宋体" w:hAnsi="宋体"/>
          <w:szCs w:val="21"/>
        </w:rPr>
        <w:t xml:space="preserve">)  </w:t>
      </w:r>
      <w:r>
        <w:rPr>
          <w:rFonts w:ascii="Times New Roman" w:hAnsi="Times New Roman"/>
          <w:szCs w:val="24"/>
        </w:rPr>
        <w:t>滑坡、崩塌、地面塌陷离散型地质灾害应绘制根据变形速率识别的灾害轮廓、灾害运动方向，对典型的灾害体绘制变形速率纵横剖面；</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2</w:t>
      </w:r>
      <w:r>
        <w:rPr>
          <w:rFonts w:hint="eastAsia" w:ascii="宋体" w:hAnsi="宋体"/>
          <w:szCs w:val="21"/>
        </w:rPr>
        <w:t xml:space="preserve">)  </w:t>
      </w:r>
      <w:r>
        <w:rPr>
          <w:rFonts w:ascii="Times New Roman" w:hAnsi="Times New Roman"/>
          <w:szCs w:val="24"/>
        </w:rPr>
        <w:t>泥石流灾害应绘制流域范围、冲积扇范围、沟口点；</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3</w:t>
      </w:r>
      <w:r>
        <w:rPr>
          <w:rFonts w:hint="eastAsia" w:ascii="宋体" w:hAnsi="宋体"/>
          <w:szCs w:val="21"/>
        </w:rPr>
        <w:t xml:space="preserve">)  </w:t>
      </w:r>
      <w:r>
        <w:rPr>
          <w:rFonts w:ascii="Times New Roman" w:hAnsi="Times New Roman"/>
          <w:szCs w:val="24"/>
        </w:rPr>
        <w:t>地面沉降和地裂缝灾害宜绘制沉降速率等值线、地裂缝展布。</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d)  </w:t>
      </w:r>
      <w:r>
        <w:rPr>
          <w:rFonts w:ascii="Times New Roman" w:hAnsi="Times New Roman"/>
          <w:szCs w:val="24"/>
        </w:rPr>
        <w:t>应绘制区域内典型或重大地质灾害平均变形速率剖面图，各灾种位置标识应符合下列要求：</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1</w:t>
      </w:r>
      <w:r>
        <w:rPr>
          <w:rFonts w:hint="eastAsia" w:ascii="宋体" w:hAnsi="宋体"/>
          <w:szCs w:val="21"/>
        </w:rPr>
        <w:t xml:space="preserve">)  </w:t>
      </w:r>
      <w:r>
        <w:rPr>
          <w:rFonts w:ascii="Times New Roman" w:hAnsi="Times New Roman"/>
          <w:szCs w:val="24"/>
        </w:rPr>
        <w:t>滑坡、崩塌剖面位置首选滑坡长度方向的中轴线，对于中型以上地质灾害应增加左右两侧剖面，对于前后缘变形速率差异较大的滑坡灾害体宜沿宽度方向绘制前缘、中部和后缘速度剖面；</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2</w:t>
      </w:r>
      <w:r>
        <w:rPr>
          <w:rFonts w:hint="eastAsia" w:ascii="宋体" w:hAnsi="宋体"/>
          <w:szCs w:val="21"/>
        </w:rPr>
        <w:t xml:space="preserve">)  </w:t>
      </w:r>
      <w:r>
        <w:rPr>
          <w:rFonts w:ascii="Times New Roman" w:hAnsi="Times New Roman"/>
          <w:szCs w:val="24"/>
        </w:rPr>
        <w:t>泥石流应绘制主沟纵剖面和物源区横切剖面变形速率图；</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3</w:t>
      </w:r>
      <w:r>
        <w:rPr>
          <w:rFonts w:hint="eastAsia" w:ascii="宋体" w:hAnsi="宋体"/>
          <w:szCs w:val="21"/>
        </w:rPr>
        <w:t xml:space="preserve">)  </w:t>
      </w:r>
      <w:r>
        <w:rPr>
          <w:rFonts w:ascii="Times New Roman" w:hAnsi="Times New Roman"/>
          <w:szCs w:val="24"/>
        </w:rPr>
        <w:t>地面塌陷应绘制穿越最大变形速率区域的剖面。</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e)  </w:t>
      </w:r>
      <w:r>
        <w:rPr>
          <w:rFonts w:ascii="Times New Roman" w:hAnsi="Times New Roman"/>
          <w:szCs w:val="24"/>
        </w:rPr>
        <w:t>应编绘区域内典型或重大地质灾害关键部位的时空变形曲线图，选取部位应符合下列要求：</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1</w:t>
      </w:r>
      <w:r>
        <w:rPr>
          <w:rFonts w:hint="eastAsia" w:ascii="宋体" w:hAnsi="宋体"/>
          <w:szCs w:val="21"/>
        </w:rPr>
        <w:t xml:space="preserve">)  </w:t>
      </w:r>
      <w:r>
        <w:rPr>
          <w:rFonts w:ascii="Times New Roman" w:hAnsi="Times New Roman"/>
          <w:szCs w:val="24"/>
        </w:rPr>
        <w:t>滑坡灾害应至少绘制3个部位的时空变形曲线，分别位于中轴线前缘、中部和后缘，对于大型以上滑坡宜增加横剖面或左右纵剖面，构成</w:t>
      </w:r>
      <w:r>
        <w:rPr>
          <w:rFonts w:asciiTheme="minorEastAsia" w:hAnsiTheme="minorEastAsia" w:eastAsiaTheme="minorEastAsia"/>
          <w:szCs w:val="24"/>
        </w:rPr>
        <w:t>“十”</w:t>
      </w:r>
      <w:r>
        <w:rPr>
          <w:rFonts w:ascii="Times New Roman" w:hAnsi="Times New Roman"/>
          <w:szCs w:val="24"/>
        </w:rPr>
        <w:t>字型、</w:t>
      </w:r>
      <w:r>
        <w:rPr>
          <w:rFonts w:asciiTheme="minorEastAsia" w:hAnsiTheme="minorEastAsia" w:eastAsiaTheme="minorEastAsia"/>
          <w:szCs w:val="24"/>
        </w:rPr>
        <w:t>“井”</w:t>
      </w:r>
      <w:r>
        <w:rPr>
          <w:rFonts w:ascii="Times New Roman" w:hAnsi="Times New Roman"/>
          <w:szCs w:val="24"/>
        </w:rPr>
        <w:t>字型或</w:t>
      </w:r>
      <w:r>
        <w:rPr>
          <w:rFonts w:asciiTheme="minorEastAsia" w:hAnsiTheme="minorEastAsia" w:eastAsiaTheme="minorEastAsia"/>
          <w:szCs w:val="24"/>
        </w:rPr>
        <w:t>“田”</w:t>
      </w:r>
      <w:r>
        <w:rPr>
          <w:rFonts w:ascii="Times New Roman" w:hAnsi="Times New Roman"/>
          <w:szCs w:val="24"/>
        </w:rPr>
        <w:t>字型布局；</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2</w:t>
      </w:r>
      <w:r>
        <w:rPr>
          <w:rFonts w:hint="eastAsia" w:ascii="宋体" w:hAnsi="宋体"/>
          <w:szCs w:val="21"/>
        </w:rPr>
        <w:t xml:space="preserve">)  </w:t>
      </w:r>
      <w:r>
        <w:rPr>
          <w:rFonts w:ascii="Times New Roman" w:hAnsi="Times New Roman"/>
          <w:szCs w:val="24"/>
        </w:rPr>
        <w:t>崩塌灾害应分别提取2个崩塌体顶面、2个临空面和2个以上稳定基岩体点；</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3</w:t>
      </w:r>
      <w:r>
        <w:rPr>
          <w:rFonts w:hint="eastAsia" w:ascii="宋体" w:hAnsi="宋体"/>
          <w:szCs w:val="21"/>
        </w:rPr>
        <w:t xml:space="preserve">)  </w:t>
      </w:r>
      <w:r>
        <w:rPr>
          <w:rFonts w:ascii="Times New Roman" w:hAnsi="Times New Roman"/>
          <w:szCs w:val="24"/>
        </w:rPr>
        <w:t>泥石流灾害应为3个以上物源区点、2个以上流通区点；</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4</w:t>
      </w:r>
      <w:r>
        <w:rPr>
          <w:rFonts w:hint="eastAsia" w:ascii="宋体" w:hAnsi="宋体"/>
          <w:szCs w:val="21"/>
        </w:rPr>
        <w:t xml:space="preserve">)  </w:t>
      </w:r>
      <w:r>
        <w:rPr>
          <w:rFonts w:ascii="Times New Roman" w:hAnsi="Times New Roman"/>
          <w:szCs w:val="24"/>
        </w:rPr>
        <w:t>地面塌陷灾害应提取1个塌陷中部，3个塌陷边缘及2个以上塌陷外围的地表变形点。</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f)  </w:t>
      </w:r>
      <w:r>
        <w:rPr>
          <w:rFonts w:ascii="Times New Roman" w:hAnsi="Times New Roman"/>
          <w:szCs w:val="24"/>
        </w:rPr>
        <w:t>宜编绘区域或典型单体的渲染时空变形序列图像，在同一变形比例尺条件下，以第一景SAR数据</w:t>
      </w:r>
      <w:r>
        <w:rPr>
          <w:rFonts w:asciiTheme="minorEastAsia" w:hAnsiTheme="minorEastAsia" w:eastAsiaTheme="minorEastAsia"/>
          <w:szCs w:val="24"/>
        </w:rPr>
        <w:t>“</w:t>
      </w:r>
      <w:r>
        <w:rPr>
          <w:rFonts w:ascii="Times New Roman" w:hAnsi="Times New Roman"/>
          <w:szCs w:val="24"/>
        </w:rPr>
        <w:t>0</w:t>
      </w:r>
      <w:r>
        <w:rPr>
          <w:rFonts w:asciiTheme="minorEastAsia" w:hAnsiTheme="minorEastAsia" w:eastAsiaTheme="minorEastAsia"/>
          <w:szCs w:val="24"/>
        </w:rPr>
        <w:t>”</w:t>
      </w:r>
      <w:r>
        <w:rPr>
          <w:rFonts w:ascii="Times New Roman" w:hAnsi="Times New Roman"/>
          <w:szCs w:val="24"/>
        </w:rPr>
        <w:t>值为基点，每景变形量依次递加，按顺序镶嵌为为单一图像，或制作为GIF格式动态图像。</w:t>
      </w:r>
    </w:p>
    <w:p>
      <w:pPr>
        <w:spacing w:before="120" w:beforeLines="50" w:after="120" w:afterLines="50"/>
        <w:rPr>
          <w:rFonts w:ascii="黑体" w:hAnsi="黑体" w:eastAsia="黑体"/>
          <w:szCs w:val="24"/>
        </w:rPr>
      </w:pPr>
      <w:r>
        <w:rPr>
          <w:rFonts w:hint="eastAsia" w:ascii="黑体" w:hAnsi="黑体" w:eastAsia="黑体"/>
          <w:szCs w:val="24"/>
        </w:rPr>
        <w:t>J</w:t>
      </w:r>
      <w:r>
        <w:rPr>
          <w:rFonts w:ascii="黑体" w:hAnsi="黑体" w:eastAsia="黑体"/>
          <w:szCs w:val="24"/>
        </w:rPr>
        <w:t>.1.2</w:t>
      </w:r>
      <w:r>
        <w:rPr>
          <w:rFonts w:hint="eastAsia" w:ascii="黑体" w:hAnsi="黑体" w:eastAsia="黑体"/>
          <w:szCs w:val="21"/>
        </w:rPr>
        <w:t xml:space="preserve">  </w:t>
      </w:r>
      <w:r>
        <w:rPr>
          <w:rFonts w:ascii="黑体" w:hAnsi="黑体" w:eastAsia="黑体"/>
          <w:szCs w:val="24"/>
        </w:rPr>
        <w:t>制图要求</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 xml:space="preserve">a)  </w:t>
      </w:r>
      <w:r>
        <w:rPr>
          <w:rFonts w:ascii="Times New Roman" w:hAnsi="Times New Roman"/>
          <w:szCs w:val="24"/>
        </w:rPr>
        <w:t>各类整编图件可采用点目标、线矢量和面图像表达变形属性，属性值可包括变形速率值、累计变形值、时序变形量等，按照不同载体类型成果分类表示，应符合下列要求：</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1</w:t>
      </w:r>
      <w:r>
        <w:rPr>
          <w:rFonts w:hint="eastAsia" w:ascii="宋体" w:hAnsi="宋体"/>
          <w:szCs w:val="21"/>
        </w:rPr>
        <w:t xml:space="preserve">)  </w:t>
      </w:r>
      <w:r>
        <w:rPr>
          <w:rFonts w:ascii="Times New Roman" w:hAnsi="Times New Roman"/>
          <w:szCs w:val="24"/>
        </w:rPr>
        <w:t>点目标和线矢量为变形信息载体整编图，底图可采用SAR强度影像、光学遥感影像、地形图、DEM阴影图、地质图中的某一种，以表达信息丰富、清晰、易分辨为原则；</w:t>
      </w:r>
    </w:p>
    <w:p>
      <w:pPr>
        <w:spacing w:line="360" w:lineRule="auto"/>
        <w:ind w:left="1260" w:leftChars="400" w:hanging="420" w:hangingChars="200"/>
        <w:rPr>
          <w:rFonts w:ascii="Times New Roman" w:hAnsi="Times New Roman"/>
          <w:szCs w:val="24"/>
        </w:rPr>
      </w:pPr>
      <w:r>
        <w:rPr>
          <w:rFonts w:hint="eastAsia" w:ascii="Times New Roman" w:hAnsi="Times New Roman"/>
          <w:szCs w:val="24"/>
        </w:rPr>
        <w:t>2</w:t>
      </w:r>
      <w:r>
        <w:rPr>
          <w:rFonts w:hint="eastAsia" w:ascii="宋体" w:hAnsi="宋体"/>
          <w:szCs w:val="21"/>
        </w:rPr>
        <w:t xml:space="preserve">)  </w:t>
      </w:r>
      <w:r>
        <w:rPr>
          <w:rFonts w:ascii="Times New Roman" w:hAnsi="Times New Roman"/>
          <w:szCs w:val="24"/>
        </w:rPr>
        <w:t>面图像为变形信息载体，底图宜采用SAR强度影像、光学遥感影像或DEM阴影图进行透明叠加显示，变形信息叠加权重应</w:t>
      </w:r>
      <w:r>
        <w:rPr>
          <w:rFonts w:asciiTheme="minorEastAsia" w:hAnsiTheme="minorEastAsia" w:eastAsiaTheme="minorEastAsia"/>
          <w:szCs w:val="24"/>
        </w:rPr>
        <w:t>≥</w:t>
      </w:r>
      <w:r>
        <w:rPr>
          <w:rFonts w:ascii="Times New Roman" w:hAnsi="Times New Roman"/>
          <w:szCs w:val="24"/>
        </w:rPr>
        <w:t>60%；</w:t>
      </w:r>
    </w:p>
    <w:p>
      <w:pPr>
        <w:spacing w:line="360" w:lineRule="auto"/>
        <w:ind w:left="1260" w:leftChars="400" w:hanging="420" w:hangingChars="200"/>
        <w:rPr>
          <w:rFonts w:ascii="Times New Roman" w:hAnsi="Times New Roman"/>
          <w:szCs w:val="24"/>
        </w:rPr>
      </w:pPr>
      <w:r>
        <w:rPr>
          <w:rFonts w:ascii="Times New Roman" w:hAnsi="Times New Roman"/>
          <w:szCs w:val="24"/>
        </w:rPr>
        <w:t>3</w:t>
      </w:r>
      <w:r>
        <w:rPr>
          <w:rFonts w:ascii="Times New Roman" w:hAnsi="Times New Roman"/>
          <w:szCs w:val="21"/>
        </w:rPr>
        <w:t xml:space="preserve">)  </w:t>
      </w:r>
      <w:r>
        <w:rPr>
          <w:rFonts w:ascii="Times New Roman" w:hAnsi="Times New Roman"/>
          <w:szCs w:val="24"/>
        </w:rPr>
        <w:t>对区域监测的目标和面图像属性值应按照其大小进行分级设色，生成图形；</w:t>
      </w:r>
    </w:p>
    <w:p>
      <w:pPr>
        <w:spacing w:line="360" w:lineRule="auto"/>
        <w:ind w:left="1260" w:leftChars="400" w:hanging="420" w:hangingChars="200"/>
        <w:rPr>
          <w:rFonts w:ascii="Times New Roman" w:hAnsi="Times New Roman"/>
          <w:szCs w:val="24"/>
        </w:rPr>
      </w:pPr>
      <w:r>
        <w:rPr>
          <w:rFonts w:ascii="Times New Roman" w:hAnsi="Times New Roman"/>
          <w:szCs w:val="24"/>
        </w:rPr>
        <w:t>4</w:t>
      </w:r>
      <w:r>
        <w:rPr>
          <w:rFonts w:ascii="Times New Roman" w:hAnsi="Times New Roman"/>
          <w:szCs w:val="21"/>
        </w:rPr>
        <w:t xml:space="preserve">)  </w:t>
      </w:r>
      <w:r>
        <w:rPr>
          <w:rFonts w:ascii="Times New Roman" w:hAnsi="Times New Roman"/>
          <w:szCs w:val="24"/>
        </w:rPr>
        <w:t>对区域监测等值线选择均匀间隔的变形值进行图面数字标注。</w:t>
      </w:r>
    </w:p>
    <w:p>
      <w:pPr>
        <w:spacing w:line="360" w:lineRule="auto"/>
        <w:ind w:left="840" w:leftChars="200" w:hanging="420" w:hangingChars="200"/>
        <w:rPr>
          <w:rFonts w:ascii="Times New Roman" w:hAnsi="Times New Roman"/>
          <w:szCs w:val="24"/>
        </w:rPr>
      </w:pPr>
      <w:r>
        <w:rPr>
          <w:rFonts w:ascii="Times New Roman" w:hAnsi="Times New Roman"/>
          <w:szCs w:val="24"/>
        </w:rPr>
        <w:t>b)  整编图件以能清晰表达和分辨图面内容为原则，制图应符合下列要求：</w:t>
      </w:r>
    </w:p>
    <w:p>
      <w:pPr>
        <w:spacing w:line="360" w:lineRule="auto"/>
        <w:ind w:left="1260" w:leftChars="400" w:hanging="420" w:hangingChars="200"/>
        <w:rPr>
          <w:rFonts w:ascii="Times New Roman" w:hAnsi="Times New Roman"/>
          <w:szCs w:val="24"/>
        </w:rPr>
      </w:pPr>
      <w:r>
        <w:rPr>
          <w:rFonts w:ascii="Times New Roman" w:hAnsi="Times New Roman"/>
          <w:szCs w:val="24"/>
        </w:rPr>
        <w:t>1</w:t>
      </w:r>
      <w:r>
        <w:rPr>
          <w:rFonts w:ascii="Times New Roman" w:hAnsi="Times New Roman"/>
          <w:szCs w:val="21"/>
        </w:rPr>
        <w:t xml:space="preserve">)  </w:t>
      </w:r>
      <w:r>
        <w:rPr>
          <w:rFonts w:ascii="Times New Roman" w:hAnsi="Times New Roman"/>
          <w:szCs w:val="24"/>
        </w:rPr>
        <w:t>以地质图、光学遥感影像图或SAR强度影像图为底图，执行GB/T 15968</w:t>
      </w:r>
      <w:r>
        <w:rPr>
          <w:rFonts w:hint="eastAsia" w:ascii="宋体" w:hAnsi="宋体"/>
          <w:szCs w:val="24"/>
        </w:rPr>
        <w:t>―</w:t>
      </w:r>
      <w:r>
        <w:rPr>
          <w:rFonts w:ascii="Times New Roman" w:hAnsi="Times New Roman"/>
          <w:szCs w:val="24"/>
        </w:rPr>
        <w:t>2008关于图面要素、图式和图例的规定制图；</w:t>
      </w:r>
    </w:p>
    <w:p>
      <w:pPr>
        <w:spacing w:line="360" w:lineRule="auto"/>
        <w:ind w:left="1260" w:leftChars="400" w:hanging="420" w:hangingChars="200"/>
        <w:rPr>
          <w:rFonts w:ascii="Times New Roman" w:hAnsi="Times New Roman"/>
          <w:szCs w:val="24"/>
        </w:rPr>
      </w:pPr>
      <w:r>
        <w:rPr>
          <w:rFonts w:ascii="Times New Roman" w:hAnsi="Times New Roman"/>
          <w:szCs w:val="24"/>
        </w:rPr>
        <w:t>2</w:t>
      </w:r>
      <w:r>
        <w:rPr>
          <w:rFonts w:ascii="Times New Roman" w:hAnsi="Times New Roman"/>
          <w:szCs w:val="21"/>
        </w:rPr>
        <w:t xml:space="preserve">)  </w:t>
      </w:r>
      <w:r>
        <w:rPr>
          <w:rFonts w:ascii="Times New Roman" w:hAnsi="Times New Roman"/>
          <w:szCs w:val="24"/>
        </w:rPr>
        <w:t>制图坐标系宜采用UTM、北京54、西安80、国家CGCS2</w:t>
      </w:r>
      <w:r>
        <w:rPr>
          <w:rFonts w:hint="eastAsia" w:ascii="Times New Roman" w:hAnsi="Times New Roman"/>
          <w:szCs w:val="24"/>
        </w:rPr>
        <w:t xml:space="preserve"> </w:t>
      </w:r>
      <w:r>
        <w:rPr>
          <w:rFonts w:ascii="Times New Roman" w:hAnsi="Times New Roman"/>
          <w:szCs w:val="24"/>
        </w:rPr>
        <w:t>000等高斯克吕格常用投影坐标系，特殊情况下可采用地方独立坐标系或地理坐标系；</w:t>
      </w:r>
    </w:p>
    <w:p>
      <w:pPr>
        <w:spacing w:line="360" w:lineRule="auto"/>
        <w:ind w:left="1260" w:leftChars="400" w:hanging="420" w:hangingChars="200"/>
        <w:rPr>
          <w:rFonts w:ascii="Times New Roman" w:hAnsi="Times New Roman"/>
          <w:szCs w:val="24"/>
        </w:rPr>
      </w:pPr>
      <w:r>
        <w:rPr>
          <w:rFonts w:ascii="Times New Roman" w:hAnsi="Times New Roman"/>
          <w:szCs w:val="24"/>
        </w:rPr>
        <w:t>3</w:t>
      </w:r>
      <w:r>
        <w:rPr>
          <w:rFonts w:ascii="Times New Roman" w:hAnsi="Times New Roman"/>
          <w:szCs w:val="21"/>
        </w:rPr>
        <w:t xml:space="preserve">)  </w:t>
      </w:r>
      <w:r>
        <w:rPr>
          <w:rFonts w:ascii="Times New Roman" w:hAnsi="Times New Roman"/>
          <w:szCs w:val="24"/>
        </w:rPr>
        <w:t>制图比例尺可参考《遥感影像地图制作规范（1</w:t>
      </w:r>
      <w:r>
        <w:rPr>
          <w:rFonts w:hint="eastAsia" w:ascii="Times New Roman" w:hAnsi="Times New Roman"/>
          <w:szCs w:val="24"/>
        </w:rPr>
        <w:t>:</w:t>
      </w:r>
      <w:r>
        <w:rPr>
          <w:rFonts w:ascii="Times New Roman" w:hAnsi="Times New Roman"/>
          <w:szCs w:val="24"/>
        </w:rPr>
        <w:t>50 000、1</w:t>
      </w:r>
      <w:r>
        <w:rPr>
          <w:rFonts w:hint="eastAsia" w:ascii="Times New Roman" w:hAnsi="Times New Roman"/>
          <w:szCs w:val="24"/>
        </w:rPr>
        <w:t>:</w:t>
      </w:r>
      <w:r>
        <w:rPr>
          <w:rFonts w:ascii="Times New Roman" w:hAnsi="Times New Roman"/>
          <w:szCs w:val="24"/>
        </w:rPr>
        <w:t>250 000）》和《环境地质遥感监测技术要求（1</w:t>
      </w:r>
      <w:r>
        <w:rPr>
          <w:rFonts w:hint="eastAsia" w:ascii="Times New Roman" w:hAnsi="Times New Roman"/>
          <w:szCs w:val="24"/>
        </w:rPr>
        <w:t>:</w:t>
      </w:r>
      <w:r>
        <w:rPr>
          <w:rFonts w:ascii="Times New Roman" w:hAnsi="Times New Roman"/>
          <w:szCs w:val="24"/>
        </w:rPr>
        <w:t>250 000）》中的有关要求，依据SAR图像分辨率确定；</w:t>
      </w:r>
    </w:p>
    <w:p>
      <w:pPr>
        <w:spacing w:line="360" w:lineRule="auto"/>
        <w:ind w:left="1260" w:leftChars="400" w:hanging="420" w:hangingChars="200"/>
        <w:rPr>
          <w:rFonts w:ascii="Times New Roman" w:hAnsi="Times New Roman"/>
          <w:szCs w:val="24"/>
        </w:rPr>
      </w:pPr>
      <w:r>
        <w:rPr>
          <w:rFonts w:ascii="Times New Roman" w:hAnsi="Times New Roman"/>
          <w:szCs w:val="24"/>
        </w:rPr>
        <w:t>4)  图件宜按监测专题进行工作区分幅，特别需要时可按国家标准分幅。</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keepNext/>
        <w:keepLines/>
        <w:adjustRightInd w:val="0"/>
        <w:snapToGrid w:val="0"/>
        <w:spacing w:line="300" w:lineRule="auto"/>
        <w:jc w:val="left"/>
        <w:rPr>
          <w:rFonts w:ascii="黑体" w:hAnsi="黑体" w:eastAsia="黑体"/>
          <w:bCs/>
          <w:kern w:val="44"/>
          <w:szCs w:val="21"/>
        </w:rPr>
      </w:pPr>
      <w:bookmarkStart w:id="270" w:name="_Toc534580156"/>
      <w:bookmarkStart w:id="271" w:name="_Toc21966442"/>
      <w:bookmarkStart w:id="272" w:name="_Toc534577799"/>
      <w:r>
        <w:rPr>
          <w:rFonts w:hint="eastAsia" w:ascii="黑体" w:hAnsi="黑体" w:eastAsia="黑体"/>
          <w:bCs/>
          <w:kern w:val="44"/>
          <w:szCs w:val="21"/>
        </w:rPr>
        <w:t>J</w:t>
      </w:r>
      <w:r>
        <w:rPr>
          <w:rFonts w:ascii="黑体" w:hAnsi="黑体" w:eastAsia="黑体"/>
          <w:bCs/>
          <w:kern w:val="44"/>
          <w:szCs w:val="21"/>
        </w:rPr>
        <w:t>.2</w:t>
      </w:r>
      <w:r>
        <w:rPr>
          <w:rFonts w:hint="eastAsia" w:ascii="黑体" w:hAnsi="黑体" w:eastAsia="黑体"/>
          <w:bCs/>
          <w:kern w:val="44"/>
          <w:szCs w:val="21"/>
        </w:rPr>
        <w:t xml:space="preserve">  </w:t>
      </w:r>
      <w:r>
        <w:rPr>
          <w:rFonts w:ascii="黑体" w:hAnsi="黑体" w:eastAsia="黑体"/>
          <w:bCs/>
          <w:kern w:val="44"/>
          <w:szCs w:val="21"/>
        </w:rPr>
        <w:t>隐患点监测资料整编表格式</w:t>
      </w:r>
      <w:bookmarkEnd w:id="270"/>
      <w:bookmarkEnd w:id="271"/>
      <w:bookmarkEnd w:id="272"/>
    </w:p>
    <w:p>
      <w:pPr>
        <w:wordWrap w:val="0"/>
        <w:spacing w:before="120" w:beforeLines="50" w:after="120" w:afterLines="50"/>
        <w:jc w:val="right"/>
        <w:rPr>
          <w:rFonts w:ascii="Times New Roman" w:hAnsi="Times New Roman" w:eastAsia="黑体"/>
          <w:szCs w:val="21"/>
        </w:rPr>
      </w:pPr>
      <w:r>
        <w:rPr>
          <w:rFonts w:ascii="Times New Roman" w:hAnsi="Times New Roman" w:eastAsia="黑体"/>
          <w:kern w:val="0"/>
          <w:szCs w:val="21"/>
        </w:rPr>
        <w:t>表</w:t>
      </w:r>
      <w:r>
        <w:rPr>
          <w:rFonts w:hint="eastAsia" w:ascii="Times New Roman" w:hAnsi="Times New Roman" w:eastAsia="黑体"/>
          <w:kern w:val="0"/>
          <w:szCs w:val="21"/>
        </w:rPr>
        <w:t>J</w:t>
      </w:r>
      <w:r>
        <w:rPr>
          <w:rFonts w:ascii="Times New Roman" w:hAnsi="Times New Roman" w:eastAsia="黑体"/>
          <w:kern w:val="0"/>
          <w:szCs w:val="21"/>
        </w:rPr>
        <w:t>-1</w:t>
      </w:r>
      <w:r>
        <w:rPr>
          <w:rFonts w:hint="eastAsia" w:ascii="黑体" w:hAnsi="黑体" w:eastAsia="黑体"/>
          <w:szCs w:val="21"/>
        </w:rPr>
        <w:t xml:space="preserve">  </w:t>
      </w:r>
      <w:r>
        <w:rPr>
          <w:rFonts w:ascii="Times New Roman" w:hAnsi="Times New Roman" w:eastAsia="黑体"/>
          <w:kern w:val="0"/>
          <w:szCs w:val="21"/>
        </w:rPr>
        <w:t>地表位移监测数据统</w:t>
      </w:r>
      <w:r>
        <w:rPr>
          <w:rFonts w:ascii="Times New Roman" w:hAnsi="Times New Roman" w:eastAsia="黑体"/>
          <w:szCs w:val="21"/>
        </w:rPr>
        <w:t xml:space="preserve">计报表   </w:t>
      </w:r>
      <w:r>
        <w:rPr>
          <w:rFonts w:hint="eastAsia" w:ascii="Times New Roman" w:hAnsi="Times New Roman" w:eastAsia="黑体"/>
          <w:szCs w:val="21"/>
        </w:rPr>
        <w:t xml:space="preserve">     </w:t>
      </w:r>
      <w:r>
        <w:rPr>
          <w:rFonts w:ascii="Times New Roman" w:hAnsi="Times New Roman" w:eastAsia="黑体"/>
          <w:szCs w:val="21"/>
        </w:rPr>
        <w:t xml:space="preserve">   </w:t>
      </w:r>
      <w:r>
        <w:rPr>
          <w:rFonts w:hint="eastAsia" w:ascii="Times New Roman" w:hAnsi="Times New Roman" w:eastAsia="黑体"/>
          <w:szCs w:val="21"/>
        </w:rPr>
        <w:t xml:space="preserve">  </w:t>
      </w:r>
      <w:r>
        <w:rPr>
          <w:rFonts w:ascii="Times New Roman" w:hAnsi="Times New Roman" w:eastAsia="黑体"/>
          <w:szCs w:val="21"/>
        </w:rPr>
        <w:t xml:space="preserve">              </w:t>
      </w:r>
      <w:r>
        <w:rPr>
          <w:rFonts w:hint="eastAsia" w:ascii="Times New Roman" w:hAnsi="Times New Roman" w:eastAsia="黑体"/>
          <w:szCs w:val="21"/>
        </w:rPr>
        <w:t xml:space="preserve">  </w:t>
      </w:r>
      <w:r>
        <w:rPr>
          <w:rFonts w:ascii="Times New Roman" w:hAnsi="Times New Roman" w:eastAsia="黑体"/>
          <w:szCs w:val="21"/>
        </w:rPr>
        <w:t xml:space="preserve">  第    页    共   页</w:t>
      </w:r>
    </w:p>
    <w:p>
      <w:pPr>
        <w:spacing w:before="120" w:beforeLines="50" w:after="120" w:afterLines="50"/>
        <w:jc w:val="center"/>
        <w:rPr>
          <w:rFonts w:ascii="Times New Roman" w:hAnsi="Times New Roman" w:eastAsia="黑体"/>
          <w:szCs w:val="21"/>
        </w:rPr>
      </w:pPr>
      <w:r>
        <w:rPr>
          <w:rFonts w:ascii="Times New Roman" w:hAnsi="Times New Roman" w:eastAsia="黑体"/>
          <w:szCs w:val="21"/>
        </w:rPr>
        <w:t>第   期</w:t>
      </w:r>
    </w:p>
    <w:p>
      <w:pPr>
        <w:spacing w:line="360" w:lineRule="auto"/>
        <w:rPr>
          <w:rFonts w:ascii="Times New Roman" w:hAnsi="Times New Roman"/>
          <w:sz w:val="18"/>
          <w:szCs w:val="18"/>
        </w:rPr>
      </w:pPr>
      <w:r>
        <w:rPr>
          <w:rFonts w:ascii="Times New Roman" w:hAnsi="Times New Roman"/>
          <w:sz w:val="18"/>
          <w:szCs w:val="18"/>
        </w:rPr>
        <w:t>日期：</w:t>
      </w:r>
      <w:r>
        <w:rPr>
          <w:rFonts w:ascii="Times New Roman" w:hAnsi="Times New Roman"/>
          <w:sz w:val="18"/>
          <w:szCs w:val="18"/>
          <w:u w:val="single"/>
        </w:rPr>
        <w:t xml:space="preserve">       </w:t>
      </w:r>
      <w:r>
        <w:rPr>
          <w:rFonts w:ascii="Times New Roman" w:hAnsi="Times New Roman"/>
          <w:sz w:val="18"/>
          <w:szCs w:val="18"/>
        </w:rPr>
        <w:t>年</w:t>
      </w:r>
      <w:r>
        <w:rPr>
          <w:rFonts w:ascii="Times New Roman" w:hAnsi="Times New Roman"/>
          <w:sz w:val="18"/>
          <w:szCs w:val="18"/>
          <w:u w:val="single"/>
        </w:rPr>
        <w:t xml:space="preserve">     </w:t>
      </w:r>
      <w:r>
        <w:rPr>
          <w:rFonts w:ascii="Times New Roman" w:hAnsi="Times New Roman"/>
          <w:sz w:val="18"/>
          <w:szCs w:val="18"/>
        </w:rPr>
        <w:t>月</w:t>
      </w:r>
      <w:r>
        <w:rPr>
          <w:rFonts w:ascii="Times New Roman" w:hAnsi="Times New Roman"/>
          <w:sz w:val="18"/>
          <w:szCs w:val="18"/>
          <w:u w:val="single"/>
        </w:rPr>
        <w:t xml:space="preserve">      </w:t>
      </w:r>
      <w:r>
        <w:rPr>
          <w:rFonts w:ascii="Times New Roman" w:hAnsi="Times New Roman"/>
          <w:sz w:val="18"/>
          <w:szCs w:val="18"/>
        </w:rPr>
        <w:t>日</w:t>
      </w:r>
      <w:r>
        <w:rPr>
          <w:rFonts w:ascii="Times New Roman" w:hAnsi="Times New Roman"/>
          <w:sz w:val="18"/>
          <w:szCs w:val="18"/>
          <w:u w:val="single"/>
        </w:rPr>
        <w:t xml:space="preserve">      </w:t>
      </w:r>
      <w:r>
        <w:rPr>
          <w:rFonts w:ascii="Times New Roman" w:hAnsi="Times New Roman"/>
          <w:sz w:val="18"/>
          <w:szCs w:val="18"/>
        </w:rPr>
        <w:t>时         报表编号：</w:t>
      </w:r>
      <w:r>
        <w:rPr>
          <w:rFonts w:ascii="Times New Roman" w:hAnsi="Times New Roman"/>
          <w:sz w:val="18"/>
          <w:szCs w:val="18"/>
          <w:u w:val="single"/>
        </w:rPr>
        <w:t xml:space="preserve">                </w:t>
      </w:r>
      <w:r>
        <w:rPr>
          <w:rFonts w:ascii="Times New Roman" w:hAnsi="Times New Roman"/>
          <w:sz w:val="18"/>
          <w:szCs w:val="18"/>
        </w:rPr>
        <w:t xml:space="preserve">                           观测：</w:t>
      </w:r>
      <w:r>
        <w:rPr>
          <w:rFonts w:ascii="Times New Roman" w:hAnsi="Times New Roman"/>
          <w:sz w:val="18"/>
          <w:szCs w:val="18"/>
          <w:u w:val="single"/>
        </w:rPr>
        <w:t xml:space="preserve">               </w:t>
      </w:r>
      <w:r>
        <w:rPr>
          <w:rFonts w:ascii="Times New Roman" w:hAnsi="Times New Roman"/>
          <w:sz w:val="18"/>
          <w:szCs w:val="18"/>
        </w:rPr>
        <w:t xml:space="preserve">           </w:t>
      </w:r>
    </w:p>
    <w:p>
      <w:pPr>
        <w:spacing w:line="360" w:lineRule="auto"/>
        <w:rPr>
          <w:rFonts w:ascii="Times New Roman" w:hAnsi="Times New Roman"/>
          <w:sz w:val="18"/>
          <w:szCs w:val="18"/>
          <w:u w:val="single"/>
        </w:rPr>
      </w:pPr>
      <w:r>
        <w:rPr>
          <w:rFonts w:ascii="Times New Roman" w:hAnsi="Times New Roman"/>
          <w:sz w:val="18"/>
          <w:szCs w:val="18"/>
        </w:rPr>
        <w:t>天气：</w:t>
      </w:r>
      <w:r>
        <w:rPr>
          <w:rFonts w:ascii="Times New Roman" w:hAnsi="Times New Roman"/>
          <w:sz w:val="18"/>
          <w:szCs w:val="18"/>
          <w:u w:val="single"/>
        </w:rPr>
        <w:t xml:space="preserve">            </w:t>
      </w:r>
      <w:r>
        <w:rPr>
          <w:rFonts w:ascii="Times New Roman" w:hAnsi="Times New Roman"/>
          <w:sz w:val="18"/>
          <w:szCs w:val="18"/>
        </w:rPr>
        <w:t xml:space="preserve">                                 计算：</w:t>
      </w:r>
      <w:r>
        <w:rPr>
          <w:rFonts w:ascii="Times New Roman" w:hAnsi="Times New Roman"/>
          <w:sz w:val="18"/>
          <w:szCs w:val="18"/>
          <w:u w:val="single"/>
        </w:rPr>
        <w:t xml:space="preserve">                </w:t>
      </w:r>
      <w:r>
        <w:rPr>
          <w:rFonts w:ascii="Times New Roman" w:hAnsi="Times New Roman"/>
          <w:sz w:val="18"/>
          <w:szCs w:val="18"/>
        </w:rPr>
        <w:t xml:space="preserve">                           校核：</w:t>
      </w:r>
      <w:r>
        <w:rPr>
          <w:rFonts w:ascii="Times New Roman" w:hAnsi="Times New Roman"/>
          <w:sz w:val="18"/>
          <w:szCs w:val="18"/>
          <w:u w:val="single"/>
        </w:rPr>
        <w:t xml:space="preserve">               </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1139"/>
        <w:gridCol w:w="1122"/>
        <w:gridCol w:w="1108"/>
        <w:gridCol w:w="1198"/>
        <w:gridCol w:w="1238"/>
        <w:gridCol w:w="1001"/>
        <w:gridCol w:w="1198"/>
        <w:gridCol w:w="1198"/>
        <w:gridCol w:w="1030"/>
        <w:gridCol w:w="1120"/>
        <w:gridCol w:w="975"/>
        <w:gridCol w:w="1001"/>
        <w:gridCol w:w="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Merge w:val="restart"/>
            <w:vAlign w:val="center"/>
          </w:tcPr>
          <w:p>
            <w:pPr>
              <w:widowControl/>
              <w:jc w:val="center"/>
              <w:rPr>
                <w:rFonts w:ascii="Times New Roman" w:hAnsi="Times New Roman"/>
                <w:kern w:val="0"/>
                <w:sz w:val="18"/>
                <w:szCs w:val="18"/>
              </w:rPr>
            </w:pPr>
            <w:r>
              <w:rPr>
                <w:rFonts w:ascii="Times New Roman" w:hAnsi="Times New Roman"/>
                <w:kern w:val="0"/>
                <w:sz w:val="18"/>
                <w:szCs w:val="18"/>
              </w:rPr>
              <w:t>监测</w:t>
            </w:r>
          </w:p>
          <w:p>
            <w:pPr>
              <w:widowControl/>
              <w:jc w:val="center"/>
              <w:rPr>
                <w:rFonts w:ascii="Times New Roman" w:hAnsi="Times New Roman"/>
                <w:kern w:val="0"/>
                <w:sz w:val="18"/>
                <w:szCs w:val="18"/>
              </w:rPr>
            </w:pPr>
            <w:r>
              <w:rPr>
                <w:rFonts w:ascii="Times New Roman" w:hAnsi="Times New Roman"/>
                <w:kern w:val="0"/>
                <w:sz w:val="18"/>
                <w:szCs w:val="18"/>
              </w:rPr>
              <w:t>点编号</w:t>
            </w:r>
          </w:p>
        </w:tc>
        <w:tc>
          <w:tcPr>
            <w:tcW w:w="1162" w:type="pct"/>
            <w:gridSpan w:val="3"/>
            <w:vAlign w:val="center"/>
          </w:tcPr>
          <w:p>
            <w:pPr>
              <w:widowControl/>
              <w:jc w:val="center"/>
              <w:rPr>
                <w:rFonts w:ascii="Times New Roman" w:hAnsi="Times New Roman"/>
                <w:kern w:val="0"/>
                <w:sz w:val="18"/>
                <w:szCs w:val="18"/>
              </w:rPr>
            </w:pPr>
            <w:r>
              <w:rPr>
                <w:rFonts w:ascii="Times New Roman" w:hAnsi="Times New Roman"/>
                <w:kern w:val="0"/>
                <w:sz w:val="18"/>
                <w:szCs w:val="18"/>
              </w:rPr>
              <w:t>X方向位移（增加水平方向）</w:t>
            </w:r>
          </w:p>
        </w:tc>
        <w:tc>
          <w:tcPr>
            <w:tcW w:w="1185" w:type="pct"/>
            <w:gridSpan w:val="3"/>
            <w:vAlign w:val="center"/>
          </w:tcPr>
          <w:p>
            <w:pPr>
              <w:widowControl/>
              <w:jc w:val="center"/>
              <w:rPr>
                <w:rFonts w:ascii="Times New Roman" w:hAnsi="Times New Roman"/>
                <w:kern w:val="0"/>
                <w:sz w:val="18"/>
                <w:szCs w:val="18"/>
              </w:rPr>
            </w:pPr>
            <w:r>
              <w:rPr>
                <w:rFonts w:ascii="Times New Roman" w:hAnsi="Times New Roman"/>
                <w:kern w:val="0"/>
                <w:sz w:val="18"/>
                <w:szCs w:val="18"/>
              </w:rPr>
              <w:t>Y方向位移</w:t>
            </w:r>
          </w:p>
        </w:tc>
        <w:tc>
          <w:tcPr>
            <w:tcW w:w="2248" w:type="pct"/>
            <w:gridSpan w:val="6"/>
            <w:vAlign w:val="center"/>
          </w:tcPr>
          <w:p>
            <w:pPr>
              <w:widowControl/>
              <w:jc w:val="center"/>
              <w:rPr>
                <w:rFonts w:ascii="Times New Roman" w:hAnsi="Times New Roman"/>
                <w:kern w:val="0"/>
                <w:sz w:val="18"/>
                <w:szCs w:val="18"/>
              </w:rPr>
            </w:pPr>
            <w:r>
              <w:rPr>
                <w:rFonts w:ascii="Times New Roman" w:hAnsi="Times New Roman"/>
                <w:kern w:val="0"/>
                <w:sz w:val="18"/>
                <w:szCs w:val="18"/>
              </w:rPr>
              <w:t>合位移（位移矢量，垂直位移）</w:t>
            </w:r>
          </w:p>
        </w:tc>
        <w:tc>
          <w:tcPr>
            <w:tcW w:w="171" w:type="pct"/>
            <w:vMerge w:val="restart"/>
            <w:vAlign w:val="center"/>
          </w:tcPr>
          <w:p>
            <w:pPr>
              <w:widowControl/>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35" w:type="pct"/>
            <w:vMerge w:val="continue"/>
            <w:vAlign w:val="center"/>
          </w:tcPr>
          <w:p>
            <w:pPr>
              <w:widowControl/>
              <w:jc w:val="center"/>
              <w:rPr>
                <w:rFonts w:ascii="Times New Roman" w:hAnsi="Times New Roman"/>
                <w:kern w:val="0"/>
                <w:sz w:val="18"/>
                <w:szCs w:val="18"/>
              </w:rPr>
            </w:pPr>
          </w:p>
        </w:tc>
        <w:tc>
          <w:tcPr>
            <w:tcW w:w="393" w:type="pct"/>
            <w:vAlign w:val="center"/>
          </w:tcPr>
          <w:p>
            <w:pPr>
              <w:widowControl/>
              <w:jc w:val="center"/>
              <w:rPr>
                <w:rFonts w:ascii="Times New Roman" w:hAnsi="Times New Roman"/>
                <w:kern w:val="0"/>
                <w:sz w:val="18"/>
                <w:szCs w:val="18"/>
              </w:rPr>
            </w:pPr>
            <w:r>
              <w:rPr>
                <w:rFonts w:ascii="Times New Roman" w:hAnsi="Times New Roman"/>
                <w:kern w:val="0"/>
                <w:sz w:val="18"/>
                <w:szCs w:val="18"/>
              </w:rPr>
              <w:t>本次位移量</w:t>
            </w:r>
          </w:p>
          <w:p>
            <w:pPr>
              <w:jc w:val="center"/>
              <w:rPr>
                <w:rFonts w:ascii="Times New Roman" w:hAnsi="Times New Roman"/>
                <w:kern w:val="0"/>
                <w:sz w:val="18"/>
                <w:szCs w:val="18"/>
              </w:rPr>
            </w:pPr>
            <w:r>
              <w:rPr>
                <w:rFonts w:ascii="Times New Roman" w:hAnsi="Times New Roman"/>
                <w:kern w:val="0"/>
                <w:sz w:val="18"/>
                <w:szCs w:val="18"/>
              </w:rPr>
              <w:t>mm</w:t>
            </w:r>
          </w:p>
        </w:tc>
        <w:tc>
          <w:tcPr>
            <w:tcW w:w="387" w:type="pct"/>
            <w:vAlign w:val="center"/>
          </w:tcPr>
          <w:p>
            <w:pPr>
              <w:widowControl/>
              <w:jc w:val="center"/>
              <w:rPr>
                <w:rFonts w:ascii="Times New Roman" w:hAnsi="Times New Roman"/>
                <w:kern w:val="0"/>
                <w:sz w:val="18"/>
                <w:szCs w:val="18"/>
              </w:rPr>
            </w:pPr>
            <w:r>
              <w:rPr>
                <w:rFonts w:ascii="Times New Roman" w:hAnsi="Times New Roman"/>
                <w:kern w:val="0"/>
                <w:sz w:val="18"/>
                <w:szCs w:val="18"/>
              </w:rPr>
              <w:t>累积位移量</w:t>
            </w:r>
          </w:p>
          <w:p>
            <w:pPr>
              <w:jc w:val="center"/>
              <w:rPr>
                <w:rFonts w:ascii="Times New Roman" w:hAnsi="Times New Roman"/>
                <w:kern w:val="0"/>
                <w:sz w:val="18"/>
                <w:szCs w:val="18"/>
              </w:rPr>
            </w:pPr>
            <w:r>
              <w:rPr>
                <w:rFonts w:ascii="Times New Roman" w:hAnsi="Times New Roman"/>
                <w:kern w:val="0"/>
                <w:sz w:val="18"/>
                <w:szCs w:val="18"/>
              </w:rPr>
              <w:t>mm</w:t>
            </w:r>
          </w:p>
        </w:tc>
        <w:tc>
          <w:tcPr>
            <w:tcW w:w="382" w:type="pct"/>
            <w:vAlign w:val="center"/>
          </w:tcPr>
          <w:p>
            <w:pPr>
              <w:widowControl/>
              <w:jc w:val="center"/>
              <w:rPr>
                <w:rFonts w:ascii="Times New Roman" w:hAnsi="Times New Roman"/>
                <w:kern w:val="0"/>
                <w:sz w:val="18"/>
                <w:szCs w:val="18"/>
              </w:rPr>
            </w:pPr>
            <w:r>
              <w:rPr>
                <w:rFonts w:ascii="Times New Roman" w:hAnsi="Times New Roman"/>
                <w:kern w:val="0"/>
                <w:sz w:val="18"/>
                <w:szCs w:val="18"/>
              </w:rPr>
              <w:t>位移速率</w:t>
            </w:r>
          </w:p>
          <w:p>
            <w:pPr>
              <w:jc w:val="center"/>
              <w:rPr>
                <w:rFonts w:ascii="Times New Roman" w:hAnsi="Times New Roman"/>
                <w:kern w:val="0"/>
                <w:sz w:val="18"/>
                <w:szCs w:val="18"/>
              </w:rPr>
            </w:pPr>
            <w:r>
              <w:rPr>
                <w:rFonts w:ascii="Times New Roman" w:hAnsi="Times New Roman"/>
                <w:kern w:val="0"/>
                <w:sz w:val="18"/>
                <w:szCs w:val="18"/>
              </w:rPr>
              <w:t>mm/d</w:t>
            </w:r>
          </w:p>
        </w:tc>
        <w:tc>
          <w:tcPr>
            <w:tcW w:w="413" w:type="pct"/>
            <w:vAlign w:val="center"/>
          </w:tcPr>
          <w:p>
            <w:pPr>
              <w:widowControl/>
              <w:jc w:val="center"/>
              <w:rPr>
                <w:rFonts w:ascii="Times New Roman" w:hAnsi="Times New Roman"/>
                <w:kern w:val="0"/>
                <w:sz w:val="18"/>
                <w:szCs w:val="18"/>
              </w:rPr>
            </w:pPr>
            <w:r>
              <w:rPr>
                <w:rFonts w:ascii="Times New Roman" w:hAnsi="Times New Roman"/>
                <w:kern w:val="0"/>
                <w:sz w:val="18"/>
                <w:szCs w:val="18"/>
              </w:rPr>
              <w:t>本次位移量</w:t>
            </w:r>
          </w:p>
          <w:p>
            <w:pPr>
              <w:jc w:val="center"/>
              <w:rPr>
                <w:rFonts w:ascii="Times New Roman" w:hAnsi="Times New Roman"/>
                <w:kern w:val="0"/>
                <w:sz w:val="18"/>
                <w:szCs w:val="18"/>
              </w:rPr>
            </w:pPr>
            <w:r>
              <w:rPr>
                <w:rFonts w:ascii="Times New Roman" w:hAnsi="Times New Roman"/>
                <w:kern w:val="0"/>
                <w:sz w:val="18"/>
                <w:szCs w:val="18"/>
              </w:rPr>
              <w:t>mm</w:t>
            </w:r>
          </w:p>
        </w:tc>
        <w:tc>
          <w:tcPr>
            <w:tcW w:w="427" w:type="pct"/>
            <w:vAlign w:val="center"/>
          </w:tcPr>
          <w:p>
            <w:pPr>
              <w:widowControl/>
              <w:jc w:val="center"/>
              <w:rPr>
                <w:rFonts w:ascii="Times New Roman" w:hAnsi="Times New Roman"/>
                <w:kern w:val="0"/>
                <w:sz w:val="18"/>
                <w:szCs w:val="18"/>
              </w:rPr>
            </w:pPr>
            <w:r>
              <w:rPr>
                <w:rFonts w:ascii="Times New Roman" w:hAnsi="Times New Roman"/>
                <w:kern w:val="0"/>
                <w:sz w:val="18"/>
                <w:szCs w:val="18"/>
              </w:rPr>
              <w:t>累积位移量</w:t>
            </w:r>
          </w:p>
          <w:p>
            <w:pPr>
              <w:jc w:val="center"/>
              <w:rPr>
                <w:rFonts w:ascii="Times New Roman" w:hAnsi="Times New Roman"/>
                <w:kern w:val="0"/>
                <w:sz w:val="18"/>
                <w:szCs w:val="18"/>
              </w:rPr>
            </w:pPr>
            <w:r>
              <w:rPr>
                <w:rFonts w:ascii="Times New Roman" w:hAnsi="Times New Roman"/>
                <w:kern w:val="0"/>
                <w:sz w:val="18"/>
                <w:szCs w:val="18"/>
              </w:rPr>
              <w:t>mm</w:t>
            </w:r>
          </w:p>
        </w:tc>
        <w:tc>
          <w:tcPr>
            <w:tcW w:w="345" w:type="pct"/>
            <w:vAlign w:val="center"/>
          </w:tcPr>
          <w:p>
            <w:pPr>
              <w:widowControl/>
              <w:jc w:val="center"/>
              <w:rPr>
                <w:rFonts w:ascii="Times New Roman" w:hAnsi="Times New Roman"/>
                <w:kern w:val="0"/>
                <w:sz w:val="18"/>
                <w:szCs w:val="18"/>
              </w:rPr>
            </w:pPr>
            <w:r>
              <w:rPr>
                <w:rFonts w:ascii="Times New Roman" w:hAnsi="Times New Roman"/>
                <w:kern w:val="0"/>
                <w:sz w:val="18"/>
                <w:szCs w:val="18"/>
              </w:rPr>
              <w:t>位移速率</w:t>
            </w:r>
          </w:p>
          <w:p>
            <w:pPr>
              <w:jc w:val="center"/>
              <w:rPr>
                <w:rFonts w:ascii="Times New Roman" w:hAnsi="Times New Roman"/>
                <w:kern w:val="0"/>
                <w:sz w:val="18"/>
                <w:szCs w:val="18"/>
              </w:rPr>
            </w:pPr>
            <w:r>
              <w:rPr>
                <w:rFonts w:ascii="Times New Roman" w:hAnsi="Times New Roman"/>
                <w:kern w:val="0"/>
                <w:sz w:val="18"/>
                <w:szCs w:val="18"/>
              </w:rPr>
              <w:t>mm/d</w:t>
            </w:r>
          </w:p>
        </w:tc>
        <w:tc>
          <w:tcPr>
            <w:tcW w:w="413" w:type="pct"/>
            <w:vAlign w:val="center"/>
          </w:tcPr>
          <w:p>
            <w:pPr>
              <w:widowControl/>
              <w:jc w:val="center"/>
              <w:rPr>
                <w:rFonts w:ascii="Times New Roman" w:hAnsi="Times New Roman"/>
                <w:kern w:val="0"/>
                <w:sz w:val="18"/>
                <w:szCs w:val="18"/>
              </w:rPr>
            </w:pPr>
            <w:r>
              <w:rPr>
                <w:rFonts w:ascii="Times New Roman" w:hAnsi="Times New Roman"/>
                <w:kern w:val="0"/>
                <w:sz w:val="18"/>
                <w:szCs w:val="18"/>
              </w:rPr>
              <w:t>本次位移量</w:t>
            </w:r>
          </w:p>
          <w:p>
            <w:pPr>
              <w:jc w:val="center"/>
              <w:rPr>
                <w:rFonts w:ascii="Times New Roman" w:hAnsi="Times New Roman"/>
                <w:kern w:val="0"/>
                <w:sz w:val="18"/>
                <w:szCs w:val="18"/>
              </w:rPr>
            </w:pPr>
            <w:r>
              <w:rPr>
                <w:rFonts w:ascii="Times New Roman" w:hAnsi="Times New Roman"/>
                <w:kern w:val="0"/>
                <w:sz w:val="18"/>
                <w:szCs w:val="18"/>
              </w:rPr>
              <w:t>mm</w:t>
            </w:r>
          </w:p>
        </w:tc>
        <w:tc>
          <w:tcPr>
            <w:tcW w:w="413" w:type="pct"/>
            <w:vAlign w:val="center"/>
          </w:tcPr>
          <w:p>
            <w:pPr>
              <w:widowControl/>
              <w:jc w:val="center"/>
              <w:rPr>
                <w:rFonts w:ascii="Times New Roman" w:hAnsi="Times New Roman"/>
                <w:kern w:val="0"/>
                <w:sz w:val="18"/>
                <w:szCs w:val="18"/>
              </w:rPr>
            </w:pPr>
            <w:r>
              <w:rPr>
                <w:rFonts w:ascii="Times New Roman" w:hAnsi="Times New Roman"/>
                <w:kern w:val="0"/>
                <w:sz w:val="18"/>
                <w:szCs w:val="18"/>
              </w:rPr>
              <w:t>累积位移量</w:t>
            </w:r>
          </w:p>
          <w:p>
            <w:pPr>
              <w:jc w:val="center"/>
              <w:rPr>
                <w:rFonts w:ascii="Times New Roman" w:hAnsi="Times New Roman"/>
                <w:kern w:val="0"/>
                <w:sz w:val="18"/>
                <w:szCs w:val="18"/>
              </w:rPr>
            </w:pPr>
            <w:r>
              <w:rPr>
                <w:rFonts w:ascii="Times New Roman" w:hAnsi="Times New Roman"/>
                <w:kern w:val="0"/>
                <w:sz w:val="18"/>
                <w:szCs w:val="18"/>
              </w:rPr>
              <w:t>mm</w:t>
            </w:r>
          </w:p>
        </w:tc>
        <w:tc>
          <w:tcPr>
            <w:tcW w:w="355" w:type="pct"/>
            <w:vAlign w:val="center"/>
          </w:tcPr>
          <w:p>
            <w:pPr>
              <w:widowControl/>
              <w:jc w:val="center"/>
              <w:rPr>
                <w:rFonts w:ascii="Times New Roman" w:hAnsi="Times New Roman"/>
                <w:kern w:val="0"/>
                <w:sz w:val="18"/>
                <w:szCs w:val="18"/>
              </w:rPr>
            </w:pPr>
            <w:r>
              <w:rPr>
                <w:rFonts w:ascii="Times New Roman" w:hAnsi="Times New Roman"/>
                <w:kern w:val="0"/>
                <w:sz w:val="18"/>
                <w:szCs w:val="18"/>
              </w:rPr>
              <w:t>位移速率</w:t>
            </w:r>
          </w:p>
          <w:p>
            <w:pPr>
              <w:jc w:val="center"/>
              <w:rPr>
                <w:rFonts w:ascii="Times New Roman" w:hAnsi="Times New Roman"/>
                <w:kern w:val="0"/>
                <w:sz w:val="18"/>
                <w:szCs w:val="18"/>
              </w:rPr>
            </w:pPr>
            <w:r>
              <w:rPr>
                <w:rFonts w:ascii="Times New Roman" w:hAnsi="Times New Roman"/>
                <w:kern w:val="0"/>
                <w:sz w:val="18"/>
                <w:szCs w:val="18"/>
              </w:rPr>
              <w:t>mm/d</w:t>
            </w:r>
          </w:p>
        </w:tc>
        <w:tc>
          <w:tcPr>
            <w:tcW w:w="386" w:type="pct"/>
            <w:vAlign w:val="center"/>
          </w:tcPr>
          <w:p>
            <w:pPr>
              <w:widowControl/>
              <w:jc w:val="center"/>
              <w:rPr>
                <w:rFonts w:ascii="Times New Roman" w:hAnsi="Times New Roman"/>
                <w:kern w:val="0"/>
                <w:sz w:val="18"/>
                <w:szCs w:val="18"/>
              </w:rPr>
            </w:pPr>
            <w:r>
              <w:rPr>
                <w:rFonts w:ascii="Times New Roman" w:hAnsi="Times New Roman"/>
                <w:kern w:val="0"/>
                <w:sz w:val="18"/>
                <w:szCs w:val="18"/>
              </w:rPr>
              <w:t>位移加速度</w:t>
            </w:r>
          </w:p>
          <w:p>
            <w:pPr>
              <w:jc w:val="center"/>
              <w:rPr>
                <w:rFonts w:ascii="Times New Roman" w:hAnsi="Times New Roman"/>
                <w:kern w:val="0"/>
                <w:sz w:val="18"/>
                <w:szCs w:val="18"/>
              </w:rPr>
            </w:pPr>
            <w:r>
              <w:rPr>
                <w:rFonts w:ascii="Times New Roman" w:hAnsi="Times New Roman"/>
                <w:kern w:val="0"/>
                <w:sz w:val="18"/>
                <w:szCs w:val="18"/>
              </w:rPr>
              <w:t>mm/d</w:t>
            </w:r>
            <w:r>
              <w:rPr>
                <w:rFonts w:ascii="Times New Roman" w:hAnsi="Times New Roman"/>
                <w:kern w:val="0"/>
                <w:sz w:val="18"/>
                <w:szCs w:val="18"/>
                <w:vertAlign w:val="superscript"/>
              </w:rPr>
              <w:t>2</w:t>
            </w:r>
          </w:p>
        </w:tc>
        <w:tc>
          <w:tcPr>
            <w:tcW w:w="336" w:type="pct"/>
            <w:vAlign w:val="center"/>
          </w:tcPr>
          <w:p>
            <w:pPr>
              <w:widowControl/>
              <w:jc w:val="center"/>
              <w:rPr>
                <w:rFonts w:ascii="Times New Roman" w:hAnsi="Times New Roman"/>
                <w:kern w:val="0"/>
                <w:sz w:val="18"/>
                <w:szCs w:val="18"/>
              </w:rPr>
            </w:pPr>
            <w:r>
              <w:rPr>
                <w:rFonts w:ascii="Times New Roman" w:hAnsi="Times New Roman"/>
                <w:kern w:val="0"/>
                <w:sz w:val="18"/>
                <w:szCs w:val="18"/>
              </w:rPr>
              <w:t>位移方向</w:t>
            </w:r>
          </w:p>
          <w:p>
            <w:pPr>
              <w:jc w:val="center"/>
              <w:rPr>
                <w:rFonts w:ascii="Times New Roman" w:hAnsi="Times New Roman"/>
                <w:kern w:val="0"/>
                <w:sz w:val="18"/>
                <w:szCs w:val="18"/>
              </w:rPr>
            </w:pPr>
            <w:r>
              <w:rPr>
                <w:rFonts w:ascii="Times New Roman" w:hAnsi="Times New Roman"/>
                <w:kern w:val="0"/>
                <w:sz w:val="18"/>
                <w:szCs w:val="18"/>
              </w:rPr>
              <w:t>°</w:t>
            </w:r>
          </w:p>
        </w:tc>
        <w:tc>
          <w:tcPr>
            <w:tcW w:w="342" w:type="pct"/>
            <w:vAlign w:val="center"/>
          </w:tcPr>
          <w:p>
            <w:pPr>
              <w:widowControl/>
              <w:jc w:val="center"/>
              <w:rPr>
                <w:rFonts w:ascii="Times New Roman" w:hAnsi="Times New Roman"/>
                <w:kern w:val="0"/>
                <w:sz w:val="18"/>
                <w:szCs w:val="18"/>
              </w:rPr>
            </w:pPr>
            <w:r>
              <w:rPr>
                <w:rFonts w:ascii="Times New Roman" w:hAnsi="Times New Roman"/>
                <w:kern w:val="0"/>
                <w:sz w:val="18"/>
                <w:szCs w:val="18"/>
              </w:rPr>
              <w:t>位移倾角</w:t>
            </w:r>
          </w:p>
          <w:p>
            <w:pPr>
              <w:jc w:val="center"/>
              <w:rPr>
                <w:rFonts w:ascii="Times New Roman" w:hAnsi="Times New Roman"/>
                <w:kern w:val="0"/>
                <w:sz w:val="18"/>
                <w:szCs w:val="18"/>
              </w:rPr>
            </w:pPr>
            <w:r>
              <w:rPr>
                <w:rFonts w:ascii="Times New Roman" w:hAnsi="Times New Roman"/>
                <w:kern w:val="0"/>
                <w:sz w:val="18"/>
                <w:szCs w:val="18"/>
              </w:rPr>
              <w:t>°</w:t>
            </w:r>
          </w:p>
        </w:tc>
        <w:tc>
          <w:tcPr>
            <w:tcW w:w="173" w:type="pct"/>
            <w:vMerge w:val="continue"/>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Align w:val="center"/>
          </w:tcPr>
          <w:p>
            <w:pPr>
              <w:widowControl/>
              <w:jc w:val="center"/>
              <w:rPr>
                <w:rFonts w:ascii="Times New Roman" w:hAnsi="Times New Roman"/>
                <w:kern w:val="0"/>
                <w:sz w:val="18"/>
                <w:szCs w:val="18"/>
              </w:rPr>
            </w:pPr>
          </w:p>
        </w:tc>
        <w:tc>
          <w:tcPr>
            <w:tcW w:w="393" w:type="pct"/>
            <w:vAlign w:val="center"/>
          </w:tcPr>
          <w:p>
            <w:pPr>
              <w:widowControl/>
              <w:jc w:val="center"/>
              <w:rPr>
                <w:rFonts w:ascii="Times New Roman" w:hAnsi="Times New Roman"/>
                <w:kern w:val="0"/>
                <w:sz w:val="18"/>
                <w:szCs w:val="18"/>
              </w:rPr>
            </w:pPr>
          </w:p>
        </w:tc>
        <w:tc>
          <w:tcPr>
            <w:tcW w:w="387" w:type="pct"/>
            <w:vAlign w:val="center"/>
          </w:tcPr>
          <w:p>
            <w:pPr>
              <w:widowControl/>
              <w:jc w:val="center"/>
              <w:rPr>
                <w:rFonts w:ascii="Times New Roman" w:hAnsi="Times New Roman"/>
                <w:kern w:val="0"/>
                <w:sz w:val="18"/>
                <w:szCs w:val="18"/>
              </w:rPr>
            </w:pPr>
          </w:p>
        </w:tc>
        <w:tc>
          <w:tcPr>
            <w:tcW w:w="382"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27" w:type="pct"/>
            <w:vAlign w:val="center"/>
          </w:tcPr>
          <w:p>
            <w:pPr>
              <w:widowControl/>
              <w:jc w:val="center"/>
              <w:rPr>
                <w:rFonts w:ascii="Times New Roman" w:hAnsi="Times New Roman"/>
                <w:kern w:val="0"/>
                <w:sz w:val="18"/>
                <w:szCs w:val="18"/>
              </w:rPr>
            </w:pPr>
          </w:p>
        </w:tc>
        <w:tc>
          <w:tcPr>
            <w:tcW w:w="345"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355" w:type="pct"/>
            <w:vAlign w:val="center"/>
          </w:tcPr>
          <w:p>
            <w:pPr>
              <w:widowControl/>
              <w:jc w:val="center"/>
              <w:rPr>
                <w:rFonts w:ascii="Times New Roman" w:hAnsi="Times New Roman"/>
                <w:kern w:val="0"/>
                <w:sz w:val="18"/>
                <w:szCs w:val="18"/>
              </w:rPr>
            </w:pPr>
          </w:p>
        </w:tc>
        <w:tc>
          <w:tcPr>
            <w:tcW w:w="386" w:type="pct"/>
            <w:vAlign w:val="center"/>
          </w:tcPr>
          <w:p>
            <w:pPr>
              <w:widowControl/>
              <w:jc w:val="center"/>
              <w:rPr>
                <w:rFonts w:ascii="Times New Roman" w:hAnsi="Times New Roman"/>
                <w:kern w:val="0"/>
                <w:sz w:val="18"/>
                <w:szCs w:val="18"/>
              </w:rPr>
            </w:pPr>
          </w:p>
        </w:tc>
        <w:tc>
          <w:tcPr>
            <w:tcW w:w="336" w:type="pct"/>
            <w:vAlign w:val="center"/>
          </w:tcPr>
          <w:p>
            <w:pPr>
              <w:widowControl/>
              <w:jc w:val="center"/>
              <w:rPr>
                <w:rFonts w:ascii="Times New Roman" w:hAnsi="Times New Roman"/>
                <w:kern w:val="0"/>
                <w:sz w:val="18"/>
                <w:szCs w:val="18"/>
              </w:rPr>
            </w:pPr>
          </w:p>
        </w:tc>
        <w:tc>
          <w:tcPr>
            <w:tcW w:w="343" w:type="pct"/>
          </w:tcPr>
          <w:p>
            <w:pPr>
              <w:widowControl/>
              <w:jc w:val="center"/>
              <w:rPr>
                <w:rFonts w:ascii="Times New Roman" w:hAnsi="Times New Roman"/>
                <w:kern w:val="0"/>
                <w:sz w:val="18"/>
                <w:szCs w:val="18"/>
              </w:rPr>
            </w:pPr>
          </w:p>
        </w:tc>
        <w:tc>
          <w:tcPr>
            <w:tcW w:w="172" w:type="pct"/>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Align w:val="center"/>
          </w:tcPr>
          <w:p>
            <w:pPr>
              <w:widowControl/>
              <w:jc w:val="center"/>
              <w:rPr>
                <w:rFonts w:ascii="Times New Roman" w:hAnsi="Times New Roman"/>
                <w:kern w:val="0"/>
                <w:sz w:val="18"/>
                <w:szCs w:val="18"/>
              </w:rPr>
            </w:pPr>
          </w:p>
        </w:tc>
        <w:tc>
          <w:tcPr>
            <w:tcW w:w="393" w:type="pct"/>
            <w:vAlign w:val="center"/>
          </w:tcPr>
          <w:p>
            <w:pPr>
              <w:widowControl/>
              <w:jc w:val="center"/>
              <w:rPr>
                <w:rFonts w:ascii="Times New Roman" w:hAnsi="Times New Roman"/>
                <w:kern w:val="0"/>
                <w:sz w:val="18"/>
                <w:szCs w:val="18"/>
              </w:rPr>
            </w:pPr>
          </w:p>
        </w:tc>
        <w:tc>
          <w:tcPr>
            <w:tcW w:w="387" w:type="pct"/>
            <w:vAlign w:val="center"/>
          </w:tcPr>
          <w:p>
            <w:pPr>
              <w:widowControl/>
              <w:jc w:val="center"/>
              <w:rPr>
                <w:rFonts w:ascii="Times New Roman" w:hAnsi="Times New Roman"/>
                <w:kern w:val="0"/>
                <w:sz w:val="18"/>
                <w:szCs w:val="18"/>
              </w:rPr>
            </w:pPr>
          </w:p>
        </w:tc>
        <w:tc>
          <w:tcPr>
            <w:tcW w:w="382"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27" w:type="pct"/>
            <w:vAlign w:val="center"/>
          </w:tcPr>
          <w:p>
            <w:pPr>
              <w:widowControl/>
              <w:jc w:val="center"/>
              <w:rPr>
                <w:rFonts w:ascii="Times New Roman" w:hAnsi="Times New Roman"/>
                <w:kern w:val="0"/>
                <w:sz w:val="18"/>
                <w:szCs w:val="18"/>
              </w:rPr>
            </w:pPr>
          </w:p>
        </w:tc>
        <w:tc>
          <w:tcPr>
            <w:tcW w:w="345"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355" w:type="pct"/>
            <w:vAlign w:val="center"/>
          </w:tcPr>
          <w:p>
            <w:pPr>
              <w:widowControl/>
              <w:jc w:val="center"/>
              <w:rPr>
                <w:rFonts w:ascii="Times New Roman" w:hAnsi="Times New Roman"/>
                <w:kern w:val="0"/>
                <w:sz w:val="18"/>
                <w:szCs w:val="18"/>
              </w:rPr>
            </w:pPr>
          </w:p>
        </w:tc>
        <w:tc>
          <w:tcPr>
            <w:tcW w:w="386" w:type="pct"/>
            <w:vAlign w:val="center"/>
          </w:tcPr>
          <w:p>
            <w:pPr>
              <w:widowControl/>
              <w:jc w:val="center"/>
              <w:rPr>
                <w:rFonts w:ascii="Times New Roman" w:hAnsi="Times New Roman"/>
                <w:kern w:val="0"/>
                <w:sz w:val="18"/>
                <w:szCs w:val="18"/>
              </w:rPr>
            </w:pPr>
          </w:p>
        </w:tc>
        <w:tc>
          <w:tcPr>
            <w:tcW w:w="336" w:type="pct"/>
            <w:vAlign w:val="center"/>
          </w:tcPr>
          <w:p>
            <w:pPr>
              <w:widowControl/>
              <w:jc w:val="center"/>
              <w:rPr>
                <w:rFonts w:ascii="Times New Roman" w:hAnsi="Times New Roman"/>
                <w:kern w:val="0"/>
                <w:sz w:val="18"/>
                <w:szCs w:val="18"/>
              </w:rPr>
            </w:pPr>
          </w:p>
        </w:tc>
        <w:tc>
          <w:tcPr>
            <w:tcW w:w="343" w:type="pct"/>
          </w:tcPr>
          <w:p>
            <w:pPr>
              <w:widowControl/>
              <w:jc w:val="center"/>
              <w:rPr>
                <w:rFonts w:ascii="Times New Roman" w:hAnsi="Times New Roman"/>
                <w:kern w:val="0"/>
                <w:sz w:val="18"/>
                <w:szCs w:val="18"/>
              </w:rPr>
            </w:pPr>
          </w:p>
        </w:tc>
        <w:tc>
          <w:tcPr>
            <w:tcW w:w="172" w:type="pct"/>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Align w:val="center"/>
          </w:tcPr>
          <w:p>
            <w:pPr>
              <w:widowControl/>
              <w:jc w:val="center"/>
              <w:rPr>
                <w:rFonts w:ascii="Times New Roman" w:hAnsi="Times New Roman"/>
                <w:kern w:val="0"/>
                <w:sz w:val="18"/>
                <w:szCs w:val="18"/>
              </w:rPr>
            </w:pPr>
          </w:p>
        </w:tc>
        <w:tc>
          <w:tcPr>
            <w:tcW w:w="393" w:type="pct"/>
            <w:vAlign w:val="center"/>
          </w:tcPr>
          <w:p>
            <w:pPr>
              <w:widowControl/>
              <w:jc w:val="center"/>
              <w:rPr>
                <w:rFonts w:ascii="Times New Roman" w:hAnsi="Times New Roman"/>
                <w:kern w:val="0"/>
                <w:sz w:val="18"/>
                <w:szCs w:val="18"/>
              </w:rPr>
            </w:pPr>
          </w:p>
        </w:tc>
        <w:tc>
          <w:tcPr>
            <w:tcW w:w="387" w:type="pct"/>
            <w:vAlign w:val="center"/>
          </w:tcPr>
          <w:p>
            <w:pPr>
              <w:widowControl/>
              <w:jc w:val="center"/>
              <w:rPr>
                <w:rFonts w:ascii="Times New Roman" w:hAnsi="Times New Roman"/>
                <w:kern w:val="0"/>
                <w:sz w:val="18"/>
                <w:szCs w:val="18"/>
              </w:rPr>
            </w:pPr>
          </w:p>
        </w:tc>
        <w:tc>
          <w:tcPr>
            <w:tcW w:w="382"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27" w:type="pct"/>
            <w:vAlign w:val="center"/>
          </w:tcPr>
          <w:p>
            <w:pPr>
              <w:widowControl/>
              <w:jc w:val="center"/>
              <w:rPr>
                <w:rFonts w:ascii="Times New Roman" w:hAnsi="Times New Roman"/>
                <w:kern w:val="0"/>
                <w:sz w:val="18"/>
                <w:szCs w:val="18"/>
              </w:rPr>
            </w:pPr>
          </w:p>
        </w:tc>
        <w:tc>
          <w:tcPr>
            <w:tcW w:w="345"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355" w:type="pct"/>
            <w:vAlign w:val="center"/>
          </w:tcPr>
          <w:p>
            <w:pPr>
              <w:widowControl/>
              <w:jc w:val="center"/>
              <w:rPr>
                <w:rFonts w:ascii="Times New Roman" w:hAnsi="Times New Roman"/>
                <w:kern w:val="0"/>
                <w:sz w:val="18"/>
                <w:szCs w:val="18"/>
              </w:rPr>
            </w:pPr>
          </w:p>
        </w:tc>
        <w:tc>
          <w:tcPr>
            <w:tcW w:w="386" w:type="pct"/>
            <w:vAlign w:val="center"/>
          </w:tcPr>
          <w:p>
            <w:pPr>
              <w:widowControl/>
              <w:jc w:val="center"/>
              <w:rPr>
                <w:rFonts w:ascii="Times New Roman" w:hAnsi="Times New Roman"/>
                <w:kern w:val="0"/>
                <w:sz w:val="18"/>
                <w:szCs w:val="18"/>
              </w:rPr>
            </w:pPr>
          </w:p>
        </w:tc>
        <w:tc>
          <w:tcPr>
            <w:tcW w:w="336" w:type="pct"/>
            <w:vAlign w:val="center"/>
          </w:tcPr>
          <w:p>
            <w:pPr>
              <w:widowControl/>
              <w:jc w:val="center"/>
              <w:rPr>
                <w:rFonts w:ascii="Times New Roman" w:hAnsi="Times New Roman"/>
                <w:kern w:val="0"/>
                <w:sz w:val="18"/>
                <w:szCs w:val="18"/>
              </w:rPr>
            </w:pPr>
          </w:p>
        </w:tc>
        <w:tc>
          <w:tcPr>
            <w:tcW w:w="343" w:type="pct"/>
          </w:tcPr>
          <w:p>
            <w:pPr>
              <w:widowControl/>
              <w:jc w:val="center"/>
              <w:rPr>
                <w:rFonts w:ascii="Times New Roman" w:hAnsi="Times New Roman"/>
                <w:kern w:val="0"/>
                <w:sz w:val="18"/>
                <w:szCs w:val="18"/>
              </w:rPr>
            </w:pPr>
          </w:p>
        </w:tc>
        <w:tc>
          <w:tcPr>
            <w:tcW w:w="172" w:type="pct"/>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Align w:val="center"/>
          </w:tcPr>
          <w:p>
            <w:pPr>
              <w:widowControl/>
              <w:jc w:val="center"/>
              <w:rPr>
                <w:rFonts w:ascii="Times New Roman" w:hAnsi="Times New Roman"/>
                <w:kern w:val="0"/>
                <w:sz w:val="18"/>
                <w:szCs w:val="18"/>
              </w:rPr>
            </w:pPr>
          </w:p>
        </w:tc>
        <w:tc>
          <w:tcPr>
            <w:tcW w:w="393" w:type="pct"/>
            <w:vAlign w:val="center"/>
          </w:tcPr>
          <w:p>
            <w:pPr>
              <w:widowControl/>
              <w:jc w:val="center"/>
              <w:rPr>
                <w:rFonts w:ascii="Times New Roman" w:hAnsi="Times New Roman"/>
                <w:kern w:val="0"/>
                <w:sz w:val="18"/>
                <w:szCs w:val="18"/>
              </w:rPr>
            </w:pPr>
          </w:p>
        </w:tc>
        <w:tc>
          <w:tcPr>
            <w:tcW w:w="387" w:type="pct"/>
            <w:vAlign w:val="center"/>
          </w:tcPr>
          <w:p>
            <w:pPr>
              <w:widowControl/>
              <w:jc w:val="center"/>
              <w:rPr>
                <w:rFonts w:ascii="Times New Roman" w:hAnsi="Times New Roman"/>
                <w:kern w:val="0"/>
                <w:sz w:val="18"/>
                <w:szCs w:val="18"/>
              </w:rPr>
            </w:pPr>
          </w:p>
        </w:tc>
        <w:tc>
          <w:tcPr>
            <w:tcW w:w="382"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27" w:type="pct"/>
            <w:vAlign w:val="center"/>
          </w:tcPr>
          <w:p>
            <w:pPr>
              <w:widowControl/>
              <w:jc w:val="center"/>
              <w:rPr>
                <w:rFonts w:ascii="Times New Roman" w:hAnsi="Times New Roman"/>
                <w:kern w:val="0"/>
                <w:sz w:val="18"/>
                <w:szCs w:val="18"/>
              </w:rPr>
            </w:pPr>
          </w:p>
        </w:tc>
        <w:tc>
          <w:tcPr>
            <w:tcW w:w="345"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355" w:type="pct"/>
            <w:vAlign w:val="center"/>
          </w:tcPr>
          <w:p>
            <w:pPr>
              <w:widowControl/>
              <w:jc w:val="center"/>
              <w:rPr>
                <w:rFonts w:ascii="Times New Roman" w:hAnsi="Times New Roman"/>
                <w:kern w:val="0"/>
                <w:sz w:val="18"/>
                <w:szCs w:val="18"/>
              </w:rPr>
            </w:pPr>
          </w:p>
        </w:tc>
        <w:tc>
          <w:tcPr>
            <w:tcW w:w="386" w:type="pct"/>
            <w:vAlign w:val="center"/>
          </w:tcPr>
          <w:p>
            <w:pPr>
              <w:widowControl/>
              <w:jc w:val="center"/>
              <w:rPr>
                <w:rFonts w:ascii="Times New Roman" w:hAnsi="Times New Roman"/>
                <w:kern w:val="0"/>
                <w:sz w:val="18"/>
                <w:szCs w:val="18"/>
              </w:rPr>
            </w:pPr>
          </w:p>
        </w:tc>
        <w:tc>
          <w:tcPr>
            <w:tcW w:w="336" w:type="pct"/>
            <w:vAlign w:val="center"/>
          </w:tcPr>
          <w:p>
            <w:pPr>
              <w:widowControl/>
              <w:jc w:val="center"/>
              <w:rPr>
                <w:rFonts w:ascii="Times New Roman" w:hAnsi="Times New Roman"/>
                <w:kern w:val="0"/>
                <w:sz w:val="18"/>
                <w:szCs w:val="18"/>
              </w:rPr>
            </w:pPr>
          </w:p>
        </w:tc>
        <w:tc>
          <w:tcPr>
            <w:tcW w:w="343" w:type="pct"/>
          </w:tcPr>
          <w:p>
            <w:pPr>
              <w:widowControl/>
              <w:jc w:val="center"/>
              <w:rPr>
                <w:rFonts w:ascii="Times New Roman" w:hAnsi="Times New Roman"/>
                <w:kern w:val="0"/>
                <w:sz w:val="18"/>
                <w:szCs w:val="18"/>
              </w:rPr>
            </w:pPr>
          </w:p>
        </w:tc>
        <w:tc>
          <w:tcPr>
            <w:tcW w:w="172" w:type="pct"/>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Align w:val="center"/>
          </w:tcPr>
          <w:p>
            <w:pPr>
              <w:widowControl/>
              <w:jc w:val="center"/>
              <w:rPr>
                <w:rFonts w:ascii="Times New Roman" w:hAnsi="Times New Roman"/>
                <w:kern w:val="0"/>
                <w:sz w:val="18"/>
                <w:szCs w:val="18"/>
              </w:rPr>
            </w:pPr>
          </w:p>
        </w:tc>
        <w:tc>
          <w:tcPr>
            <w:tcW w:w="393" w:type="pct"/>
            <w:vAlign w:val="center"/>
          </w:tcPr>
          <w:p>
            <w:pPr>
              <w:widowControl/>
              <w:jc w:val="center"/>
              <w:rPr>
                <w:rFonts w:ascii="Times New Roman" w:hAnsi="Times New Roman"/>
                <w:kern w:val="0"/>
                <w:sz w:val="18"/>
                <w:szCs w:val="18"/>
              </w:rPr>
            </w:pPr>
          </w:p>
        </w:tc>
        <w:tc>
          <w:tcPr>
            <w:tcW w:w="387" w:type="pct"/>
            <w:vAlign w:val="center"/>
          </w:tcPr>
          <w:p>
            <w:pPr>
              <w:widowControl/>
              <w:jc w:val="center"/>
              <w:rPr>
                <w:rFonts w:ascii="Times New Roman" w:hAnsi="Times New Roman"/>
                <w:kern w:val="0"/>
                <w:sz w:val="18"/>
                <w:szCs w:val="18"/>
              </w:rPr>
            </w:pPr>
          </w:p>
        </w:tc>
        <w:tc>
          <w:tcPr>
            <w:tcW w:w="382"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27" w:type="pct"/>
            <w:vAlign w:val="center"/>
          </w:tcPr>
          <w:p>
            <w:pPr>
              <w:widowControl/>
              <w:jc w:val="center"/>
              <w:rPr>
                <w:rFonts w:ascii="Times New Roman" w:hAnsi="Times New Roman"/>
                <w:kern w:val="0"/>
                <w:sz w:val="18"/>
                <w:szCs w:val="18"/>
              </w:rPr>
            </w:pPr>
          </w:p>
        </w:tc>
        <w:tc>
          <w:tcPr>
            <w:tcW w:w="345"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355" w:type="pct"/>
            <w:vAlign w:val="center"/>
          </w:tcPr>
          <w:p>
            <w:pPr>
              <w:widowControl/>
              <w:jc w:val="center"/>
              <w:rPr>
                <w:rFonts w:ascii="Times New Roman" w:hAnsi="Times New Roman"/>
                <w:kern w:val="0"/>
                <w:sz w:val="18"/>
                <w:szCs w:val="18"/>
              </w:rPr>
            </w:pPr>
          </w:p>
        </w:tc>
        <w:tc>
          <w:tcPr>
            <w:tcW w:w="386" w:type="pct"/>
            <w:vAlign w:val="center"/>
          </w:tcPr>
          <w:p>
            <w:pPr>
              <w:widowControl/>
              <w:jc w:val="center"/>
              <w:rPr>
                <w:rFonts w:ascii="Times New Roman" w:hAnsi="Times New Roman"/>
                <w:kern w:val="0"/>
                <w:sz w:val="18"/>
                <w:szCs w:val="18"/>
              </w:rPr>
            </w:pPr>
          </w:p>
        </w:tc>
        <w:tc>
          <w:tcPr>
            <w:tcW w:w="336" w:type="pct"/>
            <w:vAlign w:val="center"/>
          </w:tcPr>
          <w:p>
            <w:pPr>
              <w:widowControl/>
              <w:jc w:val="center"/>
              <w:rPr>
                <w:rFonts w:ascii="Times New Roman" w:hAnsi="Times New Roman"/>
                <w:kern w:val="0"/>
                <w:sz w:val="18"/>
                <w:szCs w:val="18"/>
              </w:rPr>
            </w:pPr>
          </w:p>
        </w:tc>
        <w:tc>
          <w:tcPr>
            <w:tcW w:w="343" w:type="pct"/>
          </w:tcPr>
          <w:p>
            <w:pPr>
              <w:widowControl/>
              <w:jc w:val="center"/>
              <w:rPr>
                <w:rFonts w:ascii="Times New Roman" w:hAnsi="Times New Roman"/>
                <w:kern w:val="0"/>
                <w:sz w:val="18"/>
                <w:szCs w:val="18"/>
              </w:rPr>
            </w:pPr>
          </w:p>
        </w:tc>
        <w:tc>
          <w:tcPr>
            <w:tcW w:w="172" w:type="pct"/>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Align w:val="center"/>
          </w:tcPr>
          <w:p>
            <w:pPr>
              <w:widowControl/>
              <w:jc w:val="center"/>
              <w:rPr>
                <w:rFonts w:ascii="Times New Roman" w:hAnsi="Times New Roman"/>
                <w:kern w:val="0"/>
                <w:sz w:val="18"/>
                <w:szCs w:val="18"/>
              </w:rPr>
            </w:pPr>
          </w:p>
        </w:tc>
        <w:tc>
          <w:tcPr>
            <w:tcW w:w="393" w:type="pct"/>
            <w:vAlign w:val="center"/>
          </w:tcPr>
          <w:p>
            <w:pPr>
              <w:widowControl/>
              <w:jc w:val="center"/>
              <w:rPr>
                <w:rFonts w:ascii="Times New Roman" w:hAnsi="Times New Roman"/>
                <w:kern w:val="0"/>
                <w:sz w:val="18"/>
                <w:szCs w:val="18"/>
              </w:rPr>
            </w:pPr>
          </w:p>
        </w:tc>
        <w:tc>
          <w:tcPr>
            <w:tcW w:w="387" w:type="pct"/>
            <w:vAlign w:val="center"/>
          </w:tcPr>
          <w:p>
            <w:pPr>
              <w:widowControl/>
              <w:jc w:val="center"/>
              <w:rPr>
                <w:rFonts w:ascii="Times New Roman" w:hAnsi="Times New Roman"/>
                <w:kern w:val="0"/>
                <w:sz w:val="18"/>
                <w:szCs w:val="18"/>
              </w:rPr>
            </w:pPr>
          </w:p>
        </w:tc>
        <w:tc>
          <w:tcPr>
            <w:tcW w:w="382"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27" w:type="pct"/>
            <w:vAlign w:val="center"/>
          </w:tcPr>
          <w:p>
            <w:pPr>
              <w:widowControl/>
              <w:jc w:val="center"/>
              <w:rPr>
                <w:rFonts w:ascii="Times New Roman" w:hAnsi="Times New Roman"/>
                <w:kern w:val="0"/>
                <w:sz w:val="18"/>
                <w:szCs w:val="18"/>
              </w:rPr>
            </w:pPr>
          </w:p>
        </w:tc>
        <w:tc>
          <w:tcPr>
            <w:tcW w:w="345"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355" w:type="pct"/>
            <w:vAlign w:val="center"/>
          </w:tcPr>
          <w:p>
            <w:pPr>
              <w:widowControl/>
              <w:jc w:val="center"/>
              <w:rPr>
                <w:rFonts w:ascii="Times New Roman" w:hAnsi="Times New Roman"/>
                <w:kern w:val="0"/>
                <w:sz w:val="18"/>
                <w:szCs w:val="18"/>
              </w:rPr>
            </w:pPr>
          </w:p>
        </w:tc>
        <w:tc>
          <w:tcPr>
            <w:tcW w:w="386" w:type="pct"/>
            <w:vAlign w:val="center"/>
          </w:tcPr>
          <w:p>
            <w:pPr>
              <w:widowControl/>
              <w:jc w:val="center"/>
              <w:rPr>
                <w:rFonts w:ascii="Times New Roman" w:hAnsi="Times New Roman"/>
                <w:kern w:val="0"/>
                <w:sz w:val="18"/>
                <w:szCs w:val="18"/>
              </w:rPr>
            </w:pPr>
          </w:p>
        </w:tc>
        <w:tc>
          <w:tcPr>
            <w:tcW w:w="336" w:type="pct"/>
            <w:vAlign w:val="center"/>
          </w:tcPr>
          <w:p>
            <w:pPr>
              <w:widowControl/>
              <w:jc w:val="center"/>
              <w:rPr>
                <w:rFonts w:ascii="Times New Roman" w:hAnsi="Times New Roman"/>
                <w:kern w:val="0"/>
                <w:sz w:val="18"/>
                <w:szCs w:val="18"/>
              </w:rPr>
            </w:pPr>
          </w:p>
        </w:tc>
        <w:tc>
          <w:tcPr>
            <w:tcW w:w="343" w:type="pct"/>
          </w:tcPr>
          <w:p>
            <w:pPr>
              <w:widowControl/>
              <w:jc w:val="center"/>
              <w:rPr>
                <w:rFonts w:ascii="Times New Roman" w:hAnsi="Times New Roman"/>
                <w:kern w:val="0"/>
                <w:sz w:val="18"/>
                <w:szCs w:val="18"/>
              </w:rPr>
            </w:pPr>
          </w:p>
        </w:tc>
        <w:tc>
          <w:tcPr>
            <w:tcW w:w="172" w:type="pct"/>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Align w:val="center"/>
          </w:tcPr>
          <w:p>
            <w:pPr>
              <w:widowControl/>
              <w:jc w:val="center"/>
              <w:rPr>
                <w:rFonts w:ascii="Times New Roman" w:hAnsi="Times New Roman"/>
                <w:kern w:val="0"/>
                <w:sz w:val="18"/>
                <w:szCs w:val="18"/>
              </w:rPr>
            </w:pPr>
          </w:p>
        </w:tc>
        <w:tc>
          <w:tcPr>
            <w:tcW w:w="393" w:type="pct"/>
            <w:vAlign w:val="center"/>
          </w:tcPr>
          <w:p>
            <w:pPr>
              <w:widowControl/>
              <w:jc w:val="center"/>
              <w:rPr>
                <w:rFonts w:ascii="Times New Roman" w:hAnsi="Times New Roman"/>
                <w:kern w:val="0"/>
                <w:sz w:val="18"/>
                <w:szCs w:val="18"/>
              </w:rPr>
            </w:pPr>
          </w:p>
        </w:tc>
        <w:tc>
          <w:tcPr>
            <w:tcW w:w="387" w:type="pct"/>
            <w:vAlign w:val="center"/>
          </w:tcPr>
          <w:p>
            <w:pPr>
              <w:widowControl/>
              <w:jc w:val="center"/>
              <w:rPr>
                <w:rFonts w:ascii="Times New Roman" w:hAnsi="Times New Roman"/>
                <w:kern w:val="0"/>
                <w:sz w:val="18"/>
                <w:szCs w:val="18"/>
              </w:rPr>
            </w:pPr>
          </w:p>
        </w:tc>
        <w:tc>
          <w:tcPr>
            <w:tcW w:w="382"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27" w:type="pct"/>
            <w:vAlign w:val="center"/>
          </w:tcPr>
          <w:p>
            <w:pPr>
              <w:widowControl/>
              <w:jc w:val="center"/>
              <w:rPr>
                <w:rFonts w:ascii="Times New Roman" w:hAnsi="Times New Roman"/>
                <w:kern w:val="0"/>
                <w:sz w:val="18"/>
                <w:szCs w:val="18"/>
              </w:rPr>
            </w:pPr>
          </w:p>
        </w:tc>
        <w:tc>
          <w:tcPr>
            <w:tcW w:w="345"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413" w:type="pct"/>
            <w:vAlign w:val="center"/>
          </w:tcPr>
          <w:p>
            <w:pPr>
              <w:widowControl/>
              <w:jc w:val="center"/>
              <w:rPr>
                <w:rFonts w:ascii="Times New Roman" w:hAnsi="Times New Roman"/>
                <w:kern w:val="0"/>
                <w:sz w:val="18"/>
                <w:szCs w:val="18"/>
              </w:rPr>
            </w:pPr>
          </w:p>
        </w:tc>
        <w:tc>
          <w:tcPr>
            <w:tcW w:w="355" w:type="pct"/>
            <w:vAlign w:val="center"/>
          </w:tcPr>
          <w:p>
            <w:pPr>
              <w:widowControl/>
              <w:jc w:val="center"/>
              <w:rPr>
                <w:rFonts w:ascii="Times New Roman" w:hAnsi="Times New Roman"/>
                <w:kern w:val="0"/>
                <w:sz w:val="18"/>
                <w:szCs w:val="18"/>
              </w:rPr>
            </w:pPr>
          </w:p>
        </w:tc>
        <w:tc>
          <w:tcPr>
            <w:tcW w:w="386" w:type="pct"/>
            <w:vAlign w:val="center"/>
          </w:tcPr>
          <w:p>
            <w:pPr>
              <w:widowControl/>
              <w:jc w:val="center"/>
              <w:rPr>
                <w:rFonts w:ascii="Times New Roman" w:hAnsi="Times New Roman"/>
                <w:kern w:val="0"/>
                <w:sz w:val="18"/>
                <w:szCs w:val="18"/>
              </w:rPr>
            </w:pPr>
          </w:p>
        </w:tc>
        <w:tc>
          <w:tcPr>
            <w:tcW w:w="336" w:type="pct"/>
            <w:vAlign w:val="center"/>
          </w:tcPr>
          <w:p>
            <w:pPr>
              <w:widowControl/>
              <w:jc w:val="center"/>
              <w:rPr>
                <w:rFonts w:ascii="Times New Roman" w:hAnsi="Times New Roman"/>
                <w:kern w:val="0"/>
                <w:sz w:val="18"/>
                <w:szCs w:val="18"/>
              </w:rPr>
            </w:pPr>
          </w:p>
        </w:tc>
        <w:tc>
          <w:tcPr>
            <w:tcW w:w="343" w:type="pct"/>
          </w:tcPr>
          <w:p>
            <w:pPr>
              <w:widowControl/>
              <w:jc w:val="center"/>
              <w:rPr>
                <w:rFonts w:ascii="Times New Roman" w:hAnsi="Times New Roman"/>
                <w:kern w:val="0"/>
                <w:sz w:val="18"/>
                <w:szCs w:val="18"/>
              </w:rPr>
            </w:pPr>
          </w:p>
        </w:tc>
        <w:tc>
          <w:tcPr>
            <w:tcW w:w="172" w:type="pct"/>
            <w:vAlign w:val="center"/>
          </w:tcPr>
          <w:p>
            <w:pPr>
              <w:widowControl/>
              <w:jc w:val="center"/>
              <w:rPr>
                <w:rFonts w:ascii="Times New Roman" w:hAnsi="Times New Roman"/>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 w:type="pct"/>
            <w:gridSpan w:val="7"/>
            <w:vAlign w:val="center"/>
          </w:tcPr>
          <w:p>
            <w:pPr>
              <w:widowControl/>
              <w:rPr>
                <w:rFonts w:ascii="Times New Roman" w:hAnsi="Times New Roman"/>
                <w:kern w:val="0"/>
                <w:sz w:val="18"/>
                <w:szCs w:val="18"/>
              </w:rPr>
            </w:pPr>
            <w:r>
              <w:rPr>
                <w:rFonts w:ascii="Times New Roman" w:hAnsi="Times New Roman"/>
                <w:kern w:val="0"/>
                <w:sz w:val="18"/>
                <w:szCs w:val="18"/>
              </w:rPr>
              <w:t>说明</w:t>
            </w:r>
            <w:r>
              <w:rPr>
                <w:rFonts w:hint="eastAsia" w:ascii="Times New Roman" w:hAnsi="Times New Roman"/>
                <w:kern w:val="0"/>
                <w:sz w:val="18"/>
                <w:szCs w:val="18"/>
              </w:rPr>
              <w:t>：</w:t>
            </w:r>
          </w:p>
          <w:p>
            <w:pPr>
              <w:widowControl/>
              <w:ind w:firstLine="360" w:firstLineChars="200"/>
              <w:rPr>
                <w:rFonts w:ascii="Times New Roman" w:hAnsi="Times New Roman"/>
                <w:kern w:val="0"/>
                <w:sz w:val="18"/>
                <w:szCs w:val="18"/>
              </w:rPr>
            </w:pPr>
            <w:r>
              <w:rPr>
                <w:rFonts w:ascii="Times New Roman" w:hAnsi="Times New Roman"/>
                <w:kern w:val="0"/>
                <w:sz w:val="18"/>
                <w:szCs w:val="18"/>
              </w:rPr>
              <w:t>1</w:t>
            </w:r>
            <w:r>
              <w:rPr>
                <w:rFonts w:hint="eastAsia" w:ascii="Times New Roman" w:hAnsi="Times New Roman"/>
                <w:kern w:val="0"/>
                <w:sz w:val="18"/>
                <w:szCs w:val="18"/>
              </w:rPr>
              <w:t>.</w:t>
            </w:r>
            <w:r>
              <w:rPr>
                <w:rFonts w:ascii="Times New Roman" w:hAnsi="Times New Roman"/>
                <w:kern w:val="0"/>
                <w:sz w:val="18"/>
                <w:szCs w:val="18"/>
              </w:rPr>
              <w:t>数据正负号的物理意义，垂直位移向下为负，向上为正。</w:t>
            </w:r>
          </w:p>
          <w:p>
            <w:pPr>
              <w:widowControl/>
              <w:ind w:firstLine="360" w:firstLineChars="200"/>
              <w:rPr>
                <w:rFonts w:ascii="Times New Roman" w:hAnsi="Times New Roman"/>
                <w:kern w:val="0"/>
                <w:sz w:val="18"/>
                <w:szCs w:val="18"/>
              </w:rPr>
            </w:pPr>
            <w:r>
              <w:rPr>
                <w:rFonts w:ascii="Times New Roman" w:hAnsi="Times New Roman"/>
                <w:kern w:val="0"/>
                <w:sz w:val="18"/>
                <w:szCs w:val="18"/>
              </w:rPr>
              <w:t>2</w:t>
            </w:r>
            <w:r>
              <w:rPr>
                <w:rFonts w:hint="eastAsia" w:ascii="Times New Roman" w:hAnsi="Times New Roman"/>
                <w:kern w:val="0"/>
                <w:sz w:val="18"/>
                <w:szCs w:val="18"/>
              </w:rPr>
              <w:t>.</w:t>
            </w:r>
            <w:r>
              <w:rPr>
                <w:rFonts w:ascii="Times New Roman" w:hAnsi="Times New Roman"/>
                <w:kern w:val="0"/>
                <w:sz w:val="18"/>
                <w:szCs w:val="18"/>
              </w:rPr>
              <w:t>监测点损坏情况</w:t>
            </w:r>
          </w:p>
          <w:p>
            <w:pPr>
              <w:widowControl/>
              <w:ind w:firstLine="360" w:firstLineChars="200"/>
              <w:rPr>
                <w:rFonts w:ascii="Times New Roman" w:hAnsi="Times New Roman"/>
                <w:kern w:val="0"/>
                <w:sz w:val="18"/>
                <w:szCs w:val="18"/>
              </w:rPr>
            </w:pPr>
            <w:r>
              <w:rPr>
                <w:rFonts w:ascii="Times New Roman" w:hAnsi="Times New Roman"/>
                <w:kern w:val="0"/>
                <w:sz w:val="18"/>
                <w:szCs w:val="18"/>
              </w:rPr>
              <w:t>3</w:t>
            </w:r>
            <w:r>
              <w:rPr>
                <w:rFonts w:hint="eastAsia" w:ascii="Times New Roman" w:hAnsi="Times New Roman"/>
                <w:kern w:val="0"/>
                <w:sz w:val="18"/>
                <w:szCs w:val="18"/>
              </w:rPr>
              <w:t>.</w:t>
            </w:r>
            <w:r>
              <w:rPr>
                <w:rFonts w:ascii="Times New Roman" w:hAnsi="Times New Roman"/>
                <w:kern w:val="0"/>
                <w:sz w:val="18"/>
                <w:szCs w:val="18"/>
              </w:rPr>
              <w:t>备注中注明监测点数据是否异常</w:t>
            </w:r>
          </w:p>
        </w:tc>
        <w:tc>
          <w:tcPr>
            <w:tcW w:w="2419" w:type="pct"/>
            <w:gridSpan w:val="7"/>
            <w:vMerge w:val="restart"/>
          </w:tcPr>
          <w:p>
            <w:pPr>
              <w:widowControl/>
              <w:rPr>
                <w:rFonts w:ascii="Times New Roman" w:hAnsi="Times New Roman"/>
                <w:kern w:val="0"/>
                <w:sz w:val="18"/>
                <w:szCs w:val="18"/>
              </w:rPr>
            </w:pPr>
            <w:r>
              <w:rPr>
                <w:rFonts w:ascii="Times New Roman" w:hAnsi="Times New Roman"/>
                <w:kern w:val="0"/>
                <w:sz w:val="18"/>
                <w:szCs w:val="18"/>
              </w:rPr>
              <w:t>监测点布置示意图</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8" w:hRule="atLeast"/>
          <w:jc w:val="center"/>
        </w:trPr>
        <w:tc>
          <w:tcPr>
            <w:tcW w:w="235" w:type="pct"/>
            <w:vAlign w:val="center"/>
          </w:tcPr>
          <w:p>
            <w:pPr>
              <w:widowControl/>
              <w:jc w:val="center"/>
              <w:rPr>
                <w:rFonts w:ascii="Times New Roman" w:hAnsi="Times New Roman"/>
                <w:kern w:val="0"/>
                <w:sz w:val="18"/>
                <w:szCs w:val="18"/>
              </w:rPr>
            </w:pPr>
            <w:r>
              <w:rPr>
                <w:rFonts w:ascii="Times New Roman" w:hAnsi="Times New Roman"/>
                <w:kern w:val="0"/>
                <w:sz w:val="18"/>
                <w:szCs w:val="18"/>
              </w:rPr>
              <w:t>工况</w:t>
            </w:r>
          </w:p>
        </w:tc>
        <w:tc>
          <w:tcPr>
            <w:tcW w:w="2347" w:type="pct"/>
            <w:gridSpan w:val="6"/>
            <w:vAlign w:val="center"/>
          </w:tcPr>
          <w:p>
            <w:pPr>
              <w:widowControl/>
              <w:jc w:val="center"/>
              <w:rPr>
                <w:rFonts w:ascii="Times New Roman" w:hAnsi="Times New Roman"/>
                <w:kern w:val="0"/>
                <w:sz w:val="18"/>
                <w:szCs w:val="18"/>
              </w:rPr>
            </w:pPr>
          </w:p>
        </w:tc>
        <w:tc>
          <w:tcPr>
            <w:tcW w:w="2419" w:type="pct"/>
            <w:gridSpan w:val="7"/>
            <w:vMerge w:val="continue"/>
            <w:vAlign w:val="center"/>
          </w:tcPr>
          <w:p>
            <w:pPr>
              <w:widowControl/>
              <w:jc w:val="center"/>
              <w:rPr>
                <w:rFonts w:ascii="Times New Roman" w:hAnsi="Times New Roman"/>
                <w:kern w:val="0"/>
                <w:sz w:val="18"/>
                <w:szCs w:val="18"/>
              </w:rPr>
            </w:pPr>
          </w:p>
        </w:tc>
      </w:tr>
    </w:tbl>
    <w:p>
      <w:pPr>
        <w:jc w:val="left"/>
        <w:rPr>
          <w:rFonts w:ascii="Times New Roman" w:hAnsi="Times New Roman"/>
          <w:sz w:val="18"/>
          <w:szCs w:val="18"/>
        </w:rPr>
      </w:pPr>
    </w:p>
    <w:p>
      <w:pPr>
        <w:tabs>
          <w:tab w:val="center" w:pos="4201"/>
          <w:tab w:val="right" w:leader="dot" w:pos="9298"/>
        </w:tabs>
        <w:autoSpaceDE w:val="0"/>
        <w:autoSpaceDN w:val="0"/>
        <w:spacing w:line="360" w:lineRule="auto"/>
        <w:jc w:val="left"/>
        <w:rPr>
          <w:rFonts w:ascii="宋体" w:hAnsi="Times New Roman"/>
          <w:kern w:val="0"/>
          <w:szCs w:val="21"/>
        </w:rPr>
      </w:pPr>
      <w:r>
        <w:rPr>
          <w:rFonts w:ascii="Times New Roman" w:hAnsi="Times New Roman"/>
          <w:sz w:val="18"/>
          <w:szCs w:val="18"/>
        </w:rPr>
        <w:t>监测负责人：</w:t>
      </w:r>
      <w:r>
        <w:rPr>
          <w:rFonts w:ascii="Times New Roman" w:hAnsi="Times New Roman"/>
          <w:sz w:val="18"/>
          <w:szCs w:val="18"/>
          <w:u w:val="single"/>
        </w:rPr>
        <w:t xml:space="preserve">           </w:t>
      </w:r>
      <w:r>
        <w:rPr>
          <w:rFonts w:ascii="Times New Roman" w:hAnsi="Times New Roman"/>
          <w:sz w:val="18"/>
          <w:szCs w:val="18"/>
        </w:rPr>
        <w:t xml:space="preserve">                                  </w:t>
      </w:r>
      <w:r>
        <w:rPr>
          <w:rFonts w:hint="eastAsia" w:ascii="Times New Roman" w:hAnsi="Times New Roman"/>
          <w:sz w:val="18"/>
          <w:szCs w:val="18"/>
        </w:rPr>
        <w:t xml:space="preserve">       </w:t>
      </w:r>
      <w:r>
        <w:rPr>
          <w:rFonts w:ascii="Times New Roman" w:hAnsi="Times New Roman"/>
          <w:sz w:val="18"/>
          <w:szCs w:val="18"/>
        </w:rPr>
        <w:t xml:space="preserve">  监测单位：</w:t>
      </w:r>
      <w:r>
        <w:rPr>
          <w:rFonts w:ascii="Times New Roman" w:hAnsi="Times New Roman"/>
          <w:sz w:val="18"/>
          <w:szCs w:val="18"/>
          <w:u w:val="single"/>
        </w:rPr>
        <w:t xml:space="preserve">                              </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6838" w:h="11906" w:orient="landscape"/>
          <w:pgMar w:top="1418" w:right="1134" w:bottom="1134" w:left="1418" w:header="851" w:footer="992" w:gutter="0"/>
          <w:cols w:space="425" w:num="1"/>
          <w:docGrid w:linePitch="312" w:charSpace="0"/>
        </w:sectPr>
      </w:pPr>
    </w:p>
    <w:p>
      <w:pPr>
        <w:wordWrap w:val="0"/>
        <w:spacing w:before="120" w:beforeLines="50" w:after="120" w:afterLines="50"/>
        <w:jc w:val="right"/>
        <w:rPr>
          <w:rFonts w:ascii="Times New Roman" w:hAnsi="Times New Roman" w:eastAsia="黑体"/>
          <w:b/>
          <w:szCs w:val="21"/>
        </w:rPr>
      </w:pPr>
      <w:r>
        <w:rPr>
          <w:rFonts w:ascii="Times New Roman" w:hAnsi="Times New Roman" w:eastAsia="黑体"/>
          <w:szCs w:val="21"/>
        </w:rPr>
        <w:t>表</w:t>
      </w:r>
      <w:r>
        <w:rPr>
          <w:rFonts w:hint="eastAsia" w:ascii="Times New Roman" w:hAnsi="Times New Roman" w:eastAsia="黑体"/>
          <w:szCs w:val="21"/>
        </w:rPr>
        <w:t>J</w:t>
      </w:r>
      <w:r>
        <w:rPr>
          <w:rFonts w:ascii="Times New Roman" w:hAnsi="Times New Roman" w:eastAsia="黑体"/>
          <w:szCs w:val="21"/>
        </w:rPr>
        <w:t>-2</w:t>
      </w:r>
      <w:r>
        <w:rPr>
          <w:rFonts w:hint="eastAsia" w:ascii="黑体" w:hAnsi="黑体" w:eastAsia="黑体"/>
          <w:szCs w:val="21"/>
        </w:rPr>
        <w:t xml:space="preserve">  </w:t>
      </w:r>
      <w:r>
        <w:rPr>
          <w:rFonts w:ascii="Times New Roman" w:hAnsi="Times New Roman" w:eastAsia="黑体"/>
          <w:szCs w:val="21"/>
        </w:rPr>
        <w:t xml:space="preserve">裂缝统计表     </w:t>
      </w:r>
      <w:r>
        <w:rPr>
          <w:rFonts w:hint="eastAsia" w:ascii="Times New Roman" w:hAnsi="Times New Roman" w:eastAsia="黑体"/>
          <w:szCs w:val="21"/>
        </w:rPr>
        <w:t xml:space="preserve">     </w:t>
      </w:r>
      <w:r>
        <w:rPr>
          <w:rFonts w:ascii="Times New Roman" w:hAnsi="Times New Roman" w:eastAsia="黑体"/>
          <w:szCs w:val="21"/>
        </w:rPr>
        <w:t xml:space="preserve">         第  页  共   页</w:t>
      </w:r>
    </w:p>
    <w:p>
      <w:pPr>
        <w:jc w:val="right"/>
        <w:rPr>
          <w:rFonts w:ascii="Times New Roman" w:hAnsi="Times New Roman" w:eastAsia="黑体"/>
          <w:b/>
          <w:szCs w:val="21"/>
        </w:rPr>
      </w:pP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729"/>
        <w:gridCol w:w="838"/>
        <w:gridCol w:w="838"/>
        <w:gridCol w:w="838"/>
        <w:gridCol w:w="934"/>
        <w:gridCol w:w="1183"/>
        <w:gridCol w:w="934"/>
        <w:gridCol w:w="641"/>
        <w:gridCol w:w="674"/>
        <w:gridCol w:w="1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发现</w:t>
            </w:r>
          </w:p>
          <w:p>
            <w:pPr>
              <w:contextualSpacing/>
              <w:jc w:val="center"/>
              <w:rPr>
                <w:rFonts w:ascii="Times New Roman" w:hAnsi="Times New Roman"/>
                <w:kern w:val="0"/>
                <w:sz w:val="18"/>
                <w:szCs w:val="20"/>
              </w:rPr>
            </w:pPr>
            <w:r>
              <w:rPr>
                <w:rFonts w:ascii="Times New Roman" w:hAnsi="Times New Roman"/>
                <w:kern w:val="0"/>
                <w:sz w:val="18"/>
                <w:szCs w:val="20"/>
              </w:rPr>
              <w:t>日期</w:t>
            </w:r>
          </w:p>
        </w:tc>
        <w:tc>
          <w:tcPr>
            <w:tcW w:w="381" w:type="pct"/>
            <w:vMerge w:val="restart"/>
            <w:vAlign w:val="center"/>
          </w:tcPr>
          <w:p>
            <w:pPr>
              <w:contextualSpacing/>
              <w:jc w:val="center"/>
              <w:rPr>
                <w:rFonts w:ascii="Times New Roman" w:hAnsi="Times New Roman"/>
                <w:kern w:val="0"/>
                <w:sz w:val="18"/>
                <w:szCs w:val="20"/>
              </w:rPr>
            </w:pPr>
            <w:r>
              <w:rPr>
                <w:rFonts w:ascii="Times New Roman" w:hAnsi="Times New Roman"/>
                <w:kern w:val="0"/>
                <w:sz w:val="18"/>
                <w:szCs w:val="20"/>
              </w:rPr>
              <w:t>编号</w:t>
            </w:r>
          </w:p>
        </w:tc>
        <w:tc>
          <w:tcPr>
            <w:tcW w:w="876" w:type="pct"/>
            <w:gridSpan w:val="2"/>
            <w:vAlign w:val="center"/>
          </w:tcPr>
          <w:p>
            <w:pPr>
              <w:contextualSpacing/>
              <w:jc w:val="center"/>
              <w:rPr>
                <w:rFonts w:ascii="Times New Roman" w:hAnsi="Times New Roman"/>
                <w:kern w:val="0"/>
                <w:sz w:val="18"/>
                <w:szCs w:val="20"/>
              </w:rPr>
            </w:pPr>
            <w:r>
              <w:rPr>
                <w:rFonts w:ascii="Times New Roman" w:hAnsi="Times New Roman"/>
                <w:kern w:val="0"/>
                <w:sz w:val="18"/>
                <w:szCs w:val="20"/>
              </w:rPr>
              <w:t>位置</w:t>
            </w:r>
          </w:p>
        </w:tc>
        <w:tc>
          <w:tcPr>
            <w:tcW w:w="438" w:type="pct"/>
            <w:vMerge w:val="restart"/>
            <w:vAlign w:val="center"/>
          </w:tcPr>
          <w:p>
            <w:pPr>
              <w:contextualSpacing/>
              <w:jc w:val="center"/>
              <w:rPr>
                <w:rFonts w:ascii="Times New Roman" w:hAnsi="Times New Roman"/>
                <w:kern w:val="0"/>
                <w:sz w:val="18"/>
                <w:szCs w:val="20"/>
              </w:rPr>
            </w:pPr>
            <w:r>
              <w:rPr>
                <w:rFonts w:ascii="Times New Roman" w:hAnsi="Times New Roman"/>
                <w:kern w:val="0"/>
                <w:sz w:val="18"/>
                <w:szCs w:val="20"/>
              </w:rPr>
              <w:t>性质</w:t>
            </w:r>
          </w:p>
          <w:p>
            <w:pPr>
              <w:contextualSpacing/>
              <w:jc w:val="center"/>
              <w:rPr>
                <w:rFonts w:ascii="Times New Roman" w:hAnsi="Times New Roman"/>
                <w:kern w:val="0"/>
                <w:sz w:val="18"/>
                <w:szCs w:val="20"/>
              </w:rPr>
            </w:pPr>
            <w:r>
              <w:rPr>
                <w:rFonts w:ascii="Times New Roman" w:hAnsi="Times New Roman"/>
                <w:kern w:val="0"/>
                <w:sz w:val="18"/>
                <w:szCs w:val="20"/>
              </w:rPr>
              <w:t>类别</w:t>
            </w:r>
          </w:p>
        </w:tc>
        <w:tc>
          <w:tcPr>
            <w:tcW w:w="2830" w:type="pct"/>
            <w:gridSpan w:val="6"/>
            <w:vAlign w:val="center"/>
          </w:tcPr>
          <w:p>
            <w:pPr>
              <w:contextualSpacing/>
              <w:jc w:val="center"/>
              <w:rPr>
                <w:rFonts w:ascii="Times New Roman" w:hAnsi="Times New Roman"/>
                <w:kern w:val="0"/>
                <w:sz w:val="18"/>
                <w:szCs w:val="20"/>
              </w:rPr>
            </w:pPr>
            <w:r>
              <w:rPr>
                <w:rFonts w:ascii="Times New Roman" w:hAnsi="Times New Roman"/>
                <w:kern w:val="0"/>
                <w:sz w:val="18"/>
                <w:szCs w:val="20"/>
              </w:rPr>
              <w:t>裂缝描述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年-月-日</w:t>
            </w:r>
          </w:p>
        </w:tc>
        <w:tc>
          <w:tcPr>
            <w:tcW w:w="381" w:type="pct"/>
            <w:vMerge w:val="continue"/>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部位</w:t>
            </w:r>
          </w:p>
        </w:tc>
        <w:tc>
          <w:tcPr>
            <w:tcW w:w="438"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高程</w:t>
            </w:r>
          </w:p>
          <w:p>
            <w:pPr>
              <w:contextualSpacing/>
              <w:jc w:val="center"/>
              <w:rPr>
                <w:rFonts w:ascii="Times New Roman" w:hAnsi="Times New Roman"/>
                <w:kern w:val="0"/>
                <w:sz w:val="18"/>
                <w:szCs w:val="20"/>
              </w:rPr>
            </w:pPr>
            <w:r>
              <w:rPr>
                <w:rFonts w:ascii="Times New Roman" w:hAnsi="Times New Roman"/>
                <w:kern w:val="0"/>
                <w:sz w:val="18"/>
                <w:szCs w:val="20"/>
              </w:rPr>
              <w:t>m</w:t>
            </w:r>
          </w:p>
        </w:tc>
        <w:tc>
          <w:tcPr>
            <w:tcW w:w="438" w:type="pct"/>
            <w:vMerge w:val="continue"/>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长</w:t>
            </w:r>
          </w:p>
          <w:p>
            <w:pPr>
              <w:contextualSpacing/>
              <w:jc w:val="center"/>
              <w:rPr>
                <w:rFonts w:ascii="Times New Roman" w:hAnsi="Times New Roman"/>
                <w:kern w:val="0"/>
                <w:sz w:val="18"/>
                <w:szCs w:val="20"/>
              </w:rPr>
            </w:pPr>
            <w:r>
              <w:rPr>
                <w:rFonts w:ascii="Times New Roman" w:hAnsi="Times New Roman"/>
                <w:kern w:val="0"/>
                <w:sz w:val="18"/>
                <w:szCs w:val="20"/>
              </w:rPr>
              <w:t>cm</w:t>
            </w:r>
          </w:p>
        </w:tc>
        <w:tc>
          <w:tcPr>
            <w:tcW w:w="618"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张开</w:t>
            </w:r>
          </w:p>
          <w:p>
            <w:pPr>
              <w:contextualSpacing/>
              <w:jc w:val="center"/>
              <w:rPr>
                <w:rFonts w:ascii="Times New Roman" w:hAnsi="Times New Roman"/>
                <w:kern w:val="0"/>
                <w:sz w:val="18"/>
                <w:szCs w:val="20"/>
              </w:rPr>
            </w:pPr>
            <w:r>
              <w:rPr>
                <w:rFonts w:ascii="Times New Roman" w:hAnsi="Times New Roman"/>
                <w:kern w:val="0"/>
                <w:sz w:val="18"/>
                <w:szCs w:val="20"/>
              </w:rPr>
              <w:t>cm</w:t>
            </w:r>
          </w:p>
        </w:tc>
        <w:tc>
          <w:tcPr>
            <w:tcW w:w="488"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深</w:t>
            </w:r>
          </w:p>
          <w:p>
            <w:pPr>
              <w:contextualSpacing/>
              <w:jc w:val="center"/>
              <w:rPr>
                <w:rFonts w:ascii="Times New Roman" w:hAnsi="Times New Roman"/>
                <w:kern w:val="0"/>
                <w:sz w:val="18"/>
                <w:szCs w:val="20"/>
              </w:rPr>
            </w:pPr>
            <w:r>
              <w:rPr>
                <w:rFonts w:ascii="Times New Roman" w:hAnsi="Times New Roman"/>
                <w:kern w:val="0"/>
                <w:sz w:val="18"/>
                <w:szCs w:val="20"/>
              </w:rPr>
              <w:t>cm</w:t>
            </w:r>
          </w:p>
        </w:tc>
        <w:tc>
          <w:tcPr>
            <w:tcW w:w="335"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走向</w:t>
            </w:r>
          </w:p>
          <w:p>
            <w:pPr>
              <w:contextualSpacing/>
              <w:jc w:val="center"/>
              <w:rPr>
                <w:rFonts w:ascii="Times New Roman" w:hAnsi="Times New Roman"/>
                <w:kern w:val="0"/>
                <w:sz w:val="18"/>
                <w:szCs w:val="20"/>
              </w:rPr>
            </w:pPr>
            <w:r>
              <w:rPr>
                <w:rFonts w:ascii="Times New Roman" w:hAnsi="Times New Roman"/>
                <w:kern w:val="0"/>
                <w:sz w:val="18"/>
                <w:szCs w:val="18"/>
              </w:rPr>
              <w:t>°</w:t>
            </w:r>
          </w:p>
        </w:tc>
        <w:tc>
          <w:tcPr>
            <w:tcW w:w="352"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倾角</w:t>
            </w:r>
          </w:p>
          <w:p>
            <w:pPr>
              <w:contextualSpacing/>
              <w:jc w:val="center"/>
              <w:rPr>
                <w:rFonts w:ascii="Times New Roman" w:hAnsi="Times New Roman"/>
                <w:kern w:val="0"/>
                <w:sz w:val="18"/>
                <w:szCs w:val="20"/>
              </w:rPr>
            </w:pPr>
            <w:r>
              <w:rPr>
                <w:rFonts w:ascii="Times New Roman" w:hAnsi="Times New Roman"/>
                <w:kern w:val="0"/>
                <w:sz w:val="18"/>
                <w:szCs w:val="18"/>
              </w:rPr>
              <w:t>°</w:t>
            </w:r>
          </w:p>
        </w:tc>
        <w:tc>
          <w:tcPr>
            <w:tcW w:w="549" w:type="pct"/>
            <w:vAlign w:val="center"/>
          </w:tcPr>
          <w:p>
            <w:pPr>
              <w:contextualSpacing/>
              <w:jc w:val="center"/>
              <w:rPr>
                <w:rFonts w:ascii="Times New Roman" w:hAnsi="Times New Roman"/>
                <w:kern w:val="0"/>
                <w:sz w:val="18"/>
                <w:szCs w:val="20"/>
              </w:rPr>
            </w:pPr>
            <w:r>
              <w:rPr>
                <w:rFonts w:ascii="Times New Roman" w:hAnsi="Times New Roman"/>
                <w:kern w:val="0"/>
                <w:sz w:val="18"/>
                <w:szCs w:val="20"/>
              </w:rPr>
              <w:t>垂直错距cm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5" w:type="pct"/>
            <w:vAlign w:val="center"/>
          </w:tcPr>
          <w:p>
            <w:pPr>
              <w:contextualSpacing/>
              <w:jc w:val="center"/>
              <w:rPr>
                <w:rFonts w:ascii="Times New Roman" w:hAnsi="Times New Roman"/>
                <w:kern w:val="0"/>
                <w:sz w:val="18"/>
                <w:szCs w:val="20"/>
              </w:rPr>
            </w:pPr>
          </w:p>
        </w:tc>
        <w:tc>
          <w:tcPr>
            <w:tcW w:w="381"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3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618" w:type="pct"/>
            <w:vAlign w:val="center"/>
          </w:tcPr>
          <w:p>
            <w:pPr>
              <w:contextualSpacing/>
              <w:jc w:val="center"/>
              <w:rPr>
                <w:rFonts w:ascii="Times New Roman" w:hAnsi="Times New Roman"/>
                <w:kern w:val="0"/>
                <w:sz w:val="18"/>
                <w:szCs w:val="20"/>
              </w:rPr>
            </w:pPr>
          </w:p>
        </w:tc>
        <w:tc>
          <w:tcPr>
            <w:tcW w:w="488" w:type="pct"/>
            <w:vAlign w:val="center"/>
          </w:tcPr>
          <w:p>
            <w:pPr>
              <w:contextualSpacing/>
              <w:jc w:val="center"/>
              <w:rPr>
                <w:rFonts w:ascii="Times New Roman" w:hAnsi="Times New Roman"/>
                <w:kern w:val="0"/>
                <w:sz w:val="18"/>
                <w:szCs w:val="20"/>
              </w:rPr>
            </w:pPr>
          </w:p>
        </w:tc>
        <w:tc>
          <w:tcPr>
            <w:tcW w:w="335" w:type="pct"/>
            <w:vAlign w:val="center"/>
          </w:tcPr>
          <w:p>
            <w:pPr>
              <w:contextualSpacing/>
              <w:jc w:val="center"/>
              <w:rPr>
                <w:rFonts w:ascii="Times New Roman" w:hAnsi="Times New Roman"/>
                <w:kern w:val="0"/>
                <w:sz w:val="18"/>
                <w:szCs w:val="20"/>
              </w:rPr>
            </w:pPr>
          </w:p>
        </w:tc>
        <w:tc>
          <w:tcPr>
            <w:tcW w:w="352" w:type="pct"/>
            <w:vAlign w:val="center"/>
          </w:tcPr>
          <w:p>
            <w:pPr>
              <w:contextualSpacing/>
              <w:jc w:val="center"/>
              <w:rPr>
                <w:rFonts w:ascii="Times New Roman" w:hAnsi="Times New Roman"/>
                <w:kern w:val="0"/>
                <w:sz w:val="18"/>
                <w:szCs w:val="20"/>
              </w:rPr>
            </w:pPr>
          </w:p>
        </w:tc>
        <w:tc>
          <w:tcPr>
            <w:tcW w:w="549" w:type="pct"/>
            <w:vAlign w:val="center"/>
          </w:tcPr>
          <w:p>
            <w:pPr>
              <w:contextualSpacing/>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3" w:hRule="atLeast"/>
          <w:jc w:val="center"/>
        </w:trPr>
        <w:tc>
          <w:tcPr>
            <w:tcW w:w="5000" w:type="pct"/>
            <w:gridSpan w:val="11"/>
          </w:tcPr>
          <w:p>
            <w:pPr>
              <w:contextualSpacing/>
              <w:rPr>
                <w:rFonts w:ascii="Times New Roman" w:hAnsi="Times New Roman"/>
                <w:kern w:val="0"/>
                <w:sz w:val="18"/>
                <w:szCs w:val="20"/>
              </w:rPr>
            </w:pPr>
            <w:r>
              <w:rPr>
                <w:rFonts w:ascii="Times New Roman" w:hAnsi="Times New Roman"/>
                <w:kern w:val="0"/>
                <w:sz w:val="18"/>
                <w:szCs w:val="20"/>
              </w:rPr>
              <w:t>裂缝分布示意：</w:t>
            </w:r>
          </w:p>
        </w:tc>
      </w:tr>
    </w:tbl>
    <w:p>
      <w:pPr>
        <w:jc w:val="left"/>
        <w:rPr>
          <w:rFonts w:ascii="Times New Roman" w:hAnsi="Times New Roman"/>
          <w:szCs w:val="24"/>
        </w:rPr>
      </w:pPr>
    </w:p>
    <w:p>
      <w:pPr>
        <w:jc w:val="left"/>
        <w:rPr>
          <w:rFonts w:ascii="Times New Roman" w:hAnsi="Times New Roman"/>
          <w:sz w:val="18"/>
          <w:szCs w:val="18"/>
          <w:u w:val="single"/>
        </w:rPr>
      </w:pPr>
      <w:r>
        <w:rPr>
          <w:rFonts w:ascii="Times New Roman" w:hAnsi="Times New Roman"/>
          <w:sz w:val="18"/>
          <w:szCs w:val="18"/>
        </w:rPr>
        <w:t>统</w:t>
      </w:r>
      <w:r>
        <w:rPr>
          <w:rFonts w:hint="eastAsia" w:ascii="Times New Roman" w:hAnsi="Times New Roman"/>
          <w:sz w:val="18"/>
          <w:szCs w:val="18"/>
        </w:rPr>
        <w:t xml:space="preserve">  </w:t>
      </w:r>
      <w:r>
        <w:rPr>
          <w:rFonts w:ascii="Times New Roman" w:hAnsi="Times New Roman"/>
          <w:sz w:val="18"/>
          <w:szCs w:val="18"/>
        </w:rPr>
        <w:t>计</w:t>
      </w:r>
      <w:r>
        <w:rPr>
          <w:rFonts w:hint="eastAsia" w:ascii="Times New Roman" w:hAnsi="Times New Roman"/>
          <w:sz w:val="18"/>
          <w:szCs w:val="18"/>
        </w:rPr>
        <w:t xml:space="preserve">  </w:t>
      </w:r>
      <w:r>
        <w:rPr>
          <w:rFonts w:ascii="Times New Roman" w:hAnsi="Times New Roman"/>
          <w:sz w:val="18"/>
          <w:szCs w:val="18"/>
        </w:rPr>
        <w:t>者：</w:t>
      </w:r>
      <w:r>
        <w:rPr>
          <w:rFonts w:ascii="Times New Roman" w:hAnsi="Times New Roman"/>
          <w:sz w:val="18"/>
          <w:szCs w:val="18"/>
          <w:u w:val="single"/>
        </w:rPr>
        <w:t xml:space="preserve">                 </w:t>
      </w:r>
      <w:r>
        <w:rPr>
          <w:rFonts w:ascii="Times New Roman" w:hAnsi="Times New Roman"/>
          <w:sz w:val="18"/>
          <w:szCs w:val="18"/>
        </w:rPr>
        <w:t xml:space="preserve">                   校</w:t>
      </w:r>
      <w:r>
        <w:rPr>
          <w:rFonts w:hint="eastAsia" w:ascii="Times New Roman" w:hAnsi="Times New Roman"/>
          <w:sz w:val="18"/>
          <w:szCs w:val="18"/>
        </w:rPr>
        <w:t xml:space="preserve"> </w:t>
      </w:r>
      <w:r>
        <w:rPr>
          <w:rFonts w:ascii="Times New Roman" w:hAnsi="Times New Roman"/>
          <w:sz w:val="18"/>
          <w:szCs w:val="18"/>
        </w:rPr>
        <w:t>核</w:t>
      </w:r>
      <w:r>
        <w:rPr>
          <w:rFonts w:hint="eastAsia" w:ascii="Times New Roman" w:hAnsi="Times New Roman"/>
          <w:sz w:val="18"/>
          <w:szCs w:val="18"/>
        </w:rPr>
        <w:t xml:space="preserve"> </w:t>
      </w:r>
      <w:r>
        <w:rPr>
          <w:rFonts w:ascii="Times New Roman" w:hAnsi="Times New Roman"/>
          <w:sz w:val="18"/>
          <w:szCs w:val="18"/>
        </w:rPr>
        <w:t>者：</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p>
    <w:p>
      <w:pPr>
        <w:jc w:val="left"/>
        <w:rPr>
          <w:rFonts w:ascii="Times New Roman" w:hAnsi="Times New Roman"/>
          <w:sz w:val="18"/>
          <w:szCs w:val="18"/>
        </w:rPr>
      </w:pPr>
    </w:p>
    <w:p>
      <w:pPr>
        <w:tabs>
          <w:tab w:val="center" w:pos="4201"/>
          <w:tab w:val="right" w:leader="dot" w:pos="9298"/>
        </w:tabs>
        <w:autoSpaceDE w:val="0"/>
        <w:autoSpaceDN w:val="0"/>
        <w:spacing w:line="360" w:lineRule="auto"/>
        <w:jc w:val="left"/>
        <w:rPr>
          <w:rFonts w:ascii="Times New Roman" w:hAnsi="Times New Roman"/>
          <w:szCs w:val="24"/>
          <w:u w:val="single"/>
        </w:rPr>
      </w:pPr>
      <w:r>
        <w:rPr>
          <w:rFonts w:ascii="Times New Roman" w:hAnsi="Times New Roman"/>
          <w:sz w:val="18"/>
          <w:szCs w:val="18"/>
        </w:rPr>
        <w:t>监测负责人：</w:t>
      </w:r>
      <w:r>
        <w:rPr>
          <w:rFonts w:ascii="Times New Roman" w:hAnsi="Times New Roman"/>
          <w:sz w:val="18"/>
          <w:szCs w:val="18"/>
          <w:u w:val="single"/>
        </w:rPr>
        <w:t xml:space="preserve">                 </w:t>
      </w:r>
      <w:r>
        <w:rPr>
          <w:rFonts w:ascii="Times New Roman" w:hAnsi="Times New Roman"/>
          <w:sz w:val="18"/>
          <w:szCs w:val="18"/>
        </w:rPr>
        <w:t xml:space="preserve">                   监测单位：</w:t>
      </w:r>
      <w:r>
        <w:rPr>
          <w:rFonts w:ascii="Times New Roman" w:hAnsi="Times New Roman"/>
          <w:sz w:val="18"/>
          <w:szCs w:val="18"/>
          <w:u w:val="single"/>
        </w:rPr>
        <w:t xml:space="preserve">                  </w:t>
      </w:r>
      <w:r>
        <w:rPr>
          <w:rFonts w:ascii="Times New Roman" w:hAnsi="Times New Roman"/>
          <w:szCs w:val="24"/>
          <w:u w:val="single"/>
        </w:rPr>
        <w:t xml:space="preserve"> </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wordWrap w:val="0"/>
        <w:spacing w:before="120" w:beforeLines="50" w:after="120" w:afterLines="50"/>
        <w:jc w:val="right"/>
        <w:rPr>
          <w:rFonts w:ascii="Times New Roman" w:hAnsi="Times New Roman" w:eastAsia="黑体"/>
          <w:szCs w:val="21"/>
        </w:rPr>
      </w:pPr>
      <w:r>
        <w:rPr>
          <w:rFonts w:ascii="Times New Roman" w:hAnsi="Times New Roman" w:eastAsia="黑体"/>
          <w:szCs w:val="21"/>
        </w:rPr>
        <w:t>表</w:t>
      </w:r>
      <w:r>
        <w:rPr>
          <w:rFonts w:hint="eastAsia" w:ascii="Times New Roman" w:hAnsi="Times New Roman" w:eastAsia="黑体"/>
          <w:szCs w:val="21"/>
        </w:rPr>
        <w:t>J</w:t>
      </w:r>
      <w:r>
        <w:rPr>
          <w:rFonts w:ascii="Times New Roman" w:hAnsi="Times New Roman" w:eastAsia="黑体"/>
          <w:szCs w:val="21"/>
        </w:rPr>
        <w:t>-3</w:t>
      </w:r>
      <w:r>
        <w:rPr>
          <w:rFonts w:hint="eastAsia" w:ascii="黑体" w:hAnsi="黑体" w:eastAsia="黑体"/>
          <w:szCs w:val="21"/>
        </w:rPr>
        <w:t xml:space="preserve">  </w:t>
      </w:r>
      <w:r>
        <w:rPr>
          <w:rFonts w:ascii="Times New Roman" w:hAnsi="Times New Roman" w:eastAsia="黑体"/>
          <w:szCs w:val="21"/>
        </w:rPr>
        <w:t xml:space="preserve">裂缝监测记录报表 </w:t>
      </w:r>
      <w:r>
        <w:rPr>
          <w:rFonts w:hint="eastAsia" w:ascii="Times New Roman" w:hAnsi="Times New Roman" w:eastAsia="黑体"/>
          <w:szCs w:val="21"/>
        </w:rPr>
        <w:t xml:space="preserve">                                </w:t>
      </w:r>
      <w:r>
        <w:rPr>
          <w:rFonts w:ascii="Times New Roman" w:hAnsi="Times New Roman" w:eastAsia="黑体"/>
          <w:szCs w:val="21"/>
        </w:rPr>
        <w:t xml:space="preserve">        第  页  共   页</w:t>
      </w:r>
    </w:p>
    <w:p>
      <w:pPr>
        <w:spacing w:before="120" w:beforeLines="50" w:after="120" w:afterLines="50"/>
        <w:jc w:val="center"/>
        <w:rPr>
          <w:rFonts w:ascii="Times New Roman" w:hAnsi="Times New Roman" w:eastAsia="黑体"/>
          <w:szCs w:val="21"/>
        </w:rPr>
      </w:pPr>
      <w:r>
        <w:rPr>
          <w:rFonts w:ascii="Times New Roman" w:hAnsi="Times New Roman" w:eastAsia="黑体"/>
          <w:szCs w:val="21"/>
        </w:rPr>
        <w:t>第   期</w:t>
      </w:r>
    </w:p>
    <w:p>
      <w:pPr>
        <w:spacing w:line="360" w:lineRule="auto"/>
        <w:jc w:val="left"/>
        <w:rPr>
          <w:rFonts w:ascii="Times New Roman" w:hAnsi="Times New Roman"/>
          <w:sz w:val="18"/>
          <w:szCs w:val="18"/>
        </w:rPr>
      </w:pPr>
      <w:r>
        <w:rPr>
          <w:rFonts w:ascii="Times New Roman" w:hAnsi="Times New Roman"/>
          <w:sz w:val="18"/>
          <w:szCs w:val="18"/>
        </w:rPr>
        <w:t>日期：</w:t>
      </w:r>
      <w:r>
        <w:rPr>
          <w:rFonts w:ascii="Times New Roman" w:hAnsi="Times New Roman"/>
          <w:sz w:val="18"/>
          <w:szCs w:val="18"/>
          <w:u w:val="single"/>
        </w:rPr>
        <w:t xml:space="preserve">      </w:t>
      </w:r>
      <w:r>
        <w:rPr>
          <w:rFonts w:ascii="Times New Roman" w:hAnsi="Times New Roman"/>
          <w:sz w:val="18"/>
          <w:szCs w:val="18"/>
        </w:rPr>
        <w:t>年</w:t>
      </w:r>
      <w:r>
        <w:rPr>
          <w:rFonts w:ascii="Times New Roman" w:hAnsi="Times New Roman"/>
          <w:sz w:val="18"/>
          <w:szCs w:val="18"/>
          <w:u w:val="single"/>
        </w:rPr>
        <w:t xml:space="preserve">   </w:t>
      </w:r>
      <w:r>
        <w:rPr>
          <w:rFonts w:ascii="Times New Roman" w:hAnsi="Times New Roman"/>
          <w:sz w:val="18"/>
          <w:szCs w:val="18"/>
        </w:rPr>
        <w:t>月</w:t>
      </w:r>
      <w:r>
        <w:rPr>
          <w:rFonts w:ascii="Times New Roman" w:hAnsi="Times New Roman"/>
          <w:sz w:val="18"/>
          <w:szCs w:val="18"/>
          <w:u w:val="single"/>
        </w:rPr>
        <w:t xml:space="preserve">    </w:t>
      </w:r>
      <w:r>
        <w:rPr>
          <w:rFonts w:ascii="Times New Roman" w:hAnsi="Times New Roman"/>
          <w:sz w:val="18"/>
          <w:szCs w:val="18"/>
        </w:rPr>
        <w:t>日</w:t>
      </w:r>
      <w:r>
        <w:rPr>
          <w:rFonts w:ascii="Times New Roman" w:hAnsi="Times New Roman"/>
          <w:sz w:val="18"/>
          <w:szCs w:val="18"/>
          <w:u w:val="single"/>
        </w:rPr>
        <w:t xml:space="preserve">   </w:t>
      </w:r>
      <w:r>
        <w:rPr>
          <w:rFonts w:ascii="Times New Roman" w:hAnsi="Times New Roman"/>
          <w:sz w:val="18"/>
          <w:szCs w:val="18"/>
        </w:rPr>
        <w:t xml:space="preserve">时       </w:t>
      </w:r>
      <w:r>
        <w:rPr>
          <w:rFonts w:hint="eastAsia" w:ascii="Times New Roman" w:hAnsi="Times New Roman"/>
          <w:sz w:val="18"/>
          <w:szCs w:val="18"/>
        </w:rPr>
        <w:t xml:space="preserve">                                    </w:t>
      </w:r>
      <w:r>
        <w:rPr>
          <w:rFonts w:ascii="Times New Roman" w:hAnsi="Times New Roman"/>
          <w:sz w:val="18"/>
          <w:szCs w:val="18"/>
        </w:rPr>
        <w:t>报表编号：</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r>
        <w:rPr>
          <w:rFonts w:ascii="Times New Roman" w:hAnsi="Times New Roman"/>
          <w:sz w:val="18"/>
          <w:szCs w:val="18"/>
        </w:rPr>
        <w:t xml:space="preserve">     </w:t>
      </w:r>
      <w:r>
        <w:rPr>
          <w:rFonts w:hint="eastAsia" w:ascii="Times New Roman" w:hAnsi="Times New Roman"/>
          <w:sz w:val="18"/>
          <w:szCs w:val="18"/>
        </w:rPr>
        <w:t xml:space="preserve">                                   </w:t>
      </w:r>
      <w:r>
        <w:rPr>
          <w:rFonts w:ascii="Times New Roman" w:hAnsi="Times New Roman"/>
          <w:sz w:val="18"/>
          <w:szCs w:val="18"/>
        </w:rPr>
        <w:t>天气：</w:t>
      </w:r>
      <w:r>
        <w:rPr>
          <w:rFonts w:hint="eastAsia" w:ascii="Times New Roman" w:hAnsi="Times New Roman"/>
          <w:sz w:val="18"/>
          <w:szCs w:val="18"/>
        </w:rPr>
        <w:t xml:space="preserve">        </w:t>
      </w:r>
    </w:p>
    <w:p>
      <w:pPr>
        <w:spacing w:line="360" w:lineRule="auto"/>
        <w:jc w:val="left"/>
        <w:rPr>
          <w:rFonts w:ascii="Times New Roman" w:hAnsi="Times New Roman" w:eastAsia="黑体"/>
          <w:b/>
          <w:sz w:val="18"/>
          <w:szCs w:val="18"/>
        </w:rPr>
      </w:pPr>
      <w:r>
        <w:rPr>
          <w:rFonts w:ascii="Times New Roman" w:hAnsi="Times New Roman"/>
          <w:sz w:val="18"/>
          <w:szCs w:val="18"/>
        </w:rPr>
        <w:t>观测：</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r>
        <w:rPr>
          <w:rFonts w:ascii="Times New Roman" w:hAnsi="Times New Roman"/>
          <w:sz w:val="18"/>
          <w:szCs w:val="18"/>
        </w:rPr>
        <w:t xml:space="preserve">        </w:t>
      </w:r>
      <w:r>
        <w:rPr>
          <w:rFonts w:hint="eastAsia" w:ascii="Times New Roman" w:hAnsi="Times New Roman"/>
          <w:sz w:val="18"/>
          <w:szCs w:val="18"/>
        </w:rPr>
        <w:t xml:space="preserve">                                   </w:t>
      </w:r>
      <w:r>
        <w:rPr>
          <w:rFonts w:ascii="Times New Roman" w:hAnsi="Times New Roman"/>
          <w:sz w:val="18"/>
          <w:szCs w:val="18"/>
        </w:rPr>
        <w:t xml:space="preserve"> 计</w:t>
      </w:r>
      <w:r>
        <w:rPr>
          <w:rFonts w:hint="eastAsia" w:ascii="Times New Roman" w:hAnsi="Times New Roman"/>
          <w:sz w:val="18"/>
          <w:szCs w:val="18"/>
        </w:rPr>
        <w:t xml:space="preserve">    </w:t>
      </w:r>
      <w:r>
        <w:rPr>
          <w:rFonts w:ascii="Times New Roman" w:hAnsi="Times New Roman"/>
          <w:sz w:val="18"/>
          <w:szCs w:val="18"/>
        </w:rPr>
        <w:t>算：</w:t>
      </w:r>
      <w:r>
        <w:rPr>
          <w:rFonts w:ascii="Times New Roman" w:hAnsi="Times New Roman"/>
          <w:sz w:val="18"/>
          <w:szCs w:val="18"/>
          <w:u w:val="single"/>
        </w:rPr>
        <w:t xml:space="preserve">                </w:t>
      </w:r>
      <w:r>
        <w:rPr>
          <w:rFonts w:ascii="Times New Roman" w:hAnsi="Times New Roman"/>
          <w:sz w:val="18"/>
          <w:szCs w:val="18"/>
        </w:rPr>
        <w:t xml:space="preserve">     </w:t>
      </w:r>
      <w:r>
        <w:rPr>
          <w:rFonts w:hint="eastAsia" w:ascii="Times New Roman" w:hAnsi="Times New Roman"/>
          <w:sz w:val="18"/>
          <w:szCs w:val="18"/>
        </w:rPr>
        <w:t xml:space="preserve">                                   </w:t>
      </w:r>
      <w:r>
        <w:rPr>
          <w:rFonts w:ascii="Times New Roman" w:hAnsi="Times New Roman"/>
          <w:sz w:val="18"/>
          <w:szCs w:val="18"/>
        </w:rPr>
        <w:t>校核：</w:t>
      </w:r>
      <w:r>
        <w:rPr>
          <w:rFonts w:hint="eastAsia" w:ascii="Times New Roman" w:hAnsi="Times New Roman"/>
          <w:sz w:val="18"/>
          <w:szCs w:val="18"/>
        </w:rPr>
        <w:t xml:space="preserve">        </w:t>
      </w:r>
    </w:p>
    <w:p>
      <w:pPr>
        <w:jc w:val="right"/>
        <w:rPr>
          <w:rFonts w:ascii="Times New Roman" w:hAnsi="Times New Roman" w:eastAsia="黑体"/>
          <w:b/>
          <w:szCs w:val="21"/>
        </w:rPr>
      </w:pP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38"/>
        <w:gridCol w:w="1142"/>
        <w:gridCol w:w="742"/>
        <w:gridCol w:w="742"/>
        <w:gridCol w:w="1142"/>
        <w:gridCol w:w="1016"/>
        <w:gridCol w:w="888"/>
        <w:gridCol w:w="719"/>
        <w:gridCol w:w="931"/>
        <w:gridCol w:w="1016"/>
        <w:gridCol w:w="868"/>
        <w:gridCol w:w="825"/>
        <w:gridCol w:w="868"/>
        <w:gridCol w:w="1059"/>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vMerge w:val="restar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kern w:val="0"/>
                <w:sz w:val="18"/>
                <w:szCs w:val="18"/>
              </w:rPr>
              <w:t>裂缝监测点编号</w:t>
            </w:r>
          </w:p>
        </w:tc>
        <w:tc>
          <w:tcPr>
            <w:tcW w:w="399" w:type="pct"/>
            <w:vMerge w:val="restar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kern w:val="0"/>
                <w:sz w:val="18"/>
                <w:szCs w:val="18"/>
              </w:rPr>
              <w:t>裂缝性质</w:t>
            </w:r>
          </w:p>
        </w:tc>
        <w:tc>
          <w:tcPr>
            <w:tcW w:w="1272" w:type="pct"/>
            <w:gridSpan w:val="4"/>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kern w:val="0"/>
                <w:sz w:val="18"/>
                <w:szCs w:val="18"/>
              </w:rPr>
              <w:t>本次变化</w:t>
            </w:r>
          </w:p>
        </w:tc>
        <w:tc>
          <w:tcPr>
            <w:tcW w:w="1241" w:type="pct"/>
            <w:gridSpan w:val="4"/>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kern w:val="0"/>
                <w:sz w:val="18"/>
                <w:szCs w:val="18"/>
              </w:rPr>
              <w:t>累积变化</w:t>
            </w:r>
          </w:p>
        </w:tc>
        <w:tc>
          <w:tcPr>
            <w:tcW w:w="1264" w:type="pct"/>
            <w:gridSpan w:val="4"/>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kern w:val="0"/>
                <w:sz w:val="18"/>
                <w:szCs w:val="18"/>
              </w:rPr>
              <w:t>变化速率</w:t>
            </w:r>
          </w:p>
        </w:tc>
        <w:tc>
          <w:tcPr>
            <w:tcW w:w="461" w:type="pct"/>
            <w:vMerge w:val="restart"/>
            <w:tcMar>
              <w:top w:w="15" w:type="dxa"/>
              <w:left w:w="15" w:type="dxa"/>
              <w:right w:w="15" w:type="dxa"/>
            </w:tcMar>
            <w:vAlign w:val="center"/>
          </w:tcPr>
          <w:p>
            <w:pPr>
              <w:widowControl/>
              <w:jc w:val="center"/>
              <w:textAlignment w:val="center"/>
              <w:rPr>
                <w:rFonts w:ascii="Times New Roman" w:hAnsi="Times New Roman"/>
                <w:sz w:val="22"/>
                <w:szCs w:val="24"/>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vMerge w:val="continue"/>
            <w:tcMar>
              <w:top w:w="15" w:type="dxa"/>
              <w:left w:w="15" w:type="dxa"/>
              <w:right w:w="15" w:type="dxa"/>
            </w:tcMar>
            <w:vAlign w:val="center"/>
          </w:tcPr>
          <w:p>
            <w:pPr>
              <w:jc w:val="center"/>
              <w:rPr>
                <w:rFonts w:ascii="Times New Roman" w:hAnsi="Times New Roman"/>
                <w:sz w:val="18"/>
                <w:szCs w:val="18"/>
              </w:rPr>
            </w:pPr>
          </w:p>
        </w:tc>
        <w:tc>
          <w:tcPr>
            <w:tcW w:w="399" w:type="pct"/>
            <w:vMerge w:val="continue"/>
            <w:tcMar>
              <w:top w:w="15" w:type="dxa"/>
              <w:left w:w="15" w:type="dxa"/>
              <w:right w:w="15" w:type="dxa"/>
            </w:tcMar>
            <w:vAlign w:val="center"/>
          </w:tcPr>
          <w:p>
            <w:pPr>
              <w:jc w:val="center"/>
              <w:rPr>
                <w:rFonts w:ascii="Times New Roman" w:hAnsi="Times New Roman"/>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张开度cm</w:t>
            </w: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长cm</w:t>
            </w:r>
          </w:p>
        </w:tc>
        <w:tc>
          <w:tcPr>
            <w:tcW w:w="399"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垂直错距</w:t>
            </w:r>
          </w:p>
          <w:p>
            <w:pPr>
              <w:widowControl/>
              <w:jc w:val="center"/>
              <w:textAlignment w:val="center"/>
              <w:rPr>
                <w:rFonts w:ascii="Times New Roman" w:hAnsi="Times New Roman"/>
                <w:sz w:val="18"/>
                <w:szCs w:val="18"/>
              </w:rPr>
            </w:pPr>
            <w:r>
              <w:rPr>
                <w:rFonts w:ascii="Times New Roman" w:hAnsi="Times New Roman"/>
                <w:sz w:val="18"/>
                <w:szCs w:val="18"/>
              </w:rPr>
              <w:t>cm</w:t>
            </w: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水平错距</w:t>
            </w:r>
          </w:p>
          <w:p>
            <w:pPr>
              <w:widowControl/>
              <w:jc w:val="center"/>
              <w:textAlignment w:val="center"/>
              <w:rPr>
                <w:rFonts w:ascii="Times New Roman" w:hAnsi="Times New Roman"/>
                <w:sz w:val="18"/>
                <w:szCs w:val="18"/>
              </w:rPr>
            </w:pPr>
            <w:r>
              <w:rPr>
                <w:rFonts w:ascii="Times New Roman" w:hAnsi="Times New Roman"/>
                <w:sz w:val="18"/>
                <w:szCs w:val="18"/>
              </w:rPr>
              <w:t>cm</w:t>
            </w:r>
          </w:p>
        </w:tc>
        <w:tc>
          <w:tcPr>
            <w:tcW w:w="310"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张开度</w:t>
            </w:r>
          </w:p>
          <w:p>
            <w:pPr>
              <w:widowControl/>
              <w:jc w:val="center"/>
              <w:textAlignment w:val="center"/>
              <w:rPr>
                <w:rFonts w:ascii="Times New Roman" w:hAnsi="Times New Roman"/>
                <w:sz w:val="18"/>
                <w:szCs w:val="18"/>
              </w:rPr>
            </w:pPr>
            <w:r>
              <w:rPr>
                <w:rFonts w:ascii="Times New Roman" w:hAnsi="Times New Roman"/>
                <w:sz w:val="18"/>
                <w:szCs w:val="18"/>
              </w:rPr>
              <w:t>cm</w:t>
            </w:r>
          </w:p>
        </w:tc>
        <w:tc>
          <w:tcPr>
            <w:tcW w:w="251"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长度</w:t>
            </w:r>
          </w:p>
          <w:p>
            <w:pPr>
              <w:widowControl/>
              <w:jc w:val="center"/>
              <w:textAlignment w:val="center"/>
              <w:rPr>
                <w:rFonts w:ascii="Times New Roman" w:hAnsi="Times New Roman"/>
                <w:sz w:val="18"/>
                <w:szCs w:val="18"/>
              </w:rPr>
            </w:pPr>
            <w:r>
              <w:rPr>
                <w:rFonts w:ascii="Times New Roman" w:hAnsi="Times New Roman"/>
                <w:sz w:val="18"/>
                <w:szCs w:val="18"/>
              </w:rPr>
              <w:t>cm</w:t>
            </w:r>
          </w:p>
        </w:tc>
        <w:tc>
          <w:tcPr>
            <w:tcW w:w="325"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垂直错距</w:t>
            </w:r>
          </w:p>
          <w:p>
            <w:pPr>
              <w:widowControl/>
              <w:jc w:val="center"/>
              <w:textAlignment w:val="center"/>
              <w:rPr>
                <w:rFonts w:ascii="Times New Roman" w:hAnsi="Times New Roman"/>
                <w:sz w:val="18"/>
                <w:szCs w:val="18"/>
              </w:rPr>
            </w:pPr>
            <w:r>
              <w:rPr>
                <w:rFonts w:ascii="Times New Roman" w:hAnsi="Times New Roman"/>
                <w:sz w:val="18"/>
                <w:szCs w:val="18"/>
              </w:rPr>
              <w:t>cm</w:t>
            </w: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水平错距</w:t>
            </w:r>
          </w:p>
          <w:p>
            <w:pPr>
              <w:widowControl/>
              <w:jc w:val="center"/>
              <w:textAlignment w:val="center"/>
              <w:rPr>
                <w:rFonts w:ascii="Times New Roman" w:hAnsi="Times New Roman"/>
                <w:sz w:val="18"/>
                <w:szCs w:val="18"/>
              </w:rPr>
            </w:pPr>
            <w:r>
              <w:rPr>
                <w:rFonts w:ascii="Times New Roman" w:hAnsi="Times New Roman"/>
                <w:sz w:val="18"/>
                <w:szCs w:val="18"/>
              </w:rPr>
              <w:t>cm</w:t>
            </w: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张开度</w:t>
            </w:r>
          </w:p>
          <w:p>
            <w:pPr>
              <w:widowControl/>
              <w:jc w:val="center"/>
              <w:textAlignment w:val="center"/>
              <w:rPr>
                <w:rFonts w:ascii="Times New Roman" w:hAnsi="Times New Roman"/>
                <w:sz w:val="18"/>
                <w:szCs w:val="18"/>
              </w:rPr>
            </w:pPr>
            <w:r>
              <w:rPr>
                <w:rFonts w:ascii="Times New Roman" w:hAnsi="Times New Roman"/>
                <w:sz w:val="18"/>
                <w:szCs w:val="18"/>
              </w:rPr>
              <w:t>cm/d</w:t>
            </w:r>
          </w:p>
        </w:tc>
        <w:tc>
          <w:tcPr>
            <w:tcW w:w="288"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长度</w:t>
            </w:r>
          </w:p>
          <w:p>
            <w:pPr>
              <w:widowControl/>
              <w:jc w:val="center"/>
              <w:textAlignment w:val="center"/>
              <w:rPr>
                <w:rFonts w:ascii="Times New Roman" w:hAnsi="Times New Roman"/>
                <w:sz w:val="18"/>
                <w:szCs w:val="18"/>
              </w:rPr>
            </w:pPr>
            <w:r>
              <w:rPr>
                <w:rFonts w:ascii="Times New Roman" w:hAnsi="Times New Roman"/>
                <w:sz w:val="18"/>
                <w:szCs w:val="18"/>
              </w:rPr>
              <w:t>cm/d</w:t>
            </w: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垂直错距</w:t>
            </w:r>
          </w:p>
          <w:p>
            <w:pPr>
              <w:widowControl/>
              <w:jc w:val="center"/>
              <w:textAlignment w:val="center"/>
              <w:rPr>
                <w:rFonts w:ascii="Times New Roman" w:hAnsi="Times New Roman"/>
                <w:sz w:val="18"/>
                <w:szCs w:val="18"/>
              </w:rPr>
            </w:pPr>
            <w:r>
              <w:rPr>
                <w:rFonts w:ascii="Times New Roman" w:hAnsi="Times New Roman"/>
                <w:sz w:val="18"/>
                <w:szCs w:val="18"/>
              </w:rPr>
              <w:t>cm/d</w:t>
            </w:r>
          </w:p>
        </w:tc>
        <w:tc>
          <w:tcPr>
            <w:tcW w:w="370" w:type="pct"/>
            <w:tcMar>
              <w:top w:w="15" w:type="dxa"/>
              <w:left w:w="15" w:type="dxa"/>
              <w:right w:w="15" w:type="dxa"/>
            </w:tcMar>
            <w:vAlign w:val="center"/>
          </w:tcPr>
          <w:p>
            <w:pPr>
              <w:widowControl/>
              <w:jc w:val="center"/>
              <w:textAlignment w:val="center"/>
              <w:rPr>
                <w:rFonts w:ascii="Times New Roman" w:hAnsi="Times New Roman"/>
                <w:sz w:val="18"/>
                <w:szCs w:val="18"/>
              </w:rPr>
            </w:pPr>
            <w:r>
              <w:rPr>
                <w:rFonts w:ascii="Times New Roman" w:hAnsi="Times New Roman"/>
                <w:sz w:val="18"/>
                <w:szCs w:val="18"/>
              </w:rPr>
              <w:t>水平错距</w:t>
            </w:r>
          </w:p>
          <w:p>
            <w:pPr>
              <w:widowControl/>
              <w:jc w:val="center"/>
              <w:textAlignment w:val="center"/>
              <w:rPr>
                <w:rFonts w:ascii="Times New Roman" w:hAnsi="Times New Roman"/>
                <w:sz w:val="18"/>
                <w:szCs w:val="18"/>
              </w:rPr>
            </w:pPr>
            <w:r>
              <w:rPr>
                <w:rFonts w:ascii="Times New Roman" w:hAnsi="Times New Roman"/>
                <w:sz w:val="18"/>
                <w:szCs w:val="18"/>
              </w:rPr>
              <w:t>cm/d</w:t>
            </w:r>
          </w:p>
        </w:tc>
        <w:tc>
          <w:tcPr>
            <w:tcW w:w="461" w:type="pct"/>
            <w:vMerge w:val="continue"/>
            <w:tcMar>
              <w:top w:w="15" w:type="dxa"/>
              <w:left w:w="15" w:type="dxa"/>
              <w:right w:w="15" w:type="dxa"/>
            </w:tcMar>
            <w:vAlign w:val="center"/>
          </w:tcPr>
          <w:p>
            <w:pPr>
              <w:rPr>
                <w:rFonts w:ascii="Times New Roman" w:hAnsi="Times New Roman"/>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10"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1"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2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88"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70"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461" w:type="pct"/>
            <w:tcMar>
              <w:top w:w="15" w:type="dxa"/>
              <w:left w:w="15" w:type="dxa"/>
              <w:right w:w="15" w:type="dxa"/>
            </w:tcMar>
            <w:vAlign w:val="center"/>
          </w:tcPr>
          <w:p>
            <w:pPr>
              <w:widowControl/>
              <w:jc w:val="left"/>
              <w:textAlignment w:val="center"/>
              <w:rPr>
                <w:rFonts w:ascii="Times New Roman" w:hAnsi="Times New Roman"/>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310"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251"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325"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288"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370" w:type="pct"/>
            <w:tcMar>
              <w:top w:w="15" w:type="dxa"/>
              <w:left w:w="15" w:type="dxa"/>
              <w:right w:w="15" w:type="dxa"/>
            </w:tcMar>
            <w:vAlign w:val="center"/>
          </w:tcPr>
          <w:p>
            <w:pPr>
              <w:widowControl/>
              <w:jc w:val="center"/>
              <w:textAlignment w:val="center"/>
              <w:rPr>
                <w:rFonts w:ascii="Times New Roman" w:hAnsi="Times New Roman"/>
                <w:kern w:val="0"/>
                <w:sz w:val="18"/>
                <w:szCs w:val="18"/>
              </w:rPr>
            </w:pPr>
          </w:p>
        </w:tc>
        <w:tc>
          <w:tcPr>
            <w:tcW w:w="461" w:type="pct"/>
            <w:tcMar>
              <w:top w:w="15" w:type="dxa"/>
              <w:left w:w="15" w:type="dxa"/>
              <w:right w:w="15" w:type="dxa"/>
            </w:tcMar>
            <w:vAlign w:val="center"/>
          </w:tcPr>
          <w:p>
            <w:pPr>
              <w:widowControl/>
              <w:jc w:val="left"/>
              <w:textAlignment w:val="center"/>
              <w:rPr>
                <w:rFonts w:ascii="Times New Roman" w:hAnsi="Times New Roman"/>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10"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1"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2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88"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70"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461" w:type="pct"/>
            <w:tcMar>
              <w:top w:w="15" w:type="dxa"/>
              <w:left w:w="15" w:type="dxa"/>
              <w:right w:w="15" w:type="dxa"/>
            </w:tcMar>
            <w:vAlign w:val="center"/>
          </w:tcPr>
          <w:p>
            <w:pPr>
              <w:widowControl/>
              <w:jc w:val="left"/>
              <w:textAlignment w:val="center"/>
              <w:rPr>
                <w:rFonts w:ascii="Times New Roman" w:hAnsi="Times New Roman"/>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10"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1"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2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88"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70"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461" w:type="pct"/>
            <w:tcMar>
              <w:top w:w="15" w:type="dxa"/>
              <w:left w:w="15" w:type="dxa"/>
              <w:right w:w="15" w:type="dxa"/>
            </w:tcMar>
            <w:vAlign w:val="center"/>
          </w:tcPr>
          <w:p>
            <w:pPr>
              <w:widowControl/>
              <w:jc w:val="left"/>
              <w:textAlignment w:val="center"/>
              <w:rPr>
                <w:rFonts w:ascii="Times New Roman" w:hAnsi="Times New Roman"/>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6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99"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10"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51"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2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55"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288"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03"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370" w:type="pct"/>
            <w:tcMar>
              <w:top w:w="15" w:type="dxa"/>
              <w:left w:w="15" w:type="dxa"/>
              <w:right w:w="15" w:type="dxa"/>
            </w:tcMar>
            <w:vAlign w:val="center"/>
          </w:tcPr>
          <w:p>
            <w:pPr>
              <w:widowControl/>
              <w:jc w:val="center"/>
              <w:textAlignment w:val="center"/>
              <w:rPr>
                <w:rFonts w:ascii="Times New Roman" w:hAnsi="Times New Roman"/>
                <w:sz w:val="18"/>
                <w:szCs w:val="18"/>
              </w:rPr>
            </w:pPr>
          </w:p>
        </w:tc>
        <w:tc>
          <w:tcPr>
            <w:tcW w:w="461" w:type="pct"/>
            <w:tcMar>
              <w:top w:w="15" w:type="dxa"/>
              <w:left w:w="15" w:type="dxa"/>
              <w:right w:w="15" w:type="dxa"/>
            </w:tcMar>
            <w:vAlign w:val="center"/>
          </w:tcPr>
          <w:p>
            <w:pPr>
              <w:widowControl/>
              <w:jc w:val="left"/>
              <w:textAlignment w:val="center"/>
              <w:rPr>
                <w:rFonts w:ascii="Times New Roman" w:hAnsi="Times New Roman"/>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7" w:hRule="atLeast"/>
          <w:jc w:val="center"/>
        </w:trPr>
        <w:tc>
          <w:tcPr>
            <w:tcW w:w="2344" w:type="pct"/>
            <w:gridSpan w:val="7"/>
            <w:tcMar>
              <w:top w:w="15" w:type="dxa"/>
              <w:left w:w="15" w:type="dxa"/>
              <w:right w:w="15" w:type="dxa"/>
            </w:tcMar>
          </w:tcPr>
          <w:p>
            <w:pPr>
              <w:widowControl/>
              <w:jc w:val="left"/>
              <w:textAlignment w:val="top"/>
              <w:rPr>
                <w:rFonts w:ascii="Times New Roman" w:hAnsi="Times New Roman"/>
                <w:kern w:val="0"/>
                <w:sz w:val="18"/>
                <w:szCs w:val="18"/>
              </w:rPr>
            </w:pPr>
            <w:r>
              <w:rPr>
                <w:rFonts w:ascii="Times New Roman" w:hAnsi="Times New Roman"/>
                <w:kern w:val="0"/>
                <w:sz w:val="18"/>
                <w:szCs w:val="18"/>
              </w:rPr>
              <w:t>说明：</w:t>
            </w:r>
          </w:p>
          <w:p>
            <w:pPr>
              <w:widowControl/>
              <w:ind w:firstLine="360" w:firstLineChars="200"/>
              <w:jc w:val="left"/>
              <w:textAlignment w:val="top"/>
              <w:rPr>
                <w:rFonts w:ascii="Times New Roman" w:hAnsi="Times New Roman"/>
                <w:kern w:val="0"/>
                <w:sz w:val="18"/>
                <w:szCs w:val="18"/>
              </w:rPr>
            </w:pPr>
            <w:r>
              <w:rPr>
                <w:rFonts w:ascii="Times New Roman" w:hAnsi="Times New Roman"/>
                <w:kern w:val="0"/>
                <w:sz w:val="18"/>
                <w:szCs w:val="18"/>
              </w:rPr>
              <w:t>1</w:t>
            </w:r>
            <w:r>
              <w:rPr>
                <w:rFonts w:hint="eastAsia" w:ascii="Times New Roman" w:hAnsi="Times New Roman"/>
                <w:kern w:val="0"/>
                <w:sz w:val="18"/>
                <w:szCs w:val="18"/>
              </w:rPr>
              <w:t>.</w:t>
            </w:r>
            <w:r>
              <w:rPr>
                <w:rFonts w:ascii="Times New Roman" w:hAnsi="Times New Roman"/>
                <w:kern w:val="0"/>
                <w:sz w:val="18"/>
                <w:szCs w:val="18"/>
              </w:rPr>
              <w:t>所填写数据正负号的物理意义</w:t>
            </w:r>
            <w:r>
              <w:rPr>
                <w:rFonts w:hint="eastAsia" w:ascii="Times New Roman" w:hAnsi="Times New Roman"/>
                <w:kern w:val="0"/>
                <w:sz w:val="18"/>
                <w:szCs w:val="18"/>
              </w:rPr>
              <w:t>。</w:t>
            </w:r>
            <w:r>
              <w:rPr>
                <w:rFonts w:ascii="Times New Roman" w:hAnsi="Times New Roman"/>
                <w:kern w:val="0"/>
                <w:sz w:val="18"/>
                <w:szCs w:val="18"/>
              </w:rPr>
              <w:t xml:space="preserve"> </w:t>
            </w:r>
          </w:p>
          <w:p>
            <w:pPr>
              <w:widowControl/>
              <w:ind w:firstLine="360" w:firstLineChars="200"/>
              <w:jc w:val="left"/>
              <w:textAlignment w:val="top"/>
              <w:rPr>
                <w:rFonts w:ascii="Times New Roman" w:hAnsi="Times New Roman"/>
                <w:kern w:val="0"/>
                <w:sz w:val="18"/>
                <w:szCs w:val="18"/>
              </w:rPr>
            </w:pPr>
            <w:r>
              <w:rPr>
                <w:rFonts w:ascii="Times New Roman" w:hAnsi="Times New Roman"/>
                <w:kern w:val="0"/>
                <w:sz w:val="18"/>
                <w:szCs w:val="18"/>
              </w:rPr>
              <w:t>2</w:t>
            </w:r>
            <w:r>
              <w:rPr>
                <w:rFonts w:hint="eastAsia" w:ascii="Times New Roman" w:hAnsi="Times New Roman"/>
                <w:kern w:val="0"/>
                <w:sz w:val="18"/>
                <w:szCs w:val="18"/>
              </w:rPr>
              <w:t>.</w:t>
            </w:r>
            <w:r>
              <w:rPr>
                <w:rFonts w:ascii="Times New Roman" w:hAnsi="Times New Roman"/>
                <w:kern w:val="0"/>
                <w:sz w:val="18"/>
                <w:szCs w:val="18"/>
              </w:rPr>
              <w:t>裂缝变化最大部位</w:t>
            </w:r>
            <w:r>
              <w:rPr>
                <w:rFonts w:hint="eastAsia" w:ascii="Times New Roman" w:hAnsi="Times New Roman"/>
                <w:kern w:val="0"/>
                <w:sz w:val="18"/>
                <w:szCs w:val="18"/>
              </w:rPr>
              <w:t>。</w:t>
            </w:r>
          </w:p>
          <w:p>
            <w:pPr>
              <w:widowControl/>
              <w:ind w:firstLine="360" w:firstLineChars="200"/>
              <w:jc w:val="left"/>
              <w:textAlignment w:val="top"/>
              <w:rPr>
                <w:rFonts w:ascii="Times New Roman" w:hAnsi="Times New Roman"/>
                <w:szCs w:val="21"/>
              </w:rPr>
            </w:pPr>
            <w:r>
              <w:rPr>
                <w:rFonts w:ascii="Times New Roman" w:hAnsi="Times New Roman"/>
                <w:kern w:val="0"/>
                <w:sz w:val="18"/>
                <w:szCs w:val="18"/>
              </w:rPr>
              <w:t>3</w:t>
            </w:r>
            <w:r>
              <w:rPr>
                <w:rFonts w:hint="eastAsia" w:ascii="Times New Roman" w:hAnsi="Times New Roman"/>
                <w:kern w:val="0"/>
                <w:sz w:val="18"/>
                <w:szCs w:val="18"/>
              </w:rPr>
              <w:t>.</w:t>
            </w:r>
            <w:r>
              <w:rPr>
                <w:rFonts w:ascii="Times New Roman" w:hAnsi="Times New Roman"/>
                <w:kern w:val="0"/>
                <w:sz w:val="18"/>
                <w:szCs w:val="18"/>
              </w:rPr>
              <w:t>重要部位裂缝贯通情况。</w:t>
            </w:r>
          </w:p>
        </w:tc>
        <w:tc>
          <w:tcPr>
            <w:tcW w:w="2656" w:type="pct"/>
            <w:gridSpan w:val="8"/>
            <w:tcMar>
              <w:top w:w="15" w:type="dxa"/>
              <w:left w:w="810" w:type="dxa"/>
              <w:right w:w="15" w:type="dxa"/>
            </w:tcMar>
          </w:tcPr>
          <w:p>
            <w:pPr>
              <w:widowControl/>
              <w:ind w:left="-699" w:leftChars="-333"/>
              <w:contextualSpacing/>
              <w:jc w:val="left"/>
              <w:rPr>
                <w:sz w:val="22"/>
                <w:szCs w:val="24"/>
              </w:rPr>
            </w:pPr>
            <w:r>
              <w:rPr>
                <w:rFonts w:ascii="Times New Roman" w:hAnsi="Times New Roman"/>
                <w:kern w:val="0"/>
                <w:sz w:val="18"/>
                <w:szCs w:val="18"/>
              </w:rPr>
              <w:t>监测点布置示意图：</w:t>
            </w:r>
          </w:p>
        </w:tc>
      </w:tr>
    </w:tbl>
    <w:p>
      <w:pPr>
        <w:jc w:val="left"/>
        <w:rPr>
          <w:rFonts w:ascii="Times New Roman" w:hAnsi="Times New Roman"/>
          <w:szCs w:val="24"/>
        </w:rPr>
      </w:pPr>
    </w:p>
    <w:p>
      <w:pPr>
        <w:tabs>
          <w:tab w:val="center" w:pos="4201"/>
          <w:tab w:val="right" w:leader="dot" w:pos="9298"/>
        </w:tabs>
        <w:autoSpaceDE w:val="0"/>
        <w:autoSpaceDN w:val="0"/>
        <w:spacing w:line="360" w:lineRule="auto"/>
        <w:jc w:val="left"/>
        <w:rPr>
          <w:rFonts w:ascii="宋体" w:hAnsi="Times New Roman"/>
          <w:kern w:val="0"/>
          <w:szCs w:val="21"/>
        </w:rPr>
      </w:pPr>
      <w:r>
        <w:rPr>
          <w:rFonts w:ascii="Times New Roman" w:hAnsi="Times New Roman"/>
          <w:sz w:val="18"/>
          <w:szCs w:val="18"/>
        </w:rPr>
        <w:t>监测负责人：</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r>
        <w:rPr>
          <w:rFonts w:ascii="Times New Roman" w:hAnsi="Times New Roman"/>
          <w:sz w:val="18"/>
          <w:szCs w:val="18"/>
        </w:rPr>
        <w:t xml:space="preserve">         </w:t>
      </w:r>
      <w:r>
        <w:rPr>
          <w:rFonts w:hint="eastAsia" w:ascii="Times New Roman" w:hAnsi="Times New Roman"/>
          <w:sz w:val="18"/>
          <w:szCs w:val="18"/>
        </w:rPr>
        <w:t xml:space="preserve">                  </w:t>
      </w:r>
      <w:r>
        <w:rPr>
          <w:rFonts w:ascii="Times New Roman" w:hAnsi="Times New Roman"/>
          <w:sz w:val="18"/>
          <w:szCs w:val="18"/>
        </w:rPr>
        <w:t xml:space="preserve"> 监测单位：</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6838" w:h="11906" w:orient="landscape"/>
          <w:pgMar w:top="1418" w:right="1134" w:bottom="1134" w:left="1418" w:header="851" w:footer="992" w:gutter="0"/>
          <w:cols w:space="425" w:num="1"/>
          <w:docGrid w:linePitch="312" w:charSpace="0"/>
        </w:sectPr>
      </w:pPr>
    </w:p>
    <w:p>
      <w:pPr>
        <w:wordWrap w:val="0"/>
        <w:spacing w:before="120" w:beforeLines="50" w:after="120" w:afterLines="50"/>
        <w:jc w:val="right"/>
        <w:rPr>
          <w:rFonts w:ascii="Times New Roman" w:hAnsi="Times New Roman" w:eastAsia="黑体"/>
          <w:szCs w:val="21"/>
        </w:rPr>
      </w:pPr>
      <w:r>
        <w:rPr>
          <w:rFonts w:ascii="Times New Roman" w:hAnsi="Times New Roman" w:eastAsia="黑体"/>
          <w:szCs w:val="21"/>
        </w:rPr>
        <w:t>表</w:t>
      </w:r>
      <w:r>
        <w:rPr>
          <w:rFonts w:hint="eastAsia" w:ascii="Times New Roman" w:hAnsi="Times New Roman" w:eastAsia="黑体"/>
          <w:szCs w:val="21"/>
        </w:rPr>
        <w:t>J</w:t>
      </w:r>
      <w:r>
        <w:rPr>
          <w:rFonts w:ascii="Times New Roman" w:hAnsi="Times New Roman" w:eastAsia="黑体"/>
          <w:szCs w:val="21"/>
        </w:rPr>
        <w:t>-4</w:t>
      </w:r>
      <w:r>
        <w:rPr>
          <w:rFonts w:hint="eastAsia" w:ascii="黑体" w:hAnsi="黑体" w:eastAsia="黑体"/>
          <w:szCs w:val="21"/>
        </w:rPr>
        <w:t xml:space="preserve">  </w:t>
      </w:r>
      <w:r>
        <w:rPr>
          <w:rFonts w:ascii="Times New Roman" w:hAnsi="Times New Roman" w:eastAsia="黑体"/>
          <w:szCs w:val="21"/>
        </w:rPr>
        <w:t xml:space="preserve">气象、水文监测记录报表  </w:t>
      </w:r>
      <w:r>
        <w:rPr>
          <w:rFonts w:hint="eastAsia" w:ascii="Times New Roman" w:hAnsi="Times New Roman" w:eastAsia="黑体"/>
          <w:szCs w:val="21"/>
        </w:rPr>
        <w:t xml:space="preserve">         </w:t>
      </w:r>
      <w:r>
        <w:rPr>
          <w:rFonts w:ascii="Times New Roman" w:hAnsi="Times New Roman" w:eastAsia="黑体"/>
          <w:szCs w:val="21"/>
        </w:rPr>
        <w:t xml:space="preserve">      第  页  共   页</w:t>
      </w:r>
    </w:p>
    <w:p>
      <w:pPr>
        <w:spacing w:before="120" w:beforeLines="50" w:after="120" w:afterLines="50"/>
        <w:jc w:val="center"/>
        <w:rPr>
          <w:rFonts w:ascii="Times New Roman" w:hAnsi="Times New Roman" w:eastAsia="黑体"/>
          <w:szCs w:val="21"/>
        </w:rPr>
      </w:pPr>
      <w:r>
        <w:rPr>
          <w:rFonts w:ascii="Times New Roman" w:hAnsi="Times New Roman" w:eastAsia="黑体"/>
          <w:szCs w:val="21"/>
        </w:rPr>
        <w:t>第   期</w:t>
      </w:r>
    </w:p>
    <w:p>
      <w:pPr>
        <w:spacing w:line="360" w:lineRule="auto"/>
        <w:jc w:val="left"/>
        <w:rPr>
          <w:rFonts w:ascii="Times New Roman" w:hAnsi="Times New Roman"/>
          <w:sz w:val="18"/>
          <w:szCs w:val="18"/>
        </w:rPr>
      </w:pPr>
      <w:r>
        <w:rPr>
          <w:rFonts w:ascii="Times New Roman" w:hAnsi="Times New Roman"/>
          <w:sz w:val="18"/>
          <w:szCs w:val="18"/>
        </w:rPr>
        <w:t>日期：</w:t>
      </w:r>
      <w:r>
        <w:rPr>
          <w:rFonts w:ascii="Times New Roman" w:hAnsi="Times New Roman"/>
          <w:sz w:val="18"/>
          <w:szCs w:val="18"/>
          <w:u w:val="single"/>
        </w:rPr>
        <w:t xml:space="preserve">      </w:t>
      </w:r>
      <w:r>
        <w:rPr>
          <w:rFonts w:ascii="Times New Roman" w:hAnsi="Times New Roman"/>
          <w:sz w:val="18"/>
          <w:szCs w:val="18"/>
        </w:rPr>
        <w:t>年</w:t>
      </w:r>
      <w:r>
        <w:rPr>
          <w:rFonts w:ascii="Times New Roman" w:hAnsi="Times New Roman"/>
          <w:sz w:val="18"/>
          <w:szCs w:val="18"/>
          <w:u w:val="single"/>
        </w:rPr>
        <w:t xml:space="preserve">   </w:t>
      </w:r>
      <w:r>
        <w:rPr>
          <w:rFonts w:ascii="Times New Roman" w:hAnsi="Times New Roman"/>
          <w:sz w:val="18"/>
          <w:szCs w:val="18"/>
        </w:rPr>
        <w:t>月</w:t>
      </w:r>
      <w:r>
        <w:rPr>
          <w:rFonts w:ascii="Times New Roman" w:hAnsi="Times New Roman"/>
          <w:sz w:val="18"/>
          <w:szCs w:val="18"/>
          <w:u w:val="single"/>
        </w:rPr>
        <w:t xml:space="preserve">    </w:t>
      </w:r>
      <w:r>
        <w:rPr>
          <w:rFonts w:ascii="Times New Roman" w:hAnsi="Times New Roman"/>
          <w:sz w:val="18"/>
          <w:szCs w:val="18"/>
        </w:rPr>
        <w:t>日</w:t>
      </w:r>
      <w:r>
        <w:rPr>
          <w:rFonts w:ascii="Times New Roman" w:hAnsi="Times New Roman"/>
          <w:sz w:val="18"/>
          <w:szCs w:val="18"/>
          <w:u w:val="single"/>
        </w:rPr>
        <w:t xml:space="preserve">     </w:t>
      </w:r>
      <w:r>
        <w:rPr>
          <w:rFonts w:ascii="Times New Roman" w:hAnsi="Times New Roman"/>
          <w:sz w:val="18"/>
          <w:szCs w:val="18"/>
        </w:rPr>
        <w:t xml:space="preserve">时         </w:t>
      </w:r>
      <w:r>
        <w:rPr>
          <w:rFonts w:hint="eastAsia" w:ascii="Times New Roman" w:hAnsi="Times New Roman"/>
          <w:sz w:val="18"/>
          <w:szCs w:val="18"/>
        </w:rPr>
        <w:t xml:space="preserve">    </w:t>
      </w:r>
      <w:r>
        <w:rPr>
          <w:rFonts w:ascii="Times New Roman" w:hAnsi="Times New Roman"/>
          <w:sz w:val="18"/>
          <w:szCs w:val="18"/>
        </w:rPr>
        <w:t xml:space="preserve"> 报表编号：</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r>
        <w:rPr>
          <w:rFonts w:ascii="Times New Roman" w:hAnsi="Times New Roman"/>
          <w:sz w:val="18"/>
          <w:szCs w:val="18"/>
        </w:rPr>
        <w:t xml:space="preserve">          天气：</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p>
    <w:p>
      <w:pPr>
        <w:spacing w:line="360" w:lineRule="auto"/>
        <w:jc w:val="left"/>
        <w:rPr>
          <w:rFonts w:ascii="Times New Roman" w:hAnsi="Times New Roman" w:eastAsia="黑体"/>
          <w:b/>
          <w:szCs w:val="21"/>
        </w:rPr>
      </w:pPr>
      <w:r>
        <w:rPr>
          <w:rFonts w:ascii="Times New Roman" w:hAnsi="Times New Roman"/>
          <w:sz w:val="18"/>
          <w:szCs w:val="18"/>
        </w:rPr>
        <w:t>观测：</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r>
        <w:rPr>
          <w:rFonts w:ascii="Times New Roman" w:hAnsi="Times New Roman"/>
          <w:sz w:val="18"/>
          <w:szCs w:val="18"/>
        </w:rPr>
        <w:t xml:space="preserve">              计</w:t>
      </w:r>
      <w:r>
        <w:rPr>
          <w:rFonts w:hint="eastAsia" w:ascii="Times New Roman" w:hAnsi="Times New Roman"/>
          <w:sz w:val="18"/>
          <w:szCs w:val="18"/>
        </w:rPr>
        <w:t xml:space="preserve">    </w:t>
      </w:r>
      <w:r>
        <w:rPr>
          <w:rFonts w:ascii="Times New Roman" w:hAnsi="Times New Roman"/>
          <w:sz w:val="18"/>
          <w:szCs w:val="18"/>
        </w:rPr>
        <w:t>算：</w:t>
      </w:r>
      <w:r>
        <w:rPr>
          <w:rFonts w:ascii="Times New Roman" w:hAnsi="Times New Roman"/>
          <w:sz w:val="18"/>
          <w:szCs w:val="18"/>
          <w:u w:val="single"/>
        </w:rPr>
        <w:t xml:space="preserve">                </w:t>
      </w:r>
      <w:r>
        <w:rPr>
          <w:rFonts w:ascii="Times New Roman" w:hAnsi="Times New Roman"/>
          <w:sz w:val="18"/>
          <w:szCs w:val="18"/>
        </w:rPr>
        <w:t xml:space="preserve">          校核：</w:t>
      </w:r>
      <w:r>
        <w:rPr>
          <w:rFonts w:ascii="Times New Roman" w:hAnsi="Times New Roman"/>
          <w:sz w:val="18"/>
          <w:szCs w:val="18"/>
          <w:u w:val="single"/>
        </w:rPr>
        <w:t xml:space="preserve">               </w:t>
      </w:r>
    </w:p>
    <w:p>
      <w:pPr>
        <w:jc w:val="right"/>
        <w:rPr>
          <w:rFonts w:ascii="Times New Roman" w:hAnsi="Times New Roman" w:eastAsia="黑体"/>
          <w:b/>
          <w:szCs w:val="21"/>
        </w:rPr>
      </w:pPr>
    </w:p>
    <w:tbl>
      <w:tblPr>
        <w:tblStyle w:val="14"/>
        <w:tblW w:w="514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09"/>
        <w:gridCol w:w="1419"/>
        <w:gridCol w:w="1139"/>
        <w:gridCol w:w="1133"/>
        <w:gridCol w:w="569"/>
        <w:gridCol w:w="79"/>
        <w:gridCol w:w="491"/>
        <w:gridCol w:w="993"/>
        <w:gridCol w:w="969"/>
        <w:gridCol w:w="264"/>
        <w:gridCol w:w="575"/>
        <w:gridCol w:w="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Merge w:val="restart"/>
            <w:vAlign w:val="center"/>
          </w:tcPr>
          <w:p>
            <w:pPr>
              <w:spacing w:line="240" w:lineRule="exact"/>
              <w:ind w:left="-142" w:leftChars="-68" w:right="-107" w:rightChars="-51" w:hanging="1"/>
              <w:jc w:val="center"/>
              <w:rPr>
                <w:rFonts w:ascii="Times New Roman" w:hAnsi="Times New Roman"/>
                <w:kern w:val="0"/>
                <w:sz w:val="18"/>
                <w:szCs w:val="20"/>
              </w:rPr>
            </w:pPr>
            <w:r>
              <w:rPr>
                <w:rFonts w:ascii="Times New Roman" w:hAnsi="Times New Roman"/>
                <w:kern w:val="0"/>
                <w:sz w:val="18"/>
                <w:szCs w:val="20"/>
              </w:rPr>
              <w:t>地下、地表</w:t>
            </w:r>
          </w:p>
          <w:p>
            <w:pPr>
              <w:spacing w:line="240" w:lineRule="exact"/>
              <w:ind w:left="-142" w:leftChars="-68" w:right="-107" w:rightChars="-51" w:hanging="1"/>
              <w:jc w:val="center"/>
              <w:rPr>
                <w:rFonts w:ascii="Times New Roman" w:hAnsi="Times New Roman"/>
                <w:kern w:val="0"/>
                <w:sz w:val="18"/>
                <w:szCs w:val="20"/>
              </w:rPr>
            </w:pPr>
            <w:r>
              <w:rPr>
                <w:rFonts w:ascii="Times New Roman" w:hAnsi="Times New Roman"/>
                <w:kern w:val="0"/>
                <w:sz w:val="18"/>
                <w:szCs w:val="20"/>
              </w:rPr>
              <w:t>水位监测点</w:t>
            </w:r>
          </w:p>
          <w:p>
            <w:pPr>
              <w:spacing w:line="240" w:lineRule="exact"/>
              <w:ind w:left="-142" w:leftChars="-68" w:right="-107" w:rightChars="-51" w:hanging="1"/>
              <w:jc w:val="center"/>
              <w:rPr>
                <w:rFonts w:ascii="Times New Roman" w:hAnsi="Times New Roman"/>
                <w:kern w:val="0"/>
                <w:sz w:val="18"/>
                <w:szCs w:val="20"/>
              </w:rPr>
            </w:pPr>
            <w:r>
              <w:rPr>
                <w:rFonts w:ascii="Times New Roman" w:hAnsi="Times New Roman"/>
                <w:kern w:val="0"/>
                <w:sz w:val="18"/>
                <w:szCs w:val="20"/>
              </w:rPr>
              <w:t>编号</w:t>
            </w:r>
          </w:p>
        </w:tc>
        <w:tc>
          <w:tcPr>
            <w:tcW w:w="360" w:type="pct"/>
            <w:vMerge w:val="restart"/>
            <w:vAlign w:val="center"/>
          </w:tcPr>
          <w:p>
            <w:pPr>
              <w:spacing w:line="240" w:lineRule="exact"/>
              <w:ind w:left="-142" w:leftChars="-68" w:right="-107" w:rightChars="-51" w:hanging="1"/>
              <w:jc w:val="center"/>
              <w:rPr>
                <w:rFonts w:ascii="Times New Roman" w:hAnsi="Times New Roman"/>
                <w:kern w:val="0"/>
                <w:sz w:val="18"/>
                <w:szCs w:val="20"/>
              </w:rPr>
            </w:pPr>
            <w:r>
              <w:rPr>
                <w:rFonts w:ascii="Times New Roman" w:hAnsi="Times New Roman"/>
                <w:kern w:val="0"/>
                <w:sz w:val="18"/>
                <w:szCs w:val="20"/>
              </w:rPr>
              <w:t>初测水位高程</w:t>
            </w:r>
          </w:p>
          <w:p>
            <w:pPr>
              <w:spacing w:line="240" w:lineRule="exact"/>
              <w:ind w:left="-142" w:leftChars="-68" w:right="-107" w:rightChars="-51" w:hanging="1"/>
              <w:jc w:val="center"/>
              <w:rPr>
                <w:rFonts w:ascii="Times New Roman" w:hAnsi="Times New Roman"/>
                <w:kern w:val="0"/>
                <w:sz w:val="18"/>
                <w:szCs w:val="20"/>
              </w:rPr>
            </w:pPr>
            <w:r>
              <w:rPr>
                <w:rFonts w:ascii="Times New Roman" w:hAnsi="Times New Roman"/>
                <w:kern w:val="0"/>
                <w:sz w:val="18"/>
                <w:szCs w:val="20"/>
              </w:rPr>
              <w:t>m</w:t>
            </w:r>
          </w:p>
        </w:tc>
        <w:tc>
          <w:tcPr>
            <w:tcW w:w="1872" w:type="pct"/>
            <w:gridSpan w:val="3"/>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本次变化</w:t>
            </w:r>
          </w:p>
        </w:tc>
        <w:tc>
          <w:tcPr>
            <w:tcW w:w="289" w:type="pct"/>
            <w:vMerge w:val="restar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备注</w:t>
            </w:r>
          </w:p>
        </w:tc>
        <w:tc>
          <w:tcPr>
            <w:tcW w:w="289" w:type="pct"/>
            <w:gridSpan w:val="2"/>
            <w:vMerge w:val="restart"/>
            <w:vAlign w:val="center"/>
          </w:tcPr>
          <w:p>
            <w:pPr>
              <w:spacing w:line="240" w:lineRule="exact"/>
              <w:ind w:left="-142" w:leftChars="-68" w:right="-107" w:rightChars="-51" w:hanging="1"/>
              <w:jc w:val="center"/>
              <w:rPr>
                <w:rFonts w:ascii="Times New Roman" w:hAnsi="Times New Roman"/>
                <w:kern w:val="0"/>
                <w:sz w:val="18"/>
                <w:szCs w:val="20"/>
              </w:rPr>
            </w:pPr>
            <w:r>
              <w:rPr>
                <w:rFonts w:ascii="Times New Roman" w:hAnsi="Times New Roman"/>
                <w:kern w:val="0"/>
                <w:sz w:val="18"/>
                <w:szCs w:val="20"/>
              </w:rPr>
              <w:t>泉流量监测点编号</w:t>
            </w:r>
          </w:p>
        </w:tc>
        <w:tc>
          <w:tcPr>
            <w:tcW w:w="1421" w:type="pct"/>
            <w:gridSpan w:val="4"/>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本次变化</w:t>
            </w:r>
          </w:p>
        </w:tc>
        <w:tc>
          <w:tcPr>
            <w:tcW w:w="283" w:type="pct"/>
            <w:vMerge w:val="restar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Merge w:val="continue"/>
            <w:vAlign w:val="center"/>
          </w:tcPr>
          <w:p>
            <w:pPr>
              <w:spacing w:line="240" w:lineRule="exact"/>
              <w:jc w:val="center"/>
              <w:rPr>
                <w:rFonts w:ascii="Times New Roman" w:hAnsi="Times New Roman"/>
                <w:kern w:val="0"/>
                <w:sz w:val="18"/>
                <w:szCs w:val="20"/>
              </w:rPr>
            </w:pPr>
          </w:p>
        </w:tc>
        <w:tc>
          <w:tcPr>
            <w:tcW w:w="360" w:type="pct"/>
            <w:vMerge w:val="continue"/>
            <w:vAlign w:val="center"/>
          </w:tcPr>
          <w:p>
            <w:pPr>
              <w:spacing w:line="240" w:lineRule="exact"/>
              <w:jc w:val="center"/>
              <w:rPr>
                <w:rFonts w:ascii="Times New Roman" w:hAnsi="Times New Roman"/>
                <w:kern w:val="0"/>
                <w:sz w:val="18"/>
                <w:szCs w:val="20"/>
              </w:rPr>
            </w:pPr>
          </w:p>
        </w:tc>
        <w:tc>
          <w:tcPr>
            <w:tcW w:w="720" w:type="pc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本次水位高程m</w:t>
            </w:r>
          </w:p>
        </w:tc>
        <w:tc>
          <w:tcPr>
            <w:tcW w:w="578" w:type="pc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本次变化量cm</w:t>
            </w:r>
          </w:p>
        </w:tc>
        <w:tc>
          <w:tcPr>
            <w:tcW w:w="575" w:type="pc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累计变化量cm</w:t>
            </w:r>
          </w:p>
        </w:tc>
        <w:tc>
          <w:tcPr>
            <w:tcW w:w="289" w:type="pct"/>
            <w:vMerge w:val="continue"/>
          </w:tcPr>
          <w:p>
            <w:pPr>
              <w:spacing w:line="240" w:lineRule="exact"/>
              <w:jc w:val="center"/>
              <w:rPr>
                <w:rFonts w:ascii="Times New Roman" w:hAnsi="Times New Roman"/>
                <w:kern w:val="0"/>
                <w:sz w:val="18"/>
                <w:szCs w:val="20"/>
              </w:rPr>
            </w:pPr>
          </w:p>
        </w:tc>
        <w:tc>
          <w:tcPr>
            <w:tcW w:w="289" w:type="pct"/>
            <w:gridSpan w:val="2"/>
            <w:vMerge w:val="continue"/>
            <w:vAlign w:val="center"/>
          </w:tcPr>
          <w:p>
            <w:pPr>
              <w:spacing w:line="240" w:lineRule="exact"/>
              <w:jc w:val="center"/>
              <w:rPr>
                <w:rFonts w:ascii="Times New Roman" w:hAnsi="Times New Roman"/>
                <w:kern w:val="0"/>
                <w:sz w:val="18"/>
                <w:szCs w:val="20"/>
              </w:rPr>
            </w:pPr>
          </w:p>
        </w:tc>
        <w:tc>
          <w:tcPr>
            <w:tcW w:w="504" w:type="pc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上期流量L/S</w:t>
            </w:r>
          </w:p>
        </w:tc>
        <w:tc>
          <w:tcPr>
            <w:tcW w:w="492" w:type="pc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本次流量L/S</w:t>
            </w:r>
          </w:p>
        </w:tc>
        <w:tc>
          <w:tcPr>
            <w:tcW w:w="426" w:type="pct"/>
            <w:gridSpan w:val="2"/>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变化量</w:t>
            </w:r>
          </w:p>
          <w:p>
            <w:pPr>
              <w:spacing w:line="240" w:lineRule="exact"/>
              <w:jc w:val="center"/>
              <w:rPr>
                <w:rFonts w:ascii="Times New Roman" w:hAnsi="Times New Roman"/>
                <w:kern w:val="0"/>
                <w:sz w:val="18"/>
                <w:szCs w:val="20"/>
              </w:rPr>
            </w:pPr>
            <w:r>
              <w:rPr>
                <w:rFonts w:ascii="Times New Roman" w:hAnsi="Times New Roman"/>
                <w:kern w:val="0"/>
                <w:sz w:val="18"/>
                <w:szCs w:val="20"/>
              </w:rPr>
              <w:t>L/S</w:t>
            </w:r>
          </w:p>
        </w:tc>
        <w:tc>
          <w:tcPr>
            <w:tcW w:w="283" w:type="pct"/>
            <w:vMerge w:val="continue"/>
          </w:tcPr>
          <w:p>
            <w:pPr>
              <w:spacing w:line="240" w:lineRule="exact"/>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360" w:type="pct"/>
            <w:vAlign w:val="center"/>
          </w:tcPr>
          <w:p>
            <w:pPr>
              <w:spacing w:line="276" w:lineRule="auto"/>
              <w:jc w:val="center"/>
              <w:rPr>
                <w:rFonts w:ascii="Times New Roman" w:hAnsi="Times New Roman"/>
                <w:kern w:val="0"/>
                <w:sz w:val="18"/>
                <w:szCs w:val="20"/>
              </w:rPr>
            </w:pPr>
          </w:p>
        </w:tc>
        <w:tc>
          <w:tcPr>
            <w:tcW w:w="720" w:type="pct"/>
            <w:vAlign w:val="center"/>
          </w:tcPr>
          <w:p>
            <w:pPr>
              <w:spacing w:line="276" w:lineRule="auto"/>
              <w:jc w:val="center"/>
              <w:rPr>
                <w:rFonts w:ascii="Times New Roman" w:hAnsi="Times New Roman"/>
                <w:kern w:val="0"/>
                <w:sz w:val="18"/>
                <w:szCs w:val="20"/>
              </w:rPr>
            </w:pPr>
          </w:p>
        </w:tc>
        <w:tc>
          <w:tcPr>
            <w:tcW w:w="578" w:type="pct"/>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289" w:type="pct"/>
          </w:tcPr>
          <w:p>
            <w:pPr>
              <w:spacing w:line="276" w:lineRule="auto"/>
              <w:jc w:val="center"/>
              <w:rPr>
                <w:rFonts w:ascii="Times New Roman" w:hAnsi="Times New Roman"/>
                <w:kern w:val="0"/>
                <w:sz w:val="18"/>
                <w:szCs w:val="20"/>
              </w:rPr>
            </w:pPr>
          </w:p>
        </w:tc>
        <w:tc>
          <w:tcPr>
            <w:tcW w:w="289" w:type="pct"/>
            <w:gridSpan w:val="2"/>
            <w:vAlign w:val="center"/>
          </w:tcPr>
          <w:p>
            <w:pPr>
              <w:spacing w:line="276" w:lineRule="auto"/>
              <w:jc w:val="center"/>
              <w:rPr>
                <w:rFonts w:ascii="Times New Roman" w:hAnsi="Times New Roman"/>
                <w:kern w:val="0"/>
                <w:sz w:val="18"/>
                <w:szCs w:val="20"/>
              </w:rPr>
            </w:pPr>
          </w:p>
        </w:tc>
        <w:tc>
          <w:tcPr>
            <w:tcW w:w="504" w:type="pct"/>
          </w:tcPr>
          <w:p>
            <w:pPr>
              <w:spacing w:line="276" w:lineRule="auto"/>
              <w:jc w:val="center"/>
              <w:rPr>
                <w:rFonts w:ascii="Times New Roman" w:hAnsi="Times New Roman"/>
                <w:kern w:val="0"/>
                <w:sz w:val="18"/>
                <w:szCs w:val="20"/>
              </w:rPr>
            </w:pPr>
          </w:p>
        </w:tc>
        <w:tc>
          <w:tcPr>
            <w:tcW w:w="492" w:type="pct"/>
            <w:vAlign w:val="center"/>
          </w:tcPr>
          <w:p>
            <w:pPr>
              <w:spacing w:line="276" w:lineRule="auto"/>
              <w:jc w:val="center"/>
              <w:rPr>
                <w:rFonts w:ascii="Times New Roman" w:hAnsi="Times New Roman"/>
                <w:kern w:val="0"/>
                <w:sz w:val="18"/>
                <w:szCs w:val="20"/>
              </w:rPr>
            </w:pPr>
          </w:p>
        </w:tc>
        <w:tc>
          <w:tcPr>
            <w:tcW w:w="426" w:type="pct"/>
            <w:gridSpan w:val="2"/>
            <w:vAlign w:val="center"/>
          </w:tcPr>
          <w:p>
            <w:pPr>
              <w:spacing w:line="276" w:lineRule="auto"/>
              <w:jc w:val="center"/>
              <w:rPr>
                <w:rFonts w:ascii="Times New Roman" w:hAnsi="Times New Roman"/>
                <w:kern w:val="0"/>
                <w:sz w:val="18"/>
                <w:szCs w:val="20"/>
              </w:rPr>
            </w:pPr>
          </w:p>
        </w:tc>
        <w:tc>
          <w:tcPr>
            <w:tcW w:w="283" w:type="pct"/>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Merge w:val="restar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序号</w:t>
            </w:r>
          </w:p>
        </w:tc>
        <w:tc>
          <w:tcPr>
            <w:tcW w:w="1657" w:type="pct"/>
            <w:gridSpan w:val="3"/>
            <w:vMerge w:val="restar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降雨时间</w:t>
            </w:r>
          </w:p>
        </w:tc>
        <w:tc>
          <w:tcPr>
            <w:tcW w:w="575" w:type="pct"/>
            <w:vMerge w:val="restar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累积雨量</w:t>
            </w:r>
          </w:p>
          <w:p>
            <w:pPr>
              <w:spacing w:line="240" w:lineRule="exact"/>
              <w:jc w:val="center"/>
              <w:rPr>
                <w:rFonts w:ascii="Times New Roman" w:hAnsi="Times New Roman"/>
                <w:kern w:val="0"/>
                <w:sz w:val="18"/>
                <w:szCs w:val="20"/>
              </w:rPr>
            </w:pPr>
            <w:r>
              <w:rPr>
                <w:rFonts w:ascii="Times New Roman" w:hAnsi="Times New Roman"/>
                <w:kern w:val="0"/>
                <w:sz w:val="18"/>
                <w:szCs w:val="20"/>
              </w:rPr>
              <w:t>mm</w:t>
            </w:r>
          </w:p>
        </w:tc>
        <w:tc>
          <w:tcPr>
            <w:tcW w:w="1081" w:type="pct"/>
            <w:gridSpan w:val="4"/>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最大雨强</w:t>
            </w:r>
          </w:p>
        </w:tc>
        <w:tc>
          <w:tcPr>
            <w:tcW w:w="626" w:type="pct"/>
            <w:gridSpan w:val="2"/>
            <w:vMerge w:val="restar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前10日累计降雨量</w:t>
            </w:r>
          </w:p>
          <w:p>
            <w:pPr>
              <w:spacing w:line="240" w:lineRule="exact"/>
              <w:jc w:val="center"/>
              <w:rPr>
                <w:rFonts w:ascii="Times New Roman" w:hAnsi="Times New Roman"/>
                <w:kern w:val="0"/>
                <w:sz w:val="18"/>
                <w:szCs w:val="20"/>
              </w:rPr>
            </w:pPr>
            <w:r>
              <w:rPr>
                <w:rFonts w:ascii="Times New Roman" w:hAnsi="Times New Roman"/>
                <w:kern w:val="0"/>
                <w:sz w:val="18"/>
                <w:szCs w:val="20"/>
              </w:rPr>
              <w:t>mm</w:t>
            </w:r>
          </w:p>
        </w:tc>
        <w:tc>
          <w:tcPr>
            <w:tcW w:w="575" w:type="pct"/>
            <w:gridSpan w:val="2"/>
            <w:vMerge w:val="restart"/>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Merge w:val="continue"/>
            <w:vAlign w:val="center"/>
          </w:tcPr>
          <w:p>
            <w:pPr>
              <w:spacing w:line="240" w:lineRule="exact"/>
              <w:jc w:val="center"/>
              <w:rPr>
                <w:rFonts w:ascii="Times New Roman" w:hAnsi="Times New Roman"/>
                <w:kern w:val="0"/>
                <w:sz w:val="18"/>
                <w:szCs w:val="20"/>
              </w:rPr>
            </w:pPr>
          </w:p>
        </w:tc>
        <w:tc>
          <w:tcPr>
            <w:tcW w:w="1657" w:type="pct"/>
            <w:gridSpan w:val="3"/>
            <w:vMerge w:val="continue"/>
            <w:vAlign w:val="center"/>
          </w:tcPr>
          <w:p>
            <w:pPr>
              <w:spacing w:line="240" w:lineRule="exact"/>
              <w:jc w:val="center"/>
              <w:rPr>
                <w:rFonts w:ascii="Times New Roman" w:hAnsi="Times New Roman"/>
                <w:kern w:val="0"/>
                <w:sz w:val="18"/>
                <w:szCs w:val="20"/>
              </w:rPr>
            </w:pPr>
          </w:p>
        </w:tc>
        <w:tc>
          <w:tcPr>
            <w:tcW w:w="575" w:type="pct"/>
            <w:vMerge w:val="continue"/>
            <w:vAlign w:val="center"/>
          </w:tcPr>
          <w:p>
            <w:pPr>
              <w:spacing w:line="240" w:lineRule="exact"/>
              <w:jc w:val="center"/>
              <w:rPr>
                <w:rFonts w:ascii="Times New Roman" w:hAnsi="Times New Roman"/>
                <w:kern w:val="0"/>
                <w:sz w:val="18"/>
                <w:szCs w:val="20"/>
              </w:rPr>
            </w:pPr>
          </w:p>
        </w:tc>
        <w:tc>
          <w:tcPr>
            <w:tcW w:w="329" w:type="pct"/>
            <w:gridSpan w:val="2"/>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mm/h</w:t>
            </w:r>
          </w:p>
        </w:tc>
        <w:tc>
          <w:tcPr>
            <w:tcW w:w="752" w:type="pct"/>
            <w:gridSpan w:val="2"/>
            <w:vAlign w:val="center"/>
          </w:tcPr>
          <w:p>
            <w:pPr>
              <w:spacing w:line="240" w:lineRule="exact"/>
              <w:jc w:val="center"/>
              <w:rPr>
                <w:rFonts w:ascii="Times New Roman" w:hAnsi="Times New Roman"/>
                <w:kern w:val="0"/>
                <w:sz w:val="18"/>
                <w:szCs w:val="20"/>
              </w:rPr>
            </w:pPr>
            <w:r>
              <w:rPr>
                <w:rFonts w:ascii="Times New Roman" w:hAnsi="Times New Roman"/>
                <w:kern w:val="0"/>
                <w:sz w:val="18"/>
                <w:szCs w:val="20"/>
              </w:rPr>
              <w:t>mm/10</w:t>
            </w:r>
            <w:r>
              <w:rPr>
                <w:rFonts w:hint="eastAsia" w:ascii="Times New Roman" w:hAnsi="Times New Roman"/>
                <w:kern w:val="0"/>
                <w:sz w:val="18"/>
                <w:szCs w:val="20"/>
              </w:rPr>
              <w:t xml:space="preserve"> </w:t>
            </w:r>
            <w:r>
              <w:rPr>
                <w:rFonts w:ascii="Times New Roman" w:hAnsi="Times New Roman"/>
                <w:kern w:val="0"/>
                <w:sz w:val="18"/>
                <w:szCs w:val="20"/>
              </w:rPr>
              <w:t>min</w:t>
            </w:r>
          </w:p>
        </w:tc>
        <w:tc>
          <w:tcPr>
            <w:tcW w:w="626" w:type="pct"/>
            <w:gridSpan w:val="2"/>
            <w:vMerge w:val="continue"/>
            <w:vAlign w:val="center"/>
          </w:tcPr>
          <w:p>
            <w:pPr>
              <w:spacing w:line="240" w:lineRule="exact"/>
              <w:jc w:val="center"/>
              <w:rPr>
                <w:rFonts w:ascii="Times New Roman" w:hAnsi="Times New Roman"/>
                <w:kern w:val="0"/>
                <w:sz w:val="18"/>
                <w:szCs w:val="20"/>
              </w:rPr>
            </w:pPr>
          </w:p>
        </w:tc>
        <w:tc>
          <w:tcPr>
            <w:tcW w:w="575" w:type="pct"/>
            <w:gridSpan w:val="2"/>
            <w:vMerge w:val="continue"/>
          </w:tcPr>
          <w:p>
            <w:pPr>
              <w:spacing w:line="240" w:lineRule="exact"/>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r>
              <w:rPr>
                <w:rFonts w:ascii="Times New Roman" w:hAnsi="Times New Roman"/>
                <w:kern w:val="0"/>
                <w:sz w:val="18"/>
                <w:szCs w:val="20"/>
              </w:rPr>
              <w:t>1</w:t>
            </w:r>
          </w:p>
        </w:tc>
        <w:tc>
          <w:tcPr>
            <w:tcW w:w="1657" w:type="pct"/>
            <w:gridSpan w:val="3"/>
            <w:vAlign w:val="center"/>
          </w:tcPr>
          <w:p>
            <w:pPr>
              <w:spacing w:line="276" w:lineRule="auto"/>
              <w:jc w:val="center"/>
              <w:rPr>
                <w:rFonts w:ascii="Times New Roman" w:hAnsi="Times New Roman"/>
                <w:kern w:val="0"/>
                <w:sz w:val="18"/>
                <w:szCs w:val="20"/>
              </w:rPr>
            </w:pPr>
            <w:r>
              <w:rPr>
                <w:rFonts w:ascii="Times New Roman" w:hAnsi="Times New Roman"/>
                <w:kern w:val="0"/>
                <w:sz w:val="18"/>
                <w:szCs w:val="20"/>
              </w:rPr>
              <w:t>时   分～   时   分</w:t>
            </w:r>
          </w:p>
        </w:tc>
        <w:tc>
          <w:tcPr>
            <w:tcW w:w="575" w:type="pct"/>
          </w:tcPr>
          <w:p>
            <w:pPr>
              <w:spacing w:line="276" w:lineRule="auto"/>
              <w:jc w:val="center"/>
              <w:rPr>
                <w:rFonts w:ascii="Times New Roman" w:hAnsi="Times New Roman"/>
                <w:kern w:val="0"/>
                <w:sz w:val="18"/>
                <w:szCs w:val="20"/>
              </w:rPr>
            </w:pPr>
          </w:p>
        </w:tc>
        <w:tc>
          <w:tcPr>
            <w:tcW w:w="329" w:type="pct"/>
            <w:gridSpan w:val="2"/>
            <w:vAlign w:val="center"/>
          </w:tcPr>
          <w:p>
            <w:pPr>
              <w:spacing w:line="276" w:lineRule="auto"/>
              <w:jc w:val="center"/>
              <w:rPr>
                <w:rFonts w:ascii="Times New Roman" w:hAnsi="Times New Roman"/>
                <w:kern w:val="0"/>
                <w:sz w:val="18"/>
                <w:szCs w:val="20"/>
              </w:rPr>
            </w:pPr>
          </w:p>
        </w:tc>
        <w:tc>
          <w:tcPr>
            <w:tcW w:w="752" w:type="pct"/>
            <w:gridSpan w:val="2"/>
          </w:tcPr>
          <w:p>
            <w:pPr>
              <w:spacing w:line="276" w:lineRule="auto"/>
              <w:jc w:val="center"/>
              <w:rPr>
                <w:rFonts w:ascii="Times New Roman" w:hAnsi="Times New Roman"/>
                <w:kern w:val="0"/>
                <w:sz w:val="18"/>
                <w:szCs w:val="20"/>
              </w:rPr>
            </w:pPr>
          </w:p>
        </w:tc>
        <w:tc>
          <w:tcPr>
            <w:tcW w:w="626" w:type="pct"/>
            <w:gridSpan w:val="2"/>
            <w:vAlign w:val="center"/>
          </w:tcPr>
          <w:p>
            <w:pPr>
              <w:spacing w:line="276" w:lineRule="auto"/>
              <w:jc w:val="center"/>
              <w:rPr>
                <w:rFonts w:ascii="Times New Roman" w:hAnsi="Times New Roman"/>
                <w:kern w:val="0"/>
                <w:sz w:val="18"/>
                <w:szCs w:val="20"/>
              </w:rPr>
            </w:pPr>
          </w:p>
        </w:tc>
        <w:tc>
          <w:tcPr>
            <w:tcW w:w="575" w:type="pct"/>
            <w:gridSpan w:val="2"/>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r>
              <w:rPr>
                <w:rFonts w:ascii="Times New Roman" w:hAnsi="Times New Roman"/>
                <w:kern w:val="0"/>
                <w:sz w:val="18"/>
                <w:szCs w:val="20"/>
              </w:rPr>
              <w:t>2</w:t>
            </w:r>
          </w:p>
        </w:tc>
        <w:tc>
          <w:tcPr>
            <w:tcW w:w="1657" w:type="pct"/>
            <w:gridSpan w:val="3"/>
            <w:vAlign w:val="center"/>
          </w:tcPr>
          <w:p>
            <w:pPr>
              <w:spacing w:line="276" w:lineRule="auto"/>
              <w:jc w:val="center"/>
              <w:rPr>
                <w:rFonts w:ascii="Times New Roman" w:hAnsi="Times New Roman"/>
                <w:kern w:val="0"/>
                <w:sz w:val="18"/>
                <w:szCs w:val="20"/>
              </w:rPr>
            </w:pPr>
            <w:r>
              <w:rPr>
                <w:rFonts w:ascii="Times New Roman" w:hAnsi="Times New Roman"/>
                <w:kern w:val="0"/>
                <w:sz w:val="18"/>
                <w:szCs w:val="20"/>
              </w:rPr>
              <w:t>时   分～   时   分</w:t>
            </w:r>
          </w:p>
        </w:tc>
        <w:tc>
          <w:tcPr>
            <w:tcW w:w="575" w:type="pct"/>
          </w:tcPr>
          <w:p>
            <w:pPr>
              <w:spacing w:line="276" w:lineRule="auto"/>
              <w:jc w:val="center"/>
              <w:rPr>
                <w:rFonts w:ascii="Times New Roman" w:hAnsi="Times New Roman"/>
                <w:kern w:val="0"/>
                <w:sz w:val="18"/>
                <w:szCs w:val="20"/>
              </w:rPr>
            </w:pPr>
          </w:p>
        </w:tc>
        <w:tc>
          <w:tcPr>
            <w:tcW w:w="329" w:type="pct"/>
            <w:gridSpan w:val="2"/>
            <w:vAlign w:val="center"/>
          </w:tcPr>
          <w:p>
            <w:pPr>
              <w:spacing w:line="276" w:lineRule="auto"/>
              <w:jc w:val="center"/>
              <w:rPr>
                <w:rFonts w:ascii="Times New Roman" w:hAnsi="Times New Roman"/>
                <w:kern w:val="0"/>
                <w:sz w:val="18"/>
                <w:szCs w:val="20"/>
              </w:rPr>
            </w:pPr>
          </w:p>
        </w:tc>
        <w:tc>
          <w:tcPr>
            <w:tcW w:w="752" w:type="pct"/>
            <w:gridSpan w:val="2"/>
          </w:tcPr>
          <w:p>
            <w:pPr>
              <w:spacing w:line="276" w:lineRule="auto"/>
              <w:jc w:val="center"/>
              <w:rPr>
                <w:rFonts w:ascii="Times New Roman" w:hAnsi="Times New Roman"/>
                <w:kern w:val="0"/>
                <w:sz w:val="18"/>
                <w:szCs w:val="20"/>
              </w:rPr>
            </w:pPr>
          </w:p>
        </w:tc>
        <w:tc>
          <w:tcPr>
            <w:tcW w:w="626" w:type="pct"/>
            <w:gridSpan w:val="2"/>
            <w:vAlign w:val="center"/>
          </w:tcPr>
          <w:p>
            <w:pPr>
              <w:spacing w:line="276" w:lineRule="auto"/>
              <w:jc w:val="center"/>
              <w:rPr>
                <w:rFonts w:ascii="Times New Roman" w:hAnsi="Times New Roman"/>
                <w:kern w:val="0"/>
                <w:sz w:val="18"/>
                <w:szCs w:val="20"/>
              </w:rPr>
            </w:pPr>
          </w:p>
        </w:tc>
        <w:tc>
          <w:tcPr>
            <w:tcW w:w="575" w:type="pct"/>
            <w:gridSpan w:val="2"/>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r>
              <w:rPr>
                <w:rFonts w:ascii="Times New Roman" w:hAnsi="Times New Roman"/>
                <w:kern w:val="0"/>
                <w:sz w:val="18"/>
                <w:szCs w:val="20"/>
              </w:rPr>
              <w:t>3</w:t>
            </w:r>
          </w:p>
        </w:tc>
        <w:tc>
          <w:tcPr>
            <w:tcW w:w="1657" w:type="pct"/>
            <w:gridSpan w:val="3"/>
            <w:vAlign w:val="center"/>
          </w:tcPr>
          <w:p>
            <w:pPr>
              <w:spacing w:line="276" w:lineRule="auto"/>
              <w:jc w:val="center"/>
              <w:rPr>
                <w:rFonts w:ascii="Times New Roman" w:hAnsi="Times New Roman"/>
                <w:kern w:val="0"/>
                <w:sz w:val="18"/>
                <w:szCs w:val="20"/>
              </w:rPr>
            </w:pPr>
            <w:r>
              <w:rPr>
                <w:rFonts w:ascii="Times New Roman" w:hAnsi="Times New Roman"/>
                <w:kern w:val="0"/>
                <w:sz w:val="18"/>
                <w:szCs w:val="20"/>
              </w:rPr>
              <w:t>时   分～   时   分</w:t>
            </w:r>
          </w:p>
        </w:tc>
        <w:tc>
          <w:tcPr>
            <w:tcW w:w="575" w:type="pct"/>
          </w:tcPr>
          <w:p>
            <w:pPr>
              <w:spacing w:line="276" w:lineRule="auto"/>
              <w:jc w:val="center"/>
              <w:rPr>
                <w:rFonts w:ascii="Times New Roman" w:hAnsi="Times New Roman"/>
                <w:kern w:val="0"/>
                <w:sz w:val="18"/>
                <w:szCs w:val="20"/>
              </w:rPr>
            </w:pPr>
          </w:p>
        </w:tc>
        <w:tc>
          <w:tcPr>
            <w:tcW w:w="329" w:type="pct"/>
            <w:gridSpan w:val="2"/>
            <w:vAlign w:val="center"/>
          </w:tcPr>
          <w:p>
            <w:pPr>
              <w:spacing w:line="276" w:lineRule="auto"/>
              <w:jc w:val="center"/>
              <w:rPr>
                <w:rFonts w:ascii="Times New Roman" w:hAnsi="Times New Roman"/>
                <w:kern w:val="0"/>
                <w:sz w:val="18"/>
                <w:szCs w:val="20"/>
              </w:rPr>
            </w:pPr>
          </w:p>
        </w:tc>
        <w:tc>
          <w:tcPr>
            <w:tcW w:w="752" w:type="pct"/>
            <w:gridSpan w:val="2"/>
          </w:tcPr>
          <w:p>
            <w:pPr>
              <w:spacing w:line="276" w:lineRule="auto"/>
              <w:jc w:val="center"/>
              <w:rPr>
                <w:rFonts w:ascii="Times New Roman" w:hAnsi="Times New Roman"/>
                <w:kern w:val="0"/>
                <w:sz w:val="18"/>
                <w:szCs w:val="20"/>
              </w:rPr>
            </w:pPr>
          </w:p>
        </w:tc>
        <w:tc>
          <w:tcPr>
            <w:tcW w:w="626" w:type="pct"/>
            <w:gridSpan w:val="2"/>
            <w:vAlign w:val="center"/>
          </w:tcPr>
          <w:p>
            <w:pPr>
              <w:spacing w:line="276" w:lineRule="auto"/>
              <w:jc w:val="center"/>
              <w:rPr>
                <w:rFonts w:ascii="Times New Roman" w:hAnsi="Times New Roman"/>
                <w:kern w:val="0"/>
                <w:sz w:val="18"/>
                <w:szCs w:val="20"/>
              </w:rPr>
            </w:pPr>
          </w:p>
        </w:tc>
        <w:tc>
          <w:tcPr>
            <w:tcW w:w="575" w:type="pct"/>
            <w:gridSpan w:val="2"/>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r>
              <w:rPr>
                <w:rFonts w:ascii="Times New Roman" w:hAnsi="Times New Roman"/>
                <w:kern w:val="0"/>
                <w:sz w:val="18"/>
                <w:szCs w:val="20"/>
              </w:rPr>
              <w:t>……</w:t>
            </w:r>
          </w:p>
        </w:tc>
        <w:tc>
          <w:tcPr>
            <w:tcW w:w="1657" w:type="pct"/>
            <w:gridSpan w:val="3"/>
            <w:vAlign w:val="center"/>
          </w:tcPr>
          <w:p>
            <w:pPr>
              <w:spacing w:line="276" w:lineRule="auto"/>
              <w:jc w:val="center"/>
              <w:rPr>
                <w:rFonts w:ascii="Times New Roman" w:hAnsi="Times New Roman"/>
                <w:kern w:val="0"/>
                <w:sz w:val="18"/>
                <w:szCs w:val="20"/>
              </w:rPr>
            </w:pPr>
            <w:r>
              <w:rPr>
                <w:rFonts w:ascii="Times New Roman" w:hAnsi="Times New Roman"/>
                <w:kern w:val="0"/>
                <w:sz w:val="18"/>
                <w:szCs w:val="20"/>
              </w:rPr>
              <w:t>时   分～   时   分</w:t>
            </w:r>
          </w:p>
        </w:tc>
        <w:tc>
          <w:tcPr>
            <w:tcW w:w="575" w:type="pct"/>
          </w:tcPr>
          <w:p>
            <w:pPr>
              <w:spacing w:line="276" w:lineRule="auto"/>
              <w:jc w:val="center"/>
              <w:rPr>
                <w:rFonts w:ascii="Times New Roman" w:hAnsi="Times New Roman"/>
                <w:kern w:val="0"/>
                <w:sz w:val="18"/>
                <w:szCs w:val="20"/>
              </w:rPr>
            </w:pPr>
          </w:p>
        </w:tc>
        <w:tc>
          <w:tcPr>
            <w:tcW w:w="329" w:type="pct"/>
            <w:gridSpan w:val="2"/>
            <w:vAlign w:val="center"/>
          </w:tcPr>
          <w:p>
            <w:pPr>
              <w:spacing w:line="276" w:lineRule="auto"/>
              <w:jc w:val="center"/>
              <w:rPr>
                <w:rFonts w:ascii="Times New Roman" w:hAnsi="Times New Roman"/>
                <w:kern w:val="0"/>
                <w:sz w:val="18"/>
                <w:szCs w:val="20"/>
              </w:rPr>
            </w:pPr>
          </w:p>
        </w:tc>
        <w:tc>
          <w:tcPr>
            <w:tcW w:w="752" w:type="pct"/>
            <w:gridSpan w:val="2"/>
          </w:tcPr>
          <w:p>
            <w:pPr>
              <w:spacing w:line="276" w:lineRule="auto"/>
              <w:jc w:val="center"/>
              <w:rPr>
                <w:rFonts w:ascii="Times New Roman" w:hAnsi="Times New Roman"/>
                <w:kern w:val="0"/>
                <w:sz w:val="18"/>
                <w:szCs w:val="20"/>
              </w:rPr>
            </w:pPr>
          </w:p>
        </w:tc>
        <w:tc>
          <w:tcPr>
            <w:tcW w:w="626" w:type="pct"/>
            <w:gridSpan w:val="2"/>
            <w:vAlign w:val="center"/>
          </w:tcPr>
          <w:p>
            <w:pPr>
              <w:spacing w:line="276" w:lineRule="auto"/>
              <w:jc w:val="center"/>
              <w:rPr>
                <w:rFonts w:ascii="Times New Roman" w:hAnsi="Times New Roman"/>
                <w:kern w:val="0"/>
                <w:sz w:val="18"/>
                <w:szCs w:val="20"/>
              </w:rPr>
            </w:pPr>
          </w:p>
        </w:tc>
        <w:tc>
          <w:tcPr>
            <w:tcW w:w="575" w:type="pct"/>
            <w:gridSpan w:val="2"/>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1657" w:type="pct"/>
            <w:gridSpan w:val="3"/>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329" w:type="pct"/>
            <w:gridSpan w:val="2"/>
            <w:vAlign w:val="center"/>
          </w:tcPr>
          <w:p>
            <w:pPr>
              <w:spacing w:line="276" w:lineRule="auto"/>
              <w:jc w:val="center"/>
              <w:rPr>
                <w:rFonts w:ascii="Times New Roman" w:hAnsi="Times New Roman"/>
                <w:kern w:val="0"/>
                <w:sz w:val="18"/>
                <w:szCs w:val="20"/>
              </w:rPr>
            </w:pPr>
          </w:p>
        </w:tc>
        <w:tc>
          <w:tcPr>
            <w:tcW w:w="752" w:type="pct"/>
            <w:gridSpan w:val="2"/>
          </w:tcPr>
          <w:p>
            <w:pPr>
              <w:spacing w:line="276" w:lineRule="auto"/>
              <w:jc w:val="center"/>
              <w:rPr>
                <w:rFonts w:ascii="Times New Roman" w:hAnsi="Times New Roman"/>
                <w:kern w:val="0"/>
                <w:sz w:val="18"/>
                <w:szCs w:val="20"/>
              </w:rPr>
            </w:pPr>
          </w:p>
        </w:tc>
        <w:tc>
          <w:tcPr>
            <w:tcW w:w="626" w:type="pct"/>
            <w:gridSpan w:val="2"/>
            <w:vAlign w:val="center"/>
          </w:tcPr>
          <w:p>
            <w:pPr>
              <w:spacing w:line="276" w:lineRule="auto"/>
              <w:jc w:val="center"/>
              <w:rPr>
                <w:rFonts w:ascii="Times New Roman" w:hAnsi="Times New Roman"/>
                <w:kern w:val="0"/>
                <w:sz w:val="18"/>
                <w:szCs w:val="20"/>
              </w:rPr>
            </w:pPr>
          </w:p>
        </w:tc>
        <w:tc>
          <w:tcPr>
            <w:tcW w:w="575" w:type="pct"/>
            <w:gridSpan w:val="2"/>
          </w:tcPr>
          <w:p>
            <w:pPr>
              <w:spacing w:line="276" w:lineRule="auto"/>
              <w:jc w:val="center"/>
              <w:rPr>
                <w:rFonts w:ascii="Times New Roman" w:hAnsi="Times New Roman"/>
                <w:kern w:val="0"/>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7" w:type="pct"/>
            <w:vAlign w:val="center"/>
          </w:tcPr>
          <w:p>
            <w:pPr>
              <w:spacing w:line="276" w:lineRule="auto"/>
              <w:jc w:val="center"/>
              <w:rPr>
                <w:rFonts w:ascii="Times New Roman" w:hAnsi="Times New Roman"/>
                <w:kern w:val="0"/>
                <w:sz w:val="18"/>
                <w:szCs w:val="20"/>
              </w:rPr>
            </w:pPr>
          </w:p>
        </w:tc>
        <w:tc>
          <w:tcPr>
            <w:tcW w:w="1657" w:type="pct"/>
            <w:gridSpan w:val="3"/>
            <w:vAlign w:val="center"/>
          </w:tcPr>
          <w:p>
            <w:pPr>
              <w:spacing w:line="276" w:lineRule="auto"/>
              <w:jc w:val="center"/>
              <w:rPr>
                <w:rFonts w:ascii="Times New Roman" w:hAnsi="Times New Roman"/>
                <w:kern w:val="0"/>
                <w:sz w:val="18"/>
                <w:szCs w:val="20"/>
              </w:rPr>
            </w:pPr>
          </w:p>
        </w:tc>
        <w:tc>
          <w:tcPr>
            <w:tcW w:w="575" w:type="pct"/>
          </w:tcPr>
          <w:p>
            <w:pPr>
              <w:spacing w:line="276" w:lineRule="auto"/>
              <w:jc w:val="center"/>
              <w:rPr>
                <w:rFonts w:ascii="Times New Roman" w:hAnsi="Times New Roman"/>
                <w:kern w:val="0"/>
                <w:sz w:val="18"/>
                <w:szCs w:val="20"/>
              </w:rPr>
            </w:pPr>
          </w:p>
        </w:tc>
        <w:tc>
          <w:tcPr>
            <w:tcW w:w="329" w:type="pct"/>
            <w:gridSpan w:val="2"/>
            <w:vAlign w:val="center"/>
          </w:tcPr>
          <w:p>
            <w:pPr>
              <w:spacing w:line="276" w:lineRule="auto"/>
              <w:jc w:val="center"/>
              <w:rPr>
                <w:rFonts w:ascii="Times New Roman" w:hAnsi="Times New Roman"/>
                <w:kern w:val="0"/>
                <w:sz w:val="18"/>
                <w:szCs w:val="20"/>
              </w:rPr>
            </w:pPr>
          </w:p>
        </w:tc>
        <w:tc>
          <w:tcPr>
            <w:tcW w:w="752" w:type="pct"/>
            <w:gridSpan w:val="2"/>
          </w:tcPr>
          <w:p>
            <w:pPr>
              <w:spacing w:line="276" w:lineRule="auto"/>
              <w:jc w:val="center"/>
              <w:rPr>
                <w:rFonts w:ascii="Times New Roman" w:hAnsi="Times New Roman"/>
                <w:kern w:val="0"/>
                <w:sz w:val="18"/>
                <w:szCs w:val="20"/>
              </w:rPr>
            </w:pPr>
          </w:p>
        </w:tc>
        <w:tc>
          <w:tcPr>
            <w:tcW w:w="626" w:type="pct"/>
            <w:gridSpan w:val="2"/>
            <w:vAlign w:val="center"/>
          </w:tcPr>
          <w:p>
            <w:pPr>
              <w:spacing w:line="276" w:lineRule="auto"/>
              <w:jc w:val="center"/>
              <w:rPr>
                <w:rFonts w:ascii="Times New Roman" w:hAnsi="Times New Roman"/>
                <w:kern w:val="0"/>
                <w:sz w:val="18"/>
                <w:szCs w:val="20"/>
              </w:rPr>
            </w:pPr>
          </w:p>
        </w:tc>
        <w:tc>
          <w:tcPr>
            <w:tcW w:w="575" w:type="pct"/>
            <w:gridSpan w:val="2"/>
          </w:tcPr>
          <w:p>
            <w:pPr>
              <w:spacing w:line="276" w:lineRule="auto"/>
              <w:jc w:val="center"/>
              <w:rPr>
                <w:rFonts w:ascii="Times New Roman" w:hAnsi="Times New Roman"/>
                <w:kern w:val="0"/>
                <w:sz w:val="18"/>
                <w:szCs w:val="20"/>
              </w:rPr>
            </w:pPr>
          </w:p>
        </w:tc>
      </w:tr>
    </w:tbl>
    <w:p>
      <w:pPr>
        <w:jc w:val="left"/>
        <w:rPr>
          <w:rFonts w:ascii="Times New Roman" w:hAnsi="Times New Roman"/>
          <w:szCs w:val="24"/>
        </w:rPr>
      </w:pPr>
    </w:p>
    <w:p>
      <w:pPr>
        <w:tabs>
          <w:tab w:val="center" w:pos="4201"/>
          <w:tab w:val="right" w:leader="dot" w:pos="9298"/>
        </w:tabs>
        <w:autoSpaceDE w:val="0"/>
        <w:autoSpaceDN w:val="0"/>
        <w:spacing w:line="360" w:lineRule="auto"/>
        <w:jc w:val="left"/>
        <w:rPr>
          <w:rFonts w:ascii="宋体" w:hAnsi="Times New Roman"/>
          <w:kern w:val="0"/>
          <w:szCs w:val="21"/>
        </w:rPr>
      </w:pPr>
      <w:r>
        <w:rPr>
          <w:rFonts w:ascii="Times New Roman" w:hAnsi="Times New Roman"/>
          <w:sz w:val="18"/>
          <w:szCs w:val="18"/>
        </w:rPr>
        <w:t>监测负责人：</w:t>
      </w:r>
      <w:r>
        <w:rPr>
          <w:rFonts w:ascii="Times New Roman" w:hAnsi="Times New Roman"/>
          <w:sz w:val="18"/>
          <w:szCs w:val="18"/>
          <w:u w:val="single"/>
        </w:rPr>
        <w:t xml:space="preserve">          </w:t>
      </w:r>
      <w:r>
        <w:rPr>
          <w:rFonts w:hint="eastAsia" w:ascii="Times New Roman" w:hAnsi="Times New Roman"/>
          <w:sz w:val="18"/>
          <w:szCs w:val="18"/>
          <w:u w:val="single"/>
        </w:rPr>
        <w:t xml:space="preserve">   </w:t>
      </w:r>
      <w:r>
        <w:rPr>
          <w:rFonts w:ascii="Times New Roman" w:hAnsi="Times New Roman"/>
          <w:sz w:val="18"/>
          <w:szCs w:val="18"/>
          <w:u w:val="single"/>
        </w:rPr>
        <w:t xml:space="preserve">   </w:t>
      </w:r>
      <w:r>
        <w:rPr>
          <w:rFonts w:ascii="Times New Roman" w:hAnsi="Times New Roman"/>
          <w:sz w:val="18"/>
          <w:szCs w:val="18"/>
        </w:rPr>
        <w:t xml:space="preserve">          监测单位：</w:t>
      </w:r>
      <w:r>
        <w:rPr>
          <w:rFonts w:ascii="Times New Roman" w:hAnsi="Times New Roman"/>
          <w:sz w:val="18"/>
          <w:szCs w:val="18"/>
          <w:u w:val="single"/>
        </w:rPr>
        <w:t xml:space="preserve">                   </w:t>
      </w:r>
    </w:p>
    <w:p>
      <w:pPr>
        <w:keepNext/>
        <w:keepLines/>
        <w:adjustRightInd w:val="0"/>
        <w:snapToGrid w:val="0"/>
        <w:spacing w:before="120" w:beforeLines="50" w:after="120" w:afterLines="50"/>
        <w:jc w:val="left"/>
        <w:rPr>
          <w:rFonts w:ascii="黑体" w:hAnsi="黑体" w:eastAsia="黑体"/>
          <w:bCs/>
          <w:kern w:val="44"/>
          <w:szCs w:val="21"/>
        </w:rPr>
      </w:pPr>
      <w:bookmarkStart w:id="273" w:name="_Toc534577800"/>
      <w:bookmarkStart w:id="274" w:name="_Toc21966443"/>
      <w:bookmarkStart w:id="275" w:name="_Toc534580157"/>
      <w:r>
        <w:rPr>
          <w:rFonts w:hint="eastAsia" w:ascii="黑体" w:hAnsi="黑体" w:eastAsia="黑体"/>
          <w:bCs/>
          <w:kern w:val="44"/>
          <w:szCs w:val="21"/>
        </w:rPr>
        <w:t>J</w:t>
      </w:r>
      <w:r>
        <w:rPr>
          <w:rFonts w:ascii="黑体" w:hAnsi="黑体" w:eastAsia="黑体"/>
          <w:bCs/>
          <w:kern w:val="44"/>
          <w:szCs w:val="21"/>
        </w:rPr>
        <w:t>.3</w:t>
      </w:r>
      <w:r>
        <w:rPr>
          <w:rFonts w:hint="eastAsia" w:ascii="黑体" w:hAnsi="黑体" w:eastAsia="黑体"/>
          <w:bCs/>
          <w:kern w:val="44"/>
          <w:szCs w:val="21"/>
        </w:rPr>
        <w:t xml:space="preserve">  </w:t>
      </w:r>
      <w:r>
        <w:rPr>
          <w:rFonts w:ascii="黑体" w:hAnsi="黑体" w:eastAsia="黑体"/>
          <w:bCs/>
          <w:kern w:val="44"/>
          <w:szCs w:val="21"/>
        </w:rPr>
        <w:t>隐患点监测资料整编图格式</w:t>
      </w:r>
      <w:bookmarkEnd w:id="273"/>
      <w:bookmarkEnd w:id="274"/>
      <w:bookmarkEnd w:id="275"/>
    </w:p>
    <w:p>
      <w:pPr>
        <w:widowControl/>
        <w:jc w:val="center"/>
        <w:rPr>
          <w:rFonts w:ascii="Times New Roman" w:hAnsi="Times New Roman"/>
          <w:szCs w:val="24"/>
        </w:rPr>
      </w:pPr>
      <w:r>
        <w:rPr>
          <w:rFonts w:ascii="Times New Roman" w:hAnsi="Times New Roman"/>
          <w:szCs w:val="24"/>
        </w:rPr>
        <w:drawing>
          <wp:inline distT="0" distB="0" distL="0" distR="0">
            <wp:extent cx="4152900" cy="1981200"/>
            <wp:effectExtent l="19050" t="0" r="0" b="0"/>
            <wp:docPr id="37" name="图片 87"/>
            <wp:cNvGraphicFramePr/>
            <a:graphic xmlns:a="http://schemas.openxmlformats.org/drawingml/2006/main">
              <a:graphicData uri="http://schemas.openxmlformats.org/drawingml/2006/picture">
                <pic:pic xmlns:pic="http://schemas.openxmlformats.org/drawingml/2006/picture">
                  <pic:nvPicPr>
                    <pic:cNvPr id="37" name="图片 87"/>
                    <pic:cNvPicPr>
                      <a:picLocks noChangeArrowheads="1"/>
                    </pic:cNvPicPr>
                  </pic:nvPicPr>
                  <pic:blipFill>
                    <a:blip r:embed="rId52" cstate="print"/>
                    <a:srcRect/>
                    <a:stretch>
                      <a:fillRect/>
                    </a:stretch>
                  </pic:blipFill>
                  <pic:spPr>
                    <a:xfrm>
                      <a:off x="0" y="0"/>
                      <a:ext cx="4152900" cy="19812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-1</w:t>
      </w:r>
      <w:r>
        <w:rPr>
          <w:rFonts w:hint="eastAsia" w:ascii="黑体" w:hAnsi="黑体" w:eastAsia="黑体"/>
          <w:kern w:val="0"/>
          <w:szCs w:val="21"/>
        </w:rPr>
        <w:t xml:space="preserve">  </w:t>
      </w:r>
      <w:r>
        <w:rPr>
          <w:rFonts w:ascii="黑体" w:hAnsi="黑体" w:eastAsia="黑体"/>
          <w:kern w:val="0"/>
          <w:szCs w:val="21"/>
        </w:rPr>
        <w:t>水平位移-时间过程曲线</w:t>
      </w:r>
    </w:p>
    <w:p>
      <w:pPr>
        <w:widowControl/>
        <w:tabs>
          <w:tab w:val="left" w:pos="360"/>
        </w:tabs>
        <w:spacing w:before="120" w:beforeLines="50" w:after="120" w:afterLines="50"/>
        <w:jc w:val="center"/>
        <w:rPr>
          <w:rFonts w:ascii="黑体" w:hAnsi="黑体" w:eastAsia="黑体"/>
          <w:kern w:val="0"/>
          <w:szCs w:val="21"/>
        </w:rPr>
      </w:pPr>
    </w:p>
    <w:p>
      <w:pPr>
        <w:jc w:val="center"/>
        <w:rPr>
          <w:rFonts w:ascii="Times New Roman" w:hAnsi="Times New Roman"/>
          <w:szCs w:val="24"/>
        </w:rPr>
      </w:pPr>
      <w:r>
        <w:rPr>
          <w:rFonts w:ascii="Times New Roman" w:hAnsi="Times New Roman"/>
          <w:szCs w:val="24"/>
        </w:rPr>
        <w:drawing>
          <wp:inline distT="0" distB="0" distL="0" distR="0">
            <wp:extent cx="4152900" cy="1943100"/>
            <wp:effectExtent l="19050" t="0" r="0" b="0"/>
            <wp:docPr id="38" name="图片 92"/>
            <wp:cNvGraphicFramePr/>
            <a:graphic xmlns:a="http://schemas.openxmlformats.org/drawingml/2006/main">
              <a:graphicData uri="http://schemas.openxmlformats.org/drawingml/2006/picture">
                <pic:pic xmlns:pic="http://schemas.openxmlformats.org/drawingml/2006/picture">
                  <pic:nvPicPr>
                    <pic:cNvPr id="38" name="图片 92"/>
                    <pic:cNvPicPr>
                      <a:picLocks noChangeArrowheads="1"/>
                    </pic:cNvPicPr>
                  </pic:nvPicPr>
                  <pic:blipFill>
                    <a:blip r:embed="rId53" cstate="print"/>
                    <a:srcRect/>
                    <a:stretch>
                      <a:fillRect/>
                    </a:stretch>
                  </pic:blipFill>
                  <pic:spPr>
                    <a:xfrm>
                      <a:off x="0" y="0"/>
                      <a:ext cx="4152900" cy="19431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-2</w:t>
      </w:r>
      <w:r>
        <w:rPr>
          <w:rFonts w:hint="eastAsia" w:ascii="黑体" w:hAnsi="黑体" w:eastAsia="黑体"/>
          <w:kern w:val="0"/>
          <w:szCs w:val="21"/>
        </w:rPr>
        <w:t xml:space="preserve">  </w:t>
      </w:r>
      <w:r>
        <w:rPr>
          <w:rFonts w:ascii="黑体" w:hAnsi="黑体" w:eastAsia="黑体"/>
          <w:kern w:val="0"/>
          <w:szCs w:val="21"/>
        </w:rPr>
        <w:t>垂直位移-时间过程曲线</w:t>
      </w:r>
    </w:p>
    <w:p>
      <w:pPr>
        <w:widowControl/>
        <w:tabs>
          <w:tab w:val="left" w:pos="360"/>
        </w:tabs>
        <w:spacing w:before="120" w:beforeLines="50" w:after="120" w:afterLines="50"/>
        <w:jc w:val="center"/>
        <w:rPr>
          <w:rFonts w:ascii="黑体" w:hAnsi="黑体" w:eastAsia="黑体"/>
          <w:kern w:val="0"/>
          <w:szCs w:val="21"/>
        </w:rPr>
      </w:pPr>
    </w:p>
    <w:p>
      <w:pPr>
        <w:jc w:val="center"/>
        <w:rPr>
          <w:rFonts w:ascii="Times New Roman" w:hAnsi="Times New Roman"/>
          <w:szCs w:val="24"/>
        </w:rPr>
      </w:pPr>
      <w:r>
        <w:rPr>
          <w:rFonts w:ascii="Times New Roman" w:hAnsi="Times New Roman"/>
          <w:szCs w:val="24"/>
        </w:rPr>
        <w:drawing>
          <wp:inline distT="0" distB="0" distL="0" distR="0">
            <wp:extent cx="4152900" cy="1943100"/>
            <wp:effectExtent l="19050" t="0" r="0" b="0"/>
            <wp:docPr id="39" name="图片 88"/>
            <wp:cNvGraphicFramePr/>
            <a:graphic xmlns:a="http://schemas.openxmlformats.org/drawingml/2006/main">
              <a:graphicData uri="http://schemas.openxmlformats.org/drawingml/2006/picture">
                <pic:pic xmlns:pic="http://schemas.openxmlformats.org/drawingml/2006/picture">
                  <pic:nvPicPr>
                    <pic:cNvPr id="39" name="图片 88"/>
                    <pic:cNvPicPr>
                      <a:picLocks noChangeArrowheads="1"/>
                    </pic:cNvPicPr>
                  </pic:nvPicPr>
                  <pic:blipFill>
                    <a:blip r:embed="rId54" cstate="print"/>
                    <a:srcRect/>
                    <a:stretch>
                      <a:fillRect/>
                    </a:stretch>
                  </pic:blipFill>
                  <pic:spPr>
                    <a:xfrm>
                      <a:off x="0" y="0"/>
                      <a:ext cx="4152900" cy="19431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-3</w:t>
      </w:r>
      <w:r>
        <w:rPr>
          <w:rFonts w:hint="eastAsia" w:ascii="黑体" w:hAnsi="黑体" w:eastAsia="黑体"/>
          <w:kern w:val="0"/>
          <w:szCs w:val="21"/>
        </w:rPr>
        <w:t xml:space="preserve">  </w:t>
      </w:r>
      <w:r>
        <w:rPr>
          <w:rFonts w:ascii="黑体" w:hAnsi="黑体" w:eastAsia="黑体"/>
          <w:kern w:val="0"/>
          <w:szCs w:val="21"/>
        </w:rPr>
        <w:t>合位移速率-时间过程曲线</w:t>
      </w:r>
    </w:p>
    <w:p>
      <w:pPr>
        <w:jc w:val="center"/>
        <w:rPr>
          <w:rFonts w:ascii="Times New Roman" w:hAnsi="Times New Roman"/>
          <w:szCs w:val="24"/>
        </w:rPr>
      </w:pPr>
      <w:r>
        <w:rPr>
          <w:rFonts w:ascii="Times New Roman" w:hAnsi="Times New Roman"/>
          <w:szCs w:val="24"/>
        </w:rPr>
        <w:drawing>
          <wp:inline distT="0" distB="0" distL="0" distR="0">
            <wp:extent cx="4162425" cy="1943100"/>
            <wp:effectExtent l="19050" t="0" r="9525" b="0"/>
            <wp:docPr id="40" name="图片 90"/>
            <wp:cNvGraphicFramePr/>
            <a:graphic xmlns:a="http://schemas.openxmlformats.org/drawingml/2006/main">
              <a:graphicData uri="http://schemas.openxmlformats.org/drawingml/2006/picture">
                <pic:pic xmlns:pic="http://schemas.openxmlformats.org/drawingml/2006/picture">
                  <pic:nvPicPr>
                    <pic:cNvPr id="40" name="图片 90"/>
                    <pic:cNvPicPr>
                      <a:picLocks noChangeArrowheads="1"/>
                    </pic:cNvPicPr>
                  </pic:nvPicPr>
                  <pic:blipFill>
                    <a:blip r:embed="rId55" cstate="print"/>
                    <a:srcRect/>
                    <a:stretch>
                      <a:fillRect/>
                    </a:stretch>
                  </pic:blipFill>
                  <pic:spPr>
                    <a:xfrm>
                      <a:off x="0" y="0"/>
                      <a:ext cx="4162425" cy="19431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-4</w:t>
      </w:r>
      <w:r>
        <w:rPr>
          <w:rFonts w:hint="eastAsia" w:ascii="黑体" w:hAnsi="黑体" w:eastAsia="黑体"/>
          <w:kern w:val="0"/>
          <w:szCs w:val="21"/>
        </w:rPr>
        <w:t xml:space="preserve">  </w:t>
      </w:r>
      <w:r>
        <w:rPr>
          <w:rFonts w:ascii="黑体" w:hAnsi="黑体" w:eastAsia="黑体"/>
          <w:kern w:val="0"/>
          <w:szCs w:val="21"/>
        </w:rPr>
        <w:t>位移加速度-时间过程曲线</w:t>
      </w:r>
    </w:p>
    <w:p>
      <w:pPr>
        <w:widowControl/>
        <w:tabs>
          <w:tab w:val="left" w:pos="360"/>
        </w:tabs>
        <w:spacing w:before="120" w:beforeLines="50" w:after="120" w:afterLines="50"/>
        <w:jc w:val="center"/>
        <w:rPr>
          <w:rFonts w:ascii="黑体" w:hAnsi="黑体" w:eastAsia="黑体"/>
          <w:kern w:val="0"/>
          <w:szCs w:val="21"/>
        </w:rPr>
      </w:pPr>
    </w:p>
    <w:p>
      <w:pPr>
        <w:jc w:val="center"/>
        <w:rPr>
          <w:rFonts w:ascii="Times New Roman" w:hAnsi="Times New Roman"/>
          <w:szCs w:val="24"/>
        </w:rPr>
      </w:pPr>
      <w:r>
        <w:rPr>
          <w:rFonts w:ascii="Times New Roman" w:hAnsi="Times New Roman"/>
          <w:szCs w:val="24"/>
        </w:rPr>
        <w:drawing>
          <wp:inline distT="0" distB="0" distL="0" distR="0">
            <wp:extent cx="4152900" cy="1943100"/>
            <wp:effectExtent l="19050" t="0" r="0" b="0"/>
            <wp:docPr id="41" name="图片 91"/>
            <wp:cNvGraphicFramePr/>
            <a:graphic xmlns:a="http://schemas.openxmlformats.org/drawingml/2006/main">
              <a:graphicData uri="http://schemas.openxmlformats.org/drawingml/2006/picture">
                <pic:pic xmlns:pic="http://schemas.openxmlformats.org/drawingml/2006/picture">
                  <pic:nvPicPr>
                    <pic:cNvPr id="41" name="图片 91"/>
                    <pic:cNvPicPr>
                      <a:picLocks noChangeArrowheads="1"/>
                    </pic:cNvPicPr>
                  </pic:nvPicPr>
                  <pic:blipFill>
                    <a:blip r:embed="rId56" cstate="print"/>
                    <a:srcRect/>
                    <a:stretch>
                      <a:fillRect/>
                    </a:stretch>
                  </pic:blipFill>
                  <pic:spPr>
                    <a:xfrm>
                      <a:off x="0" y="0"/>
                      <a:ext cx="4152900" cy="19431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-5</w:t>
      </w:r>
      <w:r>
        <w:rPr>
          <w:rFonts w:hint="eastAsia" w:ascii="黑体" w:hAnsi="黑体" w:eastAsia="黑体"/>
          <w:kern w:val="0"/>
          <w:szCs w:val="21"/>
        </w:rPr>
        <w:t xml:space="preserve">  </w:t>
      </w:r>
      <w:r>
        <w:rPr>
          <w:rFonts w:ascii="黑体" w:hAnsi="黑体" w:eastAsia="黑体"/>
          <w:kern w:val="0"/>
          <w:szCs w:val="21"/>
        </w:rPr>
        <w:t>位移倾角-时间过程曲线</w:t>
      </w:r>
    </w:p>
    <w:p>
      <w:pPr>
        <w:widowControl/>
        <w:tabs>
          <w:tab w:val="left" w:pos="360"/>
        </w:tabs>
        <w:spacing w:before="120" w:beforeLines="50" w:after="120" w:afterLines="50"/>
        <w:jc w:val="center"/>
        <w:rPr>
          <w:rFonts w:ascii="黑体" w:hAnsi="黑体" w:eastAsia="黑体"/>
          <w:kern w:val="0"/>
          <w:szCs w:val="21"/>
        </w:rPr>
      </w:pPr>
    </w:p>
    <w:p>
      <w:pPr>
        <w:jc w:val="center"/>
        <w:rPr>
          <w:rFonts w:ascii="Times New Roman" w:hAnsi="Times New Roman"/>
          <w:szCs w:val="24"/>
        </w:rPr>
      </w:pPr>
      <w:r>
        <w:rPr>
          <w:rFonts w:ascii="Times New Roman" w:hAnsi="Times New Roman"/>
          <w:szCs w:val="24"/>
        </w:rPr>
        <w:drawing>
          <wp:inline distT="0" distB="0" distL="0" distR="0">
            <wp:extent cx="4162425" cy="1943100"/>
            <wp:effectExtent l="19050" t="0" r="9525" b="0"/>
            <wp:docPr id="42" name="图片 93"/>
            <wp:cNvGraphicFramePr/>
            <a:graphic xmlns:a="http://schemas.openxmlformats.org/drawingml/2006/main">
              <a:graphicData uri="http://schemas.openxmlformats.org/drawingml/2006/picture">
                <pic:pic xmlns:pic="http://schemas.openxmlformats.org/drawingml/2006/picture">
                  <pic:nvPicPr>
                    <pic:cNvPr id="42" name="图片 93"/>
                    <pic:cNvPicPr>
                      <a:picLocks noChangeArrowheads="1"/>
                    </pic:cNvPicPr>
                  </pic:nvPicPr>
                  <pic:blipFill>
                    <a:blip r:embed="rId57" cstate="print"/>
                    <a:srcRect/>
                    <a:stretch>
                      <a:fillRect/>
                    </a:stretch>
                  </pic:blipFill>
                  <pic:spPr>
                    <a:xfrm>
                      <a:off x="0" y="0"/>
                      <a:ext cx="4162425" cy="19431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-6</w:t>
      </w:r>
      <w:r>
        <w:rPr>
          <w:rFonts w:hint="eastAsia" w:ascii="黑体" w:hAnsi="黑体" w:eastAsia="黑体"/>
          <w:kern w:val="0"/>
          <w:szCs w:val="21"/>
        </w:rPr>
        <w:t xml:space="preserve">  </w:t>
      </w:r>
      <w:r>
        <w:rPr>
          <w:rFonts w:ascii="黑体" w:hAnsi="黑体" w:eastAsia="黑体"/>
          <w:kern w:val="0"/>
          <w:szCs w:val="21"/>
        </w:rPr>
        <w:t>位移方向-时间过程曲线</w:t>
      </w:r>
    </w:p>
    <w:p>
      <w:pPr>
        <w:snapToGrid w:val="0"/>
        <w:jc w:val="center"/>
        <w:rPr>
          <w:rFonts w:ascii="Times New Roman" w:hAnsi="Times New Roman"/>
          <w:sz w:val="24"/>
          <w:szCs w:val="24"/>
        </w:rPr>
      </w:pPr>
      <w:r>
        <w:rPr>
          <w:rFonts w:ascii="Times New Roman" w:hAnsi="Times New Roman"/>
          <w:sz w:val="24"/>
          <w:szCs w:val="24"/>
        </w:rPr>
        <w:drawing>
          <wp:inline distT="0" distB="0" distL="0" distR="0">
            <wp:extent cx="2981325" cy="3095625"/>
            <wp:effectExtent l="19050" t="0" r="9525" b="0"/>
            <wp:docPr id="43" name="图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7" descr="1"/>
                    <pic:cNvPicPr>
                      <a:picLocks noChangeAspect="1" noChangeArrowheads="1"/>
                    </pic:cNvPicPr>
                  </pic:nvPicPr>
                  <pic:blipFill>
                    <a:blip r:embed="rId58" cstate="print"/>
                    <a:srcRect t="1891"/>
                    <a:stretch>
                      <a:fillRect/>
                    </a:stretch>
                  </pic:blipFill>
                  <pic:spPr>
                    <a:xfrm>
                      <a:off x="0" y="0"/>
                      <a:ext cx="2981325" cy="3095625"/>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-7</w:t>
      </w:r>
      <w:r>
        <w:rPr>
          <w:rFonts w:hint="eastAsia" w:ascii="黑体" w:hAnsi="黑体" w:eastAsia="黑体"/>
          <w:kern w:val="0"/>
          <w:szCs w:val="21"/>
        </w:rPr>
        <w:t xml:space="preserve">  </w:t>
      </w:r>
      <w:r>
        <w:rPr>
          <w:rFonts w:ascii="黑体" w:hAnsi="黑体" w:eastAsia="黑体"/>
          <w:kern w:val="0"/>
          <w:szCs w:val="21"/>
        </w:rPr>
        <w:t>地表位移矢量平面图</w:t>
      </w:r>
    </w:p>
    <w:p>
      <w:pPr>
        <w:widowControl/>
        <w:tabs>
          <w:tab w:val="left" w:pos="360"/>
        </w:tabs>
        <w:spacing w:before="120" w:beforeLines="50" w:after="120" w:afterLines="50"/>
        <w:contextualSpacing/>
        <w:jc w:val="center"/>
        <w:rPr>
          <w:rFonts w:ascii="黑体" w:hAnsi="黑体" w:eastAsia="黑体"/>
          <w:kern w:val="0"/>
          <w:szCs w:val="21"/>
        </w:rPr>
      </w:pPr>
    </w:p>
    <w:p>
      <w:pPr>
        <w:widowControl/>
        <w:tabs>
          <w:tab w:val="center" w:pos="4201"/>
          <w:tab w:val="right" w:leader="dot" w:pos="9298"/>
        </w:tabs>
        <w:autoSpaceDE w:val="0"/>
        <w:autoSpaceDN w:val="0"/>
        <w:adjustRightInd w:val="0"/>
        <w:snapToGrid w:val="0"/>
        <w:jc w:val="center"/>
        <w:rPr>
          <w:rFonts w:ascii="Times New Roman" w:hAnsi="Times New Roman" w:eastAsia="黑体"/>
          <w:kern w:val="0"/>
          <w:szCs w:val="21"/>
        </w:rPr>
      </w:pPr>
      <w:r>
        <w:rPr>
          <w:rFonts w:ascii="Times New Roman" w:hAnsi="Times New Roman" w:eastAsia="黑体"/>
          <w:kern w:val="0"/>
          <w:szCs w:val="21"/>
        </w:rPr>
        <w:drawing>
          <wp:inline distT="0" distB="0" distL="0" distR="0">
            <wp:extent cx="6048375" cy="3124200"/>
            <wp:effectExtent l="0" t="0" r="0" b="0"/>
            <wp:docPr id="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8"/>
                    <pic:cNvPicPr>
                      <a:picLocks noChangeAspect="1" noChangeArrowheads="1"/>
                    </pic:cNvPicPr>
                  </pic:nvPicPr>
                  <pic:blipFill>
                    <a:blip r:embed="rId59" cstate="print">
                      <a:extLst>
                        <a:ext uri="{BEBA8EAE-BF5A-486C-A8C5-ECC9F3942E4B}">
                          <a14:imgProps xmlns:a14="http://schemas.microsoft.com/office/drawing/2010/main">
                            <a14:imgLayer r:embed="rId60">
                              <a14:imgEffect>
                                <a14:saturation sat="0"/>
                              </a14:imgEffect>
                            </a14:imgLayer>
                          </a14:imgProps>
                        </a:ext>
                      </a:extLst>
                    </a:blip>
                    <a:srcRect/>
                    <a:stretch>
                      <a:fillRect/>
                    </a:stretch>
                  </pic:blipFill>
                  <pic:spPr>
                    <a:xfrm>
                      <a:off x="0" y="0"/>
                      <a:ext cx="6048375" cy="31242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-8</w:t>
      </w:r>
      <w:r>
        <w:rPr>
          <w:rFonts w:hint="eastAsia" w:ascii="黑体" w:hAnsi="黑体" w:eastAsia="黑体"/>
          <w:kern w:val="0"/>
          <w:szCs w:val="21"/>
        </w:rPr>
        <w:t xml:space="preserve">  </w:t>
      </w:r>
      <w:r>
        <w:rPr>
          <w:rFonts w:ascii="黑体" w:hAnsi="黑体" w:eastAsia="黑体"/>
          <w:kern w:val="0"/>
          <w:szCs w:val="21"/>
        </w:rPr>
        <w:t>深部位移-时间过程曲线</w:t>
      </w:r>
    </w:p>
    <w:p>
      <w:pPr>
        <w:widowControl/>
        <w:jc w:val="center"/>
        <w:rPr>
          <w:rFonts w:ascii="Times New Roman" w:hAnsi="Times New Roman" w:eastAsia="黑体"/>
          <w:b/>
          <w:bCs/>
          <w:kern w:val="28"/>
          <w:szCs w:val="32"/>
        </w:rPr>
      </w:pPr>
      <w:r>
        <w:rPr>
          <w:rFonts w:ascii="Times New Roman" w:hAnsi="Times New Roman" w:eastAsia="黑体"/>
          <w:b/>
          <w:kern w:val="28"/>
          <w:szCs w:val="32"/>
        </w:rPr>
        <w:drawing>
          <wp:inline distT="0" distB="0" distL="0" distR="0">
            <wp:extent cx="3667125" cy="3409950"/>
            <wp:effectExtent l="19050" t="0" r="9525" b="0"/>
            <wp:docPr id="4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95"/>
                    <pic:cNvPicPr>
                      <a:picLocks noChangeAspect="1" noChangeArrowheads="1"/>
                    </pic:cNvPicPr>
                  </pic:nvPicPr>
                  <pic:blipFill>
                    <a:blip r:embed="rId61" cstate="print"/>
                    <a:srcRect t="2979"/>
                    <a:stretch>
                      <a:fillRect/>
                    </a:stretch>
                  </pic:blipFill>
                  <pic:spPr>
                    <a:xfrm>
                      <a:off x="0" y="0"/>
                      <a:ext cx="3667125" cy="340995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-9</w:t>
      </w:r>
      <w:r>
        <w:rPr>
          <w:rFonts w:hint="eastAsia" w:ascii="黑体" w:hAnsi="黑体" w:eastAsia="黑体"/>
          <w:kern w:val="0"/>
          <w:szCs w:val="21"/>
        </w:rPr>
        <w:t xml:space="preserve">  </w:t>
      </w:r>
      <w:r>
        <w:rPr>
          <w:rFonts w:ascii="黑体" w:hAnsi="黑体" w:eastAsia="黑体"/>
          <w:kern w:val="0"/>
          <w:szCs w:val="21"/>
        </w:rPr>
        <w:t>裂缝平面分布图</w:t>
      </w:r>
    </w:p>
    <w:p>
      <w:pPr>
        <w:widowControl/>
        <w:tabs>
          <w:tab w:val="left" w:pos="360"/>
        </w:tabs>
        <w:spacing w:before="120" w:beforeLines="50" w:after="120" w:afterLines="50"/>
        <w:contextualSpacing/>
        <w:jc w:val="center"/>
        <w:rPr>
          <w:rFonts w:ascii="黑体" w:hAnsi="黑体" w:eastAsia="黑体"/>
          <w:kern w:val="0"/>
          <w:szCs w:val="21"/>
        </w:rPr>
      </w:pPr>
    </w:p>
    <w:p>
      <w:pPr>
        <w:jc w:val="center"/>
        <w:rPr>
          <w:rFonts w:ascii="Times New Roman" w:hAnsi="Times New Roman"/>
          <w:sz w:val="24"/>
          <w:szCs w:val="24"/>
        </w:rPr>
      </w:pPr>
      <w:r>
        <w:rPr>
          <w:rFonts w:ascii="Times New Roman" w:hAnsi="Times New Roman"/>
          <w:sz w:val="24"/>
          <w:szCs w:val="24"/>
        </w:rPr>
        <w:drawing>
          <wp:inline distT="0" distB="0" distL="0" distR="0">
            <wp:extent cx="4152900" cy="1981200"/>
            <wp:effectExtent l="19050" t="0" r="0" b="0"/>
            <wp:docPr id="46" name="图片 108"/>
            <wp:cNvGraphicFramePr/>
            <a:graphic xmlns:a="http://schemas.openxmlformats.org/drawingml/2006/main">
              <a:graphicData uri="http://schemas.openxmlformats.org/drawingml/2006/picture">
                <pic:pic xmlns:pic="http://schemas.openxmlformats.org/drawingml/2006/picture">
                  <pic:nvPicPr>
                    <pic:cNvPr id="46" name="图片 108"/>
                    <pic:cNvPicPr>
                      <a:picLocks noChangeArrowheads="1"/>
                    </pic:cNvPicPr>
                  </pic:nvPicPr>
                  <pic:blipFill>
                    <a:blip r:embed="rId62" cstate="print"/>
                    <a:srcRect/>
                    <a:stretch>
                      <a:fillRect/>
                    </a:stretch>
                  </pic:blipFill>
                  <pic:spPr>
                    <a:xfrm>
                      <a:off x="0" y="0"/>
                      <a:ext cx="4152900" cy="19812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-10</w:t>
      </w:r>
      <w:r>
        <w:rPr>
          <w:rFonts w:hint="eastAsia" w:ascii="黑体" w:hAnsi="黑体" w:eastAsia="黑体"/>
          <w:kern w:val="0"/>
          <w:szCs w:val="21"/>
        </w:rPr>
        <w:t xml:space="preserve">  </w:t>
      </w:r>
      <w:r>
        <w:rPr>
          <w:rFonts w:ascii="黑体" w:hAnsi="黑体" w:eastAsia="黑体"/>
          <w:kern w:val="0"/>
          <w:szCs w:val="21"/>
        </w:rPr>
        <w:t>裂缝张开度-时间过程曲线</w:t>
      </w:r>
    </w:p>
    <w:p>
      <w:pPr>
        <w:widowControl/>
        <w:tabs>
          <w:tab w:val="left" w:pos="360"/>
        </w:tabs>
        <w:spacing w:before="120" w:beforeLines="50" w:after="120" w:afterLines="50"/>
        <w:contextualSpacing/>
        <w:jc w:val="center"/>
        <w:rPr>
          <w:rFonts w:ascii="黑体" w:hAnsi="黑体" w:eastAsia="黑体"/>
          <w:kern w:val="0"/>
          <w:szCs w:val="21"/>
        </w:rPr>
      </w:pPr>
    </w:p>
    <w:p>
      <w:pPr>
        <w:widowControl/>
        <w:tabs>
          <w:tab w:val="center" w:pos="4201"/>
          <w:tab w:val="right" w:leader="dot" w:pos="9298"/>
        </w:tabs>
        <w:autoSpaceDE w:val="0"/>
        <w:autoSpaceDN w:val="0"/>
        <w:adjustRightInd w:val="0"/>
        <w:snapToGrid w:val="0"/>
        <w:jc w:val="center"/>
        <w:rPr>
          <w:rFonts w:ascii="Times New Roman" w:hAnsi="Times New Roman" w:eastAsia="黑体"/>
          <w:kern w:val="0"/>
          <w:szCs w:val="21"/>
        </w:rPr>
      </w:pPr>
      <w:r>
        <w:rPr>
          <w:rFonts w:ascii="Times New Roman" w:hAnsi="Times New Roman" w:eastAsia="黑体"/>
          <w:kern w:val="0"/>
          <w:szCs w:val="21"/>
        </w:rPr>
        <w:drawing>
          <wp:inline distT="0" distB="0" distL="0" distR="0">
            <wp:extent cx="3571875" cy="1990725"/>
            <wp:effectExtent l="19050" t="0" r="9525" b="0"/>
            <wp:docPr id="47" name="图片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1" descr="1"/>
                    <pic:cNvPicPr>
                      <a:picLocks noChangeAspect="1" noChangeArrowheads="1"/>
                    </pic:cNvPicPr>
                  </pic:nvPicPr>
                  <pic:blipFill>
                    <a:blip r:embed="rId63" cstate="print"/>
                    <a:srcRect t="2957"/>
                    <a:stretch>
                      <a:fillRect/>
                    </a:stretch>
                  </pic:blipFill>
                  <pic:spPr>
                    <a:xfrm>
                      <a:off x="0" y="0"/>
                      <a:ext cx="3571875" cy="1990725"/>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-11</w:t>
      </w:r>
      <w:r>
        <w:rPr>
          <w:rFonts w:hint="eastAsia" w:ascii="黑体" w:hAnsi="黑体" w:eastAsia="黑体"/>
          <w:kern w:val="0"/>
          <w:szCs w:val="21"/>
        </w:rPr>
        <w:t xml:space="preserve">  </w:t>
      </w:r>
      <w:r>
        <w:rPr>
          <w:rFonts w:ascii="黑体" w:hAnsi="黑体" w:eastAsia="黑体"/>
          <w:kern w:val="0"/>
          <w:szCs w:val="21"/>
        </w:rPr>
        <w:t>滑坡推力-时间过程曲线</w:t>
      </w:r>
    </w:p>
    <w:p>
      <w:pPr>
        <w:jc w:val="center"/>
        <w:rPr>
          <w:rFonts w:ascii="Times New Roman" w:hAnsi="Times New Roman"/>
          <w:szCs w:val="24"/>
        </w:rPr>
      </w:pPr>
      <w:r>
        <w:rPr>
          <w:rFonts w:ascii="Times New Roman" w:hAnsi="Times New Roman"/>
          <w:szCs w:val="24"/>
        </w:rPr>
        <w:drawing>
          <wp:inline distT="0" distB="0" distL="0" distR="0">
            <wp:extent cx="4162425" cy="1943100"/>
            <wp:effectExtent l="19050" t="0" r="9525" b="0"/>
            <wp:docPr id="48" name="图片 87"/>
            <wp:cNvGraphicFramePr/>
            <a:graphic xmlns:a="http://schemas.openxmlformats.org/drawingml/2006/main">
              <a:graphicData uri="http://schemas.openxmlformats.org/drawingml/2006/picture">
                <pic:pic xmlns:pic="http://schemas.openxmlformats.org/drawingml/2006/picture">
                  <pic:nvPicPr>
                    <pic:cNvPr id="48" name="图片 87"/>
                    <pic:cNvPicPr>
                      <a:picLocks noChangeArrowheads="1"/>
                    </pic:cNvPicPr>
                  </pic:nvPicPr>
                  <pic:blipFill>
                    <a:blip r:embed="rId64" cstate="print"/>
                    <a:srcRect/>
                    <a:stretch>
                      <a:fillRect/>
                    </a:stretch>
                  </pic:blipFill>
                  <pic:spPr>
                    <a:xfrm>
                      <a:off x="0" y="0"/>
                      <a:ext cx="4162425" cy="19431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-12</w:t>
      </w:r>
      <w:r>
        <w:rPr>
          <w:rFonts w:hint="eastAsia" w:ascii="黑体" w:hAnsi="黑体" w:eastAsia="黑体"/>
          <w:kern w:val="0"/>
          <w:szCs w:val="21"/>
        </w:rPr>
        <w:t xml:space="preserve">  </w:t>
      </w:r>
      <w:r>
        <w:rPr>
          <w:rFonts w:ascii="黑体" w:hAnsi="黑体" w:eastAsia="黑体"/>
          <w:kern w:val="0"/>
          <w:szCs w:val="21"/>
        </w:rPr>
        <w:t>日降雨量-时间过程曲线</w:t>
      </w:r>
    </w:p>
    <w:p>
      <w:pPr>
        <w:widowControl/>
        <w:tabs>
          <w:tab w:val="left" w:pos="360"/>
        </w:tabs>
        <w:spacing w:before="120" w:beforeLines="50" w:after="120" w:afterLines="50"/>
        <w:contextualSpacing/>
        <w:jc w:val="center"/>
        <w:rPr>
          <w:rFonts w:ascii="黑体" w:hAnsi="黑体" w:eastAsia="黑体"/>
          <w:kern w:val="0"/>
          <w:szCs w:val="21"/>
        </w:rPr>
      </w:pPr>
    </w:p>
    <w:p>
      <w:pPr>
        <w:jc w:val="center"/>
        <w:rPr>
          <w:rFonts w:ascii="Times New Roman" w:hAnsi="Times New Roman"/>
          <w:szCs w:val="24"/>
        </w:rPr>
      </w:pPr>
      <w:r>
        <w:rPr>
          <w:rFonts w:ascii="Times New Roman" w:hAnsi="Times New Roman"/>
          <w:szCs w:val="24"/>
        </w:rPr>
        <w:drawing>
          <wp:inline distT="0" distB="0" distL="0" distR="0">
            <wp:extent cx="4162425" cy="1943100"/>
            <wp:effectExtent l="0" t="0" r="0" b="0"/>
            <wp:docPr id="49" name="图片 92"/>
            <wp:cNvGraphicFramePr/>
            <a:graphic xmlns:a="http://schemas.openxmlformats.org/drawingml/2006/main">
              <a:graphicData uri="http://schemas.openxmlformats.org/drawingml/2006/picture">
                <pic:pic xmlns:pic="http://schemas.openxmlformats.org/drawingml/2006/picture">
                  <pic:nvPicPr>
                    <pic:cNvPr id="49" name="图片 92"/>
                    <pic:cNvPicPr>
                      <a:picLocks noChangeArrowheads="1"/>
                    </pic:cNvPicPr>
                  </pic:nvPicPr>
                  <pic:blipFill>
                    <a:blip r:embed="rId65" cstate="print">
                      <a:extLst>
                        <a:ext uri="{BEBA8EAE-BF5A-486C-A8C5-ECC9F3942E4B}">
                          <a14:imgProps xmlns:a14="http://schemas.microsoft.com/office/drawing/2010/main">
                            <a14:imgLayer r:embed="rId66">
                              <a14:imgEffect>
                                <a14:saturation sat="0"/>
                              </a14:imgEffect>
                            </a14:imgLayer>
                          </a14:imgProps>
                        </a:ext>
                      </a:extLst>
                    </a:blip>
                    <a:srcRect/>
                    <a:stretch>
                      <a:fillRect/>
                    </a:stretch>
                  </pic:blipFill>
                  <pic:spPr>
                    <a:xfrm>
                      <a:off x="0" y="0"/>
                      <a:ext cx="4162425" cy="19431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-13</w:t>
      </w:r>
      <w:r>
        <w:rPr>
          <w:rFonts w:hint="eastAsia" w:ascii="黑体" w:hAnsi="黑体" w:eastAsia="黑体"/>
          <w:kern w:val="0"/>
          <w:szCs w:val="21"/>
        </w:rPr>
        <w:t xml:space="preserve">  </w:t>
      </w:r>
      <w:r>
        <w:rPr>
          <w:rFonts w:ascii="黑体" w:hAnsi="黑体" w:eastAsia="黑体"/>
          <w:kern w:val="0"/>
          <w:szCs w:val="21"/>
        </w:rPr>
        <w:t>小时降雨量-时间过程曲线</w:t>
      </w:r>
    </w:p>
    <w:p>
      <w:pPr>
        <w:widowControl/>
        <w:tabs>
          <w:tab w:val="left" w:pos="360"/>
        </w:tabs>
        <w:spacing w:before="120" w:beforeLines="50" w:after="120" w:afterLines="50"/>
        <w:contextualSpacing/>
        <w:jc w:val="center"/>
        <w:rPr>
          <w:rFonts w:ascii="黑体" w:hAnsi="黑体" w:eastAsia="黑体"/>
          <w:kern w:val="0"/>
          <w:szCs w:val="21"/>
        </w:rPr>
      </w:pPr>
    </w:p>
    <w:p>
      <w:pPr>
        <w:jc w:val="center"/>
        <w:rPr>
          <w:rFonts w:ascii="Times New Roman" w:hAnsi="Times New Roman"/>
          <w:szCs w:val="24"/>
        </w:rPr>
      </w:pPr>
      <w:r>
        <w:rPr>
          <w:rFonts w:ascii="Times New Roman" w:hAnsi="Times New Roman" w:eastAsia="黑体"/>
          <w:sz w:val="18"/>
          <w:szCs w:val="15"/>
        </w:rPr>
        <w:drawing>
          <wp:inline distT="0" distB="0" distL="0" distR="0">
            <wp:extent cx="4152900" cy="1943100"/>
            <wp:effectExtent l="19050" t="0" r="0" b="0"/>
            <wp:docPr id="50" name="图片 87"/>
            <wp:cNvGraphicFramePr/>
            <a:graphic xmlns:a="http://schemas.openxmlformats.org/drawingml/2006/main">
              <a:graphicData uri="http://schemas.openxmlformats.org/drawingml/2006/picture">
                <pic:pic xmlns:pic="http://schemas.openxmlformats.org/drawingml/2006/picture">
                  <pic:nvPicPr>
                    <pic:cNvPr id="50" name="图片 87"/>
                    <pic:cNvPicPr>
                      <a:picLocks noChangeArrowheads="1"/>
                    </pic:cNvPicPr>
                  </pic:nvPicPr>
                  <pic:blipFill>
                    <a:blip r:embed="rId67" cstate="print"/>
                    <a:srcRect/>
                    <a:stretch>
                      <a:fillRect/>
                    </a:stretch>
                  </pic:blipFill>
                  <pic:spPr>
                    <a:xfrm>
                      <a:off x="0" y="0"/>
                      <a:ext cx="4152900" cy="1943100"/>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-14</w:t>
      </w:r>
      <w:r>
        <w:rPr>
          <w:rFonts w:hint="eastAsia" w:ascii="黑体" w:hAnsi="黑体" w:eastAsia="黑体"/>
          <w:kern w:val="0"/>
          <w:szCs w:val="21"/>
        </w:rPr>
        <w:t xml:space="preserve">  </w:t>
      </w:r>
      <w:r>
        <w:rPr>
          <w:rFonts w:ascii="黑体" w:hAnsi="黑体" w:eastAsia="黑体"/>
          <w:kern w:val="0"/>
          <w:szCs w:val="21"/>
        </w:rPr>
        <w:t>地下水位高程-降雨量关系图</w:t>
      </w:r>
    </w:p>
    <w:p>
      <w:pPr>
        <w:tabs>
          <w:tab w:val="center" w:pos="4201"/>
          <w:tab w:val="right" w:leader="dot" w:pos="9298"/>
        </w:tabs>
        <w:autoSpaceDE w:val="0"/>
        <w:autoSpaceDN w:val="0"/>
        <w:spacing w:line="360" w:lineRule="auto"/>
        <w:rPr>
          <w:rFonts w:ascii="黑体" w:hAnsi="黑体" w:eastAsia="黑体"/>
          <w:szCs w:val="24"/>
        </w:rPr>
      </w:pPr>
      <w:r>
        <w:rPr>
          <w:rFonts w:ascii="黑体" w:hAnsi="黑体" w:eastAsia="黑体"/>
          <w:szCs w:val="24"/>
        </w:rPr>
        <w:drawing>
          <wp:inline distT="0" distB="0" distL="0" distR="0">
            <wp:extent cx="5940425" cy="6153150"/>
            <wp:effectExtent l="0" t="0" r="0" b="0"/>
            <wp:docPr id="1" name="图片 1" descr="E:\十堰市试点建设\十堰试点建设分布图\福利院滑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十堰市试点建设\十堰试点建设分布图\福利院滑坡.jpg"/>
                    <pic:cNvPicPr>
                      <a:picLocks noChangeAspect="1" noChangeArrowheads="1"/>
                    </pic:cNvPicPr>
                  </pic:nvPicPr>
                  <pic:blipFill>
                    <a:blip r:embed="rId68" cstate="print">
                      <a:extLst>
                        <a:ext uri="{BEBA8EAE-BF5A-486C-A8C5-ECC9F3942E4B}">
                          <a14:imgProps xmlns:a14="http://schemas.microsoft.com/office/drawing/2010/main">
                            <a14:imgLayer r:embed="rId69">
                              <a14:imgEffect>
                                <a14:saturation sat="0"/>
                              </a14:imgEffect>
                            </a14:imgLayer>
                          </a14:imgProps>
                        </a:ext>
                        <a:ext uri="{28A0092B-C50C-407E-A947-70E740481C1C}">
                          <a14:useLocalDpi xmlns:a14="http://schemas.microsoft.com/office/drawing/2010/main" val="0"/>
                        </a:ext>
                      </a:extLst>
                    </a:blip>
                    <a:srcRect t="14172" b="12585"/>
                    <a:stretch>
                      <a:fillRect/>
                    </a:stretch>
                  </pic:blipFill>
                  <pic:spPr>
                    <a:xfrm>
                      <a:off x="0" y="0"/>
                      <a:ext cx="5939790" cy="6151850"/>
                    </a:xfrm>
                    <a:prstGeom prst="rect">
                      <a:avLst/>
                    </a:prstGeom>
                    <a:noFill/>
                    <a:ln>
                      <a:noFill/>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sectPr>
          <w:pgSz w:w="11906" w:h="16838"/>
          <w:pgMar w:top="1418" w:right="1134" w:bottom="1134" w:left="1418" w:header="851" w:footer="992" w:gutter="0"/>
          <w:cols w:space="425" w:num="1"/>
          <w:docGrid w:linePitch="312" w:charSpace="0"/>
        </w:sectPr>
      </w:pPr>
      <w:r>
        <w:rPr>
          <w:rFonts w:ascii="黑体" w:hAnsi="黑体" w:eastAsia="黑体"/>
          <w:kern w:val="0"/>
          <w:szCs w:val="21"/>
        </w:rPr>
        <w:t>图</w:t>
      </w:r>
      <w:r>
        <w:rPr>
          <w:rFonts w:hint="eastAsia" w:ascii="黑体" w:hAnsi="黑体" w:eastAsia="黑体"/>
          <w:kern w:val="0"/>
          <w:szCs w:val="21"/>
        </w:rPr>
        <w:t>J</w:t>
      </w:r>
      <w:r>
        <w:rPr>
          <w:rFonts w:ascii="黑体" w:hAnsi="黑体" w:eastAsia="黑体"/>
          <w:kern w:val="0"/>
          <w:szCs w:val="21"/>
        </w:rPr>
        <w:t>-1</w:t>
      </w:r>
      <w:r>
        <w:rPr>
          <w:rFonts w:hint="eastAsia" w:ascii="黑体" w:hAnsi="黑体" w:eastAsia="黑体"/>
          <w:kern w:val="0"/>
          <w:szCs w:val="21"/>
        </w:rPr>
        <w:t>5  监测工程平面布置图（以十堰市郧阳区福利院滑坡为例）</w:t>
      </w:r>
    </w:p>
    <w:p>
      <w:pPr>
        <w:tabs>
          <w:tab w:val="center" w:pos="4201"/>
          <w:tab w:val="right" w:leader="dot" w:pos="9298"/>
        </w:tabs>
        <w:autoSpaceDE w:val="0"/>
        <w:autoSpaceDN w:val="0"/>
        <w:spacing w:line="360" w:lineRule="auto"/>
        <w:jc w:val="center"/>
        <w:rPr>
          <w:rFonts w:ascii="黑体" w:hAnsi="黑体" w:eastAsia="黑体"/>
          <w:szCs w:val="24"/>
        </w:rPr>
      </w:pPr>
      <w:r>
        <w:rPr>
          <w:rFonts w:hint="eastAsia" w:ascii="黑体" w:hAnsi="黑体" w:eastAsia="黑体"/>
          <w:szCs w:val="24"/>
        </w:rPr>
        <w:drawing>
          <wp:inline distT="0" distB="0" distL="0" distR="0">
            <wp:extent cx="9089390" cy="463169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0" cstate="print">
                      <a:extLst>
                        <a:ext uri="{28A0092B-C50C-407E-A947-70E740481C1C}">
                          <a14:useLocalDpi xmlns:a14="http://schemas.microsoft.com/office/drawing/2010/main" val="0"/>
                        </a:ext>
                      </a:extLst>
                    </a:blip>
                    <a:srcRect l="734" t="14952" r="713" b="14025"/>
                    <a:stretch>
                      <a:fillRect/>
                    </a:stretch>
                  </pic:blipFill>
                  <pic:spPr>
                    <a:xfrm>
                      <a:off x="0" y="0"/>
                      <a:ext cx="9090000" cy="4632033"/>
                    </a:xfrm>
                    <a:prstGeom prst="rect">
                      <a:avLst/>
                    </a:prstGeom>
                    <a:ln>
                      <a:noFill/>
                    </a:ln>
                  </pic:spPr>
                </pic:pic>
              </a:graphicData>
            </a:graphic>
          </wp:inline>
        </w:drawing>
      </w:r>
    </w:p>
    <w:p>
      <w:pPr>
        <w:widowControl/>
        <w:tabs>
          <w:tab w:val="left" w:pos="360"/>
        </w:tabs>
        <w:spacing w:before="120" w:beforeLines="50" w:after="120" w:afterLines="50"/>
        <w:jc w:val="center"/>
        <w:rPr>
          <w:rFonts w:ascii="黑体" w:hAnsi="黑体" w:eastAsia="黑体"/>
          <w:kern w:val="0"/>
          <w:szCs w:val="21"/>
        </w:rPr>
        <w:sectPr>
          <w:pgSz w:w="16838" w:h="11906" w:orient="landscape"/>
          <w:pgMar w:top="1418" w:right="1418" w:bottom="1134" w:left="1134" w:header="851" w:footer="992" w:gutter="0"/>
          <w:cols w:space="425" w:num="1"/>
          <w:docGrid w:linePitch="312" w:charSpace="0"/>
        </w:sectPr>
      </w:pPr>
      <w:r>
        <w:rPr>
          <w:rFonts w:hint="eastAsia" w:ascii="黑体" w:hAnsi="黑体" w:eastAsia="黑体"/>
          <w:kern w:val="0"/>
          <w:szCs w:val="21"/>
        </w:rPr>
        <w:t>图J-16  监测工程剖面布置图（以十堰市郧阳区麻池村滑坡群为例）</w:t>
      </w:r>
    </w:p>
    <w:p>
      <w:pPr>
        <w:widowControl/>
        <w:tabs>
          <w:tab w:val="left" w:pos="360"/>
        </w:tabs>
        <w:spacing w:before="120" w:beforeLines="50" w:after="120" w:afterLines="50"/>
        <w:jc w:val="center"/>
        <w:rPr>
          <w:rFonts w:hint="eastAsia" w:ascii="黑体" w:hAnsi="黑体" w:eastAsia="黑体"/>
          <w:kern w:val="0"/>
          <w:szCs w:val="21"/>
          <w:lang w:eastAsia="zh-CN"/>
        </w:rPr>
      </w:pPr>
      <w:bookmarkStart w:id="276" w:name="_Toc534577802"/>
      <w:bookmarkStart w:id="277" w:name="_Toc21966444"/>
      <w:r>
        <w:rPr>
          <w:rFonts w:ascii="黑体" w:hAnsi="黑体" w:eastAsia="黑体"/>
          <w:kern w:val="0"/>
          <w:szCs w:val="21"/>
        </w:rPr>
        <w:t xml:space="preserve">附  录  </w:t>
      </w:r>
      <w:r>
        <w:rPr>
          <w:rFonts w:hint="eastAsia" w:ascii="黑体" w:hAnsi="黑体" w:eastAsia="黑体"/>
          <w:kern w:val="0"/>
          <w:szCs w:val="21"/>
        </w:rPr>
        <w:t>K</w:t>
      </w:r>
    </w:p>
    <w:p>
      <w:pPr>
        <w:widowControl/>
        <w:tabs>
          <w:tab w:val="left" w:pos="360"/>
        </w:tabs>
        <w:spacing w:before="120" w:beforeLines="50" w:after="120" w:afterLines="50"/>
        <w:jc w:val="center"/>
        <w:rPr>
          <w:rFonts w:hint="eastAsia" w:ascii="Times New Roman" w:hAnsi="Times New Roman" w:eastAsia="黑体"/>
          <w:kern w:val="0"/>
          <w:szCs w:val="21"/>
          <w:lang w:eastAsia="zh-CN"/>
        </w:rPr>
      </w:pPr>
      <w:r>
        <w:rPr>
          <w:rFonts w:ascii="Times New Roman" w:hAnsi="Times New Roman" w:eastAsia="黑体"/>
          <w:kern w:val="0"/>
          <w:szCs w:val="21"/>
        </w:rPr>
        <w:t>（资料性附录）</w:t>
      </w:r>
    </w:p>
    <w:p>
      <w:pPr>
        <w:widowControl/>
        <w:tabs>
          <w:tab w:val="left" w:pos="360"/>
        </w:tabs>
        <w:spacing w:before="120" w:beforeLines="50" w:after="120" w:afterLines="50"/>
        <w:jc w:val="center"/>
        <w:rPr>
          <w:rFonts w:ascii="黑体" w:hAnsi="Times New Roman" w:eastAsia="黑体"/>
          <w:b/>
          <w:kern w:val="0"/>
          <w:szCs w:val="21"/>
        </w:rPr>
      </w:pPr>
      <w:r>
        <w:rPr>
          <w:rFonts w:ascii="Times New Roman" w:hAnsi="Times New Roman" w:eastAsia="黑体"/>
          <w:kern w:val="0"/>
          <w:szCs w:val="21"/>
        </w:rPr>
        <w:t>表</w:t>
      </w:r>
      <w:r>
        <w:rPr>
          <w:rFonts w:hint="eastAsia" w:ascii="Times New Roman" w:hAnsi="Times New Roman" w:eastAsia="黑体"/>
          <w:kern w:val="0"/>
          <w:szCs w:val="21"/>
        </w:rPr>
        <w:t xml:space="preserve">K-1  </w:t>
      </w:r>
      <w:r>
        <w:rPr>
          <w:rFonts w:ascii="Times New Roman" w:hAnsi="Times New Roman" w:eastAsia="黑体"/>
          <w:kern w:val="0"/>
          <w:szCs w:val="21"/>
        </w:rPr>
        <w:t>滑坡</w:t>
      </w:r>
      <w:r>
        <w:rPr>
          <w:rFonts w:hint="eastAsia" w:ascii="Times New Roman" w:hAnsi="Times New Roman" w:eastAsia="黑体"/>
          <w:kern w:val="0"/>
          <w:szCs w:val="21"/>
        </w:rPr>
        <w:t>灾害</w:t>
      </w:r>
      <w:r>
        <w:rPr>
          <w:rFonts w:ascii="Times New Roman" w:hAnsi="Times New Roman" w:eastAsia="黑体"/>
          <w:kern w:val="0"/>
          <w:szCs w:val="21"/>
        </w:rPr>
        <w:t>预警级别划分的综合判定</w:t>
      </w:r>
      <w:bookmarkEnd w:id="276"/>
      <w:bookmarkEnd w:id="277"/>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113"/>
        <w:gridCol w:w="748"/>
        <w:gridCol w:w="676"/>
        <w:gridCol w:w="1990"/>
        <w:gridCol w:w="879"/>
        <w:gridCol w:w="2758"/>
        <w:gridCol w:w="1607"/>
        <w:gridCol w:w="531"/>
        <w:gridCol w:w="1703"/>
        <w:gridCol w:w="435"/>
        <w:gridCol w:w="2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2" w:hRule="atLeast"/>
          <w:jc w:val="center"/>
        </w:trPr>
        <w:tc>
          <w:tcPr>
            <w:tcW w:w="851" w:type="pct"/>
            <w:gridSpan w:val="4"/>
            <w:shd w:val="clear" w:color="auto" w:fill="auto"/>
            <w:vAlign w:val="center"/>
          </w:tcPr>
          <w:p>
            <w:pPr>
              <w:jc w:val="center"/>
              <w:rPr>
                <w:rFonts w:ascii="Times New Roman" w:hAnsi="Times New Roman"/>
                <w:sz w:val="18"/>
                <w:szCs w:val="18"/>
              </w:rPr>
            </w:pPr>
            <w:r>
              <w:rPr>
                <w:rFonts w:ascii="Times New Roman" w:hAnsi="Times New Roman"/>
                <w:sz w:val="18"/>
                <w:szCs w:val="18"/>
              </w:rPr>
              <w:t>变形—时间曲线示意图</w:t>
            </w:r>
          </w:p>
        </w:tc>
        <w:tc>
          <w:tcPr>
            <w:tcW w:w="4149" w:type="pct"/>
            <w:gridSpan w:val="8"/>
            <w:shd w:val="clear" w:color="auto" w:fill="auto"/>
            <w:vAlign w:val="center"/>
          </w:tcPr>
          <w:p>
            <w:pPr>
              <w:jc w:val="center"/>
              <w:rPr>
                <w:rFonts w:ascii="Times New Roman" w:hAnsi="Times New Roman"/>
                <w:sz w:val="18"/>
                <w:szCs w:val="18"/>
              </w:rPr>
            </w:pPr>
            <w:r>
              <w:rPr>
                <w:rFonts w:ascii="Times New Roman" w:hAnsi="Times New Roman"/>
              </w:rPr>
              <w:pict>
                <v:group id="组合 16" o:spid="_x0000_s1105" o:spt="203" style="position:absolute;left:0pt;margin-left:-3pt;margin-top:7.2pt;height:213.4pt;width:587.05pt;z-index:251741184;mso-width-relative:margin;mso-height-relative:margin;" coordorigin="0,1366" coordsize="85080,264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nzVIPBwAA1ykAAA4AAABkcnMvZTJvRG9jLnhtbOxazY/bRBS/I/E/&#10;WL67scffUbPVbrKpKhVY0cLdsZ3Equ0xY2ezC+KGKFwQJy5FSEjAqXDqDQn+mm75M3hvZvyR3WR3&#10;24WURVlpE0/sGb+P3/u998a+e+8kS5XjmJUJzQeqcUdXlTgPaZTks4H60eOx5qlKWQV5FKQ0jwfq&#10;aVyq9/befefusujHhM5pGsVMgUXysr8sBuq8qop+r1eG8zgLyju0iHM4OaUsCyoYslkvYsESVs/S&#10;HtF1p7ekLCoYDeOyhF9H4qS6x9efTuOw+mA6LeNKSQcqyFbxT8Y/J/jZ27sb9GcsKOZJKMUI3kCK&#10;LEhyuGmz1CioAmXBkgtLZUnIaEmn1Z2QZj06nSZhzHUAbQz9nDb3GV0UXJdZfzkrGjOBac/Z6Y2X&#10;Dd8/PmJKEg1Uoip5kIGLXv3+xctvv1IMB42zLGZ9uOY+Kx4VR0xoCIcPafikhNO98+dxPBMXK5Pl&#10;ezSCBYNFRblxTqYswyVAbeWE++C08UF8Uikh/OgS3yKWrSohnCOOS1zDFl4K5+DKdp5hOlzCoB/O&#10;D+Vkz9Y98LKYagkNekFf3JfLKmUTivFBo6O0g3XODv52zNCq01pC1/1aGdPgcqCy0goaOAxMZBJy&#10;wQyOaTsQd9wMlul7qMEGMxRJ2Id/CS04ugCtq0MQZlULFqtykexaa2QBe7IoNIiCIqiSSZIm1SmP&#10;aEAKCpUfHyUhIg4HLUoBGAKlL5/98errp4qButWXiAkBKsQBquR0OA/yWbxfFsAEwE/cEquX93C4&#10;crdJmhTjJE0Rqngs9QLWOBd1a0wjInpEw0UW55WgKBanoCLNy3lSlKrC+nE2iSHi2IPI4HEBHn9Y&#10;Vng79D2njc+Itw/uJwfa0NaHmqW7h9q+b7maqx+6lm55xtAYfo6zDau/KGPQN0hHRSJlhV8vSLuW&#10;IySbCvbhLKYcB5wrBWZAII6dWkSAEZoEZS1Z+CFYFZnVNC3H4OxKCHHBR2ArCE8bYhFYlhCfELQ8&#10;zKlYXIVzPJyChXG+uE9zgruj9QA6pwTmWU8mCqPgVc22dPzjtpTcYvi2JwJEMyAceAgI8yLJEIgK&#10;GVoYK+5KgAB+WFndj2mm4AH4CaTkawfH4CYhb30JapJTRAvXrzZT15O+7h96h56lWcQ5BE+ORtr+&#10;eGhpzthw7ZE5Gg5HRu3JeRJFcY7L3dyR3N40TaIayyWbTYYpEw4e8z+peNle1kNAtWLUzq+/OU65&#10;j9Ar8Cs6CP6RRSGDl3WwwOh6AMT8vS73PZoHRQxWx2Xb8Ed2l1nq2Yuzb35+9duvL3968defP+Dx&#10;818UExWSU4b5EZOjSxA0BTR/jMyA5qrBY0Au5uzqmo6sETAyEToyvQCAOO02tHoBNYDoIJnNqyHN&#10;cwAQZeIWV2MozZUlCERcieiOczDoOj7kqOfygRgrl0HhkEcckfM4iA7lcRUkKRwr1WmBaZkxulTx&#10;XlkcqUoaQwGHRzANlktzNMh/Dc9NqF0LpggEAVM8mtDolCMCCgEO1W1hFpjxMsxar4vZtUg1gExk&#10;IVBD1fJMWUfVGKkLsJq9JMHtoLrCef8M9d5KqDZNwNl3T8++f37245cKr74lpT7CTFydHFAgQkFn&#10;pWgF2koLSQU5B+hfVFudqSLgNpNxB9ieYzqcgS23rh06sAYxeXHrEh48m0n4qtS9Qpor3LopP9bM&#10;2HHvZVxpEEs/IL42djxXs8aWrfmu7mm64R/4jm751mi8mvsfJnl8cwAiq0NlI0qizUpuTiBZUkFf&#10;nibZQPX4VUhSQX9NNuHpookfFL+uFepvUTMgDloyrk4mJ7zttBv6E/wsSjrIsrCpALXXnLJPIUdB&#10;gz5Qy08WAbYZ6YMc0OUblgWXVXxg2S6BAeuemXTPBHkISw3USlXE4bCCEUxZFAyzdI3nnO5DtzpN&#10;eJmHIgupQBUcQH2zraRh1kmjjURexHbCaTuRaNi+CcJAq2nopiW70E4swrldLLZ7OWsaqtsTiw3X&#10;35ZYbPd0thWXzfZQG5fQKwAJbj8wfROEwV0y2/J5C9s2uBCqvqz9CPGu6FSuSpJNqnvN3Pf/6HtX&#10;WvldOpdbVTwdrkvnHGtt4tylc17leBCMogfs0AbfE3sLtGEbsDmMvAG0cW53w9B1Au0qT+ievuON&#10;G+yX7XgDt5GgULxeG8AT2I436jJCPoyC1H2RN7qbnNvryE0PGq6NvGHiRumON/gzo2vtI2zcwNzx&#10;xmvxRtMU35aWBTnu339O4q7hjWanBZ6nbI83bMPXL+ENAx/T7eoN3Fzb8UZ/e9uO8rWOeoNv16eI&#10;PgU6A9GnPMYtPtjoVxzr7dQbjuP64gn+uj7FI179hsuuT+k+E9703GJXb4iH3zd8XCFeB7hNfQrf&#10;IoW3B3kbJt90xNcTu2P+eKN9H3Pvb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Az&#10;AoFV3wAAAAgBAAAPAAAAZHJzL2Rvd25yZXYueG1sTI9Ba8JAFITvhf6H5RV6q5uoCSVmIyJtT1Ko&#10;Foq3Z/aZBLNvQ3ZN4r/vemqPwwwz3+TrybRioN41lhXEswgEcWl1w5WC78P7yysI55E1tpZJwY0c&#10;rIvHhxwzbUf+omHvKxFK2GWooPa+y6R0ZU0G3cx2xME7296gD7KvpO5xDOWmlfMoSqXBhsNCjR1t&#10;ayov+6tR8DHiuFnEb8Puct7ejofk82cXk1LPT9NmBcLT5P/CcMcP6FAEppO9snaiVZAGcK8gWYK4&#10;u3GSJCBOCpbzdAGyyOX/A8UvAAAA//8DAFBLAwQKAAAAAAAAACEAumY6v61vAACtbwAAFQAAAGRy&#10;cy9tZWRpYS9pbWFnZTEuanBlZ//Y/+AAEEpGSUYAAQEBANwA3AAA/9sAQwACAQEBAQECAQEBAgIC&#10;AgIEAwICAgIFBAQDBAYFBgYGBQYGBgcJCAYHCQcGBggLCAkKCgoKCgYICwwLCgwJCgoK/9sAQwEC&#10;AgICAgIFAwMFCgcGBwoKCgoKCgoKCgoKCgoKCgoKCgoKCgoKCgoKCgoKCgoKCgoKCgoKCgoKCgoK&#10;CgoKCgoK/8AAEQgE9QOB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AkAZNR/aYcBi/U4HvTpcGJgf7pr4x/4Ka/&#10;tR/tofsO+L/Cf7XPwy8Ex+OvgPoNncWvxq8E6Vp6NrenwNKHXXbM8GRYEVhJCXClWyRjMsIB9no6&#10;uNy9KWuH/Z/+P3wq/aX+EGg/HP4HeM7PxF4U8SWQutH1ixkyk0e4oQR1V1dWVkYBlZWVgCCK7gHI&#10;z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BAIwRVbU&#10;LaOa1aE2sciyKVZJFypBHQ+xqzRQB+W/xy+Bnxl/4IZ/GHXP20/2MfBl/wCJf2afFGoDUPjd8F9N&#10;jMk3hOTC+b4g0aMkARqqs01vuVAPSNVNt+iHwC+Pvwm/aX+EugfHP4IePLHxF4T8SWIu9H1awm3R&#10;yx5KkHujqwZWRsMrKysAVNddf6et+GinVZImXDRSKGVh6EY6V+UH7U/hf4hf8G93x4/4bH/Zb8Ca&#10;14g/Ze8fa4W+NXwv0mNZIvBF65jVda0xWcGJJMvvh4hDKELIph8kA/WkMCcA0Vxn7P8A8c/hV+0r&#10;8JND+OfwP8ZWfiHwn4lsVvNF1ixfdHcRklSOgKujq0bIQGRkZWAYEV2d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l+J/CvhzxV4c1Dwv4q0m31LTNUs5&#10;LXUrC+iWSG5gkUo8UiMMOjKxUqchgcHOa1KCAw2sMg9RQB+T+r3vjb/g3Y/aV0Kw8M3Gpa1+xj8X&#10;PFX2W40+6V5R8HtWnmX9+s7E40yZpWco7EqIpCP3gHn/AKq6DrWm+I9Ftdf0bUra8s72BZ7O8s5l&#10;khniYZSRHUkMrKQQQSCDwSOa5n4+fBP4fftHfB7xJ8Bfix4aj1bwv4w0W50nxBpzyNH51rOmyTa6&#10;kNG4ByrqQysFYEFQR+bv7AXxW+If/BHH9rTTv+COv7U/ii81T4WeKnlvP2cfitrl08MYUsGbw9cv&#10;K3lmdGYCNYioyygIPOVUAP1TopqSxyfcan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Xzv/wU3/4J4fDT/gpN+y7rHwM8auljrlsG1L4f+KP3gk8O67HG&#10;wtb5fLZSyqxw6Z+ZGYDB2sPoikY4UnGeOlAHwz/wRj/4KJeO/wBpfwd4i/ZL/a20+TQ/2hvgjLFo&#10;nxG0nUpkS41yNFVI9cij2qTFP8rMyrsDSoQQksWfuWGUTJvA/WvzA/4LV/BzX/2K/jl4B/4Lk/s8&#10;aNdR6r8O9Us9K+OGh6bJ9nj8SeFZ5BC8k4RMyywl1AZt4UeW2w+SBX6R/C/x94T+Kvw90X4n+Ate&#10;ttU0PxJpdvqmjajZzCSK5tbiNZYpUdSQysjggg4waAN6ijN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g/E/4feDfiz8O9a+F/wARfDlnrHh/xDpc+na3&#10;pN/HvhvLWZDHLE47qyMQenB6jrX58/8ABDfxrrv7N3xN+OH/AASA+JUmsC++CXiybVPhnPrE00x1&#10;LwVezZsWjkfKgQ5RCqgKpmULuKOR+kUsayrtavzY/wCCncPhj9iP/grD+y7/AMFC7FrXS9L8eatd&#10;fCr4qXWFjWe2vIw+mXUrttjRYJ1bfJIxbywqoPloA/SeM5jU/wCzTqbGNqKoH8N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iv/AIODPg7N8W/+CUXx&#10;W1PSbi3tta8A6TD428O6hcl8Wd1pM6XjSKq8M5gjnjUMCm6UbgOCPtSuZ+MPgO1+KXwy8QfDW+ul&#10;gh8QaHd6dNNJbiVY1nhaPcUJAfG7O3Iz6igDB/ZG+M9v+0T+yn8Mfj/DFcQr46+H2i+IFhvNgmT7&#10;ZYw3G19ny7h5nO3jPTivRK+B/wDg2+8X6xrH/BK/wb8PPEOl3VrdfDnxFrnhFmvJG8y4+xajOokZ&#10;GGYj8xXyiTs2YzX3x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NkhSX74p1FAH54/8EaTY/Dr9tf9uz9mQXl1qE2j/tG/8Jo2oTRqkQj8Q2pvEtkTexzC&#10;8EiluAwKsACSF/Q6vz5+ENwfgf8A8HGPxY8A3Go6fptj8ZvgTovibTdJsLP5tTvNNupLKS5nZI8L&#10;KiNMoLP8yOOpAA/Qa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CcDJoD&#10;A8A0AFFFFABRRRQAUUUUAfnf+3DfR/Dz/g4E/Yn8R+FbG3h1Hx54T+IPhrxRePHvku9NtdPh1C3h&#10;54TZcFnDAA4dhkg4H6IV+cv/AAX4Y+ANZ/ZR/ac1OHOi/Dv9qTQLjXI7U/6W8c7NEoiU4V8leQzK&#10;MHqa/RS1meXknOB+v+frQBN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2T/V&#10;t/u14B+0T+0Z+2R8KPiKvhf4Cf8ABO7WfinobaZFO3iTT/iVomkIszM+6Dyb6ZJCVAU7gNp38dDX&#10;0Cw3KVPfio4reOE5TNAHyT/w2z/wU1/6QseKP/D6eFf/AJJo/wCG2f8Agpr/ANIWPFH/AIfTwr/8&#10;k19dYoxQB8i/8Ns/8FNf+kLHij/w+nhX/wCSaP8Ahtn/AIKa/wDSFjxR/wCH08K//JNfXWKMUAfI&#10;v/DbP/BTX/pCx4o/8Pp4V/8Akmj/AIbZ/wCCmv8A0hY8Uf8Ah9PCv/yTX11ijFAH49/8F5fjt+3l&#10;8U/+CbfizWPiF/wSx8UeCI/BWtaP4o03xg/xU0HVI9EurTUIcXElpZzPJcR+W8iMu0qokMj/ACoS&#10;P1l+GWr3ev8AgXR9e1G48y5vtKt7i4bbty7xqW47DdnjtXjf/BVr4deJvil/wTR+Pnw+8E2P2rVt&#10;Z+E+u2+n2zXCRLJKbGXaNzkKv1JAqH/gkv8AEK0+Kn/BM74A+ObfxW2uTXHwd8PQ6jqkl000k97D&#10;p8EN15jty8i3EcqOSSS6tkk5oA+ia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nfi/4Kn+JXwm8UfDm1v0tZPEHh2902O6kQssLTwPEHIHJALZwOuK+&#10;Nf8Ag268YaL4h/4JEfDXwroq3LN4NuNY8PX01xAsYmuLbU7jc6YdsoQ64JwfYV91S48tt3THNfnr&#10;/wAG8t7D4f8Ah3+0p8ANA0m3svDfwu/a28beHfClvG0ryx2C3UcyJK8js0jKZWUMeSoGdxyxAP0M&#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AgEYIr&#10;88v+CQupT+H/APgpZ/wUA+DOhQ29n4b0r4vaDr9jptvbIqx6jqulu9/PuA3MZntonIJIDBiAC7E/&#10;oXKdsbH2r8/f2ZD4j8I/8HDn7RugRWV3p2g+Jfgj4V1nyVtTFb6ncRSm3F0OAJmTM8e8ZIPmKTxg&#10;AH6CUUiOrruU0t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2QZjYY7V+fPxM0rxdon/Byb8MPFs8dxb+H/ABF+yxrWnWsn2oLHd3dlrPnTRbQcs0aXUD8j&#10;jzcgnBA/QaT7jfLnjp61+e//AAUa8OT6P/wWk/YG+MevX9jYeH7XWvHvh+a81C8SHdf3/h1xaQAO&#10;RuaV4jGo6s7IgBZwCAfoNaNvgBBz2qSmxgKuAKd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nn/wXtsbXwj4n/ZF/aR8RapHb6D8P/2pdAk1qNY3e4kW&#10;5DxoY1UYbBQ5yRweM1+hlfn9/wAHL2i2Fp/wTGm+N+rX8q2vwp+KHhLxbdWMFuHk1COPVoLRoFZn&#10;URt/pnmBjkZi2kDduUA+/wCJt67gO9Oqj4Y1iHxD4estetoZI4721jnjSX7yq6hgDyeefWr1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8c/8HAXwy0z4&#10;t/8ABHH4/eFdX1G4tYbTwO2tLJa7dzS6bcQ6jFGdwPytJaorY52lsYODX2NXjv8AwUJ+HXhz4tfs&#10;M/F34c+Lo5n03VvhvrUF5HbzeW7L9ilPyt2PHWgDY/Y0+Kg+Of7Ifwt+Na6F/ZY8X/DrRNaXTPtX&#10;n/ZBdWEM/k+ZtXzNvmbd21d2M4GcV6VXyn/wQ2+Jer/Fr/gkX+z94u1vT7e1ni+G9jpSxWwYL5dg&#10;DYxtySdzR2ys3ONxbGBgV9W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VHxHpGleINHuNB13Tbe8sb2B4Lyzu4VkiuIXG143RuGVlJBU8EHB4q9UN6dqB&#10;t236/SgD4N/4Np/HmseNP+CTfhGx1b7MsPh7xR4g0bS4raARrHaQanP5a4HXG48+mPSvvivz2/4I&#10;J6z4p/s/9rDwT4keeG08N/tleOLTQbGa2WNbS0lnguwiKFGVZ7iSQE54kGPlK1+hI6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UN2qsqhlJ+bsampGVW&#10;GGUH60Afnp/wS/uvFXh//gqp+3f4D8V6lfW9nN448K63oej31w6oY59LlikvIYWIG2TyYEaUKAwh&#10;iBJ2rj9DAeK/PH4W6fY/DH/g5T+LWneJ9UtY7z4mfs5aHq/hazgjld5reyvfslwXYJsjZZIicFuV&#10;ZSMnIH6HDp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54/tO/wBlfCz/AIOQv2afHF1JcXdx8WPgX4u8FwWscYVNPbS2OsC5Zs5cSK8sW3A2kKck&#10;EgfodX58/wDBWC/0P4Wf8FMv2D/j9F4dF9rcfxX1rwjAZLt40js9Y0iS0mbAyCyFkkHGSY9uQGNf&#10;oMOl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v/AMHEi+INA/Z/+DHxT8GafJHrHhb9pnwdcW+t21kJJdMjluJIHfzNp8pXaSKMscBiyL1Kg/oQ&#10;OlfDf/Bx38N9e+Kv/BGH48eGvDklrHcWfh+w1l2vJGWPyNP1Wyv51G1WO9orZ1UYwWKglQSR9dfB&#10;Pxr4d+IXwi8KeN/B2qw6ho+teG7G+0rULdsx3NvLbpJHKvqrIysPY0AdV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C/8ABTn4YWvxo/4J+fGr4Yaj&#10;qMtnb6t8MdZikuoYg7R4tJGDAEjPSuX/AOCL/wAUIPjD/wAEsPgB41s9HexhX4V6Tpohkm3tusYB&#10;ZM+cDhzblwMcBsHOMn6K8d+CND+I3hDVvAfimz+0aVrmmT6fqduJnjMtvNG0cibkIZcqxGQQR1BB&#10;5r4Y/wCDaDxxq/jP/gkj8P7HUba1t4/Dmta5oljHaq43WttqM6RbyzHL46njOOgoA+/6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4B/4IH33i6w8M&#10;/tOfC3xFpr6bp3gv9sLxxp3hfRzpq2q2OnSvbX0caoEUmNmu3kRjn5JFCnYEFff1fnv/AMEtBrfh&#10;P/grF+3l4E8Waj9lm1Lxt4X8QaHo018paWzm0yWM3scIYkI2yJWfA+7GD/CKAP0I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vz5+E1noPwp/4OSvi&#10;lo2pa/Jcal8VP2a9D8QaZapYlVt47HUJdPljd8kMcwLICQvEu3B2kn9Bq/PL9pq4034W/wDBxr+y&#10;94y0ew87Ufil8GvGXg7WnnnOyCz05Dq8EkSjH7zzjIjE5BR+gKgkA/Q2igEHoa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88f8AgrzDrfgr9uf9h343&#10;+ENI+zXFj8dJ/DmpeKP7PV/stjqdi0E1o0royxpNH5oHIOVyuGTj9Dq/PH/g5R0nT9G/4J0WPx+1&#10;i9mFr8IfjF4Q8X3Wm2tqryanHHqkVm1uhZ1EbYvS4Y5GYtpGG3KAfoRabdpCtnt/n/Papqo6BdR3&#10;2nR38MZVLiNJVVuvzKDz74x04q9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L/8AwWj+E03xo/4JUfHj4f6b4NtdcvJvh1fXWn6fdRxlftNsouYpR5hC&#10;q8bwrIrZBVo1I5Ar6grnfi78P9L+LPwq8S/CzXL24trLxNoN3pV5cWuPNiiuIWhZ03AjcA5IyCMj&#10;kGgDzv8A4J2fFif46/sI/B34wX/i+216+8QfDPQ7vVtWtXjZbi+NlELonywFDCcSqygAKysMDGB7&#10;NXwj/wAG2HxDX4g/8EevhbDHov2JfDZ1Tw+mbrzTOtnqNxGJj8q7S452849TX3d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R3mTbsNobsQ3pmpKjuwWt&#10;2UHtQB+d/wDwQXX/AIVb8XP20v2UL4Ca88J/tRan4iW8thttRZ61bRSwW8SnlTF9lk3DAXMgxnmv&#10;0Ur86/hLq+s/Bz/g5F+LHwpudSupLH4vfs66F4zsrGyuGjtbZ9OvJNMczx/dedmV2VwOEbBPUV+i&#10;UJzGuKAHUUUUAFFFFABRRRQAUUUUAFFFFABRRRQAUUUUAFFFFABRRRQAUUUUAFFFFABRRRQAUUUU&#10;AFFFFABRRRQAUUUUAFFFFABRRRQAUUUUAFFFFABRRRQAUUUUAFFFFABRRRQAUUUUAFFFFABRRRQA&#10;UUUUAFFFFABRRRQAUUUUAFFFFABRRRQAUUUUAFFFFABRRRQAUUUUAFFFFABRRRQAUUUUAFFFFABR&#10;RRQAUUUUAFFFFABRRRQAUUUUAFFFFABRRRQAUUUUAFFFFAATgZxXgf7R3xR/4KK+FfiEmk/sr/sq&#10;fDXxl4a/s6OSTV/FvxWudFuhdFm8yIW8WmXIKKNhD+ZkliNoxz74eRg0ioq/dWgD5G/4Xn/wWq/6&#10;R+fA3/xIS/8A/lDR/wALz/4LVf8ASPz4G/8AiQl//wDKGvrqigD5F/4Xn/wWq/6R+fA3/wASEv8A&#10;/wCUNH/C8/8AgtV/0j8+Bv8A4kJf/wDyhr66ooA+Rf8Ahef/AAWq/wCkfnwN/wDEhL//AOUNH/C8&#10;/wDgtV/0j8+Bv/iQl/8A/KGvrqigD5F/4Xn/AMFqv+kfnwN/8SEv/wD5Q0f8Lz/4LVf9I/Pgb/4k&#10;Jf8A/wAoa+uqKAPkX/hef/Bar/pH58Df/EhL/wD+UND/ABx/4LUupX/h358Df/Eg7/8A+UNfXVFA&#10;H5I/G3xd+2J4D/4LW/si/tLfth/AjwT8O7fxA3iH4ehvhz49n1q5177XYySWsF60ljZn7NBdFJlQ&#10;mRVdmdVDAZ/WyEFYlBNfnz/wcf3d78Lv2P8A4e/ti6WYbV/gj8dfC/ijVNUht0e/g0xrr7Hcx2u5&#10;TueRrqDKFlVlTJOVAr9A7GdLqziuo1KrJGHUNjIBGe1AEt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8y/8Fk/g3N8ev+CXvxy+Gllp2mXN1dfDvULm&#10;xXV4w0Mc1tH9pSTlW2ujQhlYDKsqkEEZHR/8Eyfj6f2l/wDgnz8G/jdfanfXl9r3w90yTVLzU41W&#10;e4vUgWG5lbaSuXmjkYEYyCDgZwPZfEuk6PrunT6Lr2lW99Z31tJbXlnd26yxTwuMPG6MCHVlyCpG&#10;CDg1+f8A/wAG0Grapov/AATovf2e/Eup3V7rnwd+L3ijwR4guDO0tqbi2vRMFtGY7mthFdQqhKpg&#10;ow2gAEgH6J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AVVhhlz2r87/APgmdFpvwU/4K5ftsfsu297IV1LxL4f8fafY2dsItPtU1Cy/fYQPgXDOYt7B&#10;R5gQEnIAr9EK/Of4vonwP/4OYfhJ4usQPsnxw/Z81nwxe2Vj+4Vb/SLh9RW/uccXLGAi2TI3IB97&#10;b8tAH6M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5zf8ABeVD8OPin+x7+1Vdhbu18FftOaTplzpCrte4/tOJ4ll8w5CrH5BJypzv7c1+jNfE/wDw&#10;cJ/Bm7+On/BIT44eELBr9rix8Ow63bw6daGaWZ7C6gvRGF/usIMMf4QWPagD7YzRXmn7IHxnsv2i&#10;/wBmX4e/HuyayC+MfBOmau8Om3Xn28Ek9rHJLCjg/MEkZk55yhB5Fel0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HD4W6d8a/g14u+EGq6nPY23izw&#10;zf6Pc3luoaSCO5tngaRVPBZQ+QDxkV1VI+dhwO3egD4Q/wCDbn4nXvxB/wCCSvw58N6/pcGm614D&#10;m1PwjruiqxFxp1zYX0sflXMbfPBOYzHI0TgMokU4AYZ+8K/On/gi4f8AhRf7bH7af7E1z/ocWk/G&#10;ZfHWhafefPdzWut2ySSXLSL8piYxRbFwGXc2c54/Ra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bIoeNlPdcU6kfO049KAPzm8Zyx/s5f8HK3gvxUifZd&#10;F/aA/Z51DQZ7fS/kW613Rrr7Wt3eg7VYiyX7PEwLuDhSqr81foxFKkyeZGeDX5q/8HFsuo/A7wZ+&#10;z5/wUIsHuPsvwK+PWl6h4k8u1SWKDR77/Rrq4ZNyu7qyQRoqksWnyQQOP0msgVtwu3G3j7uKAJqK&#10;KKACiiigAooooAKKKKACiiigAooooAKKKKACiiigAooooAKKKKACiiigAooooAKKKKACiiigAooo&#10;oAKKKKACiiigAooooAKKKKACiiigAooooAKKKKACiiigAooooAKKKKACiiigAooooAKKKKACiiig&#10;AooooAKKKKACiiigAooooAKKKKACiiigAooooAKKKKACiiigAooooAKKKKACiiigAooooAKKKKAC&#10;iiigAooooAKKKKACiiigAooooAKKKKACignAzUaXKs2wrg4yfagCSim+avrR5q+tADqKb5q+tHmr&#10;60AOopvmr60eavrQA6im+avrR5q+tADqKb5q+tHmr60AOoPPBFN81fWjzV9aAPE/+Ckf7MLftl/s&#10;J/FL9ma0KrfeLfB95aaU7lFC3oTzLfLOrKg81EBbGVBJHIzXnP8AwQ6/aauP2q/+CW/wj+JOvao9&#10;xrlj4dGg+IvPiaOWO/092s5UdWYsGzCDluWzux81fVt26tGFDMPmHK9q/OD/AIJNWTfsk/8ABSf9&#10;rT/gnvrOpTR2ureLIfit4Ds7pkC3WnasAl7NCWCyTBLgRQyMu6JHjCAhs5AP0mByMiimxkMisP7t&#10;OoAKKKKACiiigAooooAKKKKACiiigAooooAKKKKACiiigAooooAKKKKACiiigAooooAKKKKACiii&#10;gAooooAKKKKACiiigAooooAKKKKACiiigAooooAKKKKACiiigAooooAKKKKACiiigAooooAKKKKA&#10;CiiigAooooAKKKKACiiigAooooAKKKKACiiigAooooAKKKKACiiigAooooAKKKKACiiigAooooAK&#10;KKKACiiigAooooAKKKKACiiigAooooADzwa8G/aQ/wCCZf7FH7W3xBT4pfH/AOEd5reux6fHYreW&#10;/jHV7BRBGzsq+XaXcUeQXb5tu455JwMe80UAfI//AA4r/wCCXP8A0bpqX/hy/Ef/AMsKP+HFf/BL&#10;n/o3TUv/AA5fiP8A+WFfXFFAHyP/AMOK/wDglz/0bpqX/hy/Ef8A8sKP+HFf/BLn/o3TUv8Aw5fi&#10;P/5YV9cUUAfI/wDw4r/4Jc/9G6al/wCHL8R//LCj/hxX/wAEuf8Ao3TUv/Dl+I//AJYV9cUUAfI/&#10;/Div/glz/wBG6al/4cvxH/8ALCj/AIcV/wDBLn/o3TUv/Dl+I/8A5YV9cUUAfI//AA4r/wCCXP8A&#10;0bpqX/hy/Ef/AMsKP+HFf/BLn/o3TUv/AA5fiP8A+WFfXFFAHyP/AMOK/wDglz/0bpqX/hy/Ef8A&#10;8sKP+HFf/BLn/o3TUv8Aw5fiP/5YV9cUUAfI4/4IWf8ABLkdP2dNS/8ADl+I/wD5YV8r/ti/sg/s&#10;/f8ABH39u79m39vX9mjwbfeGfCviDxm/w0+KsUnijUb6O4tNWjY2csv2q4dvLjuIt+WcRJIsTFS2&#10;CP1gr51/4Ks/scw/t7fsFfEj9mJLiCDUdc8PtL4furrcYoNTt3W4tXcKy4HnRINxJCgkkNjawB9E&#10;oflHNLXyf/wRa/bF/wCG3/8AgnV8Ofi7rOuteeKNP03+wPHUdxI7XVtrViBBcJcCSR5BK2I5iXbc&#10;wmVyBvAr6w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mSQJKctT6KAPzX/YCOifsGf8Fn/j5/wT6l1Gax8LfF6xh+K3wrsby9leNrqX91rFtFuYRrJ5yN&#10;KI1VpDDDvdyFAr9KK/Nn/gv/AKVqf7Nn/CmP+CuHw50m5uPEPwF+IltbeKYbe8kjF34V1LMF9CVj&#10;wWcO0BXcyxhXkMgcACv0U8I+JNH8YeHbHxZ4c1WG+03VLOG702+tphJFcwSIHjlRhwVZSCD3BzQB&#10;p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B/tK&#10;fATwd+018A/GX7P3xDh8zRfGfhy80e/2wxyNCk8LR+dGJEdBJGWEiMVO11U4OBXyD/wb6/tIeIPF&#10;37JmqfsafGvxNdXvxT/Z38U3vgjxcuoK4nmtLe4kGn3XzDcUa2Cxgkls27Fsblz97XWPs7llz8uc&#10;etfmX+0naW3/AAT6/wCC9fwy/a9ub+Ox8EftQeGW+HHjNFhlWMeI7Zon026k/eCLzZVWG3RmDMFW&#10;YKhLMwAP03Vg67lpajtWVoFZM498/wBak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mf/grn+wrpP/BRD9hrxd+zyRbw+IPs/wDa3gXVLhT/AMS/XLVW&#10;e0lDKCyBm3RMygkRyycMCVP0xTJovNHXBHSgD5N/4Is/t5XX7e37Cnh/x18QJFtfiN4Tnm8MfFLR&#10;5I3Sax1qzcxSs6uSR5qhJsgkZkZc7kYL9a1+XXjxbj/glB/wXM0/4j2wvLf4M/tkyQ6PrcKshs9J&#10;8eRBRbTKOsZulJG08yPNIwLCNVT9Ra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Zf+CtP7BOl/8ABRn9iXxh+zqBbw+I3txqvgPVLslUsNctlLWk&#10;hcAtGrNmJ2AOI5X4bJU8x/wRa/bv8dftufsoND8etG/sf4tfDXXLnwf8VtFkUqYdUtHKCcZdiRNE&#10;I5CWI/eGQLlQrN9gmvyn/wCCjlhqn/BI3/gpT4R/4Kz/AAz8Mbfhb8UGt/Bv7SFpY7I7e0lluEFn&#10;rjxqpaSVcksygsxhZSy+edwB+rAYNypzRVHw9qOmaxpMOsaLqMN5aXUKzW11bzLJHNGw3K6OpIZS&#10;CCCCQQeKv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G/HP4HfDL9oL4OeJvgX8WvD6ap4Z8XaLcaVrdi7FfNgnjMbbWXBRwDlXBDKwVlIIBHZUEZ4IoA&#10;/M3/AII7/tBeO/2NP2hfF3/BC79qHxaupa18PbRNU+BviWXP/FQeE5UMkdrxEmJbNcRncSSd6plI&#10;lY/phCzvCrSfeKgtXw7/AMFuv+Cf/jP9p74T+G/2qv2YT/Z/x4+AOoN4q+GeoW+7fqPkFLifSWQK&#10;yzfaBAqxrIpTzDsbEcsufWP+CZP/AAUF8Bf8FHP2XdI+PPhXS5dD1pLqXTPG3g28nDXnhzVoHKTW&#10;k6n5lyRvQsFZo3QlVO5QAfRl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DcWouGBLdO1flt+2z4H8cf8Eb/ANvaH/gqX8EoNQuvgd8UddttP/ac8E6Z&#10;bTyQ6VcSvtXxXtVJQNhOZNgjLPgZbznZP1PrD+JHw98FfFbwBrnw0+Inh231bQfEWj3Oma3pd2pM&#10;V5aTxNFNC4B5V0ZlI9DQA74ffELwd8VPB2l/EP4e+ILTWNB1zTYb/RdY0+cS297ayoHjmjYcMrKw&#10;IPoa2q/Lf9iP4m+N/wDgjd+2gn/BKj9pDxfcXPwb+It7daj+zD451q/bydJjEmD4WmmnA3TKzKIv&#10;3jEl48KvnoifqJbvI6Zk/vYoAk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Bv+CkH7Avwf/wCCkX7Lesfs2fGB7izjuZFvdB1/T5Ct1oupRBvIvIuQ&#10;GKkncjfKylhwcEfOn/BIj9vz4yax4i17/gmz/wAFCUt9B+PnwxVbfTJrpfs3/Ce6Ei7YdYtRjy5W&#10;KKPMETMMgthSHVf0Ant0uF2ydK+Kf+CvX/BOXxX+07oOh/tX/sj6mPDv7S3whJv/AIV+Ko7xYVul&#10;3bp9KutysssE0ZlVVkG0NIQWVJZdwB9tA5GaK+Xv+CWP/BSDwt/wUJ+CEtxq+mP4f+KfgSaPQ/jP&#10;4BvLVre68Oa9GHjnjMLFmWB5oZ/KYnkROpO+N1H1D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IVUnJWlooA/NH/gp9+y58ZP2IP2gbb/AILN/sBeHVt7&#10;jw+kkv7SXw802YW6+PdAjKPJdKrZi+1wRiZt+3zGyrAkoySfbX7G/wC138D/ANuD9nrQf2mPgB40&#10;XWPDXiC13wySYWa0mXia1nT/AJZzRPlHX1GQSpUn1C8tor21ks7iJJI5EKukihlYHsQeor8m/wBp&#10;3wX8Y/8AggH+0837X37LXw9utX/ZO+IWrJL8bPh7ptw7ReCNSmmKNrVhAEP2a3IdCyIChK+URGpg&#10;KAH60A55FFc/8OviV4E+KfgXR/iL8MfFFjr2ga5YRXmj6vpN0s1vd28ihkkjdThlKkEfl1roKACi&#10;iigAooooAKKKKACiiigAooooAKKKKACiiigAooooAKKKKACiiigAooooAKKKKACiiigAooooAKKK&#10;KACiiigAooooAKKKKACiiigAooooAKKKKACiiigAooooAKKKKACiiigAooooAKKKKACiiigAoooo&#10;AKKKKACiiigAooooAKKKKACiiigAooooAKKKKACiiigAooooAKKKKACiiigAooooAKKKKACiiigA&#10;ooJwMmmrIjdGoAdRRuHrRuHrQAUUbh60bh60AFFG4etG4etABRRuHrRuHrQAUUbh60bh60AFFG4e&#10;tG4etABRRuHrRuHrQAUUbh60bh60AFFG4etG4etABRRuHrRuHrQAUUbh60bh60AFZnizw7oPizRb&#10;nw34p0e11LTdQtpLbUNOvrdZoLqF12vFJG4KurAkFSCCOO9ae4etGV9aAPyO0vw7+05/wbt/GrxJ&#10;4xtbO+8c/sP+KvEzX93Y2Akmv/hJJeTN80Vvyz6fHIVRtrYKyI2BKG879Uvhr8R/Bvxd8FaT8TPh&#10;v4s0/XPD2vadFfaPq2l3KzW93byKGSRHUkMpB6+9XfF/hLwz498J6l4G8YaPBqGk6xp81lqVjcL8&#10;lxbyoUeNvYqSK/KH4x6L+0t/wbh+LJvi1+z14U1L4i/sa69ry3fjDwK9xLcan8MZZiVkl052kYmy&#10;d2R9j5QMpRijOJ2AP1worh/2ff2gPg1+0r8HND+OnwM+INj4j8K+IrNbnSdWsZPkkQ9VKnDRupyr&#10;RuA6MCrAEEV3CsGUMO/NABRRRQAUUUUAFFFFABRRRQAUUUUAFFFFABRRRQAUUUUAFFFFABRRRQAU&#10;UUUAFFFFABRRRQAUUUUAFFFFABRRRQAUUUUAFFFFABRRRQAUUUUAFFFFABRRRQAUUUUAFFFFABRR&#10;RQAUUUUAFFFFABRRRQAUUUUAFFFFABRRRQAUUUUAFFFFABRRRQAUUUUAFFFFABRRRQAUUUUAFFFF&#10;ABRRRQAUUUUAFFFFAARkYrwP9o/4Bft1/ET4hL4i/Zv/AG99J+GugjT44X8P3vwetdddrgM2+b7T&#10;LeQsAwKDy9uBszk5498ooA+Rf+GSP+Ctn/SXzw9/4jXYf/LKj/hkj/grZ/0l88Pf+I12H/yyr66o&#10;oA+Rf+GSP+Ctn/SXzw9/4jXYf/LKj/hkj/grZ/0l88Pf+I12H/yyr66ooA+Rf+GSP+Ctn/SXzw9/&#10;4jXYf/LKj/hkj/grZ/0l88Pf+I12H/yyr66ooA+Rf+GSP+Ctn/SXzw9/4jXYf/LKj/hkj/grZ/0l&#10;88Pf+I12H/yyr66ooA+Rf+GSP+Ctn/SXzw9/4jXYf/LKj/hkj/grZ/0l88Pf+I12H/yyr66ooA+R&#10;f+GSP+Ctn/SXzw9/4jXYf/LKj/hkj/grZ/0l88Pf+I12H/yyr66ooA+Rf+GSP+Ctn/SXzw9/4jXY&#10;f/LKj/hkj/grZ/0l88Pf+I12H/yyr66ooA+Rf+GSP+Ctn/SXzw9/4jXYf/LKj/hkj/grZ/0l88Pf&#10;+I12H/yyr66ooA+Rf+GSP+Ctn/SXzw9/4jXYf/LKj/hkj/grZ/0l88Pf+I12H/yyr66ooA+Rf+GS&#10;P+Ctn/SXzw9/4jXYf/LKj/hkj/grZ/0l88Pf+I12H/yyr66ooA+Rf+GSP+Ctn/SXzw9/4jXYf/LK&#10;j/hkj/grZ/0l88Pf+I12H/yyr66ooA+Rf+GSP+Ctn/SXzw9/4jXYf/LKj/hkj/grZ/0l88Pf+I12&#10;H/yyr66ooA+Rf+GSP+Ctn/SXzw9/4jXYf/LKob/9jj/gq7qtnJp2qf8ABW/wzcW8ylZref8AZn05&#10;0kU9QynUiCPrX2BRQB+PsH/BNb/goj/wRR1vXP20P2Qvj/8A8Lo8J3WuT6t8Tv2d9I8GjQNOns5t&#10;pub3R7OO7nhhvIwgdVjRCyR7AHUCI/oR+wH/AMFFf2dv+Cifwct/il8DtdMN9byNaeKPB2qsIdW8&#10;O30eFmtLu3PzIyNwHxsYYIPYe8PDE7B2Qbh0bvXwF+3z/wAEiPF+tfGi4/4KF/8ABMXx1b/Cj9pC&#10;3VUnvGBXQfF1scrLb6nbqrIzMCrecUbLQoWViBIgB9/0V8Lf8E9v+Czvhz9oj4iv+xz+2X8P5Pgr&#10;+0Ro8q2uofD/AF9tsGvyKjiS60mYlluITJDPhQ7nag2tJncPuZJUMe9nH50AP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bKHaNlQ/NjinUUAfOf7e3/BLT&#10;9kD/AIKReDIPDH7Tfw5+26hpsUiaB4s0m6Npq2kM5UloLhQccovyMGjOOVOTn43j/aW/4Kc/8EUJ&#10;38J/tv8AhrX/ANpb4AWMLHS/jN4Q0tpfFGiRqIfk1a1Mmx4gDJtkLFvlJeVgQq/qpUNzY294jRXC&#10;7lfhlbBBHpz2oA8+/Zp/a6/Zr/bF+Htt8Vf2ZPjFovjLQbmNW+3aPdBzATnEc0ZxJBJwfkkVW+U8&#10;cGvRYpkmGUr8/wD48/8ABCT4Saf8Ybb9qn/gm58Trr9mn4qWnmJdah4L02N9D1mBlLfZbvTCywiN&#10;pRESUAGI/uMdjLwFj/wVc/4KJ/8ABM++HhL/AILI/stLr3gWG+S2tP2iPg1YvdacYWTIm1GwB8y2&#10;IwS5VUHDCOJ8IZAD9QaK8l/ZZ/bj/ZU/bX8NTeL/ANln47+G/Gtjb+X9s/sW+DzWhdQwWaE4khPJ&#10;GHVeVYdQa9a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G+XH/zzXjp8vSiWCCdDHNArq3VWUEGnUUAfF37T/8AwQf/AOCeX7SPje4+LulfDDU/hj4+kuJL&#10;mD4gfCLWJNA1OG6ZVX7QDB+5aTC8lomzvkJ+Zix8eg+Bv/BwP/wT3sVi+BXx28I/tZ+DY7iFZPDn&#10;xMX+xfEtvCsSIRbX6zeSxL5J84yELGNq73Y1+mVNmjMqbAce9AH5u+BP+Djn4A+BPFdj8Lf+CjX7&#10;O/xQ/Zt8VXkiwwzeOPDc0+jXEhFt8sd7Cp7XAdmaNY40+/IrELX3f8Dv2jvgJ+0t4Mi+IP7P3xj8&#10;OeMtGkWM/wBoeHdWiukjLqGVX2EmNipB2sA2D0rY8afDjwX8SPDl14N+InhLSfEGj30fl32k65ps&#10;V1a3C7g214pVZXG5Q2CCMgegx8QfF7/g3O/YM1zxyvxu/ZbuvF3wA+IliWn0fxZ8Jdfks1huMOV8&#10;20k3wyQmRleSNBG0ojCF1XIIB99GeFRlpFH1pwYMMqc1+ZekRf8ABxR+wle241YfDz9rb4e6bt+1&#10;CDGg+MVtUiO7yyStvcvtj43edNLLIoAVRmvUv2dP+C837JnxO+Leg/svfHv4e/EL4H/FbXr+LTtN&#10;8E/FDwvLarqN68iw7LO8j3w3MZuGMKSExmRlOEAoA+4q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ggMMGiigCNrWBzuMfPrWfr/AII8HeK0tI/FPhbT9SXT&#10;9QhvrFdQs0mFvdQtviuEDg7ZUbDK4wykZBBrU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ZUEsBAi0A&#10;FAAGAAgAAAAhAIoVP5gMAQAAFQIAABMAAAAAAAAAAAAAAAAAAAAAAFtDb250ZW50X1R5cGVzXS54&#10;bWxQSwECLQAUAAYACAAAACEAOP0h/9YAAACUAQAACwAAAAAAAAAAAAAAAAA9AQAAX3JlbHMvLnJl&#10;bHNQSwECLQAUAAYACAAAACEA5CfNUg8HAADXKQAADgAAAAAAAAAAAAAAAAA8AgAAZHJzL2Uyb0Rv&#10;Yy54bWxQSwECLQAUAAYACAAAACEAWGCzG7oAAAAiAQAAGQAAAAAAAAAAAAAAAAB3CQAAZHJzL19y&#10;ZWxzL2Uyb0RvYy54bWwucmVsc1BLAQItABQABgAIAAAAIQAzAoFV3wAAAAgBAAAPAAAAAAAAAAAA&#10;AAAAAGgKAABkcnMvZG93bnJldi54bWxQSwECLQAKAAAAAAAAACEAumY6v61vAACtbwAAFQAAAAAA&#10;AAAAAAAAAAB0CwAAZHJzL21lZGlhL2ltYWdlMS5qcGVnUEsFBgAAAAAGAAYAfQEAAFR7AAAAAA==&#10;">
                  <o:lock v:ext="edit"/>
                  <v:group id="组合 9" o:spid="_x0000_s1106" o:spt="203" style="position:absolute;left:0;top:1366;height:26319;width:72009;" coordorigin="-2,3226" coordsize="63568,243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o:lock v:ext="edit"/>
                    <v:shape id="图片 1" o:spid="_x0000_s1107" o:spt="75" type="#_x0000_t75" style="position:absolute;left:19582;top:-16358;height:63567;width:24399;rotation:-5898240f;"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64m/EAAAA2gAAAA8AAABkcnMvZG93bnJldi54bWxEj91qwkAQhe8LfYdlCt6UZqNUCWlWqYoQ&#10;vSnaPsCQnSYh2dmQXZPo03cLhV4ezs/HyTaTacVAvastK5hHMQjiwuqaSwVfn4eXBITzyBpby6Tg&#10;Rg4268eHDFNtRz7TcPGlCCPsUlRQed+lUrqiIoMush1x8L5tb9AH2ZdS9ziGcdPKRRyvpMGaA6HC&#10;jnYVFc3lagJ31Wzn22ef5IW8H0/714/zsR2Umj1N728gPE3+P/zXzrWCJfxeCTdAr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B64m/EAAAA2gAAAA8AAAAAAAAAAAAAAAAA&#10;nwIAAGRycy9kb3ducmV2LnhtbFBLBQYAAAAABAAEAPcAAACQAwAAAAA=&#10;">
                      <v:path arrowok="t"/>
                      <v:fill on="f" focussize="0,0"/>
                      <v:stroke on="f" joinstyle="miter"/>
                      <v:imagedata r:id="rId71" cropleft="21929f" croptop="14598f" cropright="24019f" cropbottom="15022f" o:title=""/>
                      <o:lock v:ext="edit" aspectratio="t"/>
                    </v:shape>
                    <v:shape id="直接箭头连接符 3" o:spid="_x0000_s1108" o:spt="32" type="#_x0000_t32" style="position:absolute;left:11010;top:7360;flip:y;height:4396;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pC8sAAAADbAAAADwAAAGRycy9kb3ducmV2LnhtbERPTWvCQBC9C/0PyxR6000VbIiuIpVi&#10;FQptFLwO2TEJZmdDZqvx37sHwePjfc+XvWvUhTqpPRt4HyWgiAtvay4NHPZfwxSUBGSLjWcycCOB&#10;5eJlMMfM+iv/0SUPpYohLBkaqEJoM62lqMihjHxLHLmT7xyGCLtS2w6vMdw1epwkU+2w5thQYUuf&#10;FRXn/N8ZmIjLRTYT+SjXZ53/7I7b3+3GmLfXfjUDFagPT/HD/W0NpHF9/BJ/gF7c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QaQvLAAAAA2wAAAA8AAAAAAAAAAAAAAAAA&#10;oQIAAGRycy9kb3ducmV2LnhtbFBLBQYAAAAABAAEAPkAAACOAwAAAAA=&#10;">
                      <v:path arrowok="t"/>
                      <v:fill on="f" focussize="0,0"/>
                      <v:stroke weight="1pt" endarrow="open"/>
                      <v:imagedata o:title=""/>
                      <o:lock v:ext="edit"/>
                    </v:shape>
                    <v:shape id="直接箭头连接符 4" o:spid="_x0000_s1109" o:spt="32" type="#_x0000_t32" style="position:absolute;left:11010;top:11756;height:0;width:4835;"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XMw8cAAADbAAAADwAAAGRycy9kb3ducmV2LnhtbESPW2sCMRSE3wv+h3CEvtXstqXIapQi&#10;ttYLFC+gj6eb4+7i5mSbRN3++0Yo9HGYmW+Y4bg1tbiQ85VlBWkvAUGcW11xoWC3fXvog/ABWWNt&#10;mRT8kIfxqHM3xEzbK6/psgmFiBD2GSooQ2gyKX1ekkHfsw1x9I7WGQxRukJqh9cIN7V8TJIXabDi&#10;uFBiQ5OS8tPmbBQcZgv3eXo/2+d5upodv6fLJ95/KXXfbV8HIAK14T/81/7QCvop3L7EHyBH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hczDxwAAANsAAAAPAAAAAAAA&#10;AAAAAAAAAKECAABkcnMvZG93bnJldi54bWxQSwUGAAAAAAQABAD5AAAAlQMAAAAA&#10;">
                      <v:path arrowok="t"/>
                      <v:fill on="f" focussize="0,0"/>
                      <v:stroke weight="1pt" endarrow="open"/>
                      <v:imagedata o:title=""/>
                      <o:lock v:ext="edit"/>
                    </v:shape>
                    <v:shape id="文本框 5" o:spid="_x0000_s1110" o:spt="202" type="#_x0000_t202" style="position:absolute;left:8636;top:4722;height:2724;width:4832;"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dX0sAA&#10;AADbAAAADwAAAGRycy9kb3ducmV2LnhtbESPT4vCMBTE7wt+h/AEb2uqyCLVtIgg7Enw7/nRPJti&#10;81KSrFY/vREWPA4z8xtmWfa2FTfyoXGsYDLOQBBXTjdcKzgeNt9zECEia2wdk4IHBSiLwdcSc+3u&#10;vKPbPtYiQTjkqMDE2OVShsqQxTB2HXHyLs5bjEn6WmqP9wS3rZxm2Y+02HBaMNjR2lB13f9ZBefa&#10;Ps+nSeeNtu2Mt8/H4egapUbDfrUAEamPn/B/+1crmE/h/SX9AFm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xdX0sAAAADbAAAADwAAAAAAAAAAAAAAAACYAgAAZHJzL2Rvd25y&#10;ZXYueG1sUEsFBgAAAAAEAAQA9QAAAIUDAAAAAA==&#10;">
                      <v:path/>
                      <v:fill focussize="0,0"/>
                      <v:stroke on="f" weight="0.5pt" joinstyle="miter"/>
                      <v:imagedata o:title=""/>
                      <o:lock v:ext="edit"/>
                      <v:textbox>
                        <w:txbxContent>
                          <w:p>
                            <w:pPr>
                              <w:jc w:val="center"/>
                              <w:rPr>
                                <w:sz w:val="18"/>
                                <w:szCs w:val="18"/>
                              </w:rPr>
                            </w:pPr>
                            <w:r>
                              <w:rPr>
                                <w:rFonts w:hint="eastAsia"/>
                                <w:sz w:val="18"/>
                                <w:szCs w:val="18"/>
                              </w:rPr>
                              <w:t>变形</w:t>
                            </w:r>
                          </w:p>
                        </w:txbxContent>
                      </v:textbox>
                    </v:shape>
                    <v:shape id="文本框 8" o:spid="_x0000_s1111" o:spt="202" type="#_x0000_t202" style="position:absolute;left:15933;top:10349;height:2724;width:4833;"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vyScIA&#10;AADbAAAADwAAAGRycy9kb3ducmV2LnhtbESPzWrDMBCE74W8g9hCbrWcNITgWAklUMip0PydF2tr&#10;mVorI6mxnaePCoEch5n5him3g23FlXxoHCuYZTkI4srphmsFp+Pn2wpEiMgaW8ekYKQA283kpcRC&#10;u56/6XqItUgQDgUqMDF2hZShMmQxZK4jTt6P8xZjkr6W2mOf4LaV8zxfSosNpwWDHe0MVb+HP6vg&#10;Utvb5TzrvNG2XfDXbTyeXKPU9HX4WIOINMRn+NHeawWrd/j/kn6A3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W/JJwgAAANsAAAAPAAAAAAAAAAAAAAAAAJgCAABkcnMvZG93&#10;bnJldi54bWxQSwUGAAAAAAQABAD1AAAAhwMAAAAA&#10;">
                      <v:path/>
                      <v:fill focussize="0,0"/>
                      <v:stroke on="f" weight="0.5pt" joinstyle="miter"/>
                      <v:imagedata o:title=""/>
                      <o:lock v:ext="edit"/>
                      <v:textbox>
                        <w:txbxContent>
                          <w:p>
                            <w:pPr>
                              <w:jc w:val="left"/>
                              <w:rPr>
                                <w:sz w:val="18"/>
                                <w:szCs w:val="18"/>
                              </w:rPr>
                            </w:pPr>
                            <w:r>
                              <w:rPr>
                                <w:rFonts w:hint="eastAsia"/>
                                <w:sz w:val="18"/>
                                <w:szCs w:val="18"/>
                              </w:rPr>
                              <w:t>时间</w:t>
                            </w:r>
                          </w:p>
                        </w:txbxContent>
                      </v:textbox>
                    </v:shape>
                  </v:group>
                  <v:shape id="文本框 10" o:spid="_x0000_s1112" o:spt="202" type="#_x0000_t202" style="position:absolute;left:1934;top:25497;height:2286;width:10395;"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aJC8YA&#10;AADbAAAADwAAAGRycy9kb3ducmV2LnhtbESPQWvCQBSE7wX/w/KE3upGaSWkrhICwVLag9GLt9fs&#10;Mwlm38bs1qT99d2C4HGYmW+Y1WY0rbhS7xrLCuazCARxaXXDlYLDPn+KQTiPrLG1TAp+yMFmPXlY&#10;YaLtwDu6Fr4SAcIuQQW1910ipStrMuhmtiMO3sn2Bn2QfSV1j0OAm1YuomgpDTYcFmrsKKupPBff&#10;RsF7ln/i7mth4t82236c0u5yOL4o9Tgd01cQnkZ/D9/ab1pB/Az/X8IP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aJC8YAAADbAAAADwAAAAAAAAAAAAAAAACYAgAAZHJz&#10;L2Rvd25yZXYueG1sUEsFBgAAAAAEAAQA9QAAAIsDAAAAAA==&#10;">
                    <v:path/>
                    <v:fill on="f" focussize="0,0"/>
                    <v:stroke on="f" weight="0.5pt" joinstyle="miter"/>
                    <v:imagedata o:title=""/>
                    <o:lock v:ext="edit"/>
                    <v:textbox>
                      <w:txbxContent>
                        <w:p>
                          <w:pPr>
                            <w:jc w:val="center"/>
                            <w:rPr>
                              <w:rFonts w:ascii="宋体" w:hAnsi="宋体"/>
                              <w:sz w:val="15"/>
                              <w:szCs w:val="15"/>
                            </w:rPr>
                          </w:pPr>
                          <w:r>
                            <w:rPr>
                              <w:rFonts w:hint="eastAsia"/>
                              <w:sz w:val="18"/>
                              <w:szCs w:val="18"/>
                            </w:rPr>
                            <w:t>初始变形阶段</w:t>
                          </w:r>
                          <w:r>
                            <w:rPr>
                              <w:rFonts w:hint="eastAsia" w:ascii="宋体" w:hAnsi="宋体"/>
                              <w:sz w:val="15"/>
                              <w:szCs w:val="15"/>
                            </w:rPr>
                            <w:t>地质环境条件</w:t>
                          </w:r>
                        </w:p>
                      </w:txbxContent>
                    </v:textbox>
                  </v:shape>
                  <v:shape id="文本框 12" o:spid="_x0000_s1113" o:spt="202" type="#_x0000_t202" style="position:absolute;left:19518;top:24970;height:2806;width:10021;"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oskMQA&#10;AADbAAAADwAAAGRycy9kb3ducmV2LnhtbESPQYvCMBSE74L/ITxhb5oquJRqFCmIy7Ie1F68PZtn&#10;W2xeapPVrr9+Iwgeh5n5hpkvO1OLG7WusqxgPIpAEOdWV1woyA7rYQzCeWSNtWVS8EcOlot+b46J&#10;tnfe0W3vCxEg7BJUUHrfJFK6vCSDbmQb4uCdbWvQB9kWUrd4D3BTy0kUfUqDFYeFEhtKS8ov+1+j&#10;4Dtdb3F3mpj4Uaebn/OquWbHqVIfg241A+Gp8+/wq/2lFcRTeH4JP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qLJDEAAAA2wAAAA8AAAAAAAAAAAAAAAAAmAIAAGRycy9k&#10;b3ducmV2LnhtbFBLBQYAAAAABAAEAPUAAACJAwAAAAA=&#10;">
                    <v:path/>
                    <v:fill on="f" focussize="0,0"/>
                    <v:stroke on="f" weight="0.5pt" joinstyle="miter"/>
                    <v:imagedata o:title=""/>
                    <o:lock v:ext="edit"/>
                    <v:textbox>
                      <w:txbxContent>
                        <w:p>
                          <w:pPr>
                            <w:jc w:val="center"/>
                            <w:rPr>
                              <w:rFonts w:ascii="仿宋" w:hAnsi="仿宋" w:eastAsia="仿宋"/>
                              <w:szCs w:val="21"/>
                            </w:rPr>
                          </w:pPr>
                          <w:r>
                            <w:rPr>
                              <w:rFonts w:hint="eastAsia"/>
                              <w:sz w:val="18"/>
                              <w:szCs w:val="18"/>
                            </w:rPr>
                            <w:t>等速变形阶段</w:t>
                          </w:r>
                          <w:r>
                            <w:rPr>
                              <w:rFonts w:hint="eastAsia" w:ascii="宋体" w:hAnsi="宋体"/>
                              <w:sz w:val="15"/>
                              <w:szCs w:val="15"/>
                            </w:rPr>
                            <w:t>监测其他条</w:t>
                          </w:r>
                          <w:r>
                            <w:rPr>
                              <w:rFonts w:hint="eastAsia" w:ascii="仿宋" w:hAnsi="仿宋" w:eastAsia="仿宋"/>
                              <w:sz w:val="15"/>
                              <w:szCs w:val="15"/>
                            </w:rPr>
                            <w:t>件</w:t>
                          </w:r>
                        </w:p>
                      </w:txbxContent>
                    </v:textbox>
                  </v:shape>
                  <v:shape id="文本框 13" o:spid="_x0000_s1114" o:spt="202" type="#_x0000_t202" style="position:absolute;left:38144;top:24970;height:2806;width:13360;"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iy58YA&#10;AADbAAAADwAAAGRycy9kb3ducmV2LnhtbESPQWvCQBSE70L/w/IK3sxGoRLSrCIBaSn2oM2lt9fs&#10;Mwlm36bZbZL213cFweMwM98w2XYyrRiod41lBcsoBkFcWt1wpaD42C8SEM4ja2wtk4JfcrDdPMwy&#10;TLUd+UjDyVciQNilqKD2vkuldGVNBl1kO+LgnW1v0AfZV1L3OAa4aeUqjtfSYMNhocaO8prKy+nH&#10;KHjL9+94/FqZ5K/NXw7nXfddfD4pNX+cds8gPE3+Hr61X7WCZA3XL+EHy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iy58YAAADbAAAADwAAAAAAAAAAAAAAAACYAgAAZHJz&#10;L2Rvd25yZXYueG1sUEsFBgAAAAAEAAQA9QAAAIsDAAAAAA==&#10;">
                    <v:path/>
                    <v:fill on="f" focussize="0,0"/>
                    <v:stroke on="f" weight="0.5pt" joinstyle="miter"/>
                    <v:imagedata o:title=""/>
                    <o:lock v:ext="edit"/>
                    <v:textbox>
                      <w:txbxContent>
                        <w:p>
                          <w:pPr>
                            <w:spacing w:line="240" w:lineRule="atLeast"/>
                            <w:jc w:val="left"/>
                            <w:rPr>
                              <w:sz w:val="18"/>
                              <w:szCs w:val="18"/>
                            </w:rPr>
                          </w:pPr>
                          <w:r>
                            <w:rPr>
                              <w:rFonts w:hint="eastAsia"/>
                              <w:sz w:val="18"/>
                              <w:szCs w:val="18"/>
                            </w:rPr>
                            <w:t>加速变形初始阶段</w:t>
                          </w:r>
                        </w:p>
                      </w:txbxContent>
                    </v:textbox>
                  </v:shape>
                  <v:shape id="文本框 14" o:spid="_x0000_s1115" o:spt="202" type="#_x0000_t202" style="position:absolute;left:51904;top:24970;height:2806;width:13182;"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fMYA&#10;AADbAAAADwAAAGRycy9kb3ducmV2LnhtbESPQWvCQBSE7wX/w/KE3upGoTWkrhICwVLag9GLt9fs&#10;Mwlm38bs1qT99d2C4HGYmW+Y1WY0rbhS7xrLCuazCARxaXXDlYLDPn+KQTiPrLG1TAp+yMFmPXlY&#10;YaLtwDu6Fr4SAcIuQQW1910ipStrMuhmtiMO3sn2Bn2QfSV1j0OAm1YuouhFGmw4LNTYUVZTeS6+&#10;jYL3LP/E3dfCxL9ttv04pd3lcHxW6nE6pq8gPI3+Hr6137SCeAn/X8IP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XfMYAAADbAAAADwAAAAAAAAAAAAAAAACYAgAAZHJz&#10;L2Rvd25yZXYueG1sUEsFBgAAAAAEAAQA9QAAAIsDAAAAAA==&#10;">
                    <v:path/>
                    <v:fill on="f" focussize="0,0"/>
                    <v:stroke on="f" weight="0.5pt" joinstyle="miter"/>
                    <v:imagedata o:title=""/>
                    <o:lock v:ext="edit"/>
                    <v:textbox>
                      <w:txbxContent>
                        <w:p>
                          <w:pPr>
                            <w:spacing w:line="240" w:lineRule="atLeast"/>
                            <w:jc w:val="left"/>
                            <w:rPr>
                              <w:sz w:val="18"/>
                              <w:szCs w:val="18"/>
                            </w:rPr>
                          </w:pPr>
                          <w:r>
                            <w:rPr>
                              <w:rFonts w:hint="eastAsia"/>
                              <w:sz w:val="18"/>
                              <w:szCs w:val="18"/>
                            </w:rPr>
                            <w:t>加速变形中期阶段</w:t>
                          </w:r>
                        </w:p>
                      </w:txbxContent>
                    </v:textbox>
                  </v:shape>
                  <v:shape id="Text Box 643" o:spid="_x0000_s1116" o:spt="202" type="#_x0000_t202" style="position:absolute;left:66792;top:24970;height:2806;width:18288;"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uDDsMA&#10;AADbAAAADwAAAGRycy9kb3ducmV2LnhtbERPy2qDQBTdF/IPww1014wRWsRkFBGkpbSLPDbZ3Tg3&#10;KnHuGGdqbL++syh0eTjvbT6bXkw0us6ygvUqAkFcW91xo+B4qJ4SEM4ja+wtk4JvcpBni4ctptre&#10;eUfT3jcihLBLUUHr/ZBK6eqWDLqVHYgDd7GjQR/g2Eg94j2Em17GUfQiDXYcGlocqGypvu6/jIL3&#10;svrE3Tk2yU9fvn5ciuF2PD0r9biciw0IT7P/F/+537SCJIwN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uDDsMAAADbAAAADwAAAAAAAAAAAAAAAACYAgAAZHJzL2Rv&#10;d25yZXYueG1sUEsFBgAAAAAEAAQA9QAAAIgDAAAAAA==&#10;">
                    <v:path/>
                    <v:fill on="f" focussize="0,0"/>
                    <v:stroke on="f" weight="0.5pt" joinstyle="miter"/>
                    <v:imagedata o:title=""/>
                    <o:lock v:ext="edit"/>
                    <v:textbox>
                      <w:txbxContent>
                        <w:p>
                          <w:pPr>
                            <w:spacing w:line="240" w:lineRule="atLeast"/>
                            <w:rPr>
                              <w:sz w:val="18"/>
                              <w:szCs w:val="18"/>
                            </w:rPr>
                          </w:pPr>
                          <w:r>
                            <w:rPr>
                              <w:rFonts w:hint="eastAsia"/>
                              <w:sz w:val="18"/>
                              <w:szCs w:val="18"/>
                            </w:rPr>
                            <w:t>加速变形突增（临滑）阶段</w:t>
                          </w:r>
                        </w:p>
                      </w:txbxContent>
                    </v:textbox>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0" w:type="pct"/>
            <w:gridSpan w:val="2"/>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预警级别</w:t>
            </w:r>
          </w:p>
        </w:tc>
        <w:tc>
          <w:tcPr>
            <w:tcW w:w="49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名称</w:t>
            </w:r>
          </w:p>
        </w:tc>
        <w:tc>
          <w:tcPr>
            <w:tcW w:w="989" w:type="pct"/>
            <w:gridSpan w:val="2"/>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c>
          <w:tcPr>
            <w:tcW w:w="951" w:type="pct"/>
            <w:shd w:val="clear" w:color="auto" w:fill="auto"/>
            <w:vAlign w:val="center"/>
          </w:tcPr>
          <w:p>
            <w:pPr>
              <w:jc w:val="center"/>
              <w:rPr>
                <w:rFonts w:ascii="Times New Roman" w:hAnsi="Times New Roman"/>
                <w:sz w:val="18"/>
                <w:szCs w:val="18"/>
              </w:rPr>
            </w:pPr>
            <w:r>
              <w:rPr>
                <w:rFonts w:ascii="Times New Roman" w:hAnsi="Times New Roman"/>
                <w:sz w:val="18"/>
                <w:szCs w:val="18"/>
              </w:rPr>
              <w:t>注意级</w:t>
            </w:r>
          </w:p>
        </w:tc>
        <w:tc>
          <w:tcPr>
            <w:tcW w:w="554" w:type="pct"/>
            <w:shd w:val="clear" w:color="auto" w:fill="auto"/>
            <w:vAlign w:val="center"/>
          </w:tcPr>
          <w:p>
            <w:pPr>
              <w:jc w:val="center"/>
              <w:rPr>
                <w:rFonts w:ascii="Times New Roman" w:hAnsi="Times New Roman"/>
                <w:sz w:val="18"/>
                <w:szCs w:val="18"/>
              </w:rPr>
            </w:pPr>
            <w:r>
              <w:rPr>
                <w:rFonts w:ascii="Times New Roman" w:hAnsi="Times New Roman"/>
                <w:sz w:val="18"/>
                <w:szCs w:val="18"/>
              </w:rPr>
              <w:t>警示级</w:t>
            </w:r>
          </w:p>
        </w:tc>
        <w:tc>
          <w:tcPr>
            <w:tcW w:w="77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警戒级</w:t>
            </w:r>
          </w:p>
        </w:tc>
        <w:tc>
          <w:tcPr>
            <w:tcW w:w="886"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警报级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0" w:type="pct"/>
            <w:gridSpan w:val="2"/>
            <w:vMerge w:val="continue"/>
            <w:shd w:val="clear" w:color="auto" w:fill="auto"/>
            <w:vAlign w:val="center"/>
          </w:tcPr>
          <w:p>
            <w:pPr>
              <w:jc w:val="center"/>
              <w:rPr>
                <w:rFonts w:ascii="Times New Roman" w:hAnsi="Times New Roman"/>
                <w:sz w:val="18"/>
                <w:szCs w:val="18"/>
              </w:rPr>
            </w:pPr>
          </w:p>
        </w:tc>
        <w:tc>
          <w:tcPr>
            <w:tcW w:w="49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表达形式</w:t>
            </w:r>
          </w:p>
        </w:tc>
        <w:tc>
          <w:tcPr>
            <w:tcW w:w="989" w:type="pct"/>
            <w:gridSpan w:val="2"/>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w:t>
            </w:r>
          </w:p>
        </w:tc>
        <w:tc>
          <w:tcPr>
            <w:tcW w:w="951" w:type="pct"/>
            <w:shd w:val="clear" w:color="auto" w:fill="auto"/>
            <w:vAlign w:val="center"/>
          </w:tcPr>
          <w:p>
            <w:pPr>
              <w:jc w:val="center"/>
              <w:rPr>
                <w:rFonts w:ascii="Times New Roman" w:hAnsi="Times New Roman"/>
                <w:sz w:val="18"/>
                <w:szCs w:val="18"/>
              </w:rPr>
            </w:pPr>
            <w:r>
              <w:rPr>
                <w:rFonts w:ascii="Times New Roman" w:hAnsi="Times New Roman"/>
                <w:sz w:val="18"/>
                <w:szCs w:val="18"/>
              </w:rPr>
              <w:t>蓝色</w:t>
            </w:r>
          </w:p>
        </w:tc>
        <w:tc>
          <w:tcPr>
            <w:tcW w:w="554" w:type="pct"/>
            <w:shd w:val="clear" w:color="auto" w:fill="auto"/>
            <w:vAlign w:val="center"/>
          </w:tcPr>
          <w:p>
            <w:pPr>
              <w:jc w:val="center"/>
              <w:rPr>
                <w:rFonts w:ascii="Times New Roman" w:hAnsi="Times New Roman"/>
                <w:sz w:val="18"/>
                <w:szCs w:val="18"/>
              </w:rPr>
            </w:pPr>
            <w:r>
              <w:rPr>
                <w:rFonts w:ascii="Times New Roman" w:hAnsi="Times New Roman"/>
                <w:sz w:val="18"/>
                <w:szCs w:val="18"/>
              </w:rPr>
              <w:t>黄色</w:t>
            </w:r>
          </w:p>
        </w:tc>
        <w:tc>
          <w:tcPr>
            <w:tcW w:w="77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橙色</w:t>
            </w:r>
          </w:p>
        </w:tc>
        <w:tc>
          <w:tcPr>
            <w:tcW w:w="886"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红色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0" w:type="pct"/>
            <w:gridSpan w:val="2"/>
            <w:vMerge w:val="continue"/>
            <w:shd w:val="clear" w:color="auto" w:fill="auto"/>
            <w:vAlign w:val="center"/>
          </w:tcPr>
          <w:p>
            <w:pPr>
              <w:jc w:val="center"/>
              <w:rPr>
                <w:rFonts w:ascii="Times New Roman" w:hAnsi="Times New Roman"/>
                <w:sz w:val="18"/>
                <w:szCs w:val="18"/>
              </w:rPr>
            </w:pPr>
          </w:p>
        </w:tc>
        <w:tc>
          <w:tcPr>
            <w:tcW w:w="49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对应变形阶段</w:t>
            </w:r>
          </w:p>
        </w:tc>
        <w:tc>
          <w:tcPr>
            <w:tcW w:w="989"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初始变形阶段</w:t>
            </w:r>
          </w:p>
          <w:p>
            <w:pPr>
              <w:jc w:val="center"/>
              <w:rPr>
                <w:rFonts w:ascii="Times New Roman" w:hAnsi="Times New Roman"/>
                <w:sz w:val="18"/>
                <w:szCs w:val="18"/>
              </w:rPr>
            </w:pPr>
            <w:r>
              <w:rPr>
                <w:rFonts w:ascii="Times New Roman" w:hAnsi="Times New Roman"/>
                <w:sz w:val="18"/>
                <w:szCs w:val="18"/>
              </w:rPr>
              <w:t>及等速变形阶段初期</w:t>
            </w:r>
          </w:p>
        </w:tc>
        <w:tc>
          <w:tcPr>
            <w:tcW w:w="951" w:type="pct"/>
            <w:shd w:val="clear" w:color="auto" w:fill="auto"/>
            <w:vAlign w:val="center"/>
          </w:tcPr>
          <w:p>
            <w:pPr>
              <w:jc w:val="center"/>
              <w:rPr>
                <w:rFonts w:ascii="Times New Roman" w:hAnsi="Times New Roman"/>
                <w:sz w:val="18"/>
                <w:szCs w:val="18"/>
              </w:rPr>
            </w:pPr>
            <w:r>
              <w:rPr>
                <w:rFonts w:ascii="Times New Roman" w:hAnsi="Times New Roman"/>
                <w:sz w:val="18"/>
                <w:szCs w:val="18"/>
              </w:rPr>
              <w:t>等速变形阶段中后期</w:t>
            </w:r>
          </w:p>
        </w:tc>
        <w:tc>
          <w:tcPr>
            <w:tcW w:w="554" w:type="pct"/>
            <w:shd w:val="clear" w:color="auto" w:fill="auto"/>
            <w:vAlign w:val="center"/>
          </w:tcPr>
          <w:p>
            <w:pPr>
              <w:jc w:val="center"/>
              <w:rPr>
                <w:rFonts w:ascii="Times New Roman" w:hAnsi="Times New Roman"/>
                <w:sz w:val="18"/>
                <w:szCs w:val="18"/>
              </w:rPr>
            </w:pPr>
            <w:r>
              <w:rPr>
                <w:rFonts w:ascii="Times New Roman" w:hAnsi="Times New Roman"/>
                <w:sz w:val="18"/>
                <w:szCs w:val="18"/>
              </w:rPr>
              <w:t>加速变形初始</w:t>
            </w:r>
          </w:p>
          <w:p>
            <w:pPr>
              <w:jc w:val="center"/>
              <w:rPr>
                <w:rFonts w:ascii="Times New Roman" w:hAnsi="Times New Roman"/>
                <w:sz w:val="18"/>
                <w:szCs w:val="18"/>
              </w:rPr>
            </w:pPr>
            <w:r>
              <w:rPr>
                <w:rFonts w:ascii="Times New Roman" w:hAnsi="Times New Roman"/>
                <w:sz w:val="18"/>
                <w:szCs w:val="18"/>
              </w:rPr>
              <w:t>阶段（初加速）</w:t>
            </w:r>
          </w:p>
        </w:tc>
        <w:tc>
          <w:tcPr>
            <w:tcW w:w="77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加速变形中期阶段</w:t>
            </w:r>
          </w:p>
          <w:p>
            <w:pPr>
              <w:jc w:val="center"/>
              <w:rPr>
                <w:rFonts w:ascii="Times New Roman" w:hAnsi="Times New Roman"/>
                <w:sz w:val="18"/>
                <w:szCs w:val="18"/>
              </w:rPr>
            </w:pPr>
            <w:r>
              <w:rPr>
                <w:rFonts w:ascii="Times New Roman" w:hAnsi="Times New Roman"/>
                <w:sz w:val="18"/>
                <w:szCs w:val="18"/>
              </w:rPr>
              <w:t>（中加速）</w:t>
            </w:r>
          </w:p>
        </w:tc>
        <w:tc>
          <w:tcPr>
            <w:tcW w:w="886"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加速变形突增（临滑）阶段</w:t>
            </w:r>
          </w:p>
          <w:p>
            <w:pPr>
              <w:jc w:val="center"/>
              <w:rPr>
                <w:rFonts w:ascii="Times New Roman" w:hAnsi="Times New Roman"/>
                <w:sz w:val="18"/>
                <w:szCs w:val="18"/>
              </w:rPr>
            </w:pPr>
            <w:r>
              <w:rPr>
                <w:rFonts w:ascii="Times New Roman" w:hAnsi="Times New Roman"/>
                <w:sz w:val="18"/>
                <w:szCs w:val="18"/>
              </w:rPr>
              <w:t>（加加速）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0" w:type="pct"/>
            <w:gridSpan w:val="2"/>
            <w:vMerge w:val="continue"/>
            <w:shd w:val="clear" w:color="auto" w:fill="auto"/>
            <w:vAlign w:val="center"/>
          </w:tcPr>
          <w:p>
            <w:pPr>
              <w:jc w:val="center"/>
              <w:rPr>
                <w:rFonts w:ascii="Times New Roman" w:hAnsi="Times New Roman"/>
                <w:sz w:val="18"/>
                <w:szCs w:val="18"/>
              </w:rPr>
            </w:pPr>
          </w:p>
        </w:tc>
        <w:tc>
          <w:tcPr>
            <w:tcW w:w="49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变形基本特征</w:t>
            </w:r>
          </w:p>
        </w:tc>
        <w:tc>
          <w:tcPr>
            <w:tcW w:w="989" w:type="pct"/>
            <w:gridSpan w:val="2"/>
            <w:shd w:val="clear" w:color="auto" w:fill="auto"/>
            <w:vAlign w:val="center"/>
          </w:tcPr>
          <w:p>
            <w:pPr>
              <w:rPr>
                <w:rFonts w:ascii="Times New Roman" w:hAnsi="Times New Roman"/>
                <w:sz w:val="18"/>
                <w:szCs w:val="18"/>
              </w:rPr>
            </w:pPr>
            <w:r>
              <w:rPr>
                <w:rFonts w:ascii="Times New Roman" w:hAnsi="Times New Roman"/>
                <w:sz w:val="18"/>
                <w:szCs w:val="18"/>
              </w:rPr>
              <w:t>斜坡开始出现轻微的变形，变形速率缓慢增加</w:t>
            </w:r>
            <w:r>
              <w:rPr>
                <w:rFonts w:hint="eastAsia" w:ascii="Times New Roman" w:hAnsi="Times New Roman"/>
                <w:sz w:val="18"/>
                <w:szCs w:val="18"/>
              </w:rPr>
              <w:t>。</w:t>
            </w:r>
          </w:p>
        </w:tc>
        <w:tc>
          <w:tcPr>
            <w:tcW w:w="951" w:type="pct"/>
            <w:shd w:val="clear" w:color="auto" w:fill="auto"/>
            <w:vAlign w:val="center"/>
          </w:tcPr>
          <w:p>
            <w:pPr>
              <w:rPr>
                <w:rFonts w:ascii="Times New Roman" w:hAnsi="Times New Roman"/>
                <w:sz w:val="18"/>
                <w:szCs w:val="18"/>
              </w:rPr>
            </w:pPr>
            <w:r>
              <w:rPr>
                <w:rFonts w:ascii="Times New Roman" w:hAnsi="Times New Roman"/>
                <w:sz w:val="18"/>
                <w:szCs w:val="18"/>
              </w:rPr>
              <w:t>斜坡开始出现明显的变形，</w:t>
            </w:r>
          </w:p>
          <w:p>
            <w:pPr>
              <w:rPr>
                <w:rFonts w:ascii="Times New Roman" w:hAnsi="Times New Roman"/>
                <w:sz w:val="18"/>
                <w:szCs w:val="18"/>
              </w:rPr>
            </w:pPr>
            <w:r>
              <w:rPr>
                <w:rFonts w:ascii="Times New Roman" w:hAnsi="Times New Roman"/>
                <w:sz w:val="18"/>
                <w:szCs w:val="18"/>
              </w:rPr>
              <w:t>但平均速率基本保持不变</w:t>
            </w:r>
            <w:r>
              <w:rPr>
                <w:rFonts w:hint="eastAsia" w:ascii="Times New Roman" w:hAnsi="Times New Roman"/>
                <w:sz w:val="18"/>
                <w:szCs w:val="18"/>
              </w:rPr>
              <w:t>。</w:t>
            </w:r>
          </w:p>
        </w:tc>
        <w:tc>
          <w:tcPr>
            <w:tcW w:w="554" w:type="pct"/>
            <w:shd w:val="clear" w:color="auto" w:fill="auto"/>
            <w:vAlign w:val="center"/>
          </w:tcPr>
          <w:p>
            <w:pPr>
              <w:rPr>
                <w:rFonts w:ascii="Times New Roman" w:hAnsi="Times New Roman"/>
                <w:sz w:val="18"/>
                <w:szCs w:val="18"/>
              </w:rPr>
            </w:pPr>
            <w:r>
              <w:rPr>
                <w:rFonts w:ascii="Times New Roman" w:hAnsi="Times New Roman"/>
                <w:sz w:val="18"/>
                <w:szCs w:val="18"/>
              </w:rPr>
              <w:t>变形速率开始</w:t>
            </w:r>
          </w:p>
          <w:p>
            <w:pPr>
              <w:rPr>
                <w:rFonts w:ascii="Times New Roman" w:hAnsi="Times New Roman"/>
                <w:sz w:val="18"/>
                <w:szCs w:val="18"/>
              </w:rPr>
            </w:pPr>
            <w:r>
              <w:rPr>
                <w:rFonts w:ascii="Times New Roman" w:hAnsi="Times New Roman"/>
                <w:sz w:val="18"/>
                <w:szCs w:val="18"/>
              </w:rPr>
              <w:t>增加</w:t>
            </w:r>
            <w:r>
              <w:rPr>
                <w:rFonts w:hint="eastAsia" w:ascii="Times New Roman" w:hAnsi="Times New Roman"/>
                <w:sz w:val="18"/>
                <w:szCs w:val="18"/>
              </w:rPr>
              <w:t>。</w:t>
            </w:r>
          </w:p>
        </w:tc>
        <w:tc>
          <w:tcPr>
            <w:tcW w:w="770" w:type="pct"/>
            <w:gridSpan w:val="2"/>
            <w:shd w:val="clear" w:color="auto" w:fill="auto"/>
            <w:vAlign w:val="center"/>
          </w:tcPr>
          <w:p>
            <w:pPr>
              <w:rPr>
                <w:rFonts w:ascii="Times New Roman" w:hAnsi="Times New Roman"/>
                <w:sz w:val="18"/>
                <w:szCs w:val="18"/>
              </w:rPr>
            </w:pPr>
            <w:r>
              <w:rPr>
                <w:rFonts w:ascii="Times New Roman" w:hAnsi="Times New Roman"/>
                <w:sz w:val="18"/>
                <w:szCs w:val="18"/>
              </w:rPr>
              <w:t>变形速率持续增长，宏观</w:t>
            </w:r>
          </w:p>
          <w:p>
            <w:pPr>
              <w:rPr>
                <w:rFonts w:ascii="Times New Roman" w:hAnsi="Times New Roman"/>
                <w:sz w:val="18"/>
                <w:szCs w:val="18"/>
              </w:rPr>
            </w:pPr>
            <w:r>
              <w:rPr>
                <w:rFonts w:ascii="Times New Roman" w:hAnsi="Times New Roman"/>
                <w:sz w:val="18"/>
                <w:szCs w:val="18"/>
              </w:rPr>
              <w:t>上显示处整体滑动迹象</w:t>
            </w:r>
            <w:r>
              <w:rPr>
                <w:rFonts w:hint="eastAsia" w:ascii="Times New Roman" w:hAnsi="Times New Roman"/>
                <w:sz w:val="18"/>
                <w:szCs w:val="18"/>
              </w:rPr>
              <w:t>。</w:t>
            </w:r>
          </w:p>
        </w:tc>
        <w:tc>
          <w:tcPr>
            <w:tcW w:w="886" w:type="pct"/>
            <w:gridSpan w:val="2"/>
            <w:shd w:val="clear" w:color="auto" w:fill="auto"/>
            <w:vAlign w:val="center"/>
          </w:tcPr>
          <w:p>
            <w:pPr>
              <w:rPr>
                <w:rFonts w:ascii="Times New Roman" w:hAnsi="Times New Roman"/>
                <w:sz w:val="18"/>
                <w:szCs w:val="18"/>
              </w:rPr>
            </w:pPr>
            <w:r>
              <w:rPr>
                <w:rFonts w:ascii="Times New Roman" w:hAnsi="Times New Roman"/>
                <w:sz w:val="18"/>
                <w:szCs w:val="18"/>
              </w:rPr>
              <w:t>变形速率持续快速增长，小崩、小塌不断</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851" w:type="pct"/>
            <w:gridSpan w:val="4"/>
            <w:shd w:val="clear" w:color="auto" w:fill="auto"/>
            <w:vAlign w:val="center"/>
          </w:tcPr>
          <w:p>
            <w:pPr>
              <w:jc w:val="center"/>
              <w:rPr>
                <w:rFonts w:ascii="Times New Roman" w:hAnsi="Times New Roman"/>
                <w:sz w:val="18"/>
                <w:szCs w:val="18"/>
              </w:rPr>
            </w:pPr>
            <w:r>
              <w:rPr>
                <w:rFonts w:ascii="Times New Roman" w:hAnsi="Times New Roman"/>
                <w:sz w:val="18"/>
                <w:szCs w:val="18"/>
              </w:rPr>
              <w:t>变形监测曲线</w:t>
            </w:r>
          </w:p>
        </w:tc>
        <w:tc>
          <w:tcPr>
            <w:tcW w:w="686" w:type="pct"/>
            <w:shd w:val="clear" w:color="auto" w:fill="auto"/>
            <w:vAlign w:val="center"/>
          </w:tcPr>
          <w:p>
            <w:pPr>
              <w:rPr>
                <w:rFonts w:ascii="Times New Roman" w:hAnsi="Times New Roman"/>
                <w:sz w:val="18"/>
                <w:szCs w:val="18"/>
              </w:rPr>
            </w:pPr>
            <w:r>
              <w:rPr>
                <w:rFonts w:ascii="Times New Roman" w:hAnsi="Times New Roman"/>
                <w:sz w:val="18"/>
                <w:szCs w:val="18"/>
              </w:rPr>
              <w:t>变形速率切线角α由大变小，甚至曲线下弯。</w:t>
            </w:r>
          </w:p>
        </w:tc>
        <w:tc>
          <w:tcPr>
            <w:tcW w:w="1254" w:type="pct"/>
            <w:gridSpan w:val="2"/>
            <w:shd w:val="clear" w:color="auto" w:fill="auto"/>
            <w:vAlign w:val="center"/>
          </w:tcPr>
          <w:p>
            <w:pPr>
              <w:rPr>
                <w:rFonts w:ascii="Times New Roman" w:hAnsi="Times New Roman"/>
                <w:sz w:val="18"/>
                <w:szCs w:val="18"/>
              </w:rPr>
            </w:pPr>
            <w:r>
              <w:rPr>
                <w:rFonts w:ascii="Times New Roman" w:hAnsi="Times New Roman"/>
                <w:sz w:val="18"/>
                <w:szCs w:val="18"/>
              </w:rPr>
              <w:t>变形曲线受外界因素影响可能会有所波动，但切线角α近于恒定值，总体趋势为一微向上的倾斜直线。</w:t>
            </w:r>
          </w:p>
        </w:tc>
        <w:tc>
          <w:tcPr>
            <w:tcW w:w="554" w:type="pct"/>
            <w:shd w:val="clear" w:color="auto" w:fill="auto"/>
            <w:vAlign w:val="center"/>
          </w:tcPr>
          <w:p>
            <w:pPr>
              <w:rPr>
                <w:rFonts w:ascii="Times New Roman" w:hAnsi="Times New Roman"/>
                <w:sz w:val="18"/>
                <w:szCs w:val="18"/>
              </w:rPr>
            </w:pPr>
            <w:r>
              <w:rPr>
                <w:rFonts w:ascii="Times New Roman" w:hAnsi="Times New Roman"/>
                <w:sz w:val="18"/>
                <w:szCs w:val="18"/>
              </w:rPr>
              <w:t>变形曲线逐渐呈现增长趋势，切线角α由恒定逐渐变陡，但增幅较小，曲线开始上弯。</w:t>
            </w:r>
          </w:p>
        </w:tc>
        <w:tc>
          <w:tcPr>
            <w:tcW w:w="770" w:type="pct"/>
            <w:gridSpan w:val="2"/>
            <w:shd w:val="clear" w:color="auto" w:fill="auto"/>
            <w:vAlign w:val="center"/>
          </w:tcPr>
          <w:p>
            <w:pPr>
              <w:rPr>
                <w:rFonts w:ascii="Times New Roman" w:hAnsi="Times New Roman"/>
                <w:sz w:val="18"/>
                <w:szCs w:val="18"/>
              </w:rPr>
            </w:pPr>
            <w:r>
              <w:rPr>
                <w:rFonts w:ascii="Times New Roman" w:hAnsi="Times New Roman"/>
                <w:sz w:val="18"/>
                <w:szCs w:val="18"/>
              </w:rPr>
              <w:t>变形曲线持续稳定的增长，切线较α明显变陡，曲线明显上弯。</w:t>
            </w:r>
          </w:p>
        </w:tc>
        <w:tc>
          <w:tcPr>
            <w:tcW w:w="886" w:type="pct"/>
            <w:gridSpan w:val="2"/>
            <w:shd w:val="clear" w:color="auto" w:fill="auto"/>
            <w:vAlign w:val="center"/>
          </w:tcPr>
          <w:p>
            <w:pPr>
              <w:rPr>
                <w:rFonts w:ascii="Times New Roman" w:hAnsi="Times New Roman"/>
                <w:sz w:val="18"/>
                <w:szCs w:val="18"/>
              </w:rPr>
            </w:pPr>
            <w:r>
              <w:rPr>
                <w:rFonts w:ascii="Times New Roman" w:hAnsi="Times New Roman"/>
                <w:sz w:val="18"/>
                <w:szCs w:val="18"/>
              </w:rPr>
              <w:t>变形曲线骤然快速增长，且有不断加剧的趋势，切线角α逐渐接近90°，变形曲线趋于陡立。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jc w:val="center"/>
        </w:trPr>
        <w:tc>
          <w:tcPr>
            <w:tcW w:w="321"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宏观变形破坏迹象</w:t>
            </w:r>
          </w:p>
        </w:tc>
        <w:tc>
          <w:tcPr>
            <w:tcW w:w="297" w:type="pct"/>
            <w:gridSpan w:val="2"/>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裂缝产生、发展演化以及裂缝体系的分期配套</w:t>
            </w:r>
          </w:p>
          <w:p>
            <w:pPr>
              <w:jc w:val="center"/>
              <w:rPr>
                <w:rFonts w:ascii="Times New Roman" w:hAnsi="Times New Roman"/>
                <w:sz w:val="18"/>
                <w:szCs w:val="18"/>
              </w:rPr>
            </w:pPr>
          </w:p>
        </w:tc>
        <w:tc>
          <w:tcPr>
            <w:tcW w:w="233" w:type="pct"/>
            <w:shd w:val="clear" w:color="auto" w:fill="auto"/>
            <w:vAlign w:val="center"/>
          </w:tcPr>
          <w:p>
            <w:pPr>
              <w:jc w:val="center"/>
              <w:rPr>
                <w:rFonts w:ascii="Times New Roman" w:hAnsi="Times New Roman"/>
                <w:sz w:val="18"/>
                <w:szCs w:val="18"/>
              </w:rPr>
            </w:pPr>
            <w:r>
              <w:rPr>
                <w:rFonts w:ascii="Times New Roman" w:hAnsi="Times New Roman"/>
                <w:sz w:val="18"/>
                <w:szCs w:val="18"/>
              </w:rPr>
              <w:t>推</w:t>
            </w:r>
          </w:p>
          <w:p>
            <w:pPr>
              <w:jc w:val="center"/>
              <w:rPr>
                <w:rFonts w:ascii="Times New Roman" w:hAnsi="Times New Roman"/>
                <w:sz w:val="18"/>
                <w:szCs w:val="18"/>
              </w:rPr>
            </w:pPr>
            <w:r>
              <w:rPr>
                <w:rFonts w:ascii="Times New Roman" w:hAnsi="Times New Roman"/>
                <w:sz w:val="18"/>
                <w:szCs w:val="18"/>
              </w:rPr>
              <w:t>移</w:t>
            </w:r>
          </w:p>
          <w:p>
            <w:pPr>
              <w:jc w:val="center"/>
              <w:rPr>
                <w:rFonts w:ascii="Times New Roman" w:hAnsi="Times New Roman"/>
                <w:sz w:val="18"/>
                <w:szCs w:val="18"/>
              </w:rPr>
            </w:pPr>
            <w:r>
              <w:rPr>
                <w:rFonts w:ascii="Times New Roman" w:hAnsi="Times New Roman"/>
                <w:sz w:val="18"/>
                <w:szCs w:val="18"/>
              </w:rPr>
              <w:t>式</w:t>
            </w:r>
          </w:p>
          <w:p>
            <w:pPr>
              <w:jc w:val="center"/>
              <w:rPr>
                <w:rFonts w:ascii="Times New Roman" w:hAnsi="Times New Roman"/>
                <w:sz w:val="18"/>
                <w:szCs w:val="18"/>
              </w:rPr>
            </w:pPr>
            <w:r>
              <w:rPr>
                <w:rFonts w:ascii="Times New Roman" w:hAnsi="Times New Roman"/>
                <w:sz w:val="18"/>
                <w:szCs w:val="18"/>
              </w:rPr>
              <w:t>滑</w:t>
            </w:r>
          </w:p>
          <w:p>
            <w:pPr>
              <w:jc w:val="center"/>
              <w:rPr>
                <w:rFonts w:ascii="Times New Roman" w:hAnsi="Times New Roman"/>
                <w:sz w:val="18"/>
                <w:szCs w:val="18"/>
              </w:rPr>
            </w:pPr>
            <w:r>
              <w:rPr>
                <w:rFonts w:ascii="Times New Roman" w:hAnsi="Times New Roman"/>
                <w:sz w:val="18"/>
                <w:szCs w:val="18"/>
              </w:rPr>
              <w:t>坡</w:t>
            </w:r>
          </w:p>
          <w:p>
            <w:pPr>
              <w:jc w:val="center"/>
              <w:rPr>
                <w:rFonts w:ascii="Times New Roman" w:hAnsi="Times New Roman"/>
                <w:sz w:val="18"/>
                <w:szCs w:val="18"/>
              </w:rPr>
            </w:pPr>
          </w:p>
        </w:tc>
        <w:tc>
          <w:tcPr>
            <w:tcW w:w="686" w:type="pct"/>
            <w:shd w:val="clear" w:color="auto" w:fill="auto"/>
            <w:vAlign w:val="center"/>
          </w:tcPr>
          <w:p>
            <w:pPr>
              <w:rPr>
                <w:rFonts w:ascii="Times New Roman" w:hAnsi="Times New Roman"/>
                <w:sz w:val="18"/>
                <w:szCs w:val="18"/>
              </w:rPr>
            </w:pPr>
            <w:r>
              <w:rPr>
                <w:rFonts w:ascii="Times New Roman" w:hAnsi="Times New Roman"/>
                <w:sz w:val="18"/>
                <w:szCs w:val="18"/>
              </w:rPr>
              <w:t>在坡体中后部出现拉张裂缝，裂缝短小，断续分布，方向性不明显。地表若为松散岩土体，则裂缝可能首先见于滑坡区建构筑上，如房屋墙体、地坪、挡墙等出现开裂、错动和轻微下沉等迹象。</w:t>
            </w:r>
          </w:p>
        </w:tc>
        <w:tc>
          <w:tcPr>
            <w:tcW w:w="1254" w:type="pct"/>
            <w:gridSpan w:val="2"/>
            <w:shd w:val="clear" w:color="auto" w:fill="auto"/>
            <w:vAlign w:val="center"/>
          </w:tcPr>
          <w:p>
            <w:pPr>
              <w:rPr>
                <w:rFonts w:ascii="Times New Roman" w:hAnsi="Times New Roman"/>
                <w:sz w:val="18"/>
                <w:szCs w:val="18"/>
              </w:rPr>
            </w:pPr>
            <w:r>
              <w:rPr>
                <w:rFonts w:ascii="Times New Roman" w:hAnsi="Times New Roman"/>
                <w:sz w:val="18"/>
                <w:szCs w:val="18"/>
              </w:rPr>
              <w:t>地表裂缝逐渐增多、长度逐渐增大，并逐渐向前扩展，后缘开始出现下座变形，形成多级下错台坎；侧翼剪张裂缝开始产生并逐渐从后缘向前缘扩展、延伸。裂缝主要分布于坡体中后部，后缘弧形拉裂缝已具雏形，侧缘的中后部出现剪张裂缝。</w:t>
            </w:r>
          </w:p>
        </w:tc>
        <w:tc>
          <w:tcPr>
            <w:tcW w:w="554" w:type="pct"/>
            <w:shd w:val="clear" w:color="auto" w:fill="auto"/>
            <w:vAlign w:val="center"/>
          </w:tcPr>
          <w:p>
            <w:pPr>
              <w:rPr>
                <w:rFonts w:ascii="Times New Roman" w:hAnsi="Times New Roman"/>
                <w:sz w:val="18"/>
                <w:szCs w:val="18"/>
              </w:rPr>
            </w:pPr>
            <w:r>
              <w:rPr>
                <w:rFonts w:ascii="Times New Roman" w:hAnsi="Times New Roman"/>
                <w:sz w:val="18"/>
                <w:szCs w:val="18"/>
              </w:rPr>
              <w:t>后缘弧形拉张裂缝趋于连接，开始加大加深；侧翼张扭性裂缝逐渐向坡体中前部扩展延伸；前缘开始出现隆起，产生鼓胀裂缝。如前缘临空还可见剪切错动面。</w:t>
            </w:r>
          </w:p>
        </w:tc>
        <w:tc>
          <w:tcPr>
            <w:tcW w:w="770" w:type="pct"/>
            <w:gridSpan w:val="2"/>
            <w:shd w:val="clear" w:color="auto" w:fill="auto"/>
            <w:vAlign w:val="center"/>
          </w:tcPr>
          <w:p>
            <w:pPr>
              <w:rPr>
                <w:rFonts w:ascii="Times New Roman" w:hAnsi="Times New Roman"/>
                <w:sz w:val="18"/>
                <w:szCs w:val="18"/>
              </w:rPr>
            </w:pPr>
            <w:r>
              <w:rPr>
                <w:rFonts w:ascii="Times New Roman" w:hAnsi="Times New Roman"/>
                <w:sz w:val="18"/>
                <w:szCs w:val="18"/>
              </w:rPr>
              <w:t>后缘弧形拉张裂缝、侧翼剪张裂缝相互贯通连接，后缘弧形张裂缝明显加快、加深；前缘隆起鼓胀明显，出现纵向放射状张裂缝和横向鼓张裂缝。滑坡边界裂缝体系基本相互贯通，滑坡圈闭边界已形成。</w:t>
            </w:r>
          </w:p>
        </w:tc>
        <w:tc>
          <w:tcPr>
            <w:tcW w:w="886" w:type="pct"/>
            <w:gridSpan w:val="2"/>
            <w:shd w:val="clear" w:color="auto" w:fill="auto"/>
            <w:vAlign w:val="center"/>
          </w:tcPr>
          <w:p>
            <w:pPr>
              <w:rPr>
                <w:rFonts w:ascii="Times New Roman" w:hAnsi="Times New Roman"/>
                <w:sz w:val="18"/>
                <w:szCs w:val="18"/>
              </w:rPr>
            </w:pPr>
            <w:r>
              <w:rPr>
                <w:rFonts w:ascii="Times New Roman" w:hAnsi="Times New Roman"/>
                <w:sz w:val="18"/>
                <w:szCs w:val="18"/>
              </w:rPr>
              <w:t>由裂缝体系构成的滑坡圈闭边界和滑坡底滑面完全形成。如果斜坡整体滑移受限(如滑面后陡前缓甚至反翘、前缘临空条件差等)，滑坡前可能会出现后缘裂缝逐渐闭合、前缘外鼓等现象。坡体前缘小崩、小塌不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297" w:type="pct"/>
            <w:gridSpan w:val="2"/>
            <w:vMerge w:val="continue"/>
            <w:shd w:val="clear" w:color="auto" w:fill="auto"/>
            <w:vAlign w:val="center"/>
          </w:tcPr>
          <w:p>
            <w:pPr>
              <w:jc w:val="center"/>
              <w:rPr>
                <w:rFonts w:ascii="Times New Roman" w:hAnsi="Times New Roman"/>
                <w:sz w:val="18"/>
                <w:szCs w:val="18"/>
              </w:rPr>
            </w:pPr>
          </w:p>
        </w:tc>
        <w:tc>
          <w:tcPr>
            <w:tcW w:w="233" w:type="pct"/>
            <w:shd w:val="clear" w:color="auto" w:fill="auto"/>
            <w:vAlign w:val="center"/>
          </w:tcPr>
          <w:p>
            <w:pPr>
              <w:jc w:val="center"/>
              <w:rPr>
                <w:rFonts w:ascii="Times New Roman" w:hAnsi="Times New Roman"/>
                <w:sz w:val="18"/>
                <w:szCs w:val="18"/>
              </w:rPr>
            </w:pPr>
            <w:r>
              <w:rPr>
                <w:rFonts w:ascii="Times New Roman" w:hAnsi="Times New Roman"/>
                <w:sz w:val="18"/>
                <w:szCs w:val="18"/>
              </w:rPr>
              <w:t>牵</w:t>
            </w:r>
          </w:p>
          <w:p>
            <w:pPr>
              <w:jc w:val="center"/>
              <w:rPr>
                <w:rFonts w:ascii="Times New Roman" w:hAnsi="Times New Roman"/>
                <w:sz w:val="18"/>
                <w:szCs w:val="18"/>
              </w:rPr>
            </w:pPr>
            <w:r>
              <w:rPr>
                <w:rFonts w:ascii="Times New Roman" w:hAnsi="Times New Roman"/>
                <w:sz w:val="18"/>
                <w:szCs w:val="18"/>
              </w:rPr>
              <w:t>引</w:t>
            </w:r>
          </w:p>
          <w:p>
            <w:pPr>
              <w:jc w:val="center"/>
              <w:rPr>
                <w:rFonts w:ascii="Times New Roman" w:hAnsi="Times New Roman"/>
                <w:sz w:val="18"/>
                <w:szCs w:val="18"/>
              </w:rPr>
            </w:pPr>
            <w:r>
              <w:rPr>
                <w:rFonts w:ascii="Times New Roman" w:hAnsi="Times New Roman"/>
                <w:sz w:val="18"/>
                <w:szCs w:val="18"/>
              </w:rPr>
              <w:t>式</w:t>
            </w:r>
          </w:p>
          <w:p>
            <w:pPr>
              <w:jc w:val="center"/>
              <w:rPr>
                <w:rFonts w:ascii="Times New Roman" w:hAnsi="Times New Roman"/>
                <w:sz w:val="18"/>
                <w:szCs w:val="18"/>
              </w:rPr>
            </w:pPr>
            <w:r>
              <w:rPr>
                <w:rFonts w:ascii="Times New Roman" w:hAnsi="Times New Roman"/>
                <w:sz w:val="18"/>
                <w:szCs w:val="18"/>
              </w:rPr>
              <w:t>滑</w:t>
            </w:r>
          </w:p>
          <w:p>
            <w:pPr>
              <w:jc w:val="center"/>
              <w:rPr>
                <w:rFonts w:ascii="Times New Roman" w:hAnsi="Times New Roman"/>
                <w:sz w:val="18"/>
                <w:szCs w:val="18"/>
              </w:rPr>
            </w:pPr>
            <w:r>
              <w:rPr>
                <w:rFonts w:ascii="Times New Roman" w:hAnsi="Times New Roman"/>
                <w:sz w:val="18"/>
                <w:szCs w:val="18"/>
              </w:rPr>
              <w:t>坡</w:t>
            </w:r>
          </w:p>
        </w:tc>
        <w:tc>
          <w:tcPr>
            <w:tcW w:w="686" w:type="pct"/>
            <w:shd w:val="clear" w:color="auto" w:fill="auto"/>
            <w:vAlign w:val="center"/>
          </w:tcPr>
          <w:p>
            <w:pPr>
              <w:rPr>
                <w:rFonts w:ascii="Times New Roman" w:hAnsi="Times New Roman"/>
                <w:sz w:val="18"/>
                <w:szCs w:val="18"/>
              </w:rPr>
            </w:pPr>
            <w:r>
              <w:rPr>
                <w:rFonts w:ascii="Times New Roman" w:hAnsi="Times New Roman"/>
                <w:sz w:val="18"/>
                <w:szCs w:val="18"/>
              </w:rPr>
              <w:t>在坡体前缘，尤其是临空面附近的地表出现拉张裂缝，裂缝短小，断续分布。</w:t>
            </w:r>
          </w:p>
        </w:tc>
        <w:tc>
          <w:tcPr>
            <w:tcW w:w="1254" w:type="pct"/>
            <w:gridSpan w:val="2"/>
            <w:shd w:val="clear" w:color="auto" w:fill="auto"/>
            <w:vAlign w:val="center"/>
          </w:tcPr>
          <w:p>
            <w:pPr>
              <w:rPr>
                <w:rFonts w:ascii="Times New Roman" w:hAnsi="Times New Roman"/>
                <w:sz w:val="18"/>
                <w:szCs w:val="18"/>
              </w:rPr>
            </w:pPr>
            <w:r>
              <w:rPr>
                <w:rFonts w:ascii="Times New Roman" w:hAnsi="Times New Roman"/>
                <w:sz w:val="18"/>
                <w:szCs w:val="18"/>
              </w:rPr>
              <w:t>前缘地表裂缝增多、长度增大，逐渐向后扩展。侧翼剪张裂缝出现并逐渐向后延伸。前缘裂缝逐渐贯通，并沿已有裂缝产生多级下错台坎。</w:t>
            </w:r>
          </w:p>
        </w:tc>
        <w:tc>
          <w:tcPr>
            <w:tcW w:w="554" w:type="pct"/>
            <w:shd w:val="clear" w:color="auto" w:fill="auto"/>
            <w:vAlign w:val="center"/>
          </w:tcPr>
          <w:p>
            <w:pPr>
              <w:rPr>
                <w:rFonts w:ascii="Times New Roman" w:hAnsi="Times New Roman"/>
                <w:sz w:val="18"/>
                <w:szCs w:val="18"/>
              </w:rPr>
            </w:pPr>
            <w:r>
              <w:rPr>
                <w:rFonts w:ascii="Times New Roman" w:hAnsi="Times New Roman"/>
                <w:sz w:val="18"/>
                <w:szCs w:val="18"/>
              </w:rPr>
              <w:t>横张裂缝扩展并逐渐形成后缘弧形拉裂缝；侧翼剪张裂缝逐渐向中后部发展延伸。前缘裂缝贯通、局部滑塌。</w:t>
            </w:r>
          </w:p>
        </w:tc>
        <w:tc>
          <w:tcPr>
            <w:tcW w:w="770" w:type="pct"/>
            <w:gridSpan w:val="2"/>
            <w:shd w:val="clear" w:color="auto" w:fill="auto"/>
            <w:vAlign w:val="center"/>
          </w:tcPr>
          <w:p>
            <w:pPr>
              <w:rPr>
                <w:rFonts w:ascii="Times New Roman" w:hAnsi="Times New Roman"/>
                <w:sz w:val="18"/>
                <w:szCs w:val="18"/>
              </w:rPr>
            </w:pPr>
            <w:r>
              <w:rPr>
                <w:rFonts w:ascii="Times New Roman" w:hAnsi="Times New Roman"/>
                <w:sz w:val="18"/>
                <w:szCs w:val="18"/>
              </w:rPr>
              <w:t>可能会产生由前向后的逐级滑塌后退现象；后缘弧形拉裂缝、侧翼剪张裂缝已完全形成并贯通，滑坡圈闭边界已形成。如果前缘垮塌、滑移受阻，滑坡可能会向推移式转化。</w:t>
            </w:r>
          </w:p>
        </w:tc>
        <w:tc>
          <w:tcPr>
            <w:tcW w:w="886" w:type="pct"/>
            <w:gridSpan w:val="2"/>
            <w:shd w:val="clear" w:color="auto" w:fill="auto"/>
            <w:vAlign w:val="center"/>
          </w:tcPr>
          <w:p>
            <w:pPr>
              <w:rPr>
                <w:rFonts w:ascii="Times New Roman" w:hAnsi="Times New Roman"/>
                <w:sz w:val="18"/>
                <w:szCs w:val="18"/>
              </w:rPr>
            </w:pPr>
            <w:r>
              <w:rPr>
                <w:rFonts w:ascii="Times New Roman" w:hAnsi="Times New Roman"/>
                <w:sz w:val="18"/>
                <w:szCs w:val="18"/>
              </w:rPr>
              <w:t>由裂缝体系构成的滑坡圈闭边界和滑坡底滑面完全成。可能阐述从前向后逐渐滑塌破坏。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jc w:val="center"/>
              <w:rPr>
                <w:rFonts w:ascii="Times New Roman" w:hAnsi="Times New Roman"/>
                <w:sz w:val="18"/>
                <w:szCs w:val="18"/>
              </w:rPr>
            </w:pPr>
            <w:r>
              <w:rPr>
                <w:rFonts w:ascii="Times New Roman" w:hAnsi="Times New Roman"/>
                <w:sz w:val="18"/>
                <w:szCs w:val="18"/>
              </w:rPr>
              <w:t>位移矢量</w:t>
            </w:r>
          </w:p>
        </w:tc>
        <w:tc>
          <w:tcPr>
            <w:tcW w:w="686" w:type="pct"/>
            <w:shd w:val="clear" w:color="auto" w:fill="auto"/>
            <w:vAlign w:val="center"/>
          </w:tcPr>
          <w:p>
            <w:pPr>
              <w:rPr>
                <w:rFonts w:ascii="Times New Roman" w:hAnsi="Times New Roman"/>
                <w:sz w:val="18"/>
                <w:szCs w:val="18"/>
              </w:rPr>
            </w:pPr>
            <w:r>
              <w:rPr>
                <w:rFonts w:ascii="Times New Roman" w:hAnsi="Times New Roman"/>
                <w:sz w:val="18"/>
                <w:szCs w:val="18"/>
              </w:rPr>
              <w:t>位移矢量方向零乱，量值差别大</w:t>
            </w:r>
          </w:p>
        </w:tc>
        <w:tc>
          <w:tcPr>
            <w:tcW w:w="1254" w:type="pct"/>
            <w:gridSpan w:val="2"/>
            <w:shd w:val="clear" w:color="auto" w:fill="auto"/>
            <w:vAlign w:val="center"/>
          </w:tcPr>
          <w:p>
            <w:pPr>
              <w:rPr>
                <w:rFonts w:ascii="Times New Roman" w:hAnsi="Times New Roman"/>
                <w:sz w:val="18"/>
                <w:szCs w:val="18"/>
              </w:rPr>
            </w:pPr>
            <w:r>
              <w:rPr>
                <w:rFonts w:ascii="Times New Roman" w:hAnsi="Times New Roman"/>
                <w:sz w:val="18"/>
                <w:szCs w:val="18"/>
              </w:rPr>
              <w:t>位移矢量方向逐渐趋于同一，指向主滑方向，位移量值一般是后部大前部小、中部大、两侧小</w:t>
            </w:r>
          </w:p>
        </w:tc>
        <w:tc>
          <w:tcPr>
            <w:tcW w:w="1323" w:type="pct"/>
            <w:gridSpan w:val="3"/>
            <w:shd w:val="clear" w:color="auto" w:fill="auto"/>
            <w:vAlign w:val="center"/>
          </w:tcPr>
          <w:p>
            <w:pPr>
              <w:rPr>
                <w:rFonts w:ascii="Times New Roman" w:hAnsi="Times New Roman"/>
                <w:sz w:val="18"/>
                <w:szCs w:val="18"/>
              </w:rPr>
            </w:pPr>
            <w:r>
              <w:rPr>
                <w:rFonts w:ascii="Times New Roman" w:hAnsi="Times New Roman"/>
                <w:sz w:val="18"/>
                <w:szCs w:val="18"/>
              </w:rPr>
              <w:t>各部位监测点位移矢量方向基本统一，指向主滑方向，位移量值差别逐渐缩小</w:t>
            </w:r>
          </w:p>
        </w:tc>
        <w:tc>
          <w:tcPr>
            <w:tcW w:w="886" w:type="pct"/>
            <w:gridSpan w:val="2"/>
            <w:shd w:val="clear" w:color="auto" w:fill="auto"/>
            <w:vAlign w:val="center"/>
          </w:tcPr>
          <w:p>
            <w:pPr>
              <w:rPr>
                <w:rFonts w:ascii="Times New Roman" w:hAnsi="Times New Roman"/>
                <w:sz w:val="18"/>
                <w:szCs w:val="18"/>
              </w:rPr>
            </w:pPr>
            <w:r>
              <w:rPr>
                <w:rFonts w:ascii="Times New Roman" w:hAnsi="Times New Roman"/>
                <w:sz w:val="18"/>
                <w:szCs w:val="18"/>
              </w:rPr>
              <w:t>各部位监测点位移矢量方向和量值均趋于一致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隆起与沉陷</w:t>
            </w:r>
          </w:p>
        </w:tc>
        <w:tc>
          <w:tcPr>
            <w:tcW w:w="68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无明显隆起和沉陷，或偶见沉陷和隆起。</w:t>
            </w:r>
          </w:p>
        </w:tc>
        <w:tc>
          <w:tcPr>
            <w:tcW w:w="1254"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后缘局部沉陷前缘局部隆起</w:t>
            </w:r>
          </w:p>
        </w:tc>
        <w:tc>
          <w:tcPr>
            <w:tcW w:w="55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后缘沉陷、前缘隆起现象比较明显。</w:t>
            </w:r>
          </w:p>
        </w:tc>
        <w:tc>
          <w:tcPr>
            <w:tcW w:w="770"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后缘沉陷、前缘隆起现象显著。</w:t>
            </w:r>
          </w:p>
        </w:tc>
        <w:tc>
          <w:tcPr>
            <w:tcW w:w="886"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滑体后部急剧下沉，前缘出现鼓包，隆起开裂；滑坡的剪出口位置及其影响地带，出现剪出、膨胀和松动带。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崩塌</w:t>
            </w:r>
          </w:p>
        </w:tc>
        <w:tc>
          <w:tcPr>
            <w:tcW w:w="68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几乎不发生或很少发生</w:t>
            </w:r>
          </w:p>
        </w:tc>
        <w:tc>
          <w:tcPr>
            <w:tcW w:w="1254"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崩塌偶尔发生</w:t>
            </w:r>
          </w:p>
        </w:tc>
        <w:tc>
          <w:tcPr>
            <w:tcW w:w="55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崩塌时有发生，频次基本不变。</w:t>
            </w:r>
          </w:p>
        </w:tc>
        <w:tc>
          <w:tcPr>
            <w:tcW w:w="770"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崩塌常有发生，发生频率增加。</w:t>
            </w:r>
          </w:p>
        </w:tc>
        <w:tc>
          <w:tcPr>
            <w:tcW w:w="886"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滑体后部大幅度沉陷，前缘崩滑日夜不断，规模渐大，频次渐高，活动频率急剧加快。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321"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宏观前兆异常</w:t>
            </w: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地表水</w:t>
            </w:r>
          </w:p>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及地下水</w:t>
            </w:r>
          </w:p>
        </w:tc>
        <w:tc>
          <w:tcPr>
            <w:tcW w:w="686" w:type="pct"/>
            <w:shd w:val="clear" w:color="auto" w:fill="auto"/>
            <w:vAlign w:val="center"/>
          </w:tcPr>
          <w:p>
            <w:pPr>
              <w:autoSpaceDE w:val="0"/>
              <w:autoSpaceDN w:val="0"/>
              <w:adjustRightInd w:val="0"/>
              <w:rPr>
                <w:rFonts w:ascii="Times New Roman" w:hAnsi="Times New Roman"/>
                <w:kern w:val="0"/>
                <w:sz w:val="18"/>
                <w:szCs w:val="18"/>
              </w:rPr>
            </w:pPr>
          </w:p>
        </w:tc>
        <w:tc>
          <w:tcPr>
            <w:tcW w:w="1254" w:type="pct"/>
            <w:gridSpan w:val="2"/>
            <w:shd w:val="clear" w:color="auto" w:fill="auto"/>
            <w:vAlign w:val="center"/>
          </w:tcPr>
          <w:p>
            <w:pPr>
              <w:autoSpaceDE w:val="0"/>
              <w:autoSpaceDN w:val="0"/>
              <w:adjustRightInd w:val="0"/>
              <w:rPr>
                <w:rFonts w:ascii="Times New Roman" w:hAnsi="Times New Roman"/>
                <w:kern w:val="0"/>
                <w:sz w:val="18"/>
                <w:szCs w:val="18"/>
              </w:rPr>
            </w:pPr>
          </w:p>
        </w:tc>
        <w:tc>
          <w:tcPr>
            <w:tcW w:w="554" w:type="pct"/>
            <w:shd w:val="clear" w:color="auto" w:fill="auto"/>
            <w:vAlign w:val="center"/>
          </w:tcPr>
          <w:p>
            <w:pPr>
              <w:autoSpaceDE w:val="0"/>
              <w:autoSpaceDN w:val="0"/>
              <w:adjustRightInd w:val="0"/>
              <w:rPr>
                <w:rFonts w:ascii="Times New Roman" w:hAnsi="Times New Roman"/>
                <w:kern w:val="0"/>
                <w:sz w:val="18"/>
                <w:szCs w:val="18"/>
              </w:rPr>
            </w:pPr>
          </w:p>
        </w:tc>
        <w:tc>
          <w:tcPr>
            <w:tcW w:w="1656" w:type="pct"/>
            <w:gridSpan w:val="4"/>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体及前缘泉点数目增加或减少以及出现湿地，滑坡中部地表水田、水池的突然下降和干枯，水位跃变，水质、水量、水温、水的颜色发生变化等，如出现新泉或泉水量增大、泉水变浑、温度上升为温泉甚至出现喷泉等。</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地声、地气</w:t>
            </w:r>
          </w:p>
        </w:tc>
        <w:tc>
          <w:tcPr>
            <w:tcW w:w="686" w:type="pct"/>
            <w:shd w:val="clear" w:color="auto" w:fill="auto"/>
            <w:vAlign w:val="center"/>
          </w:tcPr>
          <w:p>
            <w:pPr>
              <w:autoSpaceDE w:val="0"/>
              <w:autoSpaceDN w:val="0"/>
              <w:adjustRightInd w:val="0"/>
              <w:rPr>
                <w:rFonts w:ascii="Times New Roman" w:hAnsi="Times New Roman"/>
                <w:kern w:val="0"/>
                <w:sz w:val="18"/>
                <w:szCs w:val="18"/>
              </w:rPr>
            </w:pPr>
          </w:p>
        </w:tc>
        <w:tc>
          <w:tcPr>
            <w:tcW w:w="1254" w:type="pct"/>
            <w:gridSpan w:val="2"/>
            <w:shd w:val="clear" w:color="auto" w:fill="auto"/>
            <w:vAlign w:val="center"/>
          </w:tcPr>
          <w:p>
            <w:pPr>
              <w:autoSpaceDE w:val="0"/>
              <w:autoSpaceDN w:val="0"/>
              <w:adjustRightInd w:val="0"/>
              <w:rPr>
                <w:rFonts w:ascii="Times New Roman" w:hAnsi="Times New Roman"/>
                <w:kern w:val="0"/>
                <w:sz w:val="18"/>
                <w:szCs w:val="18"/>
              </w:rPr>
            </w:pPr>
          </w:p>
        </w:tc>
        <w:tc>
          <w:tcPr>
            <w:tcW w:w="554" w:type="pct"/>
            <w:shd w:val="clear" w:color="auto" w:fill="auto"/>
            <w:vAlign w:val="center"/>
          </w:tcPr>
          <w:p>
            <w:pPr>
              <w:autoSpaceDE w:val="0"/>
              <w:autoSpaceDN w:val="0"/>
              <w:adjustRightInd w:val="0"/>
              <w:rPr>
                <w:rFonts w:ascii="Times New Roman" w:hAnsi="Times New Roman"/>
                <w:kern w:val="0"/>
                <w:sz w:val="18"/>
                <w:szCs w:val="18"/>
              </w:rPr>
            </w:pPr>
          </w:p>
        </w:tc>
        <w:tc>
          <w:tcPr>
            <w:tcW w:w="770" w:type="pct"/>
            <w:gridSpan w:val="2"/>
            <w:shd w:val="clear" w:color="auto" w:fill="auto"/>
            <w:vAlign w:val="center"/>
          </w:tcPr>
          <w:p>
            <w:pPr>
              <w:autoSpaceDE w:val="0"/>
              <w:autoSpaceDN w:val="0"/>
              <w:adjustRightInd w:val="0"/>
              <w:rPr>
                <w:rFonts w:ascii="Times New Roman" w:hAnsi="Times New Roman"/>
                <w:kern w:val="0"/>
                <w:sz w:val="18"/>
                <w:szCs w:val="18"/>
              </w:rPr>
            </w:pPr>
          </w:p>
        </w:tc>
        <w:tc>
          <w:tcPr>
            <w:tcW w:w="886"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出现岩土体移动、破裂、摩擦发出声响，建筑物倒塌、滚石发出声响。滑坡区冒出冷风、尘烟、有味或无味的热气。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动物异常</w:t>
            </w:r>
          </w:p>
        </w:tc>
        <w:tc>
          <w:tcPr>
            <w:tcW w:w="686" w:type="pct"/>
            <w:shd w:val="clear" w:color="auto" w:fill="auto"/>
            <w:vAlign w:val="center"/>
          </w:tcPr>
          <w:p>
            <w:pPr>
              <w:autoSpaceDE w:val="0"/>
              <w:autoSpaceDN w:val="0"/>
              <w:adjustRightInd w:val="0"/>
              <w:rPr>
                <w:rFonts w:ascii="Times New Roman" w:hAnsi="Times New Roman"/>
                <w:kern w:val="0"/>
                <w:sz w:val="18"/>
                <w:szCs w:val="18"/>
              </w:rPr>
            </w:pPr>
          </w:p>
        </w:tc>
        <w:tc>
          <w:tcPr>
            <w:tcW w:w="1254" w:type="pct"/>
            <w:gridSpan w:val="2"/>
            <w:shd w:val="clear" w:color="auto" w:fill="auto"/>
            <w:vAlign w:val="center"/>
          </w:tcPr>
          <w:p>
            <w:pPr>
              <w:autoSpaceDE w:val="0"/>
              <w:autoSpaceDN w:val="0"/>
              <w:adjustRightInd w:val="0"/>
              <w:rPr>
                <w:rFonts w:ascii="Times New Roman" w:hAnsi="Times New Roman"/>
                <w:kern w:val="0"/>
                <w:sz w:val="18"/>
                <w:szCs w:val="18"/>
              </w:rPr>
            </w:pPr>
          </w:p>
        </w:tc>
        <w:tc>
          <w:tcPr>
            <w:tcW w:w="554" w:type="pct"/>
            <w:shd w:val="clear" w:color="auto" w:fill="auto"/>
            <w:vAlign w:val="center"/>
          </w:tcPr>
          <w:p>
            <w:pPr>
              <w:autoSpaceDE w:val="0"/>
              <w:autoSpaceDN w:val="0"/>
              <w:adjustRightInd w:val="0"/>
              <w:rPr>
                <w:rFonts w:ascii="Times New Roman" w:hAnsi="Times New Roman"/>
                <w:kern w:val="0"/>
                <w:sz w:val="18"/>
                <w:szCs w:val="18"/>
              </w:rPr>
            </w:pPr>
          </w:p>
        </w:tc>
        <w:tc>
          <w:tcPr>
            <w:tcW w:w="770" w:type="pct"/>
            <w:gridSpan w:val="2"/>
            <w:shd w:val="clear" w:color="auto" w:fill="auto"/>
            <w:vAlign w:val="center"/>
          </w:tcPr>
          <w:p>
            <w:pPr>
              <w:autoSpaceDE w:val="0"/>
              <w:autoSpaceDN w:val="0"/>
              <w:adjustRightInd w:val="0"/>
              <w:rPr>
                <w:rFonts w:ascii="Times New Roman" w:hAnsi="Times New Roman"/>
                <w:kern w:val="0"/>
                <w:sz w:val="18"/>
                <w:szCs w:val="18"/>
              </w:rPr>
            </w:pPr>
          </w:p>
        </w:tc>
        <w:tc>
          <w:tcPr>
            <w:tcW w:w="886"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蛇鼠出洞、鸡飞、犬吠、家蜂外逃、耕牛惊叫、老鼠搬家、麻雀搬迁、鱼群集聚、及猪牛鸡狗惊恐不安等现象。通常以穴居地下的蛇、鼠等动物出现异常最早，紧随的是蜂、鸟、鸡、鸭等小动物出现异常；当逼近主滑时间时，才出现大动物行为异常，如狗、猪、牛等</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预警</w:t>
            </w:r>
          </w:p>
          <w:p>
            <w:pPr>
              <w:jc w:val="center"/>
              <w:rPr>
                <w:rFonts w:ascii="Times New Roman" w:hAnsi="Times New Roman"/>
                <w:sz w:val="18"/>
                <w:szCs w:val="18"/>
              </w:rPr>
            </w:pPr>
            <w:r>
              <w:rPr>
                <w:rFonts w:ascii="Times New Roman" w:hAnsi="Times New Roman"/>
                <w:sz w:val="18"/>
                <w:szCs w:val="18"/>
              </w:rPr>
              <w:t>判据</w:t>
            </w: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变形速率</w:t>
            </w:r>
          </w:p>
        </w:tc>
        <w:tc>
          <w:tcPr>
            <w:tcW w:w="68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变形速率时大时小，无明显规律性</w:t>
            </w:r>
            <w:r>
              <w:rPr>
                <w:rFonts w:hint="eastAsia" w:ascii="Times New Roman" w:hAnsi="Times New Roman"/>
                <w:kern w:val="0"/>
                <w:sz w:val="18"/>
                <w:szCs w:val="18"/>
              </w:rPr>
              <w:t>。</w:t>
            </w:r>
          </w:p>
        </w:tc>
        <w:tc>
          <w:tcPr>
            <w:tcW w:w="1254"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变形速率呈有规律的波动，但平均和宏观变形速率基本相等</w:t>
            </w:r>
            <w:r>
              <w:rPr>
                <w:rFonts w:hint="eastAsia" w:ascii="Times New Roman" w:hAnsi="Times New Roman"/>
                <w:kern w:val="0"/>
                <w:sz w:val="18"/>
                <w:szCs w:val="18"/>
              </w:rPr>
              <w:t>。</w:t>
            </w:r>
          </w:p>
        </w:tc>
        <w:tc>
          <w:tcPr>
            <w:tcW w:w="55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变形速率开始逐渐增加</w:t>
            </w:r>
            <w:r>
              <w:rPr>
                <w:rFonts w:hint="eastAsia" w:ascii="Times New Roman" w:hAnsi="Times New Roman"/>
                <w:kern w:val="0"/>
                <w:sz w:val="18"/>
                <w:szCs w:val="18"/>
              </w:rPr>
              <w:t>。</w:t>
            </w:r>
          </w:p>
        </w:tc>
        <w:tc>
          <w:tcPr>
            <w:tcW w:w="770"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w:t>
            </w:r>
            <w:r>
              <w:rPr>
                <w:rFonts w:hint="eastAsia" w:ascii="Times New Roman" w:hAnsi="Times New Roman"/>
                <w:kern w:val="0"/>
                <w:sz w:val="18"/>
                <w:szCs w:val="18"/>
              </w:rPr>
              <w:t>。</w:t>
            </w:r>
            <w:r>
              <w:rPr>
                <w:rFonts w:ascii="Times New Roman" w:hAnsi="Times New Roman"/>
                <w:kern w:val="0"/>
                <w:sz w:val="18"/>
                <w:szCs w:val="18"/>
              </w:rPr>
              <w:t>速率出现较快增长趋势</w:t>
            </w:r>
          </w:p>
        </w:tc>
        <w:tc>
          <w:tcPr>
            <w:tcW w:w="886" w:type="pct"/>
            <w:gridSpan w:val="2"/>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变形速率持续快速增长</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加速度</w:t>
            </w:r>
          </w:p>
        </w:tc>
        <w:tc>
          <w:tcPr>
            <w:tcW w:w="68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a＜0</w:t>
            </w:r>
          </w:p>
        </w:tc>
        <w:tc>
          <w:tcPr>
            <w:tcW w:w="1254" w:type="pct"/>
            <w:gridSpan w:val="2"/>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a≈0，在零附近波动</w:t>
            </w:r>
            <w:r>
              <w:rPr>
                <w:rFonts w:hint="eastAsia" w:ascii="Times New Roman" w:hAnsi="Times New Roman"/>
                <w:kern w:val="0"/>
                <w:sz w:val="18"/>
                <w:szCs w:val="18"/>
              </w:rPr>
              <w:t>。</w:t>
            </w:r>
          </w:p>
        </w:tc>
        <w:tc>
          <w:tcPr>
            <w:tcW w:w="1323"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a＞0，在一定范围内振荡</w:t>
            </w:r>
            <w:r>
              <w:rPr>
                <w:rFonts w:hint="eastAsia" w:ascii="Times New Roman" w:hAnsi="Times New Roman"/>
                <w:kern w:val="0"/>
                <w:sz w:val="18"/>
                <w:szCs w:val="18"/>
              </w:rPr>
              <w:t>。</w:t>
            </w:r>
          </w:p>
        </w:tc>
        <w:tc>
          <w:tcPr>
            <w:tcW w:w="886" w:type="pct"/>
            <w:gridSpan w:val="2"/>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a</w:t>
            </w:r>
            <w:r>
              <w:rPr>
                <w:rFonts w:hint="eastAsia" w:ascii="Times New Roman" w:hAnsi="Times New Roman"/>
                <w:kern w:val="0"/>
                <w:sz w:val="18"/>
                <w:szCs w:val="18"/>
              </w:rPr>
              <w:t>≥</w:t>
            </w:r>
            <w:r>
              <w:rPr>
                <w:rFonts w:ascii="Times New Roman" w:hAnsi="Times New Roman"/>
                <w:kern w:val="0"/>
                <w:sz w:val="18"/>
                <w:szCs w:val="18"/>
              </w:rPr>
              <w:t>0</w:t>
            </w:r>
            <w:r>
              <w:rPr>
                <w:rFonts w:ascii="Times New Roman" w:hAnsi="Times New Roman"/>
                <w:kern w:val="0"/>
                <w:szCs w:val="21"/>
              </w:rPr>
              <w:t>，</w:t>
            </w:r>
            <w:r>
              <w:rPr>
                <w:rFonts w:ascii="Times New Roman" w:hAnsi="Times New Roman"/>
                <w:kern w:val="0"/>
                <w:sz w:val="18"/>
                <w:szCs w:val="18"/>
              </w:rPr>
              <w:t>骤然剧增</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切线角</w:t>
            </w:r>
          </w:p>
        </w:tc>
        <w:tc>
          <w:tcPr>
            <w:tcW w:w="68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α＜45º</w:t>
            </w:r>
          </w:p>
        </w:tc>
        <w:tc>
          <w:tcPr>
            <w:tcW w:w="1254" w:type="pct"/>
            <w:gridSpan w:val="2"/>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α≈45º</w:t>
            </w:r>
          </w:p>
        </w:tc>
        <w:tc>
          <w:tcPr>
            <w:tcW w:w="554"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45º＜α＜80º</w:t>
            </w:r>
          </w:p>
        </w:tc>
        <w:tc>
          <w:tcPr>
            <w:tcW w:w="770" w:type="pct"/>
            <w:gridSpan w:val="2"/>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80º</w:t>
            </w:r>
            <w:r>
              <w:rPr>
                <w:rFonts w:hint="eastAsia" w:ascii="Times New Roman" w:hAnsi="Times New Roman"/>
                <w:kern w:val="0"/>
                <w:sz w:val="18"/>
                <w:szCs w:val="18"/>
              </w:rPr>
              <w:t>≤</w:t>
            </w:r>
            <w:r>
              <w:rPr>
                <w:rFonts w:ascii="Times New Roman" w:hAnsi="Times New Roman"/>
                <w:kern w:val="0"/>
                <w:sz w:val="18"/>
                <w:szCs w:val="18"/>
              </w:rPr>
              <w:t>α＜85º</w:t>
            </w:r>
          </w:p>
        </w:tc>
        <w:tc>
          <w:tcPr>
            <w:tcW w:w="886" w:type="pct"/>
            <w:gridSpan w:val="2"/>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α</w:t>
            </w:r>
            <w:r>
              <w:rPr>
                <w:rFonts w:hint="eastAsia" w:ascii="宋体" w:hAnsi="宋体"/>
                <w:kern w:val="0"/>
                <w:sz w:val="18"/>
                <w:szCs w:val="18"/>
              </w:rPr>
              <w:t>≥</w:t>
            </w:r>
            <w:r>
              <w:rPr>
                <w:rFonts w:ascii="Times New Roman" w:hAnsi="Times New Roman"/>
                <w:kern w:val="0"/>
                <w:sz w:val="18"/>
                <w:szCs w:val="18"/>
              </w:rPr>
              <w:t>85º</w:t>
            </w:r>
          </w:p>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滑坡发生前：α</w:t>
            </w:r>
            <w:r>
              <w:rPr>
                <w:rFonts w:hint="eastAsia" w:ascii="宋体" w:hAnsi="宋体"/>
                <w:kern w:val="0"/>
                <w:sz w:val="18"/>
                <w:szCs w:val="18"/>
              </w:rPr>
              <w:t>≥</w:t>
            </w:r>
            <w:r>
              <w:rPr>
                <w:rFonts w:ascii="Times New Roman" w:hAnsi="Times New Roman"/>
                <w:kern w:val="0"/>
                <w:sz w:val="18"/>
                <w:szCs w:val="18"/>
              </w:rPr>
              <w:t>88º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稳定系数</w:t>
            </w:r>
          </w:p>
        </w:tc>
        <w:tc>
          <w:tcPr>
            <w:tcW w:w="68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1.15＞K＞1.05</w:t>
            </w:r>
          </w:p>
        </w:tc>
        <w:tc>
          <w:tcPr>
            <w:tcW w:w="1254" w:type="pct"/>
            <w:gridSpan w:val="2"/>
            <w:shd w:val="clear" w:color="auto" w:fill="auto"/>
            <w:vAlign w:val="center"/>
          </w:tcPr>
          <w:p>
            <w:pPr>
              <w:autoSpaceDE w:val="0"/>
              <w:autoSpaceDN w:val="0"/>
              <w:adjustRightInd w:val="0"/>
              <w:jc w:val="center"/>
              <w:rPr>
                <w:rFonts w:ascii="Times New Roman" w:hAnsi="Times New Roman" w:eastAsiaTheme="minorEastAsia"/>
                <w:kern w:val="0"/>
                <w:sz w:val="18"/>
                <w:szCs w:val="18"/>
                <w:highlight w:val="yellow"/>
              </w:rPr>
            </w:pPr>
            <w:r>
              <w:rPr>
                <w:rFonts w:ascii="Times New Roman" w:hAnsi="Times New Roman"/>
                <w:kern w:val="0"/>
                <w:sz w:val="18"/>
                <w:szCs w:val="18"/>
              </w:rPr>
              <w:t>1.0</w:t>
            </w:r>
            <w:r>
              <w:rPr>
                <w:rFonts w:hint="eastAsia" w:ascii="Times New Roman" w:hAnsi="Times New Roman"/>
                <w:kern w:val="0"/>
                <w:sz w:val="18"/>
                <w:szCs w:val="18"/>
              </w:rPr>
              <w:t>≤</w:t>
            </w:r>
            <w:r>
              <w:rPr>
                <w:rFonts w:ascii="Times New Roman" w:hAnsi="Times New Roman"/>
                <w:kern w:val="0"/>
                <w:sz w:val="18"/>
                <w:szCs w:val="18"/>
              </w:rPr>
              <w:t>K</w:t>
            </w:r>
            <w:r>
              <w:rPr>
                <w:rFonts w:hint="eastAsia" w:ascii="Times New Roman" w:hAnsi="Times New Roman"/>
                <w:kern w:val="0"/>
                <w:sz w:val="18"/>
                <w:szCs w:val="18"/>
              </w:rPr>
              <w:t>≤</w:t>
            </w:r>
            <w:r>
              <w:rPr>
                <w:rFonts w:ascii="Times New Roman" w:hAnsi="Times New Roman"/>
                <w:kern w:val="0"/>
                <w:sz w:val="18"/>
                <w:szCs w:val="18"/>
              </w:rPr>
              <w:t>1.05</w:t>
            </w:r>
          </w:p>
        </w:tc>
        <w:tc>
          <w:tcPr>
            <w:tcW w:w="1323"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0.95</w:t>
            </w:r>
            <w:r>
              <w:rPr>
                <w:rFonts w:hint="eastAsia" w:ascii="Times New Roman" w:hAnsi="Times New Roman"/>
                <w:kern w:val="0"/>
                <w:sz w:val="18"/>
                <w:szCs w:val="18"/>
              </w:rPr>
              <w:t>≤</w:t>
            </w:r>
            <w:r>
              <w:rPr>
                <w:rFonts w:ascii="Times New Roman" w:hAnsi="Times New Roman"/>
                <w:kern w:val="0"/>
                <w:sz w:val="18"/>
                <w:szCs w:val="18"/>
              </w:rPr>
              <w:t>K</w:t>
            </w:r>
            <w:r>
              <w:rPr>
                <w:rFonts w:hint="eastAsia" w:ascii="Times New Roman" w:hAnsi="Times New Roman"/>
                <w:kern w:val="0"/>
                <w:sz w:val="18"/>
                <w:szCs w:val="18"/>
              </w:rPr>
              <w:t>≤</w:t>
            </w:r>
            <w:r>
              <w:rPr>
                <w:rFonts w:ascii="Times New Roman" w:hAnsi="Times New Roman"/>
                <w:kern w:val="0"/>
                <w:sz w:val="18"/>
                <w:szCs w:val="18"/>
              </w:rPr>
              <w:t>1.0</w:t>
            </w:r>
          </w:p>
        </w:tc>
        <w:tc>
          <w:tcPr>
            <w:tcW w:w="886" w:type="pct"/>
            <w:gridSpan w:val="2"/>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K＜0.95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滑坡对外界影响因素的变形响应</w:t>
            </w: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降雨</w:t>
            </w:r>
          </w:p>
        </w:tc>
        <w:tc>
          <w:tcPr>
            <w:tcW w:w="1940" w:type="pct"/>
            <w:gridSpan w:val="3"/>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滑坡变形与降雨呈正相关关系。每次大的降雨后，位移速率-时间曲线对应一次正向波动，每年汛期累计位移-时间曲线出现一次阶跃，但都存在一定的滞后，并且具有可逆性。降雨</w:t>
            </w:r>
            <w:r>
              <w:rPr>
                <w:rFonts w:hint="eastAsia" w:ascii="Times New Roman" w:hAnsi="Times New Roman"/>
                <w:kern w:val="0"/>
                <w:sz w:val="18"/>
                <w:szCs w:val="18"/>
              </w:rPr>
              <w:t>（</w:t>
            </w:r>
            <w:r>
              <w:rPr>
                <w:rFonts w:ascii="Times New Roman" w:hAnsi="Times New Roman"/>
                <w:kern w:val="0"/>
                <w:sz w:val="18"/>
                <w:szCs w:val="18"/>
              </w:rPr>
              <w:t>汛期</w:t>
            </w:r>
            <w:r>
              <w:rPr>
                <w:rFonts w:hint="eastAsia" w:ascii="Times New Roman" w:hAnsi="Times New Roman"/>
                <w:kern w:val="0"/>
                <w:sz w:val="18"/>
                <w:szCs w:val="18"/>
              </w:rPr>
              <w:t>）</w:t>
            </w:r>
            <w:r>
              <w:rPr>
                <w:rFonts w:ascii="Times New Roman" w:hAnsi="Times New Roman"/>
                <w:kern w:val="0"/>
                <w:sz w:val="18"/>
                <w:szCs w:val="18"/>
              </w:rPr>
              <w:t>过后，滑坡变形又回复到平稳状态，宏观上仍保持固定的变形速率。</w:t>
            </w:r>
          </w:p>
        </w:tc>
        <w:tc>
          <w:tcPr>
            <w:tcW w:w="2210" w:type="pct"/>
            <w:gridSpan w:val="5"/>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的变形对降雨事件很敏感，呈非线性相关关系。即使是小的降雨量，也会在位移速率-时间曲线上有明显的反映。每年汛期，滑坡位移-时间曲线出现一次阶跃，且存在一定的滞后，且不可逆。每次降雨事件过后，滑坡变形速率都会有所增加。一次临界降雨可能诱发滑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库水位变化</w:t>
            </w:r>
          </w:p>
        </w:tc>
        <w:tc>
          <w:tcPr>
            <w:tcW w:w="1940" w:type="pct"/>
            <w:gridSpan w:val="3"/>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滑坡变形与库水位变化存在一定的相关关系，库水位骤升骤降时，滑坡变形有所增加，且位移滞后现象较明显。一般而言，斜坡变形对库水位下降比库水位上升更敏感。</w:t>
            </w:r>
          </w:p>
        </w:tc>
        <w:tc>
          <w:tcPr>
            <w:tcW w:w="2210" w:type="pct"/>
            <w:gridSpan w:val="5"/>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的变形对库水位变动较敏感，呈非线性相关关系。每次大的库水位变动后，滑坡位移-时间曲线出现一次阶跃，且存在一定的滞后，且不可逆。一般而言，滑坡变形对库水位下降比库水位上升更敏感。每次库水位变动过后，滑坡变形速率都会有所增加。快速大幅度的库水位升降可能诱发滑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预报模型和</w:t>
            </w:r>
          </w:p>
          <w:p>
            <w:pPr>
              <w:jc w:val="center"/>
              <w:rPr>
                <w:rFonts w:ascii="Times New Roman" w:hAnsi="Times New Roman"/>
                <w:sz w:val="18"/>
                <w:szCs w:val="18"/>
              </w:rPr>
            </w:pPr>
            <w:r>
              <w:rPr>
                <w:rFonts w:ascii="Times New Roman" w:hAnsi="Times New Roman"/>
                <w:sz w:val="18"/>
                <w:szCs w:val="18"/>
              </w:rPr>
              <w:t>方法</w:t>
            </w: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神经网络模型</w:t>
            </w:r>
          </w:p>
        </w:tc>
        <w:tc>
          <w:tcPr>
            <w:tcW w:w="686" w:type="pct"/>
            <w:shd w:val="clear" w:color="auto" w:fill="auto"/>
            <w:vAlign w:val="center"/>
          </w:tcPr>
          <w:p>
            <w:pPr>
              <w:autoSpaceDE w:val="0"/>
              <w:autoSpaceDN w:val="0"/>
              <w:adjustRightInd w:val="0"/>
              <w:jc w:val="center"/>
              <w:rPr>
                <w:rFonts w:ascii="Times New Roman" w:hAnsi="Times New Roman"/>
                <w:kern w:val="0"/>
                <w:sz w:val="18"/>
                <w:szCs w:val="18"/>
              </w:rPr>
            </w:pPr>
          </w:p>
        </w:tc>
        <w:tc>
          <w:tcPr>
            <w:tcW w:w="3463" w:type="pct"/>
            <w:gridSpan w:val="7"/>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适合于滑坡长期变形趋势预测，通过对已有监测数据的学习，外推预测滑坡的发展演化趋势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黄金分割法</w:t>
            </w:r>
          </w:p>
        </w:tc>
        <w:tc>
          <w:tcPr>
            <w:tcW w:w="686" w:type="pct"/>
            <w:shd w:val="clear" w:color="auto" w:fill="auto"/>
            <w:vAlign w:val="center"/>
          </w:tcPr>
          <w:p>
            <w:pPr>
              <w:autoSpaceDE w:val="0"/>
              <w:autoSpaceDN w:val="0"/>
              <w:adjustRightInd w:val="0"/>
              <w:jc w:val="center"/>
              <w:rPr>
                <w:rFonts w:ascii="Times New Roman" w:hAnsi="Times New Roman"/>
                <w:kern w:val="0"/>
                <w:sz w:val="18"/>
                <w:szCs w:val="18"/>
              </w:rPr>
            </w:pPr>
          </w:p>
        </w:tc>
        <w:tc>
          <w:tcPr>
            <w:tcW w:w="3463" w:type="pct"/>
            <w:gridSpan w:val="7"/>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position w:val="-24"/>
                <w:sz w:val="18"/>
                <w:szCs w:val="18"/>
              </w:rPr>
              <w:drawing>
                <wp:inline distT="0" distB="0" distL="0" distR="0">
                  <wp:extent cx="1310640" cy="411480"/>
                  <wp:effectExtent l="0" t="0" r="3810" b="762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72" cstate="print"/>
                          <a:srcRect/>
                          <a:stretch>
                            <a:fillRect/>
                          </a:stretch>
                        </pic:blipFill>
                        <pic:spPr>
                          <a:xfrm>
                            <a:off x="0" y="0"/>
                            <a:ext cx="1312912" cy="412082"/>
                          </a:xfrm>
                          <a:prstGeom prst="rect">
                            <a:avLst/>
                          </a:prstGeom>
                          <a:noFill/>
                          <a:ln w="9525">
                            <a:noFill/>
                            <a:miter lim="800000"/>
                            <a:headEnd/>
                            <a:tailEnd/>
                          </a:ln>
                        </pic:spPr>
                      </pic:pic>
                    </a:graphicData>
                  </a:graphic>
                </wp:inline>
              </w:drawing>
            </w:r>
          </w:p>
          <w:p>
            <w:pPr>
              <w:autoSpaceDE w:val="0"/>
              <w:autoSpaceDN w:val="0"/>
              <w:adjustRightInd w:val="0"/>
              <w:rPr>
                <w:rFonts w:ascii="Times New Roman" w:hAnsi="Times New Roman"/>
                <w:kern w:val="0"/>
                <w:sz w:val="18"/>
                <w:szCs w:val="18"/>
              </w:rPr>
            </w:pPr>
            <w:r>
              <w:rPr>
                <w:rFonts w:ascii="Times New Roman" w:hAnsi="Times New Roman"/>
                <w:kern w:val="0"/>
                <w:sz w:val="18"/>
                <w:szCs w:val="18"/>
              </w:rPr>
              <w:t>可用于滑坡中长期预报，其中</w:t>
            </w:r>
            <w:r>
              <w:rPr>
                <w:rFonts w:ascii="Times New Roman" w:hAnsi="Times New Roman"/>
                <w:i/>
                <w:kern w:val="0"/>
                <w:sz w:val="18"/>
                <w:szCs w:val="18"/>
              </w:rPr>
              <w:t>T</w:t>
            </w:r>
            <w:r>
              <w:rPr>
                <w:rFonts w:ascii="Times New Roman" w:hAnsi="Times New Roman"/>
                <w:kern w:val="0"/>
                <w:sz w:val="18"/>
                <w:szCs w:val="18"/>
                <w:vertAlign w:val="subscript"/>
              </w:rPr>
              <w:t>1</w:t>
            </w:r>
            <w:r>
              <w:rPr>
                <w:rFonts w:ascii="Times New Roman" w:hAnsi="Times New Roman"/>
                <w:kern w:val="0"/>
                <w:sz w:val="18"/>
                <w:szCs w:val="18"/>
              </w:rPr>
              <w:t>为滑坡等速变形阶段的历时，</w:t>
            </w:r>
            <w:r>
              <w:rPr>
                <w:rFonts w:ascii="Times New Roman" w:hAnsi="Times New Roman"/>
                <w:i/>
                <w:kern w:val="0"/>
                <w:sz w:val="18"/>
                <w:szCs w:val="18"/>
              </w:rPr>
              <w:t>T</w:t>
            </w:r>
            <w:r>
              <w:rPr>
                <w:rFonts w:ascii="Times New Roman" w:hAnsi="Times New Roman"/>
                <w:kern w:val="0"/>
                <w:sz w:val="18"/>
                <w:szCs w:val="18"/>
                <w:vertAlign w:val="subscript"/>
              </w:rPr>
              <w:t>2</w:t>
            </w:r>
            <w:r>
              <w:rPr>
                <w:rFonts w:ascii="Times New Roman" w:hAnsi="Times New Roman"/>
                <w:kern w:val="0"/>
                <w:sz w:val="18"/>
                <w:szCs w:val="18"/>
              </w:rPr>
              <w:t>为滑坡进入加速初始变形阶段直至滑坡发生时的总历时</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斋藤迪孝方法</w:t>
            </w:r>
          </w:p>
        </w:tc>
        <w:tc>
          <w:tcPr>
            <w:tcW w:w="686" w:type="pct"/>
            <w:shd w:val="clear" w:color="auto" w:fill="auto"/>
            <w:vAlign w:val="center"/>
          </w:tcPr>
          <w:p>
            <w:pPr>
              <w:autoSpaceDE w:val="0"/>
              <w:autoSpaceDN w:val="0"/>
              <w:adjustRightInd w:val="0"/>
              <w:jc w:val="center"/>
              <w:rPr>
                <w:rFonts w:ascii="Times New Roman" w:hAnsi="Times New Roman"/>
                <w:kern w:val="0"/>
                <w:sz w:val="18"/>
                <w:szCs w:val="18"/>
              </w:rPr>
            </w:pPr>
          </w:p>
        </w:tc>
        <w:tc>
          <w:tcPr>
            <w:tcW w:w="3463" w:type="pct"/>
            <w:gridSpan w:val="7"/>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position w:val="-56"/>
                <w:sz w:val="18"/>
                <w:szCs w:val="18"/>
              </w:rPr>
              <w:drawing>
                <wp:inline distT="0" distB="0" distL="0" distR="0">
                  <wp:extent cx="1971675" cy="742950"/>
                  <wp:effectExtent l="19050" t="0" r="952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73" cstate="print"/>
                          <a:srcRect/>
                          <a:stretch>
                            <a:fillRect/>
                          </a:stretch>
                        </pic:blipFill>
                        <pic:spPr>
                          <a:xfrm>
                            <a:off x="0" y="0"/>
                            <a:ext cx="1971675" cy="742950"/>
                          </a:xfrm>
                          <a:prstGeom prst="rect">
                            <a:avLst/>
                          </a:prstGeom>
                          <a:noFill/>
                          <a:ln w="9525">
                            <a:noFill/>
                            <a:miter lim="800000"/>
                            <a:headEnd/>
                            <a:tailEnd/>
                          </a:ln>
                        </pic:spPr>
                      </pic:pic>
                    </a:graphicData>
                  </a:graphic>
                </wp:inline>
              </w:drawing>
            </w:r>
          </w:p>
          <w:p>
            <w:pPr>
              <w:autoSpaceDE w:val="0"/>
              <w:autoSpaceDN w:val="0"/>
              <w:adjustRightInd w:val="0"/>
              <w:rPr>
                <w:rFonts w:ascii="Times New Roman" w:hAnsi="Times New Roman"/>
                <w:kern w:val="0"/>
                <w:sz w:val="18"/>
                <w:szCs w:val="18"/>
              </w:rPr>
            </w:pPr>
            <w:r>
              <w:rPr>
                <w:rFonts w:ascii="Times New Roman" w:hAnsi="Times New Roman"/>
                <w:kern w:val="0"/>
                <w:sz w:val="18"/>
                <w:szCs w:val="18"/>
              </w:rPr>
              <w:t>适合于滑坡短临预报，其中：t</w:t>
            </w:r>
            <w:r>
              <w:rPr>
                <w:rFonts w:ascii="Times New Roman" w:hAnsi="Times New Roman"/>
                <w:kern w:val="0"/>
                <w:sz w:val="18"/>
                <w:szCs w:val="18"/>
                <w:vertAlign w:val="subscript"/>
              </w:rPr>
              <w:t>r</w:t>
            </w:r>
            <w:r>
              <w:rPr>
                <w:rFonts w:ascii="Times New Roman" w:hAnsi="Times New Roman"/>
                <w:kern w:val="0"/>
                <w:sz w:val="18"/>
                <w:szCs w:val="18"/>
              </w:rPr>
              <w:t>为滑坡发生破坏时间，t</w:t>
            </w:r>
            <w:r>
              <w:rPr>
                <w:rFonts w:ascii="Times New Roman" w:hAnsi="Times New Roman"/>
                <w:kern w:val="0"/>
                <w:sz w:val="18"/>
                <w:szCs w:val="18"/>
                <w:vertAlign w:val="subscript"/>
              </w:rPr>
              <w:t>1</w:t>
            </w:r>
            <w:r>
              <w:rPr>
                <w:rFonts w:ascii="Times New Roman" w:hAnsi="Times New Roman"/>
                <w:kern w:val="0"/>
                <w:sz w:val="18"/>
                <w:szCs w:val="18"/>
              </w:rPr>
              <w:t>，t</w:t>
            </w:r>
            <w:r>
              <w:rPr>
                <w:rFonts w:ascii="Times New Roman" w:hAnsi="Times New Roman"/>
                <w:kern w:val="0"/>
                <w:sz w:val="18"/>
                <w:szCs w:val="18"/>
                <w:vertAlign w:val="subscript"/>
              </w:rPr>
              <w:t>2</w:t>
            </w:r>
            <w:r>
              <w:rPr>
                <w:rFonts w:ascii="Times New Roman" w:hAnsi="Times New Roman"/>
                <w:kern w:val="0"/>
                <w:sz w:val="18"/>
                <w:szCs w:val="18"/>
              </w:rPr>
              <w:t>，t</w:t>
            </w:r>
            <w:r>
              <w:rPr>
                <w:rFonts w:ascii="Times New Roman" w:hAnsi="Times New Roman"/>
                <w:kern w:val="0"/>
                <w:sz w:val="18"/>
                <w:szCs w:val="18"/>
                <w:vertAlign w:val="subscript"/>
              </w:rPr>
              <w:t>3</w:t>
            </w:r>
            <w:r>
              <w:rPr>
                <w:rFonts w:ascii="Times New Roman" w:hAnsi="Times New Roman"/>
                <w:kern w:val="0"/>
                <w:sz w:val="18"/>
                <w:szCs w:val="18"/>
              </w:rPr>
              <w:t>为滑坡位移-时间曲线上三个点，且t</w:t>
            </w:r>
            <w:r>
              <w:rPr>
                <w:rFonts w:ascii="Times New Roman" w:hAnsi="Times New Roman"/>
                <w:kern w:val="0"/>
                <w:sz w:val="18"/>
                <w:szCs w:val="18"/>
                <w:vertAlign w:val="subscript"/>
              </w:rPr>
              <w:t>2</w:t>
            </w:r>
            <w:r>
              <w:rPr>
                <w:rFonts w:ascii="Times New Roman" w:hAnsi="Times New Roman"/>
                <w:kern w:val="0"/>
                <w:sz w:val="18"/>
                <w:szCs w:val="18"/>
              </w:rPr>
              <w:t>-t</w:t>
            </w:r>
            <w:r>
              <w:rPr>
                <w:rFonts w:ascii="Times New Roman" w:hAnsi="Times New Roman"/>
                <w:kern w:val="0"/>
                <w:sz w:val="18"/>
                <w:szCs w:val="18"/>
                <w:vertAlign w:val="subscript"/>
              </w:rPr>
              <w:t>1</w:t>
            </w:r>
            <w:r>
              <w:rPr>
                <w:rFonts w:ascii="Times New Roman" w:hAnsi="Times New Roman"/>
                <w:kern w:val="0"/>
                <w:sz w:val="18"/>
                <w:szCs w:val="18"/>
              </w:rPr>
              <w:t>和t</w:t>
            </w:r>
            <w:r>
              <w:rPr>
                <w:rFonts w:ascii="Times New Roman" w:hAnsi="Times New Roman"/>
                <w:kern w:val="0"/>
                <w:sz w:val="18"/>
                <w:szCs w:val="18"/>
                <w:vertAlign w:val="subscript"/>
              </w:rPr>
              <w:t>3</w:t>
            </w:r>
            <w:r>
              <w:rPr>
                <w:rFonts w:ascii="Times New Roman" w:hAnsi="Times New Roman"/>
                <w:kern w:val="0"/>
                <w:sz w:val="18"/>
                <w:szCs w:val="18"/>
              </w:rPr>
              <w:t>-t</w:t>
            </w:r>
            <w:r>
              <w:rPr>
                <w:rFonts w:ascii="Times New Roman" w:hAnsi="Times New Roman"/>
                <w:kern w:val="0"/>
                <w:sz w:val="18"/>
                <w:szCs w:val="18"/>
                <w:vertAlign w:val="subscript"/>
              </w:rPr>
              <w:t>2</w:t>
            </w:r>
            <w:r>
              <w:rPr>
                <w:rFonts w:ascii="Times New Roman" w:hAnsi="Times New Roman"/>
                <w:kern w:val="0"/>
                <w:sz w:val="18"/>
                <w:szCs w:val="18"/>
              </w:rPr>
              <w:t>两段之间的位移量相等</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321" w:type="pct"/>
            <w:vMerge w:val="continue"/>
            <w:shd w:val="clear" w:color="auto" w:fill="auto"/>
            <w:vAlign w:val="center"/>
          </w:tcPr>
          <w:p>
            <w:pPr>
              <w:jc w:val="cente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灰色系统模型</w:t>
            </w:r>
          </w:p>
        </w:tc>
        <w:tc>
          <w:tcPr>
            <w:tcW w:w="686" w:type="pct"/>
            <w:shd w:val="clear" w:color="auto" w:fill="auto"/>
            <w:vAlign w:val="center"/>
          </w:tcPr>
          <w:p>
            <w:pPr>
              <w:autoSpaceDE w:val="0"/>
              <w:autoSpaceDN w:val="0"/>
              <w:adjustRightInd w:val="0"/>
              <w:jc w:val="center"/>
              <w:rPr>
                <w:rFonts w:ascii="Times New Roman" w:hAnsi="Times New Roman"/>
                <w:kern w:val="0"/>
                <w:sz w:val="18"/>
                <w:szCs w:val="18"/>
              </w:rPr>
            </w:pPr>
          </w:p>
        </w:tc>
        <w:tc>
          <w:tcPr>
            <w:tcW w:w="1254" w:type="pct"/>
            <w:gridSpan w:val="2"/>
            <w:shd w:val="clear" w:color="auto" w:fill="auto"/>
            <w:vAlign w:val="center"/>
          </w:tcPr>
          <w:p>
            <w:pPr>
              <w:autoSpaceDE w:val="0"/>
              <w:autoSpaceDN w:val="0"/>
              <w:adjustRightInd w:val="0"/>
              <w:jc w:val="center"/>
              <w:rPr>
                <w:rFonts w:ascii="Times New Roman" w:hAnsi="Times New Roman"/>
                <w:kern w:val="0"/>
                <w:sz w:val="18"/>
                <w:szCs w:val="18"/>
              </w:rPr>
            </w:pPr>
          </w:p>
        </w:tc>
        <w:tc>
          <w:tcPr>
            <w:tcW w:w="2210" w:type="pct"/>
            <w:gridSpan w:val="5"/>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position w:val="-24"/>
                <w:sz w:val="18"/>
                <w:szCs w:val="18"/>
              </w:rPr>
              <w:drawing>
                <wp:inline distT="0" distB="0" distL="0" distR="0">
                  <wp:extent cx="1809750" cy="609600"/>
                  <wp:effectExtent l="1905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74" cstate="print"/>
                          <a:srcRect/>
                          <a:stretch>
                            <a:fillRect/>
                          </a:stretch>
                        </pic:blipFill>
                        <pic:spPr>
                          <a:xfrm>
                            <a:off x="0" y="0"/>
                            <a:ext cx="1809750" cy="609600"/>
                          </a:xfrm>
                          <a:prstGeom prst="rect">
                            <a:avLst/>
                          </a:prstGeom>
                          <a:noFill/>
                          <a:ln w="9525">
                            <a:noFill/>
                            <a:miter lim="800000"/>
                            <a:headEnd/>
                            <a:tailEnd/>
                          </a:ln>
                        </pic:spPr>
                      </pic:pic>
                    </a:graphicData>
                  </a:graphic>
                </wp:inline>
              </w:drawing>
            </w:r>
            <w:r>
              <w:rPr>
                <w:rFonts w:ascii="Times New Roman" w:hAnsi="Times New Roman"/>
                <w:kern w:val="0"/>
                <w:sz w:val="18"/>
                <w:szCs w:val="18"/>
              </w:rPr>
              <w:t>；</w:t>
            </w:r>
            <w:r>
              <w:rPr>
                <w:rFonts w:ascii="Times New Roman" w:hAnsi="Times New Roman"/>
                <w:kern w:val="0"/>
                <w:position w:val="-4"/>
                <w:sz w:val="18"/>
                <w:szCs w:val="18"/>
              </w:rPr>
              <w:drawing>
                <wp:inline distT="0" distB="0" distL="0" distR="0">
                  <wp:extent cx="581025" cy="171450"/>
                  <wp:effectExtent l="19050" t="0" r="952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75" cstate="print"/>
                          <a:srcRect/>
                          <a:stretch>
                            <a:fillRect/>
                          </a:stretch>
                        </pic:blipFill>
                        <pic:spPr>
                          <a:xfrm>
                            <a:off x="0" y="0"/>
                            <a:ext cx="581025" cy="171450"/>
                          </a:xfrm>
                          <a:prstGeom prst="rect">
                            <a:avLst/>
                          </a:prstGeom>
                          <a:noFill/>
                          <a:ln w="9525">
                            <a:noFill/>
                            <a:miter lim="800000"/>
                            <a:headEnd/>
                            <a:tailEnd/>
                          </a:ln>
                        </pic:spPr>
                      </pic:pic>
                    </a:graphicData>
                  </a:graphic>
                </wp:inline>
              </w:drawing>
            </w:r>
          </w:p>
          <w:p>
            <w:pPr>
              <w:autoSpaceDE w:val="0"/>
              <w:autoSpaceDN w:val="0"/>
              <w:adjustRightInd w:val="0"/>
              <w:jc w:val="left"/>
              <w:rPr>
                <w:rFonts w:ascii="Times New Roman" w:hAnsi="Times New Roman"/>
                <w:kern w:val="0"/>
                <w:sz w:val="18"/>
                <w:szCs w:val="18"/>
              </w:rPr>
            </w:pPr>
            <w:r>
              <w:rPr>
                <w:rFonts w:ascii="Times New Roman" w:hAnsi="Times New Roman"/>
                <w:kern w:val="0"/>
                <w:sz w:val="18"/>
                <w:szCs w:val="18"/>
              </w:rPr>
              <w:t>适合滑坡短临预报，其中，</w:t>
            </w:r>
            <w:r>
              <w:rPr>
                <w:rFonts w:ascii="Times New Roman" w:hAnsi="Times New Roman"/>
                <w:kern w:val="0"/>
                <w:position w:val="-6"/>
                <w:sz w:val="18"/>
                <w:szCs w:val="18"/>
              </w:rPr>
              <w:drawing>
                <wp:inline distT="0" distB="0" distL="0" distR="0">
                  <wp:extent cx="495300" cy="219075"/>
                  <wp:effectExtent l="1905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76" cstate="print"/>
                          <a:srcRect/>
                          <a:stretch>
                            <a:fillRect/>
                          </a:stretch>
                        </pic:blipFill>
                        <pic:spPr>
                          <a:xfrm>
                            <a:off x="0" y="0"/>
                            <a:ext cx="495300" cy="219075"/>
                          </a:xfrm>
                          <a:prstGeom prst="rect">
                            <a:avLst/>
                          </a:prstGeom>
                          <a:noFill/>
                          <a:ln w="9525">
                            <a:noFill/>
                            <a:miter lim="800000"/>
                            <a:headEnd/>
                            <a:tailEnd/>
                          </a:ln>
                        </pic:spPr>
                      </pic:pic>
                    </a:graphicData>
                  </a:graphic>
                </wp:inline>
              </w:drawing>
            </w:r>
            <w:r>
              <w:rPr>
                <w:rFonts w:ascii="Times New Roman" w:hAnsi="Times New Roman"/>
                <w:kern w:val="0"/>
                <w:sz w:val="18"/>
                <w:szCs w:val="18"/>
              </w:rPr>
              <w:t>为一次累加生成数据，</w:t>
            </w:r>
            <w:r>
              <w:rPr>
                <w:rFonts w:ascii="Times New Roman" w:hAnsi="Times New Roman"/>
                <w:kern w:val="0"/>
                <w:position w:val="-6"/>
                <w:sz w:val="18"/>
                <w:szCs w:val="18"/>
              </w:rPr>
              <w:drawing>
                <wp:inline distT="0" distB="0" distL="0" distR="0">
                  <wp:extent cx="457200" cy="219075"/>
                  <wp:effectExtent l="1905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77" cstate="print"/>
                          <a:srcRect/>
                          <a:stretch>
                            <a:fillRect/>
                          </a:stretch>
                        </pic:blipFill>
                        <pic:spPr>
                          <a:xfrm>
                            <a:off x="0" y="0"/>
                            <a:ext cx="457200" cy="219075"/>
                          </a:xfrm>
                          <a:prstGeom prst="rect">
                            <a:avLst/>
                          </a:prstGeom>
                          <a:noFill/>
                          <a:ln w="9525">
                            <a:noFill/>
                            <a:miter lim="800000"/>
                            <a:headEnd/>
                            <a:tailEnd/>
                          </a:ln>
                        </pic:spPr>
                      </pic:pic>
                    </a:graphicData>
                  </a:graphic>
                </wp:inline>
              </w:drawing>
            </w:r>
            <w:r>
              <w:rPr>
                <w:rFonts w:ascii="Times New Roman" w:hAnsi="Times New Roman"/>
                <w:kern w:val="0"/>
                <w:sz w:val="18"/>
                <w:szCs w:val="18"/>
              </w:rPr>
              <w:t>为位移时序初值，μ，α为模型中待定系数，</w:t>
            </w:r>
            <w:r>
              <w:rPr>
                <w:rFonts w:ascii="Times New Roman" w:hAnsi="Times New Roman"/>
                <w:kern w:val="0"/>
                <w:position w:val="-4"/>
                <w:sz w:val="18"/>
                <w:szCs w:val="18"/>
              </w:rPr>
              <w:drawing>
                <wp:inline distT="0" distB="0" distL="0" distR="0">
                  <wp:extent cx="219075" cy="171450"/>
                  <wp:effectExtent l="1905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78" cstate="print"/>
                          <a:srcRect/>
                          <a:stretch>
                            <a:fillRect/>
                          </a:stretch>
                        </pic:blipFill>
                        <pic:spPr>
                          <a:xfrm>
                            <a:off x="0" y="0"/>
                            <a:ext cx="219075" cy="171450"/>
                          </a:xfrm>
                          <a:prstGeom prst="rect">
                            <a:avLst/>
                          </a:prstGeom>
                          <a:noFill/>
                          <a:ln w="9525">
                            <a:noFill/>
                            <a:miter lim="800000"/>
                            <a:headEnd/>
                            <a:tailEnd/>
                          </a:ln>
                        </pic:spPr>
                      </pic:pic>
                    </a:graphicData>
                  </a:graphic>
                </wp:inline>
              </w:drawing>
            </w:r>
            <w:r>
              <w:rPr>
                <w:rFonts w:ascii="Times New Roman" w:hAnsi="Times New Roman"/>
                <w:kern w:val="0"/>
                <w:sz w:val="18"/>
                <w:szCs w:val="18"/>
              </w:rPr>
              <w:t>为位移序列的时间间隔</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321"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预报模型和</w:t>
            </w:r>
          </w:p>
          <w:p>
            <w:pPr>
              <w:jc w:val="center"/>
              <w:rPr>
                <w:rFonts w:ascii="Times New Roman" w:hAnsi="Times New Roman"/>
                <w:sz w:val="18"/>
                <w:szCs w:val="18"/>
              </w:rPr>
            </w:pPr>
            <w:r>
              <w:rPr>
                <w:rFonts w:ascii="Times New Roman" w:hAnsi="Times New Roman"/>
                <w:sz w:val="18"/>
                <w:szCs w:val="18"/>
              </w:rPr>
              <w:t>方法</w:t>
            </w: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bCs/>
                <w:kern w:val="0"/>
                <w:sz w:val="18"/>
                <w:szCs w:val="18"/>
              </w:rPr>
              <w:t>Verhulst</w:t>
            </w:r>
            <w:r>
              <w:rPr>
                <w:rFonts w:ascii="Times New Roman" w:hAnsi="Times New Roman"/>
                <w:kern w:val="0"/>
                <w:sz w:val="18"/>
                <w:szCs w:val="18"/>
              </w:rPr>
              <w:t>模型</w:t>
            </w:r>
          </w:p>
        </w:tc>
        <w:tc>
          <w:tcPr>
            <w:tcW w:w="686" w:type="pct"/>
            <w:shd w:val="clear" w:color="auto" w:fill="auto"/>
            <w:vAlign w:val="center"/>
          </w:tcPr>
          <w:p>
            <w:pPr>
              <w:autoSpaceDE w:val="0"/>
              <w:autoSpaceDN w:val="0"/>
              <w:adjustRightInd w:val="0"/>
              <w:jc w:val="center"/>
              <w:rPr>
                <w:rFonts w:ascii="Times New Roman" w:hAnsi="Times New Roman"/>
                <w:kern w:val="0"/>
                <w:sz w:val="18"/>
                <w:szCs w:val="18"/>
              </w:rPr>
            </w:pPr>
          </w:p>
        </w:tc>
        <w:tc>
          <w:tcPr>
            <w:tcW w:w="1254" w:type="pct"/>
            <w:gridSpan w:val="2"/>
            <w:shd w:val="clear" w:color="auto" w:fill="auto"/>
            <w:vAlign w:val="center"/>
          </w:tcPr>
          <w:p>
            <w:pPr>
              <w:autoSpaceDE w:val="0"/>
              <w:autoSpaceDN w:val="0"/>
              <w:adjustRightInd w:val="0"/>
              <w:jc w:val="center"/>
              <w:rPr>
                <w:rFonts w:ascii="Times New Roman" w:hAnsi="Times New Roman"/>
                <w:kern w:val="0"/>
                <w:sz w:val="18"/>
                <w:szCs w:val="18"/>
              </w:rPr>
            </w:pPr>
          </w:p>
        </w:tc>
        <w:tc>
          <w:tcPr>
            <w:tcW w:w="2210" w:type="pct"/>
            <w:gridSpan w:val="5"/>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position w:val="-32"/>
                <w:sz w:val="18"/>
                <w:szCs w:val="18"/>
              </w:rPr>
              <w:drawing>
                <wp:inline distT="0" distB="0" distL="0" distR="0">
                  <wp:extent cx="1724025" cy="49530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79" cstate="print"/>
                          <a:srcRect/>
                          <a:stretch>
                            <a:fillRect/>
                          </a:stretch>
                        </pic:blipFill>
                        <pic:spPr>
                          <a:xfrm>
                            <a:off x="0" y="0"/>
                            <a:ext cx="1724025" cy="495300"/>
                          </a:xfrm>
                          <a:prstGeom prst="rect">
                            <a:avLst/>
                          </a:prstGeom>
                          <a:noFill/>
                          <a:ln w="9525">
                            <a:noFill/>
                            <a:miter lim="800000"/>
                            <a:headEnd/>
                            <a:tailEnd/>
                          </a:ln>
                        </pic:spPr>
                      </pic:pic>
                    </a:graphicData>
                  </a:graphic>
                </wp:inline>
              </w:drawing>
            </w:r>
          </w:p>
          <w:p>
            <w:pPr>
              <w:autoSpaceDE w:val="0"/>
              <w:autoSpaceDN w:val="0"/>
              <w:adjustRightInd w:val="0"/>
              <w:jc w:val="left"/>
              <w:rPr>
                <w:rFonts w:ascii="Times New Roman" w:hAnsi="Times New Roman"/>
                <w:kern w:val="0"/>
                <w:sz w:val="18"/>
                <w:szCs w:val="18"/>
              </w:rPr>
            </w:pPr>
            <w:r>
              <w:rPr>
                <w:rFonts w:ascii="Times New Roman" w:hAnsi="Times New Roman"/>
                <w:kern w:val="0"/>
                <w:sz w:val="18"/>
                <w:szCs w:val="18"/>
              </w:rPr>
              <w:t>适合于滑坡短临预报，其中a，b为模型中待定系数，</w:t>
            </w:r>
            <w:r>
              <w:rPr>
                <w:rFonts w:ascii="Times New Roman" w:hAnsi="Times New Roman"/>
                <w:kern w:val="0"/>
                <w:position w:val="-10"/>
                <w:sz w:val="18"/>
                <w:szCs w:val="18"/>
              </w:rPr>
              <w:drawing>
                <wp:inline distT="0" distB="0" distL="0" distR="0">
                  <wp:extent cx="285750" cy="2286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80" cstate="print"/>
                          <a:srcRect/>
                          <a:stretch>
                            <a:fillRect/>
                          </a:stretch>
                        </pic:blipFill>
                        <pic:spPr>
                          <a:xfrm>
                            <a:off x="0" y="0"/>
                            <a:ext cx="285750" cy="228600"/>
                          </a:xfrm>
                          <a:prstGeom prst="rect">
                            <a:avLst/>
                          </a:prstGeom>
                          <a:noFill/>
                          <a:ln w="9525">
                            <a:noFill/>
                            <a:miter lim="800000"/>
                            <a:headEnd/>
                            <a:tailEnd/>
                          </a:ln>
                        </pic:spPr>
                      </pic:pic>
                    </a:graphicData>
                  </a:graphic>
                </wp:inline>
              </w:drawing>
            </w:r>
            <w:r>
              <w:rPr>
                <w:rFonts w:ascii="Times New Roman" w:hAnsi="Times New Roman"/>
                <w:kern w:val="0"/>
                <w:sz w:val="18"/>
                <w:szCs w:val="18"/>
              </w:rPr>
              <w:t>为位移时序资料的初值，</w:t>
            </w:r>
            <w:r>
              <w:rPr>
                <w:rFonts w:ascii="Times New Roman" w:hAnsi="Times New Roman"/>
                <w:kern w:val="0"/>
                <w:position w:val="-4"/>
                <w:sz w:val="18"/>
                <w:szCs w:val="18"/>
              </w:rPr>
              <w:drawing>
                <wp:inline distT="0" distB="0" distL="0" distR="0">
                  <wp:extent cx="219075" cy="171450"/>
                  <wp:effectExtent l="1905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78" cstate="print"/>
                          <a:srcRect/>
                          <a:stretch>
                            <a:fillRect/>
                          </a:stretch>
                        </pic:blipFill>
                        <pic:spPr>
                          <a:xfrm>
                            <a:off x="0" y="0"/>
                            <a:ext cx="219075" cy="171450"/>
                          </a:xfrm>
                          <a:prstGeom prst="rect">
                            <a:avLst/>
                          </a:prstGeom>
                          <a:noFill/>
                          <a:ln w="9525">
                            <a:noFill/>
                            <a:miter lim="800000"/>
                            <a:headEnd/>
                            <a:tailEnd/>
                          </a:ln>
                        </pic:spPr>
                      </pic:pic>
                    </a:graphicData>
                  </a:graphic>
                </wp:inline>
              </w:drawing>
            </w:r>
            <w:r>
              <w:rPr>
                <w:rFonts w:ascii="Times New Roman" w:hAnsi="Times New Roman"/>
                <w:kern w:val="0"/>
                <w:sz w:val="18"/>
                <w:szCs w:val="18"/>
              </w:rPr>
              <w:t>为位移序列的时间间隔</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321" w:type="pct"/>
            <w:vMerge w:val="continue"/>
            <w:shd w:val="clear" w:color="auto" w:fill="auto"/>
            <w:vAlign w:val="center"/>
          </w:tcPr>
          <w:p>
            <w:pPr>
              <w:rPr>
                <w:rFonts w:ascii="Times New Roman" w:hAnsi="Times New Roman"/>
                <w:sz w:val="18"/>
                <w:szCs w:val="18"/>
              </w:rPr>
            </w:pPr>
          </w:p>
        </w:tc>
        <w:tc>
          <w:tcPr>
            <w:tcW w:w="530" w:type="pct"/>
            <w:gridSpan w:val="3"/>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协同模型</w:t>
            </w:r>
          </w:p>
        </w:tc>
        <w:tc>
          <w:tcPr>
            <w:tcW w:w="686" w:type="pct"/>
            <w:shd w:val="clear" w:color="auto" w:fill="auto"/>
            <w:vAlign w:val="center"/>
          </w:tcPr>
          <w:p>
            <w:pPr>
              <w:autoSpaceDE w:val="0"/>
              <w:autoSpaceDN w:val="0"/>
              <w:adjustRightInd w:val="0"/>
              <w:jc w:val="center"/>
              <w:rPr>
                <w:rFonts w:ascii="Times New Roman" w:hAnsi="Times New Roman"/>
                <w:kern w:val="0"/>
                <w:sz w:val="18"/>
                <w:szCs w:val="18"/>
              </w:rPr>
            </w:pPr>
          </w:p>
        </w:tc>
        <w:tc>
          <w:tcPr>
            <w:tcW w:w="1254" w:type="pct"/>
            <w:gridSpan w:val="2"/>
            <w:shd w:val="clear" w:color="auto" w:fill="auto"/>
            <w:vAlign w:val="center"/>
          </w:tcPr>
          <w:p>
            <w:pPr>
              <w:autoSpaceDE w:val="0"/>
              <w:autoSpaceDN w:val="0"/>
              <w:adjustRightInd w:val="0"/>
              <w:jc w:val="center"/>
              <w:rPr>
                <w:rFonts w:ascii="Times New Roman" w:hAnsi="Times New Roman"/>
                <w:kern w:val="0"/>
                <w:sz w:val="18"/>
                <w:szCs w:val="18"/>
              </w:rPr>
            </w:pPr>
          </w:p>
        </w:tc>
        <w:tc>
          <w:tcPr>
            <w:tcW w:w="2210" w:type="pct"/>
            <w:gridSpan w:val="5"/>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position w:val="-34"/>
                <w:sz w:val="18"/>
                <w:szCs w:val="18"/>
              </w:rPr>
              <w:drawing>
                <wp:inline distT="0" distB="0" distL="0" distR="0">
                  <wp:extent cx="1581150" cy="476250"/>
                  <wp:effectExtent l="1905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81" cstate="print"/>
                          <a:srcRect/>
                          <a:stretch>
                            <a:fillRect/>
                          </a:stretch>
                        </pic:blipFill>
                        <pic:spPr>
                          <a:xfrm>
                            <a:off x="0" y="0"/>
                            <a:ext cx="1581150" cy="476250"/>
                          </a:xfrm>
                          <a:prstGeom prst="rect">
                            <a:avLst/>
                          </a:prstGeom>
                          <a:noFill/>
                          <a:ln w="9525">
                            <a:noFill/>
                            <a:miter lim="800000"/>
                            <a:headEnd/>
                            <a:tailEnd/>
                          </a:ln>
                        </pic:spPr>
                      </pic:pic>
                    </a:graphicData>
                  </a:graphic>
                </wp:inline>
              </w:drawing>
            </w:r>
          </w:p>
          <w:p>
            <w:pPr>
              <w:autoSpaceDE w:val="0"/>
              <w:autoSpaceDN w:val="0"/>
              <w:adjustRightInd w:val="0"/>
              <w:jc w:val="left"/>
              <w:rPr>
                <w:rFonts w:ascii="Times New Roman" w:hAnsi="Times New Roman"/>
                <w:kern w:val="0"/>
                <w:sz w:val="18"/>
                <w:szCs w:val="18"/>
              </w:rPr>
            </w:pPr>
            <w:r>
              <w:rPr>
                <w:rFonts w:ascii="Times New Roman" w:hAnsi="Times New Roman"/>
                <w:kern w:val="0"/>
                <w:sz w:val="18"/>
                <w:szCs w:val="18"/>
              </w:rPr>
              <w:t>适合于滑坡短临预报，其中a，b为模型中待定系数，</w:t>
            </w:r>
            <w:r>
              <w:rPr>
                <w:rFonts w:ascii="Times New Roman" w:hAnsi="Times New Roman"/>
                <w:kern w:val="0"/>
                <w:position w:val="-10"/>
                <w:sz w:val="18"/>
                <w:szCs w:val="18"/>
              </w:rPr>
              <w:drawing>
                <wp:inline distT="0" distB="0" distL="0" distR="0">
                  <wp:extent cx="171450" cy="228600"/>
                  <wp:effectExtent l="1905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82" cstate="print"/>
                          <a:srcRect/>
                          <a:stretch>
                            <a:fillRect/>
                          </a:stretch>
                        </pic:blipFill>
                        <pic:spPr>
                          <a:xfrm>
                            <a:off x="0" y="0"/>
                            <a:ext cx="171450" cy="228600"/>
                          </a:xfrm>
                          <a:prstGeom prst="rect">
                            <a:avLst/>
                          </a:prstGeom>
                          <a:noFill/>
                          <a:ln w="9525">
                            <a:noFill/>
                            <a:miter lim="800000"/>
                            <a:headEnd/>
                            <a:tailEnd/>
                          </a:ln>
                        </pic:spPr>
                      </pic:pic>
                    </a:graphicData>
                  </a:graphic>
                </wp:inline>
              </w:drawing>
            </w:r>
            <w:r>
              <w:rPr>
                <w:rFonts w:ascii="Times New Roman" w:hAnsi="Times New Roman"/>
                <w:kern w:val="0"/>
                <w:sz w:val="18"/>
                <w:szCs w:val="18"/>
              </w:rPr>
              <w:t>为位移时序资料的初值，</w:t>
            </w:r>
            <w:r>
              <w:rPr>
                <w:rFonts w:ascii="Times New Roman" w:hAnsi="Times New Roman"/>
                <w:kern w:val="0"/>
                <w:position w:val="-10"/>
                <w:sz w:val="18"/>
                <w:szCs w:val="18"/>
              </w:rPr>
              <w:drawing>
                <wp:inline distT="0" distB="0" distL="0" distR="0">
                  <wp:extent cx="171450" cy="2286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83" cstate="print"/>
                          <a:srcRect/>
                          <a:stretch>
                            <a:fillRect/>
                          </a:stretch>
                        </pic:blipFill>
                        <pic:spPr>
                          <a:xfrm>
                            <a:off x="0" y="0"/>
                            <a:ext cx="171450" cy="228600"/>
                          </a:xfrm>
                          <a:prstGeom prst="rect">
                            <a:avLst/>
                          </a:prstGeom>
                          <a:noFill/>
                          <a:ln w="9525">
                            <a:noFill/>
                            <a:miter lim="800000"/>
                            <a:headEnd/>
                            <a:tailEnd/>
                          </a:ln>
                        </pic:spPr>
                      </pic:pic>
                    </a:graphicData>
                  </a:graphic>
                </wp:inline>
              </w:drawing>
            </w:r>
            <w:r>
              <w:rPr>
                <w:rFonts w:ascii="Times New Roman" w:hAnsi="Times New Roman"/>
                <w:kern w:val="0"/>
                <w:sz w:val="18"/>
                <w:szCs w:val="18"/>
              </w:rPr>
              <w:t>为时序号初始值（一般恒定为1）</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851" w:type="pct"/>
            <w:gridSpan w:val="4"/>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应对措施</w:t>
            </w:r>
          </w:p>
        </w:tc>
        <w:tc>
          <w:tcPr>
            <w:tcW w:w="1940" w:type="pct"/>
            <w:gridSpan w:val="3"/>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（1）开展滑坡的专业监测工作；</w:t>
            </w:r>
          </w:p>
          <w:p>
            <w:pPr>
              <w:autoSpaceDE w:val="0"/>
              <w:autoSpaceDN w:val="0"/>
              <w:adjustRightInd w:val="0"/>
              <w:rPr>
                <w:rFonts w:ascii="Times New Roman" w:hAnsi="Times New Roman"/>
                <w:kern w:val="0"/>
                <w:sz w:val="18"/>
                <w:szCs w:val="18"/>
              </w:rPr>
            </w:pPr>
            <w:r>
              <w:rPr>
                <w:rFonts w:ascii="Times New Roman" w:hAnsi="Times New Roman"/>
                <w:kern w:val="0"/>
                <w:sz w:val="18"/>
                <w:szCs w:val="18"/>
              </w:rPr>
              <w:t>（2）实施群测群防，落实搬迁避让计划。</w:t>
            </w:r>
          </w:p>
        </w:tc>
        <w:tc>
          <w:tcPr>
            <w:tcW w:w="737" w:type="pct"/>
            <w:gridSpan w:val="2"/>
            <w:shd w:val="clear" w:color="auto" w:fill="auto"/>
            <w:vAlign w:val="center"/>
          </w:tcPr>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（1）</w:t>
            </w:r>
            <w:r>
              <w:rPr>
                <w:rFonts w:ascii="Times New Roman" w:hAnsi="Times New Roman"/>
                <w:kern w:val="0"/>
                <w:sz w:val="18"/>
                <w:szCs w:val="18"/>
              </w:rPr>
              <w:t>加密滑坡专业监测；</w:t>
            </w:r>
          </w:p>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（2）</w:t>
            </w:r>
            <w:r>
              <w:rPr>
                <w:rFonts w:ascii="Times New Roman" w:hAnsi="Times New Roman"/>
                <w:kern w:val="0"/>
                <w:sz w:val="18"/>
                <w:szCs w:val="18"/>
              </w:rPr>
              <w:t>划定滑坡危险区和影响区，发放防灾明白卡，对处于危险区的居民应迅速撤离避让；</w:t>
            </w:r>
          </w:p>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（3）</w:t>
            </w:r>
            <w:r>
              <w:rPr>
                <w:rFonts w:ascii="Times New Roman" w:hAnsi="Times New Roman"/>
                <w:kern w:val="0"/>
                <w:sz w:val="18"/>
                <w:szCs w:val="18"/>
              </w:rPr>
              <w:t>制定防灾预案。</w:t>
            </w:r>
          </w:p>
        </w:tc>
        <w:tc>
          <w:tcPr>
            <w:tcW w:w="737" w:type="pct"/>
            <w:gridSpan w:val="2"/>
            <w:shd w:val="clear" w:color="auto" w:fill="auto"/>
            <w:vAlign w:val="center"/>
          </w:tcPr>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（1）</w:t>
            </w:r>
            <w:r>
              <w:rPr>
                <w:rFonts w:ascii="Times New Roman" w:hAnsi="Times New Roman"/>
                <w:kern w:val="0"/>
                <w:sz w:val="18"/>
                <w:szCs w:val="18"/>
              </w:rPr>
              <w:t>发布橙色警报；</w:t>
            </w:r>
          </w:p>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（2）</w:t>
            </w:r>
            <w:r>
              <w:rPr>
                <w:rFonts w:ascii="Times New Roman" w:hAnsi="Times New Roman"/>
                <w:kern w:val="0"/>
                <w:sz w:val="18"/>
                <w:szCs w:val="18"/>
              </w:rPr>
              <w:t>划定滑坡危险区和影响区，进行涌浪预测，；</w:t>
            </w:r>
          </w:p>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（3）</w:t>
            </w:r>
            <w:r>
              <w:rPr>
                <w:rFonts w:ascii="Times New Roman" w:hAnsi="Times New Roman"/>
                <w:kern w:val="0"/>
                <w:sz w:val="18"/>
                <w:szCs w:val="18"/>
              </w:rPr>
              <w:t>启动防灾预案；</w:t>
            </w:r>
          </w:p>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（4）</w:t>
            </w:r>
            <w:r>
              <w:rPr>
                <w:rFonts w:ascii="Times New Roman" w:hAnsi="Times New Roman"/>
                <w:kern w:val="0"/>
                <w:sz w:val="18"/>
                <w:szCs w:val="18"/>
              </w:rPr>
              <w:t>24小时不间断监测巡视,遇紧急情况随时向指挥中心报告。</w:t>
            </w:r>
          </w:p>
        </w:tc>
        <w:tc>
          <w:tcPr>
            <w:tcW w:w="737" w:type="pct"/>
            <w:shd w:val="clear" w:color="auto" w:fill="auto"/>
            <w:vAlign w:val="center"/>
          </w:tcPr>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（1）</w:t>
            </w:r>
            <w:r>
              <w:rPr>
                <w:rFonts w:ascii="Times New Roman" w:hAnsi="Times New Roman"/>
                <w:kern w:val="0"/>
                <w:sz w:val="18"/>
                <w:szCs w:val="18"/>
              </w:rPr>
              <w:t>发布红色警报；</w:t>
            </w:r>
          </w:p>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（2）</w:t>
            </w:r>
            <w:r>
              <w:rPr>
                <w:rFonts w:ascii="Times New Roman" w:hAnsi="Times New Roman"/>
                <w:kern w:val="0"/>
                <w:sz w:val="18"/>
                <w:szCs w:val="18"/>
              </w:rPr>
              <w:t>封锁涌浪预测范围内的水域；</w:t>
            </w:r>
          </w:p>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（3）</w:t>
            </w:r>
            <w:r>
              <w:rPr>
                <w:rFonts w:ascii="Times New Roman" w:hAnsi="Times New Roman"/>
                <w:kern w:val="0"/>
                <w:sz w:val="18"/>
                <w:szCs w:val="18"/>
              </w:rPr>
              <w:t>撤离处于危险区和影响区的所有人员；</w:t>
            </w:r>
          </w:p>
          <w:p>
            <w:pPr>
              <w:autoSpaceDE w:val="0"/>
              <w:autoSpaceDN w:val="0"/>
              <w:adjustRightInd w:val="0"/>
              <w:jc w:val="left"/>
              <w:rPr>
                <w:rFonts w:ascii="Times New Roman" w:hAnsi="Times New Roman"/>
                <w:kern w:val="0"/>
                <w:sz w:val="18"/>
                <w:szCs w:val="18"/>
              </w:rPr>
            </w:pPr>
            <w:r>
              <w:rPr>
                <w:rFonts w:hint="eastAsia" w:ascii="Times New Roman" w:hAnsi="Times New Roman"/>
                <w:kern w:val="0"/>
                <w:sz w:val="18"/>
                <w:szCs w:val="18"/>
              </w:rPr>
              <w:t>（4）</w:t>
            </w:r>
            <w:r>
              <w:rPr>
                <w:rFonts w:ascii="Times New Roman" w:hAnsi="Times New Roman"/>
                <w:kern w:val="0"/>
                <w:sz w:val="18"/>
                <w:szCs w:val="18"/>
              </w:rPr>
              <w:t>组织应急抢险施工队伍。</w:t>
            </w:r>
          </w:p>
        </w:tc>
      </w:tr>
    </w:tbl>
    <w:p>
      <w:pPr>
        <w:tabs>
          <w:tab w:val="center" w:pos="4201"/>
          <w:tab w:val="right" w:leader="dot" w:pos="9298"/>
        </w:tabs>
        <w:autoSpaceDE w:val="0"/>
        <w:autoSpaceDN w:val="0"/>
        <w:spacing w:line="360" w:lineRule="auto"/>
        <w:rPr>
          <w:rFonts w:ascii="黑体" w:hAnsi="黑体" w:eastAsia="黑体"/>
          <w:kern w:val="0"/>
          <w:szCs w:val="21"/>
        </w:rPr>
      </w:pPr>
    </w:p>
    <w:p>
      <w:pPr>
        <w:tabs>
          <w:tab w:val="center" w:pos="4201"/>
          <w:tab w:val="right" w:leader="dot" w:pos="9298"/>
        </w:tabs>
        <w:autoSpaceDE w:val="0"/>
        <w:autoSpaceDN w:val="0"/>
        <w:spacing w:line="360" w:lineRule="auto"/>
        <w:rPr>
          <w:rFonts w:ascii="黑体" w:hAnsi="黑体" w:eastAsia="黑体"/>
          <w:kern w:val="0"/>
          <w:szCs w:val="21"/>
        </w:rPr>
        <w:sectPr>
          <w:pgSz w:w="16838" w:h="11906" w:orient="landscape"/>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bookmarkStart w:id="278" w:name="_Toc33177721"/>
      <w:bookmarkStart w:id="279" w:name="_Toc21966445"/>
      <w:bookmarkStart w:id="280" w:name="_Toc534577803"/>
      <w:r>
        <w:rPr>
          <w:rFonts w:ascii="黑体" w:hAnsi="黑体" w:eastAsia="黑体"/>
          <w:kern w:val="0"/>
          <w:szCs w:val="21"/>
        </w:rPr>
        <w:t xml:space="preserve">附  录  </w:t>
      </w:r>
      <w:r>
        <w:rPr>
          <w:rFonts w:hint="eastAsia" w:ascii="黑体" w:hAnsi="黑体" w:eastAsia="黑体"/>
          <w:kern w:val="0"/>
          <w:szCs w:val="21"/>
        </w:rPr>
        <w:t>L</w:t>
      </w:r>
    </w:p>
    <w:p>
      <w:pPr>
        <w:keepNext/>
        <w:widowControl/>
        <w:shd w:val="clear" w:color="FFFFFF" w:fill="FFFFFF"/>
        <w:tabs>
          <w:tab w:val="left" w:pos="360"/>
          <w:tab w:val="left" w:pos="6405"/>
        </w:tabs>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（资料性附录）</w:t>
      </w:r>
    </w:p>
    <w:p>
      <w:pPr>
        <w:keepNext/>
        <w:widowControl/>
        <w:shd w:val="clear" w:color="FFFFFF" w:fill="FFFFFF"/>
        <w:tabs>
          <w:tab w:val="left" w:pos="360"/>
          <w:tab w:val="left" w:pos="6405"/>
        </w:tabs>
        <w:jc w:val="center"/>
        <w:outlineLvl w:val="0"/>
        <w:rPr>
          <w:rFonts w:ascii="Times New Roman" w:hAnsi="Times New Roman" w:eastAsia="黑体"/>
          <w:b/>
          <w:bCs/>
          <w:kern w:val="44"/>
          <w:szCs w:val="21"/>
        </w:rPr>
      </w:pPr>
      <w:r>
        <w:rPr>
          <w:rFonts w:hint="eastAsia" w:ascii="Times New Roman" w:hAnsi="Times New Roman" w:eastAsia="黑体"/>
          <w:kern w:val="0"/>
          <w:szCs w:val="21"/>
        </w:rPr>
        <w:t>滑坡预报判据和前兆异常</w:t>
      </w:r>
      <w:bookmarkEnd w:id="278"/>
      <w:bookmarkEnd w:id="279"/>
      <w:bookmarkEnd w:id="280"/>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 xml:space="preserve">L-1  </w:t>
      </w:r>
      <w:r>
        <w:rPr>
          <w:rFonts w:ascii="黑体" w:hAnsi="黑体" w:eastAsia="黑体"/>
          <w:kern w:val="0"/>
          <w:szCs w:val="21"/>
        </w:rPr>
        <w:t>滑坡预报判据总结</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1751"/>
        <w:gridCol w:w="2228"/>
        <w:gridCol w:w="1908"/>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8" w:type="pct"/>
            <w:gridSpan w:val="2"/>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判据名称</w:t>
            </w:r>
          </w:p>
        </w:tc>
        <w:tc>
          <w:tcPr>
            <w:tcW w:w="1164"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判据值或范围</w:t>
            </w:r>
          </w:p>
        </w:tc>
        <w:tc>
          <w:tcPr>
            <w:tcW w:w="997"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适用条件</w:t>
            </w:r>
          </w:p>
        </w:tc>
        <w:tc>
          <w:tcPr>
            <w:tcW w:w="1611"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稳定性系数（K）</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K</w:t>
            </w:r>
            <w:r>
              <w:rPr>
                <w:rFonts w:asciiTheme="minorEastAsia" w:hAnsiTheme="minorEastAsia" w:eastAsiaTheme="minorEastAsia"/>
                <w:sz w:val="18"/>
                <w:szCs w:val="18"/>
              </w:rPr>
              <w:t>≤</w:t>
            </w:r>
            <w:r>
              <w:rPr>
                <w:rFonts w:ascii="Times New Roman" w:hAnsi="Times New Roman"/>
                <w:sz w:val="18"/>
                <w:szCs w:val="18"/>
              </w:rPr>
              <w:t>1</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长期预报</w:t>
            </w:r>
          </w:p>
        </w:tc>
        <w:tc>
          <w:tcPr>
            <w:tcW w:w="1611" w:type="pct"/>
            <w:shd w:val="clear" w:color="auto" w:fill="auto"/>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可靠概率（P</w:t>
            </w:r>
            <w:r>
              <w:rPr>
                <w:rFonts w:ascii="Times New Roman" w:hAnsi="Times New Roman"/>
                <w:sz w:val="18"/>
                <w:szCs w:val="18"/>
                <w:vertAlign w:val="subscript"/>
              </w:rPr>
              <w:t>s</w:t>
            </w:r>
            <w:r>
              <w:rPr>
                <w:rFonts w:ascii="Times New Roman" w:hAnsi="Times New Roman"/>
                <w:sz w:val="18"/>
                <w:szCs w:val="18"/>
              </w:rPr>
              <w:t>）</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P</w:t>
            </w:r>
            <w:r>
              <w:rPr>
                <w:rFonts w:ascii="Times New Roman" w:hAnsi="Times New Roman"/>
                <w:sz w:val="18"/>
                <w:szCs w:val="18"/>
                <w:vertAlign w:val="subscript"/>
              </w:rPr>
              <w:t>s</w:t>
            </w:r>
            <w:r>
              <w:rPr>
                <w:rFonts w:asciiTheme="minorEastAsia" w:hAnsiTheme="minorEastAsia" w:eastAsiaTheme="minorEastAsia"/>
                <w:sz w:val="18"/>
                <w:szCs w:val="18"/>
              </w:rPr>
              <w:t>≤</w:t>
            </w:r>
            <w:r>
              <w:rPr>
                <w:rFonts w:ascii="Times New Roman" w:hAnsi="Times New Roman"/>
                <w:sz w:val="18"/>
                <w:szCs w:val="18"/>
              </w:rPr>
              <w:t>95%</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长期预报</w:t>
            </w:r>
          </w:p>
        </w:tc>
        <w:tc>
          <w:tcPr>
            <w:tcW w:w="1611" w:type="pct"/>
            <w:shd w:val="clear" w:color="auto" w:fill="auto"/>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声发射参数</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position w:val="-24"/>
                <w:sz w:val="18"/>
                <w:szCs w:val="18"/>
              </w:rPr>
              <w:drawing>
                <wp:inline distT="0" distB="0" distL="0" distR="0">
                  <wp:extent cx="847725" cy="41910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84" cstate="print"/>
                          <a:srcRect/>
                          <a:stretch>
                            <a:fillRect/>
                          </a:stretch>
                        </pic:blipFill>
                        <pic:spPr>
                          <a:xfrm>
                            <a:off x="0" y="0"/>
                            <a:ext cx="847725" cy="419100"/>
                          </a:xfrm>
                          <a:prstGeom prst="rect">
                            <a:avLst/>
                          </a:prstGeom>
                          <a:noFill/>
                          <a:ln w="9525">
                            <a:noFill/>
                            <a:miter lim="800000"/>
                            <a:headEnd/>
                            <a:tailEnd/>
                          </a:ln>
                        </pic:spPr>
                      </pic:pic>
                    </a:graphicData>
                  </a:graphic>
                </wp:inline>
              </w:drawing>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长期预报</w:t>
            </w:r>
          </w:p>
        </w:tc>
        <w:tc>
          <w:tcPr>
            <w:tcW w:w="1611" w:type="pct"/>
            <w:shd w:val="clear" w:color="auto" w:fill="auto"/>
            <w:vAlign w:val="center"/>
          </w:tcPr>
          <w:p>
            <w:pPr>
              <w:rPr>
                <w:rFonts w:ascii="Times New Roman" w:hAnsi="Times New Roman"/>
                <w:sz w:val="18"/>
                <w:szCs w:val="18"/>
              </w:rPr>
            </w:pPr>
            <w:r>
              <w:rPr>
                <w:rFonts w:ascii="Times New Roman" w:hAnsi="Times New Roman"/>
                <w:sz w:val="18"/>
                <w:szCs w:val="18"/>
              </w:rPr>
              <w:t>A</w:t>
            </w:r>
            <w:r>
              <w:rPr>
                <w:rFonts w:ascii="Times New Roman" w:hAnsi="Times New Roman"/>
                <w:sz w:val="18"/>
                <w:szCs w:val="18"/>
                <w:vertAlign w:val="subscript"/>
              </w:rPr>
              <w:t>0</w:t>
            </w:r>
            <w:r>
              <w:rPr>
                <w:rFonts w:ascii="Times New Roman" w:hAnsi="Times New Roman"/>
                <w:sz w:val="18"/>
                <w:szCs w:val="18"/>
              </w:rPr>
              <w:t>为岩土破坏时声发射计数最大值；A为实际观测值</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塑性应变</w:t>
            </w:r>
            <w:r>
              <w:rPr>
                <w:rFonts w:ascii="Times New Roman" w:hAnsi="Times New Roman"/>
                <w:position w:val="-12"/>
                <w:sz w:val="18"/>
                <w:szCs w:val="18"/>
              </w:rPr>
              <w:drawing>
                <wp:inline distT="0" distB="0" distL="0" distR="0">
                  <wp:extent cx="190500" cy="257175"/>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85" cstate="print"/>
                          <a:srcRect/>
                          <a:stretch>
                            <a:fillRect/>
                          </a:stretch>
                        </pic:blipFill>
                        <pic:spPr>
                          <a:xfrm>
                            <a:off x="0" y="0"/>
                            <a:ext cx="190500" cy="257175"/>
                          </a:xfrm>
                          <a:prstGeom prst="rect">
                            <a:avLst/>
                          </a:prstGeom>
                          <a:noFill/>
                          <a:ln w="9525">
                            <a:noFill/>
                            <a:miter lim="800000"/>
                            <a:headEnd/>
                            <a:tailEnd/>
                          </a:ln>
                        </pic:spPr>
                      </pic:pic>
                    </a:graphicData>
                  </a:graphic>
                </wp:inline>
              </w:drawing>
            </w:r>
          </w:p>
        </w:tc>
        <w:tc>
          <w:tcPr>
            <w:tcW w:w="1164" w:type="pct"/>
            <w:shd w:val="clear" w:color="auto" w:fill="auto"/>
            <w:vAlign w:val="center"/>
          </w:tcPr>
          <w:p>
            <w:pPr>
              <w:jc w:val="center"/>
              <w:rPr>
                <w:rFonts w:ascii="Times New Roman" w:hAnsi="Times New Roman"/>
                <w:sz w:val="18"/>
                <w:szCs w:val="18"/>
              </w:rPr>
            </w:pPr>
            <w:r>
              <w:rPr>
                <w:rFonts w:ascii="Times New Roman" w:hAnsi="Times New Roman"/>
                <w:position w:val="-12"/>
                <w:sz w:val="18"/>
                <w:szCs w:val="18"/>
              </w:rPr>
              <w:drawing>
                <wp:inline distT="0" distB="0" distL="0" distR="0">
                  <wp:extent cx="609600" cy="257175"/>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86" cstate="print"/>
                          <a:srcRect/>
                          <a:stretch>
                            <a:fillRect/>
                          </a:stretch>
                        </pic:blipFill>
                        <pic:spPr>
                          <a:xfrm>
                            <a:off x="0" y="0"/>
                            <a:ext cx="609600" cy="257175"/>
                          </a:xfrm>
                          <a:prstGeom prst="rect">
                            <a:avLst/>
                          </a:prstGeom>
                          <a:noFill/>
                          <a:ln w="9525">
                            <a:noFill/>
                            <a:miter lim="800000"/>
                            <a:headEnd/>
                            <a:tailEnd/>
                          </a:ln>
                        </pic:spPr>
                      </pic:pic>
                    </a:graphicData>
                  </a:graphic>
                </wp:inline>
              </w:drawing>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小变形滑坡</w:t>
            </w:r>
          </w:p>
          <w:p>
            <w:pPr>
              <w:jc w:val="center"/>
              <w:rPr>
                <w:rFonts w:ascii="Times New Roman" w:hAnsi="Times New Roman"/>
                <w:sz w:val="18"/>
                <w:szCs w:val="18"/>
              </w:rPr>
            </w:pPr>
            <w:r>
              <w:rPr>
                <w:rFonts w:ascii="Times New Roman" w:hAnsi="Times New Roman"/>
                <w:sz w:val="18"/>
                <w:szCs w:val="18"/>
              </w:rPr>
              <w:t>中长期预报</w:t>
            </w:r>
          </w:p>
        </w:tc>
        <w:tc>
          <w:tcPr>
            <w:tcW w:w="1611" w:type="pct"/>
            <w:shd w:val="clear" w:color="auto" w:fill="auto"/>
            <w:vAlign w:val="center"/>
          </w:tcPr>
          <w:p>
            <w:pPr>
              <w:rPr>
                <w:rFonts w:ascii="Times New Roman" w:hAnsi="Times New Roman"/>
                <w:sz w:val="18"/>
                <w:szCs w:val="18"/>
              </w:rPr>
            </w:pPr>
            <w:r>
              <w:rPr>
                <w:rFonts w:ascii="Times New Roman" w:hAnsi="Times New Roman"/>
                <w:sz w:val="18"/>
                <w:szCs w:val="18"/>
              </w:rPr>
              <w:t>滑面或滑线上所有点的值均趋于无穷大</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塑性应变率</w:t>
            </w:r>
            <w:r>
              <w:rPr>
                <w:rFonts w:ascii="Times New Roman" w:hAnsi="Times New Roman"/>
                <w:position w:val="-12"/>
                <w:sz w:val="18"/>
                <w:szCs w:val="18"/>
              </w:rPr>
              <w:drawing>
                <wp:inline distT="0" distB="0" distL="0" distR="0">
                  <wp:extent cx="581025" cy="257175"/>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87" cstate="print"/>
                          <a:srcRect/>
                          <a:stretch>
                            <a:fillRect/>
                          </a:stretch>
                        </pic:blipFill>
                        <pic:spPr>
                          <a:xfrm>
                            <a:off x="0" y="0"/>
                            <a:ext cx="581025" cy="257175"/>
                          </a:xfrm>
                          <a:prstGeom prst="rect">
                            <a:avLst/>
                          </a:prstGeom>
                          <a:noFill/>
                          <a:ln w="9525">
                            <a:noFill/>
                            <a:miter lim="800000"/>
                            <a:headEnd/>
                            <a:tailEnd/>
                          </a:ln>
                        </pic:spPr>
                      </pic:pic>
                    </a:graphicData>
                  </a:graphic>
                </wp:inline>
              </w:drawing>
            </w:r>
          </w:p>
        </w:tc>
        <w:tc>
          <w:tcPr>
            <w:tcW w:w="1164" w:type="pct"/>
            <w:shd w:val="clear" w:color="auto" w:fill="auto"/>
            <w:vAlign w:val="center"/>
          </w:tcPr>
          <w:p>
            <w:pPr>
              <w:jc w:val="center"/>
              <w:rPr>
                <w:rFonts w:ascii="Times New Roman" w:hAnsi="Times New Roman"/>
                <w:sz w:val="18"/>
                <w:szCs w:val="18"/>
              </w:rPr>
            </w:pPr>
            <w:r>
              <w:rPr>
                <w:rFonts w:ascii="Times New Roman" w:hAnsi="Times New Roman"/>
                <w:position w:val="-12"/>
                <w:sz w:val="18"/>
                <w:szCs w:val="18"/>
              </w:rPr>
              <w:drawing>
                <wp:inline distT="0" distB="0" distL="0" distR="0">
                  <wp:extent cx="1000125" cy="257175"/>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88" cstate="print"/>
                          <a:srcRect/>
                          <a:stretch>
                            <a:fillRect/>
                          </a:stretch>
                        </pic:blipFill>
                        <pic:spPr>
                          <a:xfrm>
                            <a:off x="0" y="0"/>
                            <a:ext cx="1000125" cy="257175"/>
                          </a:xfrm>
                          <a:prstGeom prst="rect">
                            <a:avLst/>
                          </a:prstGeom>
                          <a:noFill/>
                          <a:ln w="9525">
                            <a:noFill/>
                            <a:miter lim="800000"/>
                            <a:headEnd/>
                            <a:tailEnd/>
                          </a:ln>
                        </pic:spPr>
                      </pic:pic>
                    </a:graphicData>
                  </a:graphic>
                </wp:inline>
              </w:drawing>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小变形滑坡</w:t>
            </w:r>
          </w:p>
          <w:p>
            <w:pPr>
              <w:jc w:val="center"/>
              <w:rPr>
                <w:rFonts w:ascii="Times New Roman" w:hAnsi="Times New Roman"/>
                <w:sz w:val="18"/>
                <w:szCs w:val="18"/>
              </w:rPr>
            </w:pPr>
            <w:r>
              <w:rPr>
                <w:rFonts w:ascii="Times New Roman" w:hAnsi="Times New Roman"/>
                <w:sz w:val="18"/>
                <w:szCs w:val="18"/>
              </w:rPr>
              <w:t>中长期预报</w:t>
            </w:r>
          </w:p>
        </w:tc>
        <w:tc>
          <w:tcPr>
            <w:tcW w:w="1611" w:type="pct"/>
            <w:shd w:val="clear" w:color="auto" w:fill="auto"/>
            <w:vAlign w:val="center"/>
          </w:tcPr>
          <w:p>
            <w:pPr>
              <w:rPr>
                <w:rFonts w:ascii="Times New Roman" w:hAnsi="Times New Roman"/>
                <w:sz w:val="18"/>
                <w:szCs w:val="18"/>
              </w:rPr>
            </w:pPr>
            <w:r>
              <w:rPr>
                <w:rFonts w:ascii="Times New Roman" w:hAnsi="Times New Roman"/>
                <w:sz w:val="18"/>
                <w:szCs w:val="18"/>
              </w:rPr>
              <w:t>滑面或滑线上所有点的值均趋于无穷大</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28" w:type="pct"/>
            <w:gridSpan w:val="2"/>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变形速率V</w:t>
            </w:r>
            <w:r>
              <w:rPr>
                <w:rFonts w:ascii="Times New Roman" w:hAnsi="Times New Roman"/>
                <w:sz w:val="18"/>
                <w:szCs w:val="18"/>
                <w:vertAlign w:val="subscript"/>
              </w:rPr>
              <w:t>f</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0.1</w:t>
            </w:r>
            <w:r>
              <w:rPr>
                <w:rFonts w:hint="eastAsia" w:ascii="Times New Roman" w:hAnsi="Times New Roman"/>
                <w:sz w:val="18"/>
                <w:szCs w:val="18"/>
              </w:rPr>
              <w:t xml:space="preserve"> </w:t>
            </w:r>
            <w:r>
              <w:rPr>
                <w:rFonts w:ascii="Times New Roman" w:hAnsi="Times New Roman"/>
                <w:sz w:val="18"/>
                <w:szCs w:val="18"/>
              </w:rPr>
              <w:t>mm/d</w:t>
            </w:r>
          </w:p>
        </w:tc>
        <w:tc>
          <w:tcPr>
            <w:tcW w:w="997" w:type="pct"/>
            <w:shd w:val="clear" w:color="auto" w:fill="auto"/>
            <w:vAlign w:val="center"/>
          </w:tcPr>
          <w:p>
            <w:pPr>
              <w:rPr>
                <w:rFonts w:ascii="Times New Roman" w:hAnsi="Times New Roman"/>
                <w:sz w:val="18"/>
                <w:szCs w:val="18"/>
              </w:rPr>
            </w:pPr>
            <w:r>
              <w:rPr>
                <w:rFonts w:ascii="Times New Roman" w:hAnsi="Times New Roman"/>
                <w:sz w:val="18"/>
                <w:szCs w:val="18"/>
              </w:rPr>
              <w:t>粘土页岩、粘土斜坡</w:t>
            </w:r>
          </w:p>
          <w:p>
            <w:pPr>
              <w:rPr>
                <w:rFonts w:ascii="Times New Roman" w:hAnsi="Times New Roman"/>
                <w:sz w:val="18"/>
                <w:szCs w:val="18"/>
              </w:rPr>
            </w:pPr>
            <w:r>
              <w:rPr>
                <w:rFonts w:ascii="Times New Roman" w:hAnsi="Times New Roman"/>
                <w:sz w:val="18"/>
                <w:szCs w:val="18"/>
              </w:rPr>
              <w:t>短临预报</w:t>
            </w:r>
          </w:p>
        </w:tc>
        <w:tc>
          <w:tcPr>
            <w:tcW w:w="1611" w:type="pct"/>
            <w:vMerge w:val="restart"/>
            <w:shd w:val="clear" w:color="auto" w:fill="auto"/>
            <w:vAlign w:val="center"/>
          </w:tcPr>
          <w:p>
            <w:pPr>
              <w:rPr>
                <w:rFonts w:ascii="Times New Roman" w:hAnsi="Times New Roman"/>
                <w:sz w:val="18"/>
                <w:szCs w:val="18"/>
              </w:rPr>
            </w:pPr>
            <w:r>
              <w:rPr>
                <w:rFonts w:ascii="Times New Roman" w:hAnsi="Times New Roman"/>
                <w:sz w:val="18"/>
                <w:szCs w:val="18"/>
              </w:rPr>
              <w:t>新滩滑坡临界破坏变形速率V</w:t>
            </w:r>
            <w:r>
              <w:rPr>
                <w:rFonts w:ascii="Times New Roman" w:hAnsi="Times New Roman"/>
                <w:sz w:val="18"/>
                <w:szCs w:val="18"/>
                <w:vertAlign w:val="subscript"/>
              </w:rPr>
              <w:t>f</w:t>
            </w:r>
            <w:r>
              <w:rPr>
                <w:rFonts w:ascii="Times New Roman" w:hAnsi="Times New Roman"/>
                <w:sz w:val="18"/>
                <w:szCs w:val="18"/>
              </w:rPr>
              <w:t>=3</w:t>
            </w:r>
            <w:r>
              <w:rPr>
                <w:rFonts w:hint="eastAsia" w:ascii="Times New Roman" w:hAnsi="Times New Roman"/>
                <w:sz w:val="18"/>
                <w:szCs w:val="18"/>
              </w:rPr>
              <w:t xml:space="preserve"> </w:t>
            </w:r>
            <w:r>
              <w:rPr>
                <w:rFonts w:ascii="Times New Roman" w:hAnsi="Times New Roman"/>
                <w:sz w:val="18"/>
                <w:szCs w:val="18"/>
              </w:rPr>
              <w:t>500</w:t>
            </w:r>
            <w:r>
              <w:rPr>
                <w:rFonts w:hint="eastAsia" w:ascii="Times New Roman" w:hAnsi="Times New Roman"/>
                <w:sz w:val="18"/>
                <w:szCs w:val="18"/>
              </w:rPr>
              <w:t xml:space="preserve"> </w:t>
            </w:r>
            <w:r>
              <w:rPr>
                <w:rFonts w:ascii="Times New Roman" w:hAnsi="Times New Roman"/>
                <w:sz w:val="18"/>
                <w:szCs w:val="18"/>
              </w:rPr>
              <w:t>mm/月，V</w:t>
            </w:r>
            <w:r>
              <w:rPr>
                <w:rFonts w:ascii="Times New Roman" w:hAnsi="Times New Roman"/>
                <w:sz w:val="18"/>
                <w:szCs w:val="18"/>
                <w:vertAlign w:val="subscript"/>
              </w:rPr>
              <w:t>f</w:t>
            </w:r>
            <w:r>
              <w:rPr>
                <w:rFonts w:ascii="Times New Roman" w:hAnsi="Times New Roman"/>
                <w:sz w:val="18"/>
                <w:szCs w:val="18"/>
              </w:rPr>
              <w:t>=116</w:t>
            </w:r>
            <w:r>
              <w:rPr>
                <w:rFonts w:hint="eastAsia" w:ascii="Times New Roman" w:hAnsi="Times New Roman"/>
                <w:sz w:val="18"/>
                <w:szCs w:val="18"/>
              </w:rPr>
              <w:t xml:space="preserve"> </w:t>
            </w:r>
            <w:r>
              <w:rPr>
                <w:rFonts w:ascii="Times New Roman" w:hAnsi="Times New Roman"/>
                <w:sz w:val="18"/>
                <w:szCs w:val="18"/>
              </w:rPr>
              <w:t>mm/d；黄蜡石滑坡，地表变形速率10</w:t>
            </w:r>
            <w:r>
              <w:rPr>
                <w:rFonts w:hint="eastAsia" w:ascii="Times New Roman" w:hAnsi="Times New Roman"/>
                <w:sz w:val="18"/>
                <w:szCs w:val="18"/>
              </w:rPr>
              <w:t xml:space="preserve"> </w:t>
            </w:r>
            <w:r>
              <w:rPr>
                <w:rFonts w:ascii="Times New Roman" w:hAnsi="Times New Roman"/>
                <w:sz w:val="18"/>
                <w:szCs w:val="18"/>
              </w:rPr>
              <w:t>mm/月，地下变形速率5</w:t>
            </w:r>
            <w:r>
              <w:rPr>
                <w:rFonts w:hint="eastAsia" w:ascii="Times New Roman" w:hAnsi="Times New Roman"/>
                <w:sz w:val="18"/>
                <w:szCs w:val="18"/>
              </w:rPr>
              <w:t xml:space="preserve"> </w:t>
            </w:r>
            <w:r>
              <w:rPr>
                <w:rFonts w:ascii="Times New Roman" w:hAnsi="Times New Roman"/>
                <w:sz w:val="18"/>
                <w:szCs w:val="18"/>
              </w:rPr>
              <w:t>mm/月或连续三日的日变形速率达到2</w:t>
            </w:r>
            <w:r>
              <w:rPr>
                <w:rFonts w:hint="eastAsia" w:ascii="Times New Roman" w:hAnsi="Times New Roman"/>
                <w:sz w:val="18"/>
                <w:szCs w:val="18"/>
              </w:rPr>
              <w:t xml:space="preserve"> </w:t>
            </w:r>
            <w:r>
              <w:rPr>
                <w:rFonts w:ascii="Times New Roman" w:hAnsi="Times New Roman"/>
                <w:sz w:val="18"/>
                <w:szCs w:val="18"/>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28" w:type="pct"/>
            <w:gridSpan w:val="2"/>
            <w:vMerge w:val="continue"/>
            <w:shd w:val="clear" w:color="auto" w:fill="auto"/>
            <w:vAlign w:val="center"/>
          </w:tcPr>
          <w:p>
            <w:pPr>
              <w:jc w:val="center"/>
              <w:rPr>
                <w:rFonts w:ascii="Times New Roman" w:hAnsi="Times New Roman"/>
                <w:sz w:val="18"/>
                <w:szCs w:val="18"/>
              </w:rPr>
            </w:pP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10.0；14.4；24.0</w:t>
            </w:r>
            <w:r>
              <w:rPr>
                <w:rFonts w:hint="eastAsia" w:ascii="Times New Roman" w:hAnsi="Times New Roman"/>
                <w:sz w:val="18"/>
                <w:szCs w:val="18"/>
              </w:rPr>
              <w:t xml:space="preserve"> </w:t>
            </w:r>
            <w:r>
              <w:rPr>
                <w:rFonts w:ascii="Times New Roman" w:hAnsi="Times New Roman"/>
                <w:sz w:val="18"/>
                <w:szCs w:val="18"/>
              </w:rPr>
              <w:t>mm/d</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岩质边坡</w:t>
            </w:r>
          </w:p>
          <w:p>
            <w:pPr>
              <w:jc w:val="center"/>
              <w:rPr>
                <w:rFonts w:ascii="Times New Roman" w:hAnsi="Times New Roman"/>
                <w:sz w:val="18"/>
                <w:szCs w:val="18"/>
              </w:rPr>
            </w:pPr>
            <w:r>
              <w:rPr>
                <w:rFonts w:ascii="Times New Roman" w:hAnsi="Times New Roman"/>
                <w:sz w:val="18"/>
                <w:szCs w:val="18"/>
              </w:rPr>
              <w:t>临滑预报</w:t>
            </w:r>
          </w:p>
        </w:tc>
        <w:tc>
          <w:tcPr>
            <w:tcW w:w="1611" w:type="pct"/>
            <w:vMerge w:val="continue"/>
            <w:shd w:val="clear" w:color="auto" w:fill="auto"/>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位移加速度a</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a</w:t>
            </w:r>
            <w:r>
              <w:rPr>
                <w:rFonts w:asciiTheme="minorEastAsia" w:hAnsiTheme="minorEastAsia" w:eastAsiaTheme="minorEastAsia"/>
                <w:sz w:val="18"/>
                <w:szCs w:val="18"/>
              </w:rPr>
              <w:t>≥</w:t>
            </w:r>
            <w:r>
              <w:rPr>
                <w:rFonts w:ascii="Times New Roman" w:hAnsi="Times New Roman"/>
                <w:sz w:val="18"/>
                <w:szCs w:val="18"/>
              </w:rPr>
              <w:t>0</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临滑预报</w:t>
            </w:r>
          </w:p>
        </w:tc>
        <w:tc>
          <w:tcPr>
            <w:tcW w:w="1611" w:type="pct"/>
            <w:shd w:val="clear" w:color="auto" w:fill="auto"/>
            <w:vAlign w:val="center"/>
          </w:tcPr>
          <w:p>
            <w:pPr>
              <w:rPr>
                <w:rFonts w:ascii="Times New Roman" w:hAnsi="Times New Roman"/>
                <w:sz w:val="18"/>
                <w:szCs w:val="18"/>
              </w:rPr>
            </w:pPr>
            <w:r>
              <w:rPr>
                <w:rFonts w:ascii="Times New Roman" w:hAnsi="Times New Roman"/>
                <w:sz w:val="18"/>
                <w:szCs w:val="18"/>
              </w:rPr>
              <w:t>加速度值应取一定时间段的持续值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蠕变曲线切线角（α）</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α</w:t>
            </w:r>
            <w:r>
              <w:rPr>
                <w:rFonts w:asciiTheme="minorEastAsia" w:hAnsiTheme="minorEastAsia" w:eastAsiaTheme="minorEastAsia"/>
                <w:sz w:val="18"/>
                <w:szCs w:val="18"/>
              </w:rPr>
              <w:t>≥</w:t>
            </w:r>
            <w:r>
              <w:rPr>
                <w:rFonts w:ascii="Times New Roman" w:hAnsi="Times New Roman"/>
                <w:sz w:val="18"/>
                <w:szCs w:val="18"/>
              </w:rPr>
              <w:t>70°</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临滑预报</w:t>
            </w:r>
          </w:p>
        </w:tc>
        <w:tc>
          <w:tcPr>
            <w:tcW w:w="1611" w:type="pct"/>
            <w:shd w:val="clear" w:color="auto" w:fill="auto"/>
            <w:vAlign w:val="center"/>
          </w:tcPr>
          <w:p>
            <w:pPr>
              <w:rPr>
                <w:rFonts w:ascii="Times New Roman" w:hAnsi="Times New Roman"/>
                <w:sz w:val="18"/>
                <w:szCs w:val="18"/>
              </w:rPr>
            </w:pPr>
            <w:r>
              <w:rPr>
                <w:rFonts w:ascii="Times New Roman" w:hAnsi="Times New Roman"/>
                <w:sz w:val="18"/>
                <w:szCs w:val="18"/>
              </w:rPr>
              <w:t>黄土滑坡α在89°～89.5°为滑坡发生危险段</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位移矢量角</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突然增大或减小</w:t>
            </w:r>
            <w:r>
              <w:rPr>
                <w:rFonts w:hint="eastAsia" w:ascii="Times New Roman" w:hAnsi="Times New Roman"/>
                <w:sz w:val="18"/>
                <w:szCs w:val="18"/>
              </w:rPr>
              <w:t>。</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临滑预报</w:t>
            </w:r>
          </w:p>
        </w:tc>
        <w:tc>
          <w:tcPr>
            <w:tcW w:w="1611" w:type="pct"/>
            <w:shd w:val="clear" w:color="auto" w:fill="auto"/>
            <w:vAlign w:val="center"/>
          </w:tcPr>
          <w:p>
            <w:pPr>
              <w:jc w:val="center"/>
              <w:rPr>
                <w:rFonts w:ascii="Times New Roman" w:hAnsi="Times New Roman"/>
                <w:sz w:val="18"/>
                <w:szCs w:val="18"/>
              </w:rPr>
            </w:pPr>
            <w:r>
              <w:rPr>
                <w:rFonts w:ascii="Times New Roman" w:hAnsi="Times New Roman"/>
                <w:sz w:val="18"/>
                <w:szCs w:val="18"/>
              </w:rPr>
              <w:t>堆积层滑坡位移矢量角锐减</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库水位下降速率</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2</w:t>
            </w:r>
            <w:r>
              <w:rPr>
                <w:rFonts w:hint="eastAsia" w:ascii="Times New Roman" w:hAnsi="Times New Roman"/>
                <w:sz w:val="18"/>
                <w:szCs w:val="18"/>
              </w:rPr>
              <w:t xml:space="preserve"> </w:t>
            </w:r>
            <w:r>
              <w:rPr>
                <w:rFonts w:ascii="Times New Roman" w:hAnsi="Times New Roman"/>
                <w:sz w:val="18"/>
                <w:szCs w:val="18"/>
              </w:rPr>
              <w:t>m/d</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库水诱发型滑坡</w:t>
            </w:r>
          </w:p>
        </w:tc>
        <w:tc>
          <w:tcPr>
            <w:tcW w:w="1611" w:type="pct"/>
            <w:shd w:val="clear" w:color="auto" w:fill="auto"/>
            <w:vAlign w:val="center"/>
          </w:tcPr>
          <w:p>
            <w:pPr>
              <w:jc w:val="center"/>
              <w:rPr>
                <w:rFonts w:ascii="Times New Roman" w:hAnsi="Times New Roman"/>
                <w:sz w:val="18"/>
                <w:szCs w:val="18"/>
              </w:rPr>
            </w:pPr>
            <w:r>
              <w:rPr>
                <w:rFonts w:ascii="Times New Roman" w:hAnsi="Times New Roman"/>
                <w:sz w:val="18"/>
                <w:szCs w:val="18"/>
              </w:rPr>
              <w:t>即将发生的滑坡0.5</w:t>
            </w:r>
            <w:r>
              <w:rPr>
                <w:rFonts w:hint="eastAsia" w:ascii="Times New Roman" w:hAnsi="Times New Roman"/>
                <w:sz w:val="18"/>
                <w:szCs w:val="18"/>
              </w:rPr>
              <w:t>-</w:t>
            </w:r>
            <w:r>
              <w:rPr>
                <w:rFonts w:ascii="Times New Roman" w:hAnsi="Times New Roman"/>
                <w:sz w:val="18"/>
                <w:szCs w:val="18"/>
              </w:rPr>
              <w:t>1.0</w:t>
            </w:r>
            <w:r>
              <w:rPr>
                <w:rFonts w:hint="eastAsia" w:ascii="Times New Roman" w:hAnsi="Times New Roman"/>
                <w:sz w:val="18"/>
                <w:szCs w:val="18"/>
              </w:rPr>
              <w:t xml:space="preserve"> </w:t>
            </w:r>
            <w:r>
              <w:rPr>
                <w:rFonts w:ascii="Times New Roman" w:hAnsi="Times New Roman"/>
                <w:sz w:val="18"/>
                <w:szCs w:val="18"/>
              </w:rPr>
              <w:t>m/d</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8"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分维值</w:t>
            </w:r>
            <w:r>
              <w:rPr>
                <w:rFonts w:hint="eastAsia" w:ascii="Times New Roman" w:hAnsi="Times New Roman"/>
                <w:sz w:val="18"/>
                <w:szCs w:val="18"/>
              </w:rPr>
              <w:t>（</w:t>
            </w:r>
            <w:r>
              <w:rPr>
                <w:rFonts w:ascii="Times New Roman" w:hAnsi="Times New Roman"/>
                <w:sz w:val="18"/>
                <w:szCs w:val="18"/>
              </w:rPr>
              <w:t>D</w:t>
            </w:r>
            <w:r>
              <w:rPr>
                <w:rFonts w:hint="eastAsia" w:ascii="Times New Roman" w:hAnsi="Times New Roman"/>
                <w:sz w:val="18"/>
                <w:szCs w:val="18"/>
              </w:rPr>
              <w:t>）</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1</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中长期预报</w:t>
            </w:r>
          </w:p>
        </w:tc>
        <w:tc>
          <w:tcPr>
            <w:tcW w:w="1611" w:type="pct"/>
            <w:shd w:val="clear" w:color="auto" w:fill="auto"/>
            <w:vAlign w:val="center"/>
          </w:tcPr>
          <w:p>
            <w:pPr>
              <w:jc w:val="center"/>
              <w:rPr>
                <w:rFonts w:ascii="Times New Roman" w:hAnsi="Times New Roman"/>
                <w:sz w:val="18"/>
                <w:szCs w:val="18"/>
              </w:rPr>
            </w:pPr>
            <w:r>
              <w:rPr>
                <w:rFonts w:ascii="Times New Roman" w:hAnsi="Times New Roman"/>
                <w:sz w:val="18"/>
                <w:szCs w:val="18"/>
              </w:rPr>
              <w:t>D趋近于1意味着滑坡发生</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13"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双参数判据</w:t>
            </w:r>
          </w:p>
        </w:tc>
        <w:tc>
          <w:tcPr>
            <w:tcW w:w="915" w:type="pct"/>
            <w:shd w:val="clear" w:color="auto" w:fill="auto"/>
            <w:vAlign w:val="center"/>
          </w:tcPr>
          <w:p>
            <w:pPr>
              <w:rPr>
                <w:rFonts w:ascii="Times New Roman" w:hAnsi="Times New Roman"/>
                <w:sz w:val="18"/>
                <w:szCs w:val="18"/>
              </w:rPr>
            </w:pPr>
            <w:r>
              <w:rPr>
                <w:rFonts w:ascii="Times New Roman" w:hAnsi="Times New Roman"/>
                <w:sz w:val="18"/>
                <w:szCs w:val="18"/>
              </w:rPr>
              <w:t>蠕变曲线切线角和位移矢量角</w:t>
            </w:r>
          </w:p>
        </w:tc>
        <w:tc>
          <w:tcPr>
            <w:tcW w:w="1164" w:type="pct"/>
            <w:shd w:val="clear" w:color="auto" w:fill="auto"/>
            <w:vAlign w:val="center"/>
          </w:tcPr>
          <w:p>
            <w:pPr>
              <w:rPr>
                <w:rFonts w:ascii="Times New Roman" w:hAnsi="Times New Roman"/>
                <w:sz w:val="18"/>
                <w:szCs w:val="18"/>
              </w:rPr>
            </w:pPr>
            <w:r>
              <w:rPr>
                <w:rFonts w:ascii="Times New Roman" w:hAnsi="Times New Roman"/>
                <w:sz w:val="18"/>
                <w:szCs w:val="18"/>
              </w:rPr>
              <w:t>α</w:t>
            </w:r>
            <w:r>
              <w:rPr>
                <w:rFonts w:hint="eastAsia" w:ascii="宋体" w:hAnsi="宋体"/>
                <w:sz w:val="18"/>
                <w:szCs w:val="18"/>
              </w:rPr>
              <w:t>≥</w:t>
            </w:r>
            <w:r>
              <w:rPr>
                <w:rFonts w:ascii="Times New Roman" w:hAnsi="Times New Roman"/>
                <w:sz w:val="18"/>
                <w:szCs w:val="18"/>
              </w:rPr>
              <w:t>70° 且位移矢量角突然增大或减小</w:t>
            </w:r>
            <w:r>
              <w:rPr>
                <w:rFonts w:hint="eastAsia" w:ascii="Times New Roman" w:hAnsi="Times New Roman"/>
                <w:sz w:val="18"/>
                <w:szCs w:val="18"/>
              </w:rPr>
              <w:t>。</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临滑预报</w:t>
            </w:r>
          </w:p>
        </w:tc>
        <w:tc>
          <w:tcPr>
            <w:tcW w:w="1611" w:type="pct"/>
            <w:shd w:val="clear" w:color="auto" w:fill="auto"/>
            <w:vAlign w:val="center"/>
          </w:tcPr>
          <w:p>
            <w:pPr>
              <w:rPr>
                <w:rFonts w:ascii="Times New Roman" w:hAnsi="Times New Roman"/>
                <w:sz w:val="18"/>
                <w:szCs w:val="18"/>
              </w:rPr>
            </w:pPr>
            <w:r>
              <w:rPr>
                <w:rFonts w:ascii="Times New Roman" w:hAnsi="Times New Roman"/>
                <w:sz w:val="18"/>
                <w:szCs w:val="18"/>
              </w:rPr>
              <w:t>新滩滑坡变形曲线的切线角为74°，位移矢量角显著变化，锐减至5°</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13" w:type="pct"/>
            <w:vMerge w:val="continue"/>
            <w:shd w:val="clear" w:color="auto" w:fill="auto"/>
            <w:vAlign w:val="center"/>
          </w:tcPr>
          <w:p>
            <w:pPr>
              <w:jc w:val="center"/>
              <w:rPr>
                <w:rFonts w:ascii="Times New Roman" w:hAnsi="Times New Roman"/>
                <w:sz w:val="18"/>
                <w:szCs w:val="18"/>
              </w:rPr>
            </w:pPr>
          </w:p>
        </w:tc>
        <w:tc>
          <w:tcPr>
            <w:tcW w:w="915" w:type="pct"/>
            <w:shd w:val="clear" w:color="auto" w:fill="auto"/>
            <w:vAlign w:val="center"/>
          </w:tcPr>
          <w:p>
            <w:pPr>
              <w:rPr>
                <w:rFonts w:ascii="Times New Roman" w:hAnsi="Times New Roman"/>
                <w:sz w:val="18"/>
                <w:szCs w:val="18"/>
              </w:rPr>
            </w:pPr>
            <w:r>
              <w:rPr>
                <w:rFonts w:ascii="Times New Roman" w:hAnsi="Times New Roman"/>
                <w:sz w:val="18"/>
                <w:szCs w:val="18"/>
              </w:rPr>
              <w:t>位移速率和位移矢量角</w:t>
            </w:r>
          </w:p>
        </w:tc>
        <w:tc>
          <w:tcPr>
            <w:tcW w:w="1164" w:type="pct"/>
            <w:shd w:val="clear" w:color="auto" w:fill="auto"/>
            <w:vAlign w:val="center"/>
          </w:tcPr>
          <w:p>
            <w:pPr>
              <w:rPr>
                <w:rFonts w:ascii="Times New Roman" w:hAnsi="Times New Roman"/>
                <w:sz w:val="18"/>
                <w:szCs w:val="18"/>
              </w:rPr>
            </w:pPr>
            <w:r>
              <w:rPr>
                <w:rFonts w:ascii="Times New Roman" w:hAnsi="Times New Roman"/>
                <w:sz w:val="18"/>
                <w:szCs w:val="18"/>
              </w:rPr>
              <w:t>位移速率不断增大或超过临界值，位移矢量角显著变化</w:t>
            </w:r>
            <w:r>
              <w:rPr>
                <w:rFonts w:hint="eastAsia" w:ascii="Times New Roman" w:hAnsi="Times New Roman"/>
                <w:sz w:val="18"/>
                <w:szCs w:val="18"/>
              </w:rPr>
              <w:t>。</w:t>
            </w:r>
          </w:p>
        </w:tc>
        <w:tc>
          <w:tcPr>
            <w:tcW w:w="997" w:type="pct"/>
            <w:shd w:val="clear" w:color="auto" w:fill="auto"/>
            <w:vAlign w:val="center"/>
          </w:tcPr>
          <w:p>
            <w:pPr>
              <w:jc w:val="center"/>
              <w:rPr>
                <w:rFonts w:ascii="Times New Roman" w:hAnsi="Times New Roman"/>
                <w:sz w:val="18"/>
                <w:szCs w:val="18"/>
              </w:rPr>
            </w:pPr>
            <w:r>
              <w:rPr>
                <w:rFonts w:ascii="Times New Roman" w:hAnsi="Times New Roman"/>
                <w:sz w:val="18"/>
                <w:szCs w:val="18"/>
              </w:rPr>
              <w:t>堆积层滑坡临滑预报</w:t>
            </w:r>
          </w:p>
        </w:tc>
        <w:tc>
          <w:tcPr>
            <w:tcW w:w="1611" w:type="pct"/>
            <w:shd w:val="clear" w:color="auto" w:fill="auto"/>
            <w:vAlign w:val="center"/>
          </w:tcPr>
          <w:p>
            <w:pPr>
              <w:rPr>
                <w:rFonts w:ascii="Times New Roman" w:hAnsi="Times New Roman"/>
                <w:sz w:val="18"/>
                <w:szCs w:val="18"/>
              </w:rPr>
            </w:pPr>
          </w:p>
        </w:tc>
      </w:tr>
    </w:tbl>
    <w:p>
      <w:pPr>
        <w:tabs>
          <w:tab w:val="center" w:pos="4201"/>
          <w:tab w:val="right" w:leader="dot" w:pos="9298"/>
        </w:tabs>
        <w:autoSpaceDE w:val="0"/>
        <w:autoSpaceDN w:val="0"/>
        <w:spacing w:line="360" w:lineRule="auto"/>
        <w:rPr>
          <w:rFonts w:ascii="黑体" w:hAnsi="黑体" w:eastAsia="黑体"/>
          <w:kern w:val="0"/>
          <w:szCs w:val="21"/>
        </w:rPr>
      </w:pPr>
    </w:p>
    <w:p>
      <w:pPr>
        <w:tabs>
          <w:tab w:val="center" w:pos="4201"/>
          <w:tab w:val="right" w:leader="dot" w:pos="9298"/>
        </w:tabs>
        <w:autoSpaceDE w:val="0"/>
        <w:autoSpaceDN w:val="0"/>
        <w:spacing w:line="360" w:lineRule="auto"/>
        <w:rPr>
          <w:rFonts w:ascii="黑体" w:hAnsi="黑体" w:eastAsia="黑体"/>
          <w:kern w:val="0"/>
          <w:szCs w:val="21"/>
        </w:rPr>
        <w:sectPr>
          <w:pgSz w:w="11906" w:h="16838"/>
          <w:pgMar w:top="1418" w:right="1134" w:bottom="1134" w:left="1418" w:header="851" w:footer="992" w:gutter="0"/>
          <w:cols w:space="425" w:num="1"/>
          <w:docGrid w:linePitch="312" w:charSpace="0"/>
        </w:sect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 xml:space="preserve">L-2  </w:t>
      </w:r>
      <w:r>
        <w:rPr>
          <w:rFonts w:ascii="黑体" w:hAnsi="黑体" w:eastAsia="黑体"/>
          <w:kern w:val="0"/>
          <w:szCs w:val="21"/>
        </w:rPr>
        <w:t>新滩滑坡的综合信息预报判据</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2228"/>
        <w:gridCol w:w="2103"/>
        <w:gridCol w:w="2002"/>
        <w:gridCol w:w="2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预报判据</w:t>
            </w:r>
          </w:p>
        </w:tc>
        <w:tc>
          <w:tcPr>
            <w:tcW w:w="1164"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初始变形阶段</w:t>
            </w:r>
          </w:p>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w:t>
            </w:r>
            <w:r>
              <w:rPr>
                <w:rFonts w:ascii="Times New Roman" w:hAnsi="Times New Roman"/>
                <w:kern w:val="0"/>
                <w:sz w:val="18"/>
                <w:szCs w:val="18"/>
              </w:rPr>
              <w:t>1979年8月以前</w:t>
            </w:r>
            <w:r>
              <w:rPr>
                <w:rFonts w:hint="eastAsia" w:ascii="Times New Roman" w:hAnsi="Times New Roman"/>
                <w:kern w:val="0"/>
                <w:sz w:val="18"/>
                <w:szCs w:val="18"/>
              </w:rPr>
              <w:t>）</w:t>
            </w:r>
          </w:p>
        </w:tc>
        <w:tc>
          <w:tcPr>
            <w:tcW w:w="1099"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匀速变形阶段</w:t>
            </w:r>
          </w:p>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w:t>
            </w:r>
            <w:r>
              <w:rPr>
                <w:rFonts w:ascii="Times New Roman" w:hAnsi="Times New Roman"/>
                <w:kern w:val="0"/>
                <w:sz w:val="18"/>
                <w:szCs w:val="18"/>
              </w:rPr>
              <w:t>1979.8-1982.7</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加速变形阶段</w:t>
            </w:r>
          </w:p>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w:t>
            </w:r>
            <w:r>
              <w:rPr>
                <w:rFonts w:ascii="Times New Roman" w:hAnsi="Times New Roman"/>
                <w:kern w:val="0"/>
                <w:sz w:val="18"/>
                <w:szCs w:val="18"/>
              </w:rPr>
              <w:t>1982.7-1985.5上旬</w:t>
            </w:r>
            <w:r>
              <w:rPr>
                <w:rFonts w:hint="eastAsia" w:ascii="Times New Roman" w:hAnsi="Times New Roman"/>
                <w:kern w:val="0"/>
                <w:sz w:val="18"/>
                <w:szCs w:val="18"/>
              </w:rPr>
              <w:t>）</w:t>
            </w:r>
          </w:p>
        </w:tc>
        <w:tc>
          <w:tcPr>
            <w:tcW w:w="1045"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急剧变形阶段</w:t>
            </w:r>
          </w:p>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w:t>
            </w:r>
            <w:r>
              <w:rPr>
                <w:rFonts w:ascii="Times New Roman" w:hAnsi="Times New Roman"/>
                <w:kern w:val="0"/>
                <w:sz w:val="18"/>
                <w:szCs w:val="18"/>
              </w:rPr>
              <w:t>1985.5中旬</w:t>
            </w:r>
            <w:r>
              <w:rPr>
                <w:rFonts w:hint="eastAsia" w:ascii="宋体" w:hAnsi="宋体"/>
                <w:kern w:val="0"/>
                <w:sz w:val="18"/>
                <w:szCs w:val="18"/>
              </w:rPr>
              <w:t>～</w:t>
            </w:r>
            <w:r>
              <w:rPr>
                <w:rFonts w:ascii="Times New Roman" w:hAnsi="Times New Roman"/>
                <w:kern w:val="0"/>
                <w:sz w:val="18"/>
                <w:szCs w:val="18"/>
              </w:rPr>
              <w:t>6.11</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1.</w:t>
            </w:r>
            <w:r>
              <w:rPr>
                <w:rFonts w:ascii="Times New Roman" w:hAnsi="Times New Roman"/>
                <w:kern w:val="0"/>
                <w:sz w:val="18"/>
                <w:szCs w:val="18"/>
              </w:rPr>
              <w:t>裂缝</w:t>
            </w:r>
          </w:p>
        </w:tc>
        <w:tc>
          <w:tcPr>
            <w:tcW w:w="116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主滑区地表局部出现近南北向长大裂缝</w:t>
            </w:r>
            <w:r>
              <w:rPr>
                <w:rFonts w:hint="eastAsia" w:ascii="Times New Roman" w:hAnsi="Times New Roman"/>
                <w:kern w:val="0"/>
                <w:sz w:val="18"/>
                <w:szCs w:val="18"/>
              </w:rPr>
              <w:t>。</w:t>
            </w:r>
          </w:p>
        </w:tc>
        <w:tc>
          <w:tcPr>
            <w:tcW w:w="109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雨季原地表裂缝复活，有新的扩展变形迹象</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滑体后缘及两侧出现羽状张裂缝，并逐渐扩展，趋于连通，呈现整体滑移的边界条件</w:t>
            </w:r>
            <w:r>
              <w:rPr>
                <w:rFonts w:hint="eastAsia" w:ascii="Times New Roman" w:hAnsi="Times New Roman"/>
                <w:kern w:val="0"/>
                <w:sz w:val="18"/>
                <w:szCs w:val="18"/>
              </w:rPr>
              <w:t>。</w:t>
            </w:r>
          </w:p>
        </w:tc>
        <w:tc>
          <w:tcPr>
            <w:tcW w:w="1045"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裂缝形成弧形拉裂圈，并急剧加长、增宽、下沉、新裂缝不断产生</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2.</w:t>
            </w:r>
            <w:r>
              <w:rPr>
                <w:rFonts w:ascii="Times New Roman" w:hAnsi="Times New Roman"/>
                <w:kern w:val="0"/>
                <w:sz w:val="18"/>
                <w:szCs w:val="18"/>
              </w:rPr>
              <w:t>隆起与</w:t>
            </w:r>
          </w:p>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沉陷</w:t>
            </w:r>
          </w:p>
        </w:tc>
        <w:tc>
          <w:tcPr>
            <w:tcW w:w="116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无明显隆起与沉陷现象</w:t>
            </w:r>
            <w:r>
              <w:rPr>
                <w:rFonts w:hint="eastAsia" w:ascii="Times New Roman" w:hAnsi="Times New Roman"/>
                <w:kern w:val="0"/>
                <w:sz w:val="18"/>
                <w:szCs w:val="18"/>
              </w:rPr>
              <w:t>。</w:t>
            </w:r>
          </w:p>
        </w:tc>
        <w:tc>
          <w:tcPr>
            <w:tcW w:w="109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滑体局部有小的隆起与沉陷变形</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滑体后部拉张下沉，前缘坡脚出现隆胀异常</w:t>
            </w:r>
            <w:r>
              <w:rPr>
                <w:rFonts w:hint="eastAsia" w:ascii="Times New Roman" w:hAnsi="Times New Roman"/>
                <w:kern w:val="0"/>
                <w:sz w:val="18"/>
                <w:szCs w:val="18"/>
              </w:rPr>
              <w:t>。</w:t>
            </w:r>
          </w:p>
        </w:tc>
        <w:tc>
          <w:tcPr>
            <w:tcW w:w="1045"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滑体后部急剧下沉，前缘出现鼓包，路面隆起</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3.</w:t>
            </w:r>
            <w:r>
              <w:rPr>
                <w:rFonts w:ascii="Times New Roman" w:hAnsi="Times New Roman"/>
                <w:kern w:val="0"/>
                <w:sz w:val="18"/>
                <w:szCs w:val="18"/>
              </w:rPr>
              <w:t>崩塌</w:t>
            </w:r>
          </w:p>
        </w:tc>
        <w:tc>
          <w:tcPr>
            <w:tcW w:w="116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滑体后缘、西侧上方的危岩体时有小崩塌</w:t>
            </w:r>
            <w:r>
              <w:rPr>
                <w:rFonts w:hint="eastAsia" w:ascii="Times New Roman" w:hAnsi="Times New Roman"/>
                <w:kern w:val="0"/>
                <w:sz w:val="18"/>
                <w:szCs w:val="18"/>
              </w:rPr>
              <w:t>。</w:t>
            </w:r>
          </w:p>
        </w:tc>
        <w:tc>
          <w:tcPr>
            <w:tcW w:w="109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滑体后缘广家崖逐年崩塌加载，方量达160万方，前缘陡坎有小规模崩滑发生</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雨期滑体前缘小规模崩塌现象时有发生</w:t>
            </w:r>
            <w:r>
              <w:rPr>
                <w:rFonts w:hint="eastAsia" w:ascii="Times New Roman" w:hAnsi="Times New Roman"/>
                <w:kern w:val="0"/>
                <w:sz w:val="18"/>
                <w:szCs w:val="18"/>
              </w:rPr>
              <w:t>。</w:t>
            </w:r>
          </w:p>
        </w:tc>
        <w:tc>
          <w:tcPr>
            <w:tcW w:w="1045"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滑体后部大幅度沉陷，前缘崩滑日夜不断，频次渐高，规模渐大</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4.</w:t>
            </w:r>
            <w:r>
              <w:rPr>
                <w:rFonts w:ascii="Times New Roman" w:hAnsi="Times New Roman"/>
                <w:kern w:val="0"/>
                <w:sz w:val="18"/>
                <w:szCs w:val="18"/>
              </w:rPr>
              <w:t>变形量</w:t>
            </w:r>
          </w:p>
        </w:tc>
        <w:tc>
          <w:tcPr>
            <w:tcW w:w="116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变形微弱，月变形率＜10</w:t>
            </w:r>
            <w:r>
              <w:rPr>
                <w:rFonts w:hint="eastAsia" w:ascii="Times New Roman" w:hAnsi="Times New Roman"/>
                <w:kern w:val="0"/>
                <w:sz w:val="18"/>
                <w:szCs w:val="18"/>
              </w:rPr>
              <w:t xml:space="preserve"> </w:t>
            </w:r>
            <w:r>
              <w:rPr>
                <w:rFonts w:ascii="Times New Roman" w:hAnsi="Times New Roman"/>
                <w:kern w:val="0"/>
                <w:sz w:val="18"/>
                <w:szCs w:val="18"/>
              </w:rPr>
              <w:t>mm，坡体呈现向下蠕动趋势</w:t>
            </w:r>
            <w:r>
              <w:rPr>
                <w:rFonts w:hint="eastAsia" w:ascii="Times New Roman" w:hAnsi="Times New Roman"/>
                <w:kern w:val="0"/>
                <w:sz w:val="18"/>
                <w:szCs w:val="18"/>
              </w:rPr>
              <w:t>。</w:t>
            </w:r>
          </w:p>
        </w:tc>
        <w:tc>
          <w:tcPr>
            <w:tcW w:w="109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变形量逐渐增大，月变形速率为10</w:t>
            </w:r>
            <w:r>
              <w:rPr>
                <w:rFonts w:hint="eastAsia" w:ascii="Times New Roman" w:hAnsi="Times New Roman"/>
                <w:kern w:val="0"/>
                <w:sz w:val="18"/>
                <w:szCs w:val="18"/>
              </w:rPr>
              <w:t>-</w:t>
            </w:r>
            <w:r>
              <w:rPr>
                <w:rFonts w:ascii="Times New Roman" w:hAnsi="Times New Roman"/>
                <w:kern w:val="0"/>
                <w:sz w:val="18"/>
                <w:szCs w:val="18"/>
              </w:rPr>
              <w:t>50</w:t>
            </w:r>
            <w:r>
              <w:rPr>
                <w:rFonts w:hint="eastAsia" w:ascii="Times New Roman" w:hAnsi="Times New Roman"/>
                <w:kern w:val="0"/>
                <w:sz w:val="18"/>
                <w:szCs w:val="18"/>
              </w:rPr>
              <w:t xml:space="preserve"> </w:t>
            </w:r>
            <w:r>
              <w:rPr>
                <w:rFonts w:ascii="Times New Roman" w:hAnsi="Times New Roman"/>
                <w:kern w:val="0"/>
                <w:sz w:val="18"/>
                <w:szCs w:val="18"/>
              </w:rPr>
              <w:t>mm，近似匀速运动</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变形量显著增大，月变形速率为50</w:t>
            </w:r>
            <w:r>
              <w:rPr>
                <w:rFonts w:hint="eastAsia" w:ascii="Times New Roman" w:hAnsi="Times New Roman"/>
                <w:kern w:val="0"/>
                <w:sz w:val="18"/>
                <w:szCs w:val="18"/>
              </w:rPr>
              <w:t>-</w:t>
            </w:r>
            <w:r>
              <w:rPr>
                <w:rFonts w:ascii="Times New Roman" w:hAnsi="Times New Roman"/>
                <w:kern w:val="0"/>
                <w:sz w:val="18"/>
                <w:szCs w:val="18"/>
              </w:rPr>
              <w:t>100</w:t>
            </w:r>
            <w:r>
              <w:rPr>
                <w:rFonts w:hint="eastAsia" w:ascii="Times New Roman" w:hAnsi="Times New Roman"/>
                <w:kern w:val="0"/>
                <w:sz w:val="18"/>
                <w:szCs w:val="18"/>
              </w:rPr>
              <w:t xml:space="preserve"> </w:t>
            </w:r>
            <w:r>
              <w:rPr>
                <w:rFonts w:ascii="Times New Roman" w:hAnsi="Times New Roman"/>
                <w:kern w:val="0"/>
                <w:sz w:val="18"/>
                <w:szCs w:val="18"/>
              </w:rPr>
              <w:t>mm，蠕变曲线变化呈不可逆的增长现象。位移矢量角发生显著变化</w:t>
            </w:r>
            <w:r>
              <w:rPr>
                <w:rFonts w:hint="eastAsia" w:ascii="Times New Roman" w:hAnsi="Times New Roman"/>
                <w:kern w:val="0"/>
                <w:sz w:val="18"/>
                <w:szCs w:val="18"/>
              </w:rPr>
              <w:t>。</w:t>
            </w:r>
          </w:p>
        </w:tc>
        <w:tc>
          <w:tcPr>
            <w:tcW w:w="1045"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变形量急剧增大，位移处于峰值，月变形速率＞100</w:t>
            </w:r>
            <w:r>
              <w:rPr>
                <w:rFonts w:hint="eastAsia" w:ascii="Times New Roman" w:hAnsi="Times New Roman"/>
                <w:kern w:val="0"/>
                <w:sz w:val="18"/>
                <w:szCs w:val="18"/>
              </w:rPr>
              <w:t xml:space="preserve"> </w:t>
            </w:r>
            <w:r>
              <w:rPr>
                <w:rFonts w:ascii="Times New Roman" w:hAnsi="Times New Roman"/>
                <w:kern w:val="0"/>
                <w:sz w:val="18"/>
                <w:szCs w:val="18"/>
              </w:rPr>
              <w:t>mm或更大，蠕变曲线出现拐点，斜率变化突增变陡，切线角趋于90°</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5.</w:t>
            </w:r>
            <w:r>
              <w:rPr>
                <w:rFonts w:ascii="Times New Roman" w:hAnsi="Times New Roman"/>
                <w:kern w:val="0"/>
                <w:sz w:val="18"/>
                <w:szCs w:val="18"/>
              </w:rPr>
              <w:t>变形量与降雨关系</w:t>
            </w:r>
          </w:p>
        </w:tc>
        <w:tc>
          <w:tcPr>
            <w:tcW w:w="116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变形量与降雨关系不明显</w:t>
            </w:r>
            <w:r>
              <w:rPr>
                <w:rFonts w:hint="eastAsia" w:ascii="Times New Roman" w:hAnsi="Times New Roman"/>
                <w:kern w:val="0"/>
                <w:sz w:val="18"/>
                <w:szCs w:val="18"/>
              </w:rPr>
              <w:t>。</w:t>
            </w:r>
          </w:p>
        </w:tc>
        <w:tc>
          <w:tcPr>
            <w:tcW w:w="109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当月降雨量＞200</w:t>
            </w:r>
            <w:r>
              <w:rPr>
                <w:rFonts w:hint="eastAsia" w:ascii="Times New Roman" w:hAnsi="Times New Roman"/>
                <w:kern w:val="0"/>
                <w:sz w:val="18"/>
                <w:szCs w:val="18"/>
              </w:rPr>
              <w:t xml:space="preserve"> </w:t>
            </w:r>
            <w:r>
              <w:rPr>
                <w:rFonts w:ascii="Times New Roman" w:hAnsi="Times New Roman"/>
                <w:kern w:val="0"/>
                <w:sz w:val="18"/>
                <w:szCs w:val="18"/>
              </w:rPr>
              <w:t>mm时，变形出现突变，且有滞后现象</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当月降雨量＜200</w:t>
            </w:r>
            <w:r>
              <w:rPr>
                <w:rFonts w:hint="eastAsia" w:ascii="Times New Roman" w:hAnsi="Times New Roman"/>
                <w:kern w:val="0"/>
                <w:sz w:val="18"/>
                <w:szCs w:val="18"/>
              </w:rPr>
              <w:t xml:space="preserve"> </w:t>
            </w:r>
            <w:r>
              <w:rPr>
                <w:rFonts w:ascii="Times New Roman" w:hAnsi="Times New Roman"/>
                <w:kern w:val="0"/>
                <w:sz w:val="18"/>
                <w:szCs w:val="18"/>
              </w:rPr>
              <w:t>mm时，变形仍出现突变，且滞后期缩短</w:t>
            </w:r>
            <w:r>
              <w:rPr>
                <w:rFonts w:hint="eastAsia" w:ascii="Times New Roman" w:hAnsi="Times New Roman"/>
                <w:kern w:val="0"/>
                <w:sz w:val="18"/>
                <w:szCs w:val="18"/>
              </w:rPr>
              <w:t>。</w:t>
            </w:r>
          </w:p>
        </w:tc>
        <w:tc>
          <w:tcPr>
            <w:tcW w:w="1045"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变形与降雨近于同步</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6.</w:t>
            </w:r>
            <w:r>
              <w:rPr>
                <w:rFonts w:ascii="Times New Roman" w:hAnsi="Times New Roman"/>
                <w:kern w:val="0"/>
                <w:sz w:val="18"/>
                <w:szCs w:val="18"/>
              </w:rPr>
              <w:t>地下水</w:t>
            </w:r>
          </w:p>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动态</w:t>
            </w:r>
          </w:p>
        </w:tc>
        <w:tc>
          <w:tcPr>
            <w:tcW w:w="116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滑体内地下水无明显异常变化</w:t>
            </w:r>
            <w:r>
              <w:rPr>
                <w:rFonts w:hint="eastAsia" w:ascii="Times New Roman" w:hAnsi="Times New Roman"/>
                <w:kern w:val="0"/>
                <w:sz w:val="18"/>
                <w:szCs w:val="18"/>
              </w:rPr>
              <w:t>。</w:t>
            </w:r>
          </w:p>
        </w:tc>
        <w:tc>
          <w:tcPr>
            <w:tcW w:w="109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滑体内地下水较正常值高，泉水流量增大或减小</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滑体内地下水位维持高水位，泉水冒砂变浑，流量大幅度增大或减小，主滑区坡脚泉水干枯</w:t>
            </w:r>
            <w:r>
              <w:rPr>
                <w:rFonts w:hint="eastAsia" w:ascii="Times New Roman" w:hAnsi="Times New Roman"/>
                <w:kern w:val="0"/>
                <w:sz w:val="18"/>
                <w:szCs w:val="18"/>
              </w:rPr>
              <w:t>。</w:t>
            </w:r>
          </w:p>
        </w:tc>
        <w:tc>
          <w:tcPr>
            <w:tcW w:w="1045"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滑体剪出口附近水位升降异常，湿地面积突然增大，剪破日甚一日，率先发生70万方滑坡</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7.</w:t>
            </w:r>
            <w:r>
              <w:rPr>
                <w:rFonts w:ascii="Times New Roman" w:hAnsi="Times New Roman"/>
                <w:kern w:val="0"/>
                <w:sz w:val="18"/>
                <w:szCs w:val="18"/>
              </w:rPr>
              <w:t>其它</w:t>
            </w:r>
          </w:p>
        </w:tc>
        <w:tc>
          <w:tcPr>
            <w:tcW w:w="1164"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滑体后缘广家崖和西侧黄岩逐年崩塌加载堆积，促使斜坡开始蠕动变形</w:t>
            </w:r>
            <w:r>
              <w:rPr>
                <w:rFonts w:hint="eastAsia" w:ascii="Times New Roman" w:hAnsi="Times New Roman"/>
                <w:kern w:val="0"/>
                <w:sz w:val="18"/>
                <w:szCs w:val="18"/>
              </w:rPr>
              <w:t>。</w:t>
            </w:r>
          </w:p>
        </w:tc>
        <w:tc>
          <w:tcPr>
            <w:tcW w:w="109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1982年3至5月，主滑区姜家坡陡岩坍塌3万方土石</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主滑区坡体上树木南倾，前缘率先出现崩滑体，伴有小崩、小滑产生</w:t>
            </w:r>
            <w:r>
              <w:rPr>
                <w:rFonts w:hint="eastAsia" w:ascii="Times New Roman" w:hAnsi="Times New Roman"/>
                <w:kern w:val="0"/>
                <w:sz w:val="18"/>
                <w:szCs w:val="18"/>
              </w:rPr>
              <w:t>。</w:t>
            </w:r>
          </w:p>
        </w:tc>
        <w:tc>
          <w:tcPr>
            <w:tcW w:w="1045"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出现地微动、地声、地热及经纬仪气泡整置不平等异常</w:t>
            </w:r>
            <w:r>
              <w:rPr>
                <w:rFonts w:hint="eastAsia" w:ascii="Times New Roman" w:hAnsi="Times New Roman"/>
                <w:kern w:val="0"/>
                <w:sz w:val="18"/>
                <w:szCs w:val="18"/>
              </w:rPr>
              <w:t>。</w:t>
            </w:r>
          </w:p>
        </w:tc>
      </w:tr>
    </w:tbl>
    <w:p>
      <w:pPr>
        <w:tabs>
          <w:tab w:val="center" w:pos="4201"/>
          <w:tab w:val="right" w:leader="dot" w:pos="9298"/>
        </w:tabs>
        <w:autoSpaceDE w:val="0"/>
        <w:autoSpaceDN w:val="0"/>
        <w:spacing w:line="360" w:lineRule="auto"/>
        <w:rPr>
          <w:rFonts w:ascii="黑体" w:hAnsi="黑体" w:eastAsia="黑体"/>
          <w:kern w:val="0"/>
          <w:szCs w:val="21"/>
        </w:rPr>
      </w:pPr>
    </w:p>
    <w:p>
      <w:pPr>
        <w:tabs>
          <w:tab w:val="center" w:pos="4201"/>
          <w:tab w:val="right" w:leader="dot" w:pos="9298"/>
        </w:tabs>
        <w:autoSpaceDE w:val="0"/>
        <w:autoSpaceDN w:val="0"/>
        <w:spacing w:line="360" w:lineRule="auto"/>
        <w:rPr>
          <w:rFonts w:ascii="黑体" w:hAnsi="黑体" w:eastAsia="黑体"/>
          <w:kern w:val="0"/>
          <w:szCs w:val="21"/>
        </w:rPr>
        <w:sectPr>
          <w:pgSz w:w="11906" w:h="16838"/>
          <w:pgMar w:top="1418" w:right="1134" w:bottom="1134" w:left="1418" w:header="851" w:footer="992" w:gutter="0"/>
          <w:cols w:space="425" w:num="1"/>
          <w:docGrid w:linePitch="312" w:charSpace="0"/>
        </w:sect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 xml:space="preserve">L-3  </w:t>
      </w:r>
      <w:r>
        <w:rPr>
          <w:rFonts w:ascii="黑体" w:hAnsi="黑体" w:eastAsia="黑体"/>
          <w:kern w:val="0"/>
          <w:szCs w:val="21"/>
        </w:rPr>
        <w:t>臬兰山滑坡综合信息预报判据</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4"/>
        <w:gridCol w:w="2002"/>
        <w:gridCol w:w="2002"/>
        <w:gridCol w:w="2002"/>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预报判据</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初始变形阶段</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匀速变形阶段</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加速变形阶段</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急剧变形阶段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1.</w:t>
            </w:r>
            <w:r>
              <w:rPr>
                <w:rFonts w:ascii="Times New Roman" w:hAnsi="Times New Roman"/>
                <w:kern w:val="0"/>
                <w:sz w:val="18"/>
                <w:szCs w:val="18"/>
              </w:rPr>
              <w:t>滑坡地貌</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滑坡地表变形迹象不明显</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滑体局部有小的隆起和沉陷变形</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滑坡体后缘下沉，前缘隆起明显</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滑体前缘隆起地貌解体，后缘滑体急剧下沉前移</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2.</w:t>
            </w:r>
            <w:r>
              <w:rPr>
                <w:rFonts w:ascii="Times New Roman" w:hAnsi="Times New Roman"/>
                <w:kern w:val="0"/>
                <w:sz w:val="18"/>
                <w:szCs w:val="18"/>
              </w:rPr>
              <w:t>崩塌活动</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滑体局部有零星小崩塌活动</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滑体前缘有较多小崩塌产生</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滑体前缘崩塌活动频繁和局部产生蠕滑现象</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滑体前缘的崩滑活动频率急剧加快，崩滑规模变大</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3.</w:t>
            </w:r>
            <w:r>
              <w:rPr>
                <w:rFonts w:ascii="Times New Roman" w:hAnsi="Times New Roman"/>
                <w:kern w:val="0"/>
                <w:sz w:val="18"/>
                <w:szCs w:val="18"/>
              </w:rPr>
              <w:t>地表位移</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滑坡地表位移月变形量小于10</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滑坡位移量急剧增大，月变形量在10</w:t>
            </w:r>
            <w:r>
              <w:rPr>
                <w:rFonts w:hint="eastAsia" w:ascii="Times New Roman" w:hAnsi="Times New Roman"/>
                <w:kern w:val="0"/>
                <w:sz w:val="18"/>
                <w:szCs w:val="18"/>
              </w:rPr>
              <w:t>-</w:t>
            </w:r>
            <w:r>
              <w:rPr>
                <w:rFonts w:ascii="Times New Roman" w:hAnsi="Times New Roman"/>
                <w:kern w:val="0"/>
                <w:sz w:val="18"/>
                <w:szCs w:val="18"/>
              </w:rPr>
              <w:t>50</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滑坡位移量显著增大，月变形量达50</w:t>
            </w:r>
            <w:r>
              <w:rPr>
                <w:rFonts w:hint="eastAsia" w:ascii="Times New Roman" w:hAnsi="Times New Roman"/>
                <w:kern w:val="0"/>
                <w:sz w:val="18"/>
                <w:szCs w:val="18"/>
              </w:rPr>
              <w:t>-</w:t>
            </w:r>
            <w:r>
              <w:rPr>
                <w:rFonts w:ascii="Times New Roman" w:hAnsi="Times New Roman"/>
                <w:kern w:val="0"/>
                <w:sz w:val="18"/>
                <w:szCs w:val="18"/>
              </w:rPr>
              <w:t>200</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滑坡位移量急剧增大，日变形量临界值为</w:t>
            </w:r>
          </w:p>
          <w:p>
            <w:pPr>
              <w:autoSpaceDE w:val="0"/>
              <w:autoSpaceDN w:val="0"/>
              <w:adjustRightInd w:val="0"/>
              <w:rPr>
                <w:rFonts w:ascii="Times New Roman" w:hAnsi="Times New Roman"/>
                <w:kern w:val="0"/>
                <w:sz w:val="18"/>
                <w:szCs w:val="18"/>
              </w:rPr>
            </w:pPr>
            <w:r>
              <w:rPr>
                <w:rFonts w:ascii="Times New Roman" w:hAnsi="Times New Roman"/>
                <w:kern w:val="0"/>
                <w:sz w:val="18"/>
                <w:szCs w:val="18"/>
              </w:rPr>
              <w:t>10</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4.</w:t>
            </w:r>
            <w:r>
              <w:rPr>
                <w:rFonts w:ascii="Times New Roman" w:hAnsi="Times New Roman"/>
                <w:kern w:val="0"/>
                <w:sz w:val="18"/>
                <w:szCs w:val="18"/>
              </w:rPr>
              <w:t>深部位移</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滑坡深部位移月变形量小于5</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滑坡深部位移月变形量小于5</w:t>
            </w:r>
            <w:r>
              <w:rPr>
                <w:rFonts w:hint="eastAsia" w:ascii="Times New Roman" w:hAnsi="Times New Roman"/>
                <w:kern w:val="0"/>
                <w:sz w:val="18"/>
                <w:szCs w:val="18"/>
              </w:rPr>
              <w:t>-</w:t>
            </w:r>
            <w:r>
              <w:rPr>
                <w:rFonts w:ascii="Times New Roman" w:hAnsi="Times New Roman"/>
                <w:kern w:val="0"/>
                <w:sz w:val="18"/>
                <w:szCs w:val="18"/>
              </w:rPr>
              <w:t>10</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滑坡深部位移月变形量小于10</w:t>
            </w:r>
            <w:r>
              <w:rPr>
                <w:rFonts w:hint="eastAsia" w:ascii="Times New Roman" w:hAnsi="Times New Roman"/>
                <w:kern w:val="0"/>
                <w:sz w:val="18"/>
                <w:szCs w:val="18"/>
              </w:rPr>
              <w:t>-</w:t>
            </w:r>
            <w:r>
              <w:rPr>
                <w:rFonts w:ascii="Times New Roman" w:hAnsi="Times New Roman"/>
                <w:kern w:val="0"/>
                <w:sz w:val="18"/>
                <w:szCs w:val="18"/>
              </w:rPr>
              <w:t>60</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滑坡深部位移临界日变形量为5</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5.</w:t>
            </w:r>
            <w:r>
              <w:rPr>
                <w:rFonts w:ascii="Times New Roman" w:hAnsi="Times New Roman"/>
                <w:kern w:val="0"/>
                <w:sz w:val="18"/>
                <w:szCs w:val="18"/>
              </w:rPr>
              <w:t>滑坡裂缝</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滑坡体后部或局部出现规模不大的裂缝，裂缝月变形量小于5</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滑坡体后部或两侧有裂缝形成，裂缝月变形量5</w:t>
            </w:r>
            <w:r>
              <w:rPr>
                <w:rFonts w:hint="eastAsia" w:ascii="Times New Roman" w:hAnsi="Times New Roman"/>
                <w:kern w:val="0"/>
                <w:sz w:val="18"/>
                <w:szCs w:val="18"/>
              </w:rPr>
              <w:t>-</w:t>
            </w:r>
            <w:r>
              <w:rPr>
                <w:rFonts w:ascii="Times New Roman" w:hAnsi="Times New Roman"/>
                <w:kern w:val="0"/>
                <w:sz w:val="18"/>
                <w:szCs w:val="18"/>
              </w:rPr>
              <w:t>15</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滑坡体后部有主裂缝形成，裂缝月变形量15</w:t>
            </w:r>
            <w:r>
              <w:rPr>
                <w:rFonts w:hint="eastAsia" w:ascii="Times New Roman" w:hAnsi="Times New Roman"/>
                <w:kern w:val="0"/>
                <w:sz w:val="18"/>
                <w:szCs w:val="18"/>
              </w:rPr>
              <w:t>-</w:t>
            </w:r>
            <w:r>
              <w:rPr>
                <w:rFonts w:ascii="Times New Roman" w:hAnsi="Times New Roman"/>
                <w:kern w:val="0"/>
                <w:sz w:val="18"/>
                <w:szCs w:val="18"/>
              </w:rPr>
              <w:t>150</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裂缝日变形量临界值为10</w:t>
            </w:r>
            <w:r>
              <w:rPr>
                <w:rFonts w:hint="eastAsia" w:ascii="Times New Roman" w:hAnsi="Times New Roman"/>
                <w:kern w:val="0"/>
                <w:sz w:val="18"/>
                <w:szCs w:val="18"/>
              </w:rPr>
              <w:t>-</w:t>
            </w:r>
            <w:r>
              <w:rPr>
                <w:rFonts w:ascii="Times New Roman" w:hAnsi="Times New Roman"/>
                <w:kern w:val="0"/>
                <w:sz w:val="18"/>
                <w:szCs w:val="18"/>
              </w:rPr>
              <w:t>15</w:t>
            </w:r>
            <w:r>
              <w:rPr>
                <w:rFonts w:hint="eastAsia" w:ascii="Times New Roman" w:hAnsi="Times New Roman"/>
                <w:kern w:val="0"/>
                <w:sz w:val="18"/>
                <w:szCs w:val="18"/>
              </w:rPr>
              <w:t xml:space="preserve"> </w:t>
            </w:r>
            <w:r>
              <w:rPr>
                <w:rFonts w:ascii="Times New Roman" w:hAnsi="Times New Roman"/>
                <w:kern w:val="0"/>
                <w:sz w:val="18"/>
                <w:szCs w:val="18"/>
              </w:rPr>
              <w:t>mm，临界裂缝宽度70</w:t>
            </w:r>
            <w:r>
              <w:rPr>
                <w:rFonts w:hint="eastAsia" w:ascii="Times New Roman" w:hAnsi="Times New Roman"/>
                <w:kern w:val="0"/>
                <w:sz w:val="18"/>
                <w:szCs w:val="18"/>
              </w:rPr>
              <w:t>-</w:t>
            </w:r>
            <w:r>
              <w:rPr>
                <w:rFonts w:ascii="Times New Roman" w:hAnsi="Times New Roman"/>
                <w:kern w:val="0"/>
                <w:sz w:val="18"/>
                <w:szCs w:val="18"/>
              </w:rPr>
              <w:t>126</w:t>
            </w:r>
            <w:r>
              <w:rPr>
                <w:rFonts w:hint="eastAsia" w:ascii="Times New Roman" w:hAnsi="Times New Roman"/>
                <w:kern w:val="0"/>
                <w:sz w:val="18"/>
                <w:szCs w:val="18"/>
              </w:rPr>
              <w:t xml:space="preserve"> </w:t>
            </w:r>
            <w:r>
              <w:rPr>
                <w:rFonts w:ascii="Times New Roman" w:hAnsi="Times New Roman"/>
                <w:kern w:val="0"/>
                <w:sz w:val="18"/>
                <w:szCs w:val="18"/>
              </w:rPr>
              <w:t>cm</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jc w:val="center"/>
              <w:rPr>
                <w:rFonts w:ascii="Times New Roman" w:hAnsi="Times New Roman"/>
                <w:position w:val="-8"/>
                <w:szCs w:val="21"/>
              </w:rPr>
            </w:pPr>
            <w:r>
              <w:rPr>
                <w:rFonts w:hint="eastAsia" w:ascii="Times New Roman" w:hAnsi="Times New Roman"/>
                <w:sz w:val="18"/>
                <w:szCs w:val="18"/>
              </w:rPr>
              <w:t>6.</w:t>
            </w:r>
            <w:r>
              <w:rPr>
                <w:rFonts w:ascii="Times New Roman" w:hAnsi="Times New Roman"/>
                <w:sz w:val="18"/>
                <w:szCs w:val="18"/>
              </w:rPr>
              <w:t>灌溉水量</w:t>
            </w:r>
          </w:p>
        </w:tc>
        <w:tc>
          <w:tcPr>
            <w:tcW w:w="1046" w:type="pct"/>
            <w:shd w:val="clear" w:color="auto" w:fill="auto"/>
            <w:vAlign w:val="center"/>
          </w:tcPr>
          <w:p>
            <w:pPr>
              <w:rPr>
                <w:rFonts w:ascii="Times New Roman" w:hAnsi="Times New Roman"/>
                <w:position w:val="-8"/>
                <w:szCs w:val="21"/>
              </w:rPr>
            </w:pPr>
          </w:p>
        </w:tc>
        <w:tc>
          <w:tcPr>
            <w:tcW w:w="1046" w:type="pct"/>
            <w:shd w:val="clear" w:color="auto" w:fill="auto"/>
            <w:vAlign w:val="center"/>
          </w:tcPr>
          <w:p>
            <w:pPr>
              <w:rPr>
                <w:rFonts w:ascii="Times New Roman" w:hAnsi="Times New Roman"/>
                <w:position w:val="-8"/>
                <w:szCs w:val="21"/>
              </w:rPr>
            </w:pP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滑坡灌溉水量大于10</w:t>
            </w:r>
            <w:r>
              <w:rPr>
                <w:rFonts w:hint="eastAsia" w:ascii="Times New Roman" w:hAnsi="Times New Roman"/>
                <w:kern w:val="0"/>
                <w:sz w:val="18"/>
                <w:szCs w:val="18"/>
              </w:rPr>
              <w:t>-</w:t>
            </w:r>
            <w:r>
              <w:rPr>
                <w:rFonts w:ascii="Times New Roman" w:hAnsi="Times New Roman"/>
                <w:kern w:val="0"/>
                <w:sz w:val="18"/>
                <w:szCs w:val="18"/>
              </w:rPr>
              <w:t>20</w:t>
            </w:r>
            <w:r>
              <w:rPr>
                <w:rFonts w:hint="eastAsia" w:ascii="Times New Roman" w:hAnsi="Times New Roman"/>
                <w:kern w:val="0"/>
                <w:sz w:val="18"/>
                <w:szCs w:val="18"/>
              </w:rPr>
              <w:t xml:space="preserve"> </w:t>
            </w:r>
            <w:r>
              <w:rPr>
                <w:rFonts w:ascii="Times New Roman" w:hAnsi="Times New Roman"/>
                <w:kern w:val="0"/>
                <w:sz w:val="18"/>
                <w:szCs w:val="18"/>
              </w:rPr>
              <w:t>m</w:t>
            </w:r>
            <w:r>
              <w:rPr>
                <w:rFonts w:ascii="Times New Roman" w:hAnsi="Times New Roman"/>
                <w:kern w:val="0"/>
                <w:sz w:val="12"/>
                <w:szCs w:val="12"/>
                <w:vertAlign w:val="superscript"/>
              </w:rPr>
              <w:t>3</w:t>
            </w:r>
            <w:r>
              <w:rPr>
                <w:rFonts w:ascii="Times New Roman" w:hAnsi="Times New Roman"/>
                <w:kern w:val="0"/>
                <w:sz w:val="18"/>
                <w:szCs w:val="18"/>
              </w:rPr>
              <w:t>/亩·小时，位移变形随灌溉量增加而上升</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位移变形与降雨及灌溉过程同步，灌溉水量超过25m</w:t>
            </w:r>
            <w:r>
              <w:rPr>
                <w:rFonts w:ascii="Times New Roman" w:hAnsi="Times New Roman"/>
                <w:kern w:val="0"/>
                <w:sz w:val="12"/>
                <w:szCs w:val="12"/>
                <w:vertAlign w:val="superscript"/>
              </w:rPr>
              <w:t>3</w:t>
            </w:r>
            <w:r>
              <w:rPr>
                <w:rFonts w:ascii="Times New Roman" w:hAnsi="Times New Roman"/>
                <w:kern w:val="0"/>
                <w:sz w:val="18"/>
                <w:szCs w:val="18"/>
              </w:rPr>
              <w:t>/亩·小时</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jc w:val="center"/>
              <w:rPr>
                <w:rFonts w:ascii="Times New Roman" w:hAnsi="Times New Roman"/>
                <w:position w:val="-8"/>
                <w:szCs w:val="21"/>
              </w:rPr>
            </w:pPr>
            <w:r>
              <w:rPr>
                <w:rFonts w:hint="eastAsia" w:ascii="Times New Roman" w:hAnsi="Times New Roman"/>
                <w:sz w:val="18"/>
                <w:szCs w:val="18"/>
              </w:rPr>
              <w:t>7.</w:t>
            </w:r>
            <w:r>
              <w:rPr>
                <w:rFonts w:ascii="Times New Roman" w:hAnsi="Times New Roman"/>
                <w:sz w:val="18"/>
                <w:szCs w:val="18"/>
              </w:rPr>
              <w:t>地震活动</w:t>
            </w:r>
          </w:p>
        </w:tc>
        <w:tc>
          <w:tcPr>
            <w:tcW w:w="1046" w:type="pct"/>
            <w:shd w:val="clear" w:color="auto" w:fill="auto"/>
            <w:vAlign w:val="center"/>
          </w:tcPr>
          <w:p>
            <w:pPr>
              <w:rPr>
                <w:rFonts w:ascii="Times New Roman" w:hAnsi="Times New Roman"/>
                <w:position w:val="-8"/>
                <w:szCs w:val="21"/>
              </w:rPr>
            </w:pP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M</w:t>
            </w:r>
            <w:r>
              <w:rPr>
                <w:rFonts w:ascii="Times New Roman" w:hAnsi="Times New Roman"/>
                <w:kern w:val="0"/>
                <w:sz w:val="12"/>
                <w:szCs w:val="12"/>
              </w:rPr>
              <w:t xml:space="preserve">S </w:t>
            </w:r>
            <w:r>
              <w:rPr>
                <w:rFonts w:ascii="Times New Roman" w:hAnsi="Times New Roman"/>
                <w:kern w:val="0"/>
                <w:sz w:val="18"/>
                <w:szCs w:val="18"/>
              </w:rPr>
              <w:t>=4</w:t>
            </w:r>
            <w:r>
              <w:rPr>
                <w:rFonts w:hint="eastAsia" w:ascii="Times New Roman" w:hAnsi="Times New Roman"/>
                <w:kern w:val="0"/>
                <w:sz w:val="18"/>
                <w:szCs w:val="18"/>
              </w:rPr>
              <w:t>-</w:t>
            </w:r>
            <w:r>
              <w:rPr>
                <w:rFonts w:ascii="Times New Roman" w:hAnsi="Times New Roman"/>
                <w:kern w:val="0"/>
                <w:sz w:val="18"/>
                <w:szCs w:val="18"/>
              </w:rPr>
              <w:t>5</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M</w:t>
            </w:r>
            <w:r>
              <w:rPr>
                <w:rFonts w:ascii="Times New Roman" w:hAnsi="Times New Roman"/>
                <w:kern w:val="0"/>
                <w:sz w:val="12"/>
                <w:szCs w:val="12"/>
              </w:rPr>
              <w:t>S</w:t>
            </w:r>
            <w:r>
              <w:rPr>
                <w:rFonts w:ascii="Times New Roman" w:hAnsi="Times New Roman" w:eastAsiaTheme="minorEastAsia"/>
                <w:sz w:val="18"/>
                <w:szCs w:val="18"/>
              </w:rPr>
              <w:t>＞</w:t>
            </w:r>
            <w:r>
              <w:rPr>
                <w:rFonts w:ascii="Times New Roman" w:hAnsi="Times New Roman"/>
                <w:kern w:val="0"/>
                <w:sz w:val="18"/>
                <w:szCs w:val="18"/>
              </w:rPr>
              <w:t>5</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M</w:t>
            </w:r>
            <w:r>
              <w:rPr>
                <w:rFonts w:ascii="Times New Roman" w:hAnsi="Times New Roman"/>
                <w:kern w:val="0"/>
                <w:sz w:val="12"/>
                <w:szCs w:val="12"/>
              </w:rPr>
              <w:t>S</w:t>
            </w:r>
            <w:r>
              <w:rPr>
                <w:rFonts w:ascii="Times New Roman" w:hAnsi="Times New Roman" w:eastAsiaTheme="minorEastAsia"/>
                <w:sz w:val="18"/>
                <w:szCs w:val="18"/>
              </w:rPr>
              <w:t>＞</w:t>
            </w:r>
            <w:r>
              <w:rPr>
                <w:rFonts w:ascii="Times New Roman" w:hAnsi="Times New Roman"/>
                <w:kern w:val="0"/>
                <w:sz w:val="18"/>
                <w:szCs w:val="18"/>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8.</w:t>
            </w:r>
            <w:r>
              <w:rPr>
                <w:rFonts w:ascii="Times New Roman" w:hAnsi="Times New Roman"/>
                <w:kern w:val="0"/>
                <w:sz w:val="18"/>
                <w:szCs w:val="18"/>
              </w:rPr>
              <w:t>降雨量</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滑坡位移变形与降雨量关系不大</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累积月降雨量大于140</w:t>
            </w:r>
            <w:r>
              <w:rPr>
                <w:rFonts w:hint="eastAsia" w:ascii="Times New Roman" w:hAnsi="Times New Roman"/>
                <w:kern w:val="0"/>
                <w:sz w:val="18"/>
                <w:szCs w:val="18"/>
              </w:rPr>
              <w:t xml:space="preserve"> </w:t>
            </w:r>
            <w:r>
              <w:rPr>
                <w:rFonts w:ascii="Times New Roman" w:hAnsi="Times New Roman"/>
                <w:kern w:val="0"/>
                <w:sz w:val="18"/>
                <w:szCs w:val="18"/>
              </w:rPr>
              <w:t>mm，滑坡变形明显增加，随降雨滞后现象明显</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正常降雨状态下，滑坡变形量也呈快速上升趋势，且位移滞后期缩短</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滑坡位移变形与降雨过程同步发展，日降雨量大于75</w:t>
            </w:r>
            <w:r>
              <w:rPr>
                <w:rFonts w:hint="eastAsia" w:ascii="Times New Roman" w:hAnsi="Times New Roman"/>
                <w:kern w:val="0"/>
                <w:sz w:val="18"/>
                <w:szCs w:val="18"/>
              </w:rPr>
              <w:t xml:space="preserve"> </w:t>
            </w:r>
            <w:r>
              <w:rPr>
                <w:rFonts w:ascii="Times New Roman" w:hAnsi="Times New Roman"/>
                <w:kern w:val="0"/>
                <w:sz w:val="18"/>
                <w:szCs w:val="18"/>
              </w:rPr>
              <w:t>mm</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9.</w:t>
            </w:r>
            <w:r>
              <w:rPr>
                <w:rFonts w:ascii="Times New Roman" w:hAnsi="Times New Roman"/>
                <w:sz w:val="18"/>
                <w:szCs w:val="18"/>
              </w:rPr>
              <w:t>人工开挖</w:t>
            </w:r>
          </w:p>
        </w:tc>
        <w:tc>
          <w:tcPr>
            <w:tcW w:w="1046" w:type="pct"/>
            <w:shd w:val="clear" w:color="auto" w:fill="auto"/>
            <w:vAlign w:val="center"/>
          </w:tcPr>
          <w:p>
            <w:pPr>
              <w:rPr>
                <w:rFonts w:ascii="Times New Roman" w:hAnsi="Times New Roman"/>
                <w:position w:val="-8"/>
                <w:szCs w:val="21"/>
              </w:rPr>
            </w:pPr>
          </w:p>
        </w:tc>
        <w:tc>
          <w:tcPr>
            <w:tcW w:w="1046" w:type="pct"/>
            <w:shd w:val="clear" w:color="auto" w:fill="auto"/>
            <w:vAlign w:val="center"/>
          </w:tcPr>
          <w:p>
            <w:pPr>
              <w:autoSpaceDE w:val="0"/>
              <w:autoSpaceDN w:val="0"/>
              <w:adjustRightInd w:val="0"/>
              <w:rPr>
                <w:rFonts w:ascii="Times New Roman" w:hAnsi="Times New Roman"/>
                <w:kern w:val="0"/>
                <w:sz w:val="18"/>
                <w:szCs w:val="18"/>
              </w:rPr>
            </w:pP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滑坡坡脚开挖坡度大于70°，坡高超过20</w:t>
            </w:r>
            <w:r>
              <w:rPr>
                <w:rFonts w:hint="eastAsia" w:ascii="Times New Roman" w:hAnsi="Times New Roman"/>
                <w:kern w:val="0"/>
                <w:sz w:val="18"/>
                <w:szCs w:val="18"/>
              </w:rPr>
              <w:t xml:space="preserve"> </w:t>
            </w:r>
            <w:r>
              <w:rPr>
                <w:rFonts w:ascii="Times New Roman" w:hAnsi="Times New Roman"/>
                <w:kern w:val="0"/>
                <w:sz w:val="18"/>
                <w:szCs w:val="18"/>
              </w:rPr>
              <w:t>m</w:t>
            </w:r>
            <w:r>
              <w:rPr>
                <w:rFonts w:hint="eastAsia" w:ascii="Times New Roman" w:hAnsi="Times New Roman"/>
                <w:kern w:val="0"/>
                <w:sz w:val="18"/>
                <w:szCs w:val="18"/>
              </w:rPr>
              <w:t>。</w:t>
            </w:r>
          </w:p>
        </w:tc>
        <w:tc>
          <w:tcPr>
            <w:tcW w:w="1046"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开挖引起滑体前缘产生变形破坏</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10.</w:t>
            </w:r>
            <w:r>
              <w:rPr>
                <w:rFonts w:ascii="Times New Roman" w:hAnsi="Times New Roman"/>
                <w:kern w:val="0"/>
                <w:sz w:val="18"/>
                <w:szCs w:val="18"/>
              </w:rPr>
              <w:t>稳定系数</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1</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1</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7"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Times New Roman" w:hAnsi="Times New Roman"/>
                <w:kern w:val="0"/>
                <w:sz w:val="18"/>
                <w:szCs w:val="18"/>
              </w:rPr>
              <w:t>11.</w:t>
            </w:r>
            <w:r>
              <w:rPr>
                <w:rFonts w:ascii="Times New Roman" w:hAnsi="Times New Roman"/>
                <w:kern w:val="0"/>
                <w:sz w:val="18"/>
                <w:szCs w:val="18"/>
              </w:rPr>
              <w:t>破坏概率</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0</w:t>
            </w:r>
            <w:r>
              <w:rPr>
                <w:rFonts w:hint="eastAsia" w:ascii="Times New Roman" w:hAnsi="Times New Roman"/>
                <w:kern w:val="0"/>
                <w:sz w:val="18"/>
                <w:szCs w:val="18"/>
              </w:rPr>
              <w:t>-</w:t>
            </w:r>
            <w:r>
              <w:rPr>
                <w:rFonts w:ascii="Times New Roman" w:hAnsi="Times New Roman"/>
                <w:kern w:val="0"/>
                <w:sz w:val="18"/>
                <w:szCs w:val="18"/>
              </w:rPr>
              <w:t>25%</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25</w:t>
            </w:r>
            <w:r>
              <w:rPr>
                <w:rFonts w:hint="eastAsia" w:ascii="Times New Roman" w:hAnsi="Times New Roman"/>
                <w:kern w:val="0"/>
                <w:sz w:val="18"/>
                <w:szCs w:val="18"/>
              </w:rPr>
              <w:t>-</w:t>
            </w:r>
            <w:r>
              <w:rPr>
                <w:rFonts w:ascii="Times New Roman" w:hAnsi="Times New Roman"/>
                <w:kern w:val="0"/>
                <w:sz w:val="18"/>
                <w:szCs w:val="18"/>
              </w:rPr>
              <w:t>50%</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50</w:t>
            </w:r>
            <w:r>
              <w:rPr>
                <w:rFonts w:hint="eastAsia" w:ascii="Times New Roman" w:hAnsi="Times New Roman"/>
                <w:kern w:val="0"/>
                <w:sz w:val="18"/>
                <w:szCs w:val="18"/>
              </w:rPr>
              <w:t>-</w:t>
            </w:r>
            <w:r>
              <w:rPr>
                <w:rFonts w:ascii="Times New Roman" w:hAnsi="Times New Roman"/>
                <w:kern w:val="0"/>
                <w:sz w:val="18"/>
                <w:szCs w:val="18"/>
              </w:rPr>
              <w:t>75%</w:t>
            </w:r>
          </w:p>
        </w:tc>
        <w:tc>
          <w:tcPr>
            <w:tcW w:w="1046" w:type="pct"/>
            <w:shd w:val="clear" w:color="auto" w:fill="auto"/>
            <w:vAlign w:val="center"/>
          </w:tcPr>
          <w:p>
            <w:pPr>
              <w:autoSpaceDE w:val="0"/>
              <w:autoSpaceDN w:val="0"/>
              <w:adjustRightInd w:val="0"/>
              <w:jc w:val="center"/>
              <w:rPr>
                <w:rFonts w:ascii="Times New Roman" w:hAnsi="Times New Roman"/>
                <w:kern w:val="0"/>
                <w:sz w:val="18"/>
                <w:szCs w:val="18"/>
              </w:rPr>
            </w:pPr>
            <w:r>
              <w:rPr>
                <w:rFonts w:hint="eastAsia" w:ascii="宋体" w:hAnsi="宋体"/>
                <w:kern w:val="0"/>
                <w:sz w:val="18"/>
                <w:szCs w:val="18"/>
              </w:rPr>
              <w:t>≥</w:t>
            </w:r>
            <w:r>
              <w:rPr>
                <w:rFonts w:ascii="Times New Roman" w:hAnsi="Times New Roman"/>
                <w:kern w:val="0"/>
                <w:sz w:val="18"/>
                <w:szCs w:val="18"/>
              </w:rPr>
              <w:t>75%</w:t>
            </w:r>
          </w:p>
        </w:tc>
      </w:tr>
    </w:tbl>
    <w:p>
      <w:pPr>
        <w:tabs>
          <w:tab w:val="center" w:pos="4201"/>
          <w:tab w:val="right" w:leader="dot" w:pos="9298"/>
        </w:tabs>
        <w:autoSpaceDE w:val="0"/>
        <w:autoSpaceDN w:val="0"/>
        <w:spacing w:line="360" w:lineRule="auto"/>
        <w:rPr>
          <w:rFonts w:ascii="黑体" w:hAnsi="黑体" w:eastAsia="黑体"/>
          <w:kern w:val="0"/>
          <w:szCs w:val="21"/>
        </w:rPr>
      </w:pPr>
    </w:p>
    <w:p>
      <w:pPr>
        <w:tabs>
          <w:tab w:val="center" w:pos="4201"/>
          <w:tab w:val="right" w:leader="dot" w:pos="9298"/>
        </w:tabs>
        <w:autoSpaceDE w:val="0"/>
        <w:autoSpaceDN w:val="0"/>
        <w:spacing w:line="360" w:lineRule="auto"/>
        <w:rPr>
          <w:rFonts w:ascii="黑体" w:hAnsi="黑体" w:eastAsia="黑体"/>
          <w:kern w:val="0"/>
          <w:szCs w:val="21"/>
        </w:rPr>
        <w:sectPr>
          <w:pgSz w:w="11906" w:h="16838"/>
          <w:pgMar w:top="1418" w:right="1134" w:bottom="1134" w:left="1418" w:header="851" w:footer="992" w:gutter="0"/>
          <w:cols w:space="425" w:num="1"/>
          <w:docGrid w:linePitch="312" w:charSpace="0"/>
        </w:sect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 xml:space="preserve">L-4  </w:t>
      </w:r>
      <w:r>
        <w:rPr>
          <w:rFonts w:ascii="黑体" w:hAnsi="黑体" w:eastAsia="黑体"/>
          <w:kern w:val="0"/>
          <w:szCs w:val="21"/>
        </w:rPr>
        <w:t>典型滑坡变形破坏过程中预报参数的特征值统计</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2"/>
        <w:gridCol w:w="4483"/>
        <w:gridCol w:w="2563"/>
        <w:gridCol w:w="1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w:t>
            </w:r>
          </w:p>
        </w:tc>
        <w:tc>
          <w:tcPr>
            <w:tcW w:w="234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滑坡变形过程</w:t>
            </w:r>
          </w:p>
        </w:tc>
        <w:tc>
          <w:tcPr>
            <w:tcW w:w="1339"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预报参数临界值</w:t>
            </w:r>
          </w:p>
        </w:tc>
        <w:tc>
          <w:tcPr>
            <w:tcW w:w="837"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滑坡破坏时间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5"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新滩</w:t>
            </w:r>
          </w:p>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1985年1月～6月8日，新裂缝急剧增多，原裂缝急剧增宽、加深、扩延，形成阶梯状降落坎，坎高1</w:t>
            </w:r>
            <w:r>
              <w:rPr>
                <w:rFonts w:hint="eastAsia" w:ascii="Times New Roman" w:hAnsi="Times New Roman"/>
                <w:kern w:val="0"/>
                <w:sz w:val="18"/>
                <w:szCs w:val="18"/>
              </w:rPr>
              <w:t>-</w:t>
            </w:r>
            <w:r>
              <w:rPr>
                <w:rFonts w:ascii="Times New Roman" w:hAnsi="Times New Roman"/>
                <w:kern w:val="0"/>
                <w:sz w:val="18"/>
                <w:szCs w:val="18"/>
              </w:rPr>
              <w:t>4 m，东侧裂缝边界发展成宽大的裂缝带。姜家坡坡脚下部地带，出现松动坍滑、潮湿积水及挤出现象，变形显著增大，新裂缝增多。1985年6月9日至12日凌晨，这个阶段表现出特别特征，监测数据突变，地表强烈变形：1.出现热风。2.出现局部较大规模的滑动。3.滑坡东西两侧急剧新增阶梯式羽状拉张裂缝，并发展成裂缝沉降带。4.在滑坡的剪出口位置及其影响地带，出现剪出、膨胀和松动带。5.滑体前缘的堆积体普遍潮湿，有的出现过饱和状态。6.滑坡体的后缘壁产生剧烈下座，在3天内后座近5m，滑坡体上的局部较陡地段普遍坍垮，块石翻滚，姜家坡前缘崩滑频繁，不断产生小崩滑。7.6月11日凌晨五时在主拉裂缝带，可听见地下发出</w:t>
            </w:r>
            <w:r>
              <w:rPr>
                <w:rFonts w:asciiTheme="minorEastAsia" w:hAnsiTheme="minorEastAsia" w:eastAsiaTheme="minorEastAsia"/>
                <w:kern w:val="0"/>
                <w:sz w:val="18"/>
                <w:szCs w:val="18"/>
              </w:rPr>
              <w:t>“喀喀咔咔”的摩</w:t>
            </w:r>
            <w:r>
              <w:rPr>
                <w:rFonts w:ascii="Times New Roman" w:hAnsi="Times New Roman"/>
                <w:kern w:val="0"/>
                <w:sz w:val="18"/>
                <w:szCs w:val="18"/>
              </w:rPr>
              <w:t>擦声。8.测量数据出现突变。</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临滑前变形量急剧增大，位移达到峰值，变形曲线切线角为74°，位移矢量角显著变化，锐减至5°，临界变形速率为V</w:t>
            </w:r>
            <w:r>
              <w:rPr>
                <w:rFonts w:ascii="Times New Roman" w:hAnsi="Times New Roman"/>
                <w:kern w:val="0"/>
                <w:sz w:val="12"/>
                <w:szCs w:val="12"/>
              </w:rPr>
              <w:t>f</w:t>
            </w:r>
            <w:r>
              <w:rPr>
                <w:rFonts w:hint="eastAsia" w:ascii="宋体" w:hAnsi="宋体"/>
                <w:kern w:val="0"/>
                <w:sz w:val="18"/>
                <w:szCs w:val="18"/>
              </w:rPr>
              <w:t>≥</w:t>
            </w:r>
            <w:r>
              <w:rPr>
                <w:rFonts w:ascii="Times New Roman" w:hAnsi="Times New Roman"/>
                <w:kern w:val="0"/>
                <w:sz w:val="18"/>
                <w:szCs w:val="18"/>
              </w:rPr>
              <w:t>3 500 mm/月或V</w:t>
            </w:r>
            <w:r>
              <w:rPr>
                <w:rFonts w:ascii="Times New Roman" w:hAnsi="Times New Roman"/>
                <w:kern w:val="0"/>
                <w:sz w:val="12"/>
                <w:szCs w:val="12"/>
              </w:rPr>
              <w:t>f</w:t>
            </w:r>
            <w:r>
              <w:rPr>
                <w:rFonts w:hint="eastAsia" w:ascii="宋体" w:hAnsi="宋体"/>
                <w:kern w:val="0"/>
                <w:sz w:val="18"/>
                <w:szCs w:val="18"/>
              </w:rPr>
              <w:t>≥</w:t>
            </w:r>
            <w:r>
              <w:rPr>
                <w:rFonts w:ascii="Times New Roman" w:hAnsi="Times New Roman"/>
                <w:kern w:val="0"/>
                <w:sz w:val="18"/>
                <w:szCs w:val="18"/>
              </w:rPr>
              <w:t>116 mm/天。滑前累积降雨量为435 mm</w:t>
            </w:r>
            <w:r>
              <w:rPr>
                <w:rFonts w:asciiTheme="minorEastAsia" w:hAnsiTheme="minorEastAsia" w:eastAsiaTheme="minorEastAsia"/>
                <w:kern w:val="0"/>
                <w:sz w:val="18"/>
                <w:szCs w:val="18"/>
              </w:rPr>
              <w:t>,</w:t>
            </w:r>
            <w:r>
              <w:rPr>
                <w:rFonts w:ascii="Times New Roman" w:hAnsi="Times New Roman"/>
                <w:kern w:val="0"/>
                <w:sz w:val="18"/>
                <w:szCs w:val="18"/>
              </w:rPr>
              <w:t>降雨时间29天，平均降雨强度15 mm/d。</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滑坡于1985年6月12日凌晨3点30分发生。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鸡鸣寺滑坡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1991年6月以来，滑坡后缘裂缝斜向变形加剧，从6月26日开始至6月28日10</w:t>
            </w:r>
            <w:r>
              <w:rPr>
                <w:rFonts w:hint="eastAsia" w:ascii="Times New Roman" w:hAnsi="Times New Roman"/>
                <w:kern w:val="0"/>
                <w:sz w:val="18"/>
                <w:szCs w:val="18"/>
              </w:rPr>
              <w:t>:</w:t>
            </w:r>
            <w:r>
              <w:rPr>
                <w:rFonts w:ascii="Times New Roman" w:hAnsi="Times New Roman"/>
                <w:kern w:val="0"/>
                <w:sz w:val="18"/>
                <w:szCs w:val="18"/>
              </w:rPr>
              <w:t>00时，变形速率急剧上升。29日0</w:t>
            </w:r>
            <w:r>
              <w:rPr>
                <w:rFonts w:hint="eastAsia" w:ascii="Times New Roman" w:hAnsi="Times New Roman"/>
                <w:kern w:val="0"/>
                <w:sz w:val="18"/>
                <w:szCs w:val="18"/>
              </w:rPr>
              <w:t>:</w:t>
            </w:r>
            <w:r>
              <w:rPr>
                <w:rFonts w:ascii="Times New Roman" w:hAnsi="Times New Roman"/>
                <w:kern w:val="0"/>
                <w:sz w:val="18"/>
                <w:szCs w:val="18"/>
              </w:rPr>
              <w:t>08时至0</w:t>
            </w:r>
            <w:r>
              <w:rPr>
                <w:rFonts w:hint="eastAsia" w:ascii="Times New Roman" w:hAnsi="Times New Roman"/>
                <w:kern w:val="0"/>
                <w:sz w:val="18"/>
                <w:szCs w:val="18"/>
              </w:rPr>
              <w:t>:</w:t>
            </w:r>
            <w:r>
              <w:rPr>
                <w:rFonts w:ascii="Times New Roman" w:hAnsi="Times New Roman"/>
                <w:kern w:val="0"/>
                <w:sz w:val="18"/>
                <w:szCs w:val="18"/>
              </w:rPr>
              <w:t>21时，北部2号采石场基岩脱落频率达到每分钟1次，方量均在5 m</w:t>
            </w:r>
            <w:r>
              <w:rPr>
                <w:rFonts w:ascii="Times New Roman" w:hAnsi="Times New Roman"/>
                <w:kern w:val="0"/>
                <w:sz w:val="18"/>
                <w:szCs w:val="18"/>
                <w:vertAlign w:val="superscript"/>
              </w:rPr>
              <w:t>3</w:t>
            </w:r>
            <w:r>
              <w:rPr>
                <w:rFonts w:ascii="Times New Roman" w:hAnsi="Times New Roman"/>
                <w:kern w:val="0"/>
                <w:sz w:val="18"/>
                <w:szCs w:val="18"/>
              </w:rPr>
              <w:t>以上。临滑前变形速率呈加速状。</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临滑前一天变形速率100 mm/d以上，临滑前平均滑速1.25 m/s。1991年5月初至滑前共降雨206 mm，6月12日10</w:t>
            </w:r>
            <w:r>
              <w:rPr>
                <w:rFonts w:hint="eastAsia" w:ascii="Times New Roman" w:hAnsi="Times New Roman"/>
                <w:kern w:val="0"/>
                <w:sz w:val="18"/>
                <w:szCs w:val="18"/>
              </w:rPr>
              <w:t>:</w:t>
            </w:r>
            <w:r>
              <w:rPr>
                <w:rFonts w:ascii="Times New Roman" w:hAnsi="Times New Roman"/>
                <w:kern w:val="0"/>
                <w:sz w:val="18"/>
                <w:szCs w:val="18"/>
              </w:rPr>
              <w:t>00时至16日10</w:t>
            </w:r>
            <w:r>
              <w:rPr>
                <w:rFonts w:hint="eastAsia" w:ascii="Times New Roman" w:hAnsi="Times New Roman"/>
                <w:kern w:val="0"/>
                <w:sz w:val="18"/>
                <w:szCs w:val="18"/>
              </w:rPr>
              <w:t>:</w:t>
            </w:r>
            <w:r>
              <w:rPr>
                <w:rFonts w:ascii="Times New Roman" w:hAnsi="Times New Roman"/>
                <w:kern w:val="0"/>
                <w:sz w:val="18"/>
                <w:szCs w:val="18"/>
              </w:rPr>
              <w:t>00时集中降水61.9 mm。</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l991午6月29日凌晨4时58分滑坡发生。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鸡扒子滑坡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复活发生在1982年7月中旬云阳地区特大暴雨期间，这场暴雨从7月16日4时开始，至17日4～8时，随即宝塔老滑坡西侧后缘出现地面开裂，与此同时，石板沟沟壁部分因饱水发生局部失稳向沟心滑动，大量地表径流沿滑坡后缘裂缝直接渗入滑体。17日18时，发现石板沟东侧宝塔老滑坡中部冲沟中涌出股状地下水，水头高出地面2</w:t>
            </w:r>
            <w:r>
              <w:rPr>
                <w:rFonts w:hint="eastAsia" w:ascii="Times New Roman" w:hAnsi="Times New Roman"/>
                <w:kern w:val="0"/>
                <w:sz w:val="18"/>
                <w:szCs w:val="18"/>
              </w:rPr>
              <w:t>-</w:t>
            </w:r>
            <w:r>
              <w:rPr>
                <w:rFonts w:ascii="Times New Roman" w:hAnsi="Times New Roman"/>
                <w:kern w:val="0"/>
                <w:sz w:val="18"/>
                <w:szCs w:val="18"/>
              </w:rPr>
              <w:t>3 m。18日2时，石板沟东侧老滑坡开始剧烈滑动，18日2时30分至3时，更东部的老滑坡也跟随产生滑动。</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滑前降特大暴雨，降雨时间为2 d，累计降雨量280 mm，平均降雨强度140 mm/d，地下水头高出地面2</w:t>
            </w:r>
            <w:r>
              <w:rPr>
                <w:rFonts w:hint="eastAsia" w:ascii="Times New Roman" w:hAnsi="Times New Roman"/>
                <w:kern w:val="0"/>
                <w:sz w:val="18"/>
                <w:szCs w:val="18"/>
              </w:rPr>
              <w:t>-</w:t>
            </w:r>
            <w:r>
              <w:rPr>
                <w:rFonts w:ascii="Times New Roman" w:hAnsi="Times New Roman"/>
                <w:kern w:val="0"/>
                <w:sz w:val="18"/>
                <w:szCs w:val="18"/>
              </w:rPr>
              <w:t>3</w:t>
            </w:r>
            <w:r>
              <w:rPr>
                <w:rFonts w:hint="eastAsia" w:ascii="Times New Roman" w:hAnsi="Times New Roman"/>
                <w:kern w:val="0"/>
                <w:sz w:val="18"/>
                <w:szCs w:val="18"/>
              </w:rPr>
              <w:t xml:space="preserve"> </w:t>
            </w:r>
            <w:r>
              <w:rPr>
                <w:rFonts w:ascii="Times New Roman" w:hAnsi="Times New Roman"/>
                <w:kern w:val="0"/>
                <w:sz w:val="18"/>
                <w:szCs w:val="18"/>
              </w:rPr>
              <w:t>m。</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1982年7月18日2时东侧老滑坡开始剧烈滑动，18日2时30分至3时，更东部的老滑坡也跟随产生滑动。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卧龙寺滑坡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1928年开始滑坡小裂缝发展成弧形拉裂缝，从此每年雨季在主裂缝周围均要产生新的次级滑坡裂缝；1955年8月1</w:t>
            </w:r>
            <w:r>
              <w:rPr>
                <w:rFonts w:hint="eastAsia" w:ascii="Times New Roman" w:hAnsi="Times New Roman"/>
                <w:kern w:val="0"/>
                <w:sz w:val="18"/>
                <w:szCs w:val="18"/>
              </w:rPr>
              <w:t>-</w:t>
            </w:r>
            <w:r>
              <w:rPr>
                <w:rFonts w:ascii="Times New Roman" w:hAnsi="Times New Roman"/>
                <w:kern w:val="0"/>
                <w:sz w:val="18"/>
                <w:szCs w:val="18"/>
              </w:rPr>
              <w:t>17日连降数日大雨，裂缝急剧扩大，地面变形剧烈</w:t>
            </w:r>
            <w:r>
              <w:rPr>
                <w:rFonts w:hint="eastAsia" w:ascii="Times New Roman" w:hAnsi="Times New Roman"/>
                <w:kern w:val="0"/>
                <w:sz w:val="18"/>
                <w:szCs w:val="18"/>
              </w:rPr>
              <w:t>。</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滑动前日降雨量达到多年日降雨量的最大值，滑坡裂隙扩张量急剧增加。</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1955年8月18日临晨滑坡发生，整个滑坡滑动历时30分</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洒勒山滑坡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1983年2月中旬，南坡二级台阶继续变形开裂，南北裂缝扩大，山顶北坡裂缝加宽、加深、加长，并出现垂直错位。1983年3月2日，山体滑动，山坡堆土开裂，山坡上台地表面都出现新的裂缝，房屋等变形错位。3月3日出现山鸣，崖坎掉土，泉水变浑，沟边出现一条南北向大裂缝。3月5日山顶裂缝宽达1</w:t>
            </w:r>
            <w:r>
              <w:rPr>
                <w:rFonts w:hint="eastAsia" w:ascii="Times New Roman" w:hAnsi="Times New Roman"/>
                <w:kern w:val="0"/>
                <w:sz w:val="18"/>
                <w:szCs w:val="18"/>
              </w:rPr>
              <w:t xml:space="preserve"> </w:t>
            </w:r>
            <w:r>
              <w:rPr>
                <w:rFonts w:ascii="Times New Roman" w:hAnsi="Times New Roman"/>
                <w:kern w:val="0"/>
                <w:sz w:val="18"/>
                <w:szCs w:val="18"/>
              </w:rPr>
              <w:t>m，断续的裂缝有的已经连通。3月7日下午两点左右山顶裂缝互相沟通，宽1</w:t>
            </w:r>
            <w:r>
              <w:rPr>
                <w:rFonts w:hint="eastAsia" w:ascii="Times New Roman" w:hAnsi="Times New Roman"/>
                <w:kern w:val="0"/>
                <w:sz w:val="18"/>
                <w:szCs w:val="18"/>
              </w:rPr>
              <w:t xml:space="preserve"> </w:t>
            </w:r>
            <w:r>
              <w:rPr>
                <w:rFonts w:ascii="Times New Roman" w:hAnsi="Times New Roman"/>
                <w:kern w:val="0"/>
                <w:sz w:val="18"/>
                <w:szCs w:val="18"/>
              </w:rPr>
              <w:t>m多，深不见底。台阶地上的水窖变形，水浑浊。</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滑动前滑坡临界裂隙宽度1 m左右，滑坡日位移变形量5</w:t>
            </w:r>
            <w:r>
              <w:rPr>
                <w:rFonts w:hint="eastAsia" w:ascii="Times New Roman" w:hAnsi="Times New Roman"/>
                <w:kern w:val="0"/>
                <w:sz w:val="18"/>
                <w:szCs w:val="18"/>
              </w:rPr>
              <w:t>-</w:t>
            </w:r>
            <w:r>
              <w:rPr>
                <w:rFonts w:ascii="Times New Roman" w:hAnsi="Times New Roman"/>
                <w:kern w:val="0"/>
                <w:sz w:val="18"/>
                <w:szCs w:val="18"/>
              </w:rPr>
              <w:t>12</w:t>
            </w:r>
            <w:r>
              <w:rPr>
                <w:rFonts w:hint="eastAsia" w:ascii="Times New Roman" w:hAnsi="Times New Roman"/>
                <w:kern w:val="0"/>
                <w:sz w:val="18"/>
                <w:szCs w:val="18"/>
              </w:rPr>
              <w:t xml:space="preserve"> </w:t>
            </w:r>
            <w:r>
              <w:rPr>
                <w:rFonts w:ascii="Times New Roman" w:hAnsi="Times New Roman"/>
                <w:kern w:val="0"/>
                <w:sz w:val="18"/>
                <w:szCs w:val="18"/>
              </w:rPr>
              <w:t>m，滑坡发生前的1983年冬季异常降雨量达66.3 mm</w:t>
            </w:r>
            <w:r>
              <w:rPr>
                <w:rFonts w:hint="eastAsia" w:ascii="Times New Roman" w:hAnsi="Times New Roman"/>
                <w:kern w:val="0"/>
                <w:sz w:val="18"/>
                <w:szCs w:val="18"/>
              </w:rPr>
              <w:t>。</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1983年3月7日17点47分滑坡开始滑动，历时1</w:t>
            </w:r>
            <w:r>
              <w:rPr>
                <w:rFonts w:hint="eastAsia" w:ascii="Times New Roman" w:hAnsi="Times New Roman"/>
                <w:kern w:val="0"/>
                <w:sz w:val="18"/>
                <w:szCs w:val="18"/>
              </w:rPr>
              <w:t>-</w:t>
            </w:r>
            <w:r>
              <w:rPr>
                <w:rFonts w:ascii="Times New Roman" w:hAnsi="Times New Roman"/>
                <w:kern w:val="0"/>
                <w:sz w:val="18"/>
                <w:szCs w:val="18"/>
              </w:rPr>
              <w:t>2分钟左右。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黄茨</w:t>
            </w:r>
          </w:p>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1994年11月滑坡后缘裂缝向滑体东西两侧扩张，日变形量1</w:t>
            </w:r>
            <w:r>
              <w:rPr>
                <w:rFonts w:hint="eastAsia" w:ascii="Times New Roman" w:hAnsi="Times New Roman"/>
                <w:kern w:val="0"/>
                <w:sz w:val="18"/>
                <w:szCs w:val="18"/>
              </w:rPr>
              <w:t>-</w:t>
            </w:r>
            <w:r>
              <w:rPr>
                <w:rFonts w:ascii="Times New Roman" w:hAnsi="Times New Roman"/>
                <w:kern w:val="0"/>
                <w:sz w:val="18"/>
                <w:szCs w:val="18"/>
              </w:rPr>
              <w:t>4 mm，1994年12月滑坡位移日变形量3</w:t>
            </w:r>
            <w:r>
              <w:rPr>
                <w:rFonts w:hint="eastAsia" w:ascii="Times New Roman" w:hAnsi="Times New Roman"/>
                <w:kern w:val="0"/>
                <w:sz w:val="18"/>
                <w:szCs w:val="18"/>
              </w:rPr>
              <w:t>-</w:t>
            </w:r>
            <w:r>
              <w:rPr>
                <w:rFonts w:ascii="Times New Roman" w:hAnsi="Times New Roman"/>
                <w:kern w:val="0"/>
                <w:sz w:val="18"/>
                <w:szCs w:val="18"/>
              </w:rPr>
              <w:t>6 mm，声发射信号增强，1995年1月滑坡位移日变形量10 mm左右，1月23日达15 mm。</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滑坡临界位移滑速10</w:t>
            </w:r>
            <w:r>
              <w:rPr>
                <w:rFonts w:hint="eastAsia" w:ascii="Times New Roman" w:hAnsi="Times New Roman"/>
                <w:kern w:val="0"/>
                <w:sz w:val="18"/>
                <w:szCs w:val="18"/>
              </w:rPr>
              <w:t>-</w:t>
            </w:r>
            <w:r>
              <w:rPr>
                <w:rFonts w:ascii="Times New Roman" w:hAnsi="Times New Roman"/>
                <w:kern w:val="0"/>
                <w:sz w:val="18"/>
                <w:szCs w:val="18"/>
              </w:rPr>
              <w:t>15 mm/d，诱发因素为长期的灌溉水和地表降雨入渗</w:t>
            </w:r>
            <w:r>
              <w:rPr>
                <w:rFonts w:hint="eastAsia" w:ascii="Times New Roman" w:hAnsi="Times New Roman"/>
                <w:kern w:val="0"/>
                <w:sz w:val="18"/>
                <w:szCs w:val="18"/>
              </w:rPr>
              <w:t>。</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1995年1月30日滑坡发生，滑动全过程历时1小时30分钟。</w:t>
            </w:r>
          </w:p>
        </w:tc>
      </w:tr>
    </w:tbl>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L-4（续）</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2"/>
        <w:gridCol w:w="4483"/>
        <w:gridCol w:w="2563"/>
        <w:gridCol w:w="1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w:t>
            </w:r>
          </w:p>
        </w:tc>
        <w:tc>
          <w:tcPr>
            <w:tcW w:w="234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滑坡变形过程</w:t>
            </w:r>
          </w:p>
        </w:tc>
        <w:tc>
          <w:tcPr>
            <w:tcW w:w="1339"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预报参数临界值</w:t>
            </w:r>
          </w:p>
        </w:tc>
        <w:tc>
          <w:tcPr>
            <w:tcW w:w="837"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滑坡破坏时间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长安古刘滑坡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1981年滑坡裂缝形成，1984年7月雨季中裂缝变形加剧，出现9条长达200</w:t>
            </w:r>
            <w:r>
              <w:rPr>
                <w:rFonts w:hint="eastAsia" w:ascii="Times New Roman" w:hAnsi="Times New Roman"/>
                <w:kern w:val="0"/>
                <w:sz w:val="18"/>
                <w:szCs w:val="18"/>
              </w:rPr>
              <w:t>-</w:t>
            </w:r>
            <w:r>
              <w:rPr>
                <w:rFonts w:ascii="Times New Roman" w:hAnsi="Times New Roman"/>
                <w:kern w:val="0"/>
                <w:sz w:val="18"/>
                <w:szCs w:val="18"/>
              </w:rPr>
              <w:t>300 mm的裂缝群，滑坡发生前裂缝急剧开裂，错落约1 m，地下水位上升2 m，泉水流量增大。</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裂缝错落近1 m左右，泉水流量增大，地下水位升高2 m</w:t>
            </w:r>
            <w:r>
              <w:rPr>
                <w:rFonts w:hint="eastAsia" w:ascii="Times New Roman" w:hAnsi="Times New Roman"/>
                <w:kern w:val="0"/>
                <w:sz w:val="18"/>
                <w:szCs w:val="18"/>
              </w:rPr>
              <w:t>。</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1984年12月15日滑坡发生。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查纳</w:t>
            </w:r>
          </w:p>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1942年9月出现滑坡主裂缝，宽度10 cm左右；10月主裂缝迅速扩展到大约20 cm；12月裂缝宽度累计达40</w:t>
            </w:r>
            <w:r>
              <w:rPr>
                <w:rFonts w:hint="eastAsia" w:ascii="Times New Roman" w:hAnsi="Times New Roman"/>
                <w:kern w:val="0"/>
                <w:sz w:val="18"/>
                <w:szCs w:val="18"/>
              </w:rPr>
              <w:t>-</w:t>
            </w:r>
            <w:r>
              <w:rPr>
                <w:rFonts w:ascii="Times New Roman" w:hAnsi="Times New Roman"/>
                <w:kern w:val="0"/>
                <w:sz w:val="18"/>
                <w:szCs w:val="18"/>
              </w:rPr>
              <w:t>50 cm。</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滑前裂缝日位移量为10 mm左右</w:t>
            </w:r>
            <w:r>
              <w:rPr>
                <w:rFonts w:hint="eastAsia" w:ascii="Times New Roman" w:hAnsi="Times New Roman"/>
                <w:kern w:val="0"/>
                <w:sz w:val="18"/>
                <w:szCs w:val="18"/>
              </w:rPr>
              <w:t>。</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1943年2月7日滑动，历时1</w:t>
            </w:r>
            <w:r>
              <w:rPr>
                <w:rFonts w:hint="eastAsia" w:ascii="Times New Roman" w:hAnsi="Times New Roman"/>
                <w:kern w:val="0"/>
                <w:sz w:val="18"/>
                <w:szCs w:val="18"/>
              </w:rPr>
              <w:t>-</w:t>
            </w:r>
            <w:r>
              <w:rPr>
                <w:rFonts w:ascii="Times New Roman" w:hAnsi="Times New Roman"/>
                <w:kern w:val="0"/>
                <w:sz w:val="18"/>
                <w:szCs w:val="18"/>
              </w:rPr>
              <w:t>2分钟。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南峪</w:t>
            </w:r>
          </w:p>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1985年～1990年滑坡主裂缝形成，发生两次小滑塌，裂缝宽度30 cm；1991年1</w:t>
            </w:r>
            <w:r>
              <w:rPr>
                <w:rFonts w:hint="eastAsia" w:ascii="Times New Roman" w:hAnsi="Times New Roman"/>
                <w:kern w:val="0"/>
                <w:sz w:val="18"/>
                <w:szCs w:val="18"/>
              </w:rPr>
              <w:t>-</w:t>
            </w:r>
            <w:r>
              <w:rPr>
                <w:rFonts w:ascii="Times New Roman" w:hAnsi="Times New Roman"/>
                <w:kern w:val="0"/>
                <w:sz w:val="18"/>
                <w:szCs w:val="18"/>
              </w:rPr>
              <w:t>5月滑坡裂缝宽度增加到40 cm，开始加速变形；1991年6月1日～10日，滑坡裂缝加速扩张，宽度达130 cm，次级小裂缝急剧增多。</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日位移量90 cm左右，临滑前历时40分钟的大暴雨，降雨量为37 mm</w:t>
            </w:r>
            <w:r>
              <w:rPr>
                <w:rFonts w:hint="eastAsia" w:ascii="Times New Roman" w:hAnsi="Times New Roman"/>
                <w:kern w:val="0"/>
                <w:sz w:val="18"/>
                <w:szCs w:val="18"/>
              </w:rPr>
              <w:t>。</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滑坡于1991年6月11日19时40分发生，历时2小时30分左右</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天水锻机厂</w:t>
            </w:r>
          </w:p>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1990年8月滑坡体分布有8条拉张裂缝，宽3</w:t>
            </w:r>
            <w:r>
              <w:rPr>
                <w:rFonts w:hint="eastAsia" w:ascii="Times New Roman" w:hAnsi="Times New Roman"/>
                <w:kern w:val="0"/>
                <w:sz w:val="18"/>
                <w:szCs w:val="18"/>
              </w:rPr>
              <w:t>-</w:t>
            </w:r>
            <w:r>
              <w:rPr>
                <w:rFonts w:ascii="Times New Roman" w:hAnsi="Times New Roman"/>
                <w:kern w:val="0"/>
                <w:sz w:val="18"/>
                <w:szCs w:val="18"/>
              </w:rPr>
              <w:t>10 cm，降雨量较往年明显增加，1990年8月11日滑坡发生前连降暴雨3小时，降雨量达113 mm，拉裂缝下错10</w:t>
            </w:r>
            <w:r>
              <w:rPr>
                <w:rFonts w:hint="eastAsia" w:ascii="Times New Roman" w:hAnsi="Times New Roman"/>
                <w:kern w:val="0"/>
                <w:sz w:val="18"/>
                <w:szCs w:val="18"/>
              </w:rPr>
              <w:t>-</w:t>
            </w:r>
            <w:r>
              <w:rPr>
                <w:rFonts w:ascii="Times New Roman" w:hAnsi="Times New Roman"/>
                <w:kern w:val="0"/>
                <w:sz w:val="18"/>
                <w:szCs w:val="18"/>
              </w:rPr>
              <w:t>20 cm。</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临界诱发降雨量113</w:t>
            </w:r>
            <w:r>
              <w:rPr>
                <w:rFonts w:hint="eastAsia" w:ascii="Times New Roman" w:hAnsi="Times New Roman"/>
                <w:kern w:val="0"/>
                <w:sz w:val="18"/>
                <w:szCs w:val="18"/>
              </w:rPr>
              <w:t xml:space="preserve"> </w:t>
            </w:r>
            <w:r>
              <w:rPr>
                <w:rFonts w:ascii="Times New Roman" w:hAnsi="Times New Roman"/>
                <w:kern w:val="0"/>
                <w:sz w:val="18"/>
                <w:szCs w:val="18"/>
              </w:rPr>
              <w:t>mm，致滑原因为降雨和灌溉水入渗及人工开挖坡脚。</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1990年8月11日9时40分滑动，历时15分钟。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482" w:type="pct"/>
            <w:shd w:val="clear" w:color="auto" w:fill="auto"/>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敬家村滑坡</w:t>
            </w:r>
          </w:p>
        </w:tc>
        <w:tc>
          <w:tcPr>
            <w:tcW w:w="2342"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1962年开始出现长10</w:t>
            </w:r>
            <w:r>
              <w:rPr>
                <w:rFonts w:hint="eastAsia" w:ascii="Times New Roman" w:hAnsi="Times New Roman"/>
                <w:kern w:val="0"/>
                <w:sz w:val="18"/>
                <w:szCs w:val="18"/>
              </w:rPr>
              <w:t>-</w:t>
            </w:r>
            <w:r>
              <w:rPr>
                <w:rFonts w:ascii="Times New Roman" w:hAnsi="Times New Roman"/>
                <w:kern w:val="0"/>
                <w:sz w:val="18"/>
                <w:szCs w:val="18"/>
              </w:rPr>
              <w:t>50 cm，宽1</w:t>
            </w:r>
            <w:r>
              <w:rPr>
                <w:rFonts w:hint="eastAsia" w:ascii="Times New Roman" w:hAnsi="Times New Roman"/>
                <w:kern w:val="0"/>
                <w:sz w:val="18"/>
                <w:szCs w:val="18"/>
              </w:rPr>
              <w:t>-</w:t>
            </w:r>
            <w:r>
              <w:rPr>
                <w:rFonts w:ascii="Times New Roman" w:hAnsi="Times New Roman"/>
                <w:kern w:val="0"/>
                <w:sz w:val="18"/>
                <w:szCs w:val="18"/>
              </w:rPr>
              <w:t>5 cm的滑坡裂缝；1976年裂缝开裂加快，宽度增加到30</w:t>
            </w:r>
            <w:r>
              <w:rPr>
                <w:rFonts w:hint="eastAsia" w:ascii="Times New Roman" w:hAnsi="Times New Roman"/>
                <w:kern w:val="0"/>
                <w:sz w:val="18"/>
                <w:szCs w:val="18"/>
              </w:rPr>
              <w:t>-</w:t>
            </w:r>
            <w:r>
              <w:rPr>
                <w:rFonts w:ascii="Times New Roman" w:hAnsi="Times New Roman"/>
                <w:kern w:val="0"/>
                <w:sz w:val="18"/>
                <w:szCs w:val="18"/>
              </w:rPr>
              <w:t>40 cm，垂直下沉量60</w:t>
            </w:r>
            <w:r>
              <w:rPr>
                <w:rFonts w:hint="eastAsia" w:ascii="Times New Roman" w:hAnsi="Times New Roman"/>
                <w:kern w:val="0"/>
                <w:sz w:val="18"/>
                <w:szCs w:val="18"/>
              </w:rPr>
              <w:t>-</w:t>
            </w:r>
            <w:r>
              <w:rPr>
                <w:rFonts w:ascii="Times New Roman" w:hAnsi="Times New Roman"/>
                <w:kern w:val="0"/>
                <w:sz w:val="18"/>
                <w:szCs w:val="18"/>
              </w:rPr>
              <w:t>70 cm左右；1978年1</w:t>
            </w:r>
            <w:r>
              <w:rPr>
                <w:rFonts w:hint="eastAsia" w:ascii="Times New Roman" w:hAnsi="Times New Roman"/>
                <w:kern w:val="0"/>
                <w:sz w:val="18"/>
                <w:szCs w:val="18"/>
              </w:rPr>
              <w:t>-</w:t>
            </w:r>
            <w:r>
              <w:rPr>
                <w:rFonts w:ascii="Times New Roman" w:hAnsi="Times New Roman"/>
                <w:kern w:val="0"/>
                <w:sz w:val="18"/>
                <w:szCs w:val="18"/>
              </w:rPr>
              <w:t>5月滑体前缘泉水流量增加，滑体局部上拱成包，房屋变形开裂；1978年6月地下水位升高6 m，临滑前5</w:t>
            </w:r>
            <w:r>
              <w:rPr>
                <w:rFonts w:hint="eastAsia" w:ascii="Times New Roman" w:hAnsi="Times New Roman"/>
                <w:kern w:val="0"/>
                <w:sz w:val="18"/>
                <w:szCs w:val="18"/>
              </w:rPr>
              <w:t>-</w:t>
            </w:r>
            <w:r>
              <w:rPr>
                <w:rFonts w:ascii="Times New Roman" w:hAnsi="Times New Roman"/>
                <w:kern w:val="0"/>
                <w:sz w:val="18"/>
                <w:szCs w:val="18"/>
              </w:rPr>
              <w:t>6天泉水突然干涸。</w:t>
            </w:r>
          </w:p>
        </w:tc>
        <w:tc>
          <w:tcPr>
            <w:tcW w:w="1339"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滑前滑坡体后缘蓄水池破裂，日漏水量达500 m</w:t>
            </w:r>
            <w:r>
              <w:rPr>
                <w:rFonts w:ascii="Times New Roman" w:hAnsi="Times New Roman"/>
                <w:kern w:val="0"/>
                <w:sz w:val="18"/>
                <w:szCs w:val="18"/>
                <w:vertAlign w:val="superscript"/>
              </w:rPr>
              <w:t>3</w:t>
            </w:r>
            <w:r>
              <w:rPr>
                <w:rFonts w:ascii="Times New Roman" w:hAnsi="Times New Roman"/>
                <w:kern w:val="0"/>
                <w:sz w:val="18"/>
                <w:szCs w:val="18"/>
              </w:rPr>
              <w:t>，地下水位升高6 m，滑坡体位移速率大于15 mm/d。</w:t>
            </w:r>
          </w:p>
        </w:tc>
        <w:tc>
          <w:tcPr>
            <w:tcW w:w="837" w:type="pct"/>
            <w:shd w:val="clear" w:color="auto" w:fill="auto"/>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1978年6月11日10时滑坡开始剧滑，滑动全程历时3～5分钟</w:t>
            </w:r>
            <w:r>
              <w:rPr>
                <w:rFonts w:hint="eastAsia" w:ascii="Times New Roman" w:hAnsi="Times New Roman"/>
                <w:kern w:val="0"/>
                <w:sz w:val="18"/>
                <w:szCs w:val="18"/>
              </w:rPr>
              <w:t>。</w:t>
            </w:r>
          </w:p>
        </w:tc>
      </w:tr>
    </w:tbl>
    <w:p>
      <w:pPr>
        <w:tabs>
          <w:tab w:val="center" w:pos="4201"/>
          <w:tab w:val="right" w:leader="dot" w:pos="9298"/>
        </w:tabs>
        <w:autoSpaceDE w:val="0"/>
        <w:autoSpaceDN w:val="0"/>
        <w:spacing w:line="360" w:lineRule="auto"/>
        <w:rPr>
          <w:rFonts w:ascii="黑体" w:hAnsi="黑体" w:eastAsia="黑体"/>
          <w:kern w:val="0"/>
          <w:szCs w:val="21"/>
        </w:rPr>
      </w:pPr>
    </w:p>
    <w:p>
      <w:pPr>
        <w:tabs>
          <w:tab w:val="center" w:pos="4201"/>
          <w:tab w:val="right" w:leader="dot" w:pos="9298"/>
        </w:tabs>
        <w:autoSpaceDE w:val="0"/>
        <w:autoSpaceDN w:val="0"/>
        <w:spacing w:line="360" w:lineRule="auto"/>
        <w:rPr>
          <w:rFonts w:ascii="黑体" w:hAnsi="黑体" w:eastAsia="黑体"/>
          <w:kern w:val="0"/>
          <w:szCs w:val="21"/>
        </w:rPr>
        <w:sectPr>
          <w:pgSz w:w="11906" w:h="16838"/>
          <w:pgMar w:top="1418" w:right="1134" w:bottom="1134" w:left="1418" w:header="851" w:footer="992" w:gutter="0"/>
          <w:cols w:space="425" w:num="1"/>
          <w:docGrid w:linePitch="312" w:charSpace="0"/>
        </w:sect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L-</w:t>
      </w:r>
      <w:r>
        <w:rPr>
          <w:rFonts w:ascii="黑体" w:hAnsi="黑体" w:eastAsia="黑体"/>
          <w:kern w:val="0"/>
          <w:szCs w:val="21"/>
        </w:rPr>
        <w:t>5</w:t>
      </w:r>
      <w:r>
        <w:rPr>
          <w:rFonts w:hint="eastAsia" w:ascii="黑体" w:hAnsi="黑体" w:eastAsia="黑体"/>
          <w:kern w:val="0"/>
          <w:szCs w:val="21"/>
        </w:rPr>
        <w:t xml:space="preserve">  </w:t>
      </w:r>
      <w:r>
        <w:rPr>
          <w:rFonts w:ascii="黑体" w:hAnsi="黑体" w:eastAsia="黑体"/>
          <w:kern w:val="0"/>
          <w:szCs w:val="21"/>
        </w:rPr>
        <w:t>国内外暴雨触发滑坡的临界降雨强度及临界降雨量值</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5"/>
        <w:gridCol w:w="624"/>
        <w:gridCol w:w="2017"/>
        <w:gridCol w:w="2228"/>
        <w:gridCol w:w="2069"/>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gridSpan w:val="3"/>
            <w:tcBorders>
              <w:tl2br w:val="single" w:color="auto" w:sz="4" w:space="0"/>
            </w:tcBorders>
            <w:shd w:val="clear" w:color="auto" w:fill="auto"/>
            <w:vAlign w:val="center"/>
          </w:tcPr>
          <w:p>
            <w:pPr>
              <w:jc w:val="right"/>
              <w:rPr>
                <w:rFonts w:ascii="Times New Roman" w:hAnsi="Times New Roman"/>
                <w:sz w:val="18"/>
                <w:szCs w:val="18"/>
              </w:rPr>
            </w:pPr>
            <w:r>
              <w:rPr>
                <w:rFonts w:ascii="Times New Roman" w:hAnsi="Times New Roman"/>
                <w:sz w:val="18"/>
                <w:szCs w:val="18"/>
              </w:rPr>
              <w:t>要   素</w:t>
            </w:r>
          </w:p>
          <w:p>
            <w:pPr>
              <w:jc w:val="left"/>
              <w:rPr>
                <w:rFonts w:ascii="Times New Roman" w:hAnsi="Times New Roman"/>
                <w:sz w:val="18"/>
                <w:szCs w:val="18"/>
              </w:rPr>
            </w:pPr>
            <w:r>
              <w:rPr>
                <w:rFonts w:ascii="Times New Roman" w:hAnsi="Times New Roman"/>
                <w:sz w:val="18"/>
                <w:szCs w:val="18"/>
              </w:rPr>
              <w:t>国家和地区</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一次降雨过程累积降雨量mm</w:t>
            </w:r>
          </w:p>
        </w:tc>
        <w:tc>
          <w:tcPr>
            <w:tcW w:w="1081" w:type="pct"/>
            <w:shd w:val="clear" w:color="auto" w:fill="auto"/>
            <w:vAlign w:val="center"/>
          </w:tcPr>
          <w:p>
            <w:pPr>
              <w:jc w:val="center"/>
              <w:rPr>
                <w:rFonts w:ascii="Times New Roman" w:hAnsi="Times New Roman"/>
                <w:sz w:val="18"/>
                <w:szCs w:val="18"/>
              </w:rPr>
            </w:pPr>
            <w:r>
              <w:rPr>
                <w:rFonts w:ascii="Times New Roman" w:hAnsi="Times New Roman"/>
                <w:sz w:val="18"/>
                <w:szCs w:val="18"/>
              </w:rPr>
              <w:t>时降雨强度</w:t>
            </w:r>
          </w:p>
          <w:p>
            <w:pPr>
              <w:jc w:val="center"/>
              <w:rPr>
                <w:rFonts w:ascii="Times New Roman" w:hAnsi="Times New Roman"/>
                <w:sz w:val="18"/>
                <w:szCs w:val="18"/>
              </w:rPr>
            </w:pPr>
            <w:r>
              <w:rPr>
                <w:rFonts w:ascii="Times New Roman" w:hAnsi="Times New Roman"/>
                <w:sz w:val="18"/>
                <w:szCs w:val="18"/>
              </w:rPr>
              <w:t>mm/h</w:t>
            </w:r>
          </w:p>
        </w:tc>
        <w:tc>
          <w:tcPr>
            <w:tcW w:w="1111" w:type="pct"/>
            <w:shd w:val="clear" w:color="auto" w:fill="auto"/>
            <w:vAlign w:val="center"/>
          </w:tcPr>
          <w:p>
            <w:pPr>
              <w:jc w:val="center"/>
              <w:rPr>
                <w:rFonts w:ascii="Times New Roman" w:hAnsi="Times New Roman"/>
                <w:sz w:val="18"/>
                <w:szCs w:val="18"/>
              </w:rPr>
            </w:pPr>
            <w:r>
              <w:rPr>
                <w:rFonts w:ascii="Times New Roman" w:hAnsi="Times New Roman"/>
                <w:sz w:val="18"/>
                <w:szCs w:val="18"/>
              </w:rPr>
              <w:t>日降雨强度</w:t>
            </w:r>
          </w:p>
          <w:p>
            <w:pPr>
              <w:jc w:val="center"/>
              <w:rPr>
                <w:rFonts w:ascii="Times New Roman" w:hAnsi="Times New Roman"/>
                <w:sz w:val="18"/>
                <w:szCs w:val="18"/>
              </w:rPr>
            </w:pPr>
            <w:r>
              <w:rPr>
                <w:rFonts w:ascii="Times New Roman" w:hAnsi="Times New Roman"/>
                <w:sz w:val="18"/>
                <w:szCs w:val="18"/>
              </w:rPr>
              <w:t>mm/d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gridSpan w:val="3"/>
            <w:shd w:val="clear" w:color="auto" w:fill="auto"/>
            <w:vAlign w:val="center"/>
          </w:tcPr>
          <w:p>
            <w:pPr>
              <w:jc w:val="center"/>
              <w:rPr>
                <w:rFonts w:ascii="Times New Roman" w:hAnsi="Times New Roman"/>
                <w:sz w:val="18"/>
                <w:szCs w:val="18"/>
              </w:rPr>
            </w:pPr>
            <w:r>
              <w:rPr>
                <w:rFonts w:ascii="Times New Roman" w:hAnsi="Times New Roman"/>
                <w:sz w:val="18"/>
                <w:szCs w:val="18"/>
              </w:rPr>
              <w:t>巴西</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250</w:t>
            </w:r>
            <w:r>
              <w:rPr>
                <w:rFonts w:hint="eastAsia" w:ascii="Times New Roman" w:hAnsi="Times New Roman"/>
                <w:sz w:val="18"/>
                <w:szCs w:val="18"/>
              </w:rPr>
              <w:t>-</w:t>
            </w:r>
            <w:r>
              <w:rPr>
                <w:rFonts w:ascii="Times New Roman" w:hAnsi="Times New Roman"/>
                <w:sz w:val="18"/>
                <w:szCs w:val="18"/>
              </w:rPr>
              <w:t>300</w:t>
            </w:r>
          </w:p>
        </w:tc>
        <w:tc>
          <w:tcPr>
            <w:tcW w:w="1081" w:type="pct"/>
            <w:shd w:val="clear" w:color="auto" w:fill="auto"/>
            <w:vAlign w:val="center"/>
          </w:tcPr>
          <w:p>
            <w:pPr>
              <w:jc w:val="center"/>
              <w:rPr>
                <w:rFonts w:ascii="Times New Roman" w:hAnsi="Times New Roman"/>
                <w:sz w:val="18"/>
                <w:szCs w:val="18"/>
              </w:rPr>
            </w:pPr>
          </w:p>
        </w:tc>
        <w:tc>
          <w:tcPr>
            <w:tcW w:w="1111" w:type="pct"/>
            <w:shd w:val="clear" w:color="auto" w:fill="auto"/>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gridSpan w:val="3"/>
            <w:shd w:val="clear" w:color="auto" w:fill="auto"/>
            <w:vAlign w:val="center"/>
          </w:tcPr>
          <w:p>
            <w:pPr>
              <w:jc w:val="center"/>
              <w:rPr>
                <w:rFonts w:ascii="Times New Roman" w:hAnsi="Times New Roman"/>
                <w:sz w:val="18"/>
                <w:szCs w:val="18"/>
              </w:rPr>
            </w:pPr>
            <w:r>
              <w:rPr>
                <w:rFonts w:ascii="Times New Roman" w:hAnsi="Times New Roman"/>
                <w:sz w:val="18"/>
                <w:szCs w:val="18"/>
              </w:rPr>
              <w:t>美国</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＞250</w:t>
            </w:r>
          </w:p>
        </w:tc>
        <w:tc>
          <w:tcPr>
            <w:tcW w:w="1081" w:type="pct"/>
            <w:shd w:val="clear" w:color="auto" w:fill="auto"/>
            <w:vAlign w:val="center"/>
          </w:tcPr>
          <w:p>
            <w:pPr>
              <w:jc w:val="center"/>
              <w:rPr>
                <w:rFonts w:ascii="Times New Roman" w:hAnsi="Times New Roman"/>
                <w:sz w:val="18"/>
                <w:szCs w:val="18"/>
              </w:rPr>
            </w:pPr>
          </w:p>
        </w:tc>
        <w:tc>
          <w:tcPr>
            <w:tcW w:w="1111" w:type="pct"/>
            <w:shd w:val="clear" w:color="auto" w:fill="auto"/>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gridSpan w:val="3"/>
            <w:shd w:val="clear" w:color="auto" w:fill="auto"/>
            <w:vAlign w:val="center"/>
          </w:tcPr>
          <w:p>
            <w:pPr>
              <w:jc w:val="center"/>
              <w:rPr>
                <w:rFonts w:ascii="Times New Roman" w:hAnsi="Times New Roman"/>
                <w:sz w:val="18"/>
                <w:szCs w:val="18"/>
              </w:rPr>
            </w:pPr>
            <w:r>
              <w:rPr>
                <w:rFonts w:ascii="Times New Roman" w:hAnsi="Times New Roman"/>
                <w:sz w:val="18"/>
                <w:szCs w:val="18"/>
              </w:rPr>
              <w:t>加拿大</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150</w:t>
            </w:r>
            <w:r>
              <w:rPr>
                <w:rFonts w:hint="eastAsia" w:ascii="Times New Roman" w:hAnsi="Times New Roman"/>
                <w:sz w:val="18"/>
                <w:szCs w:val="18"/>
              </w:rPr>
              <w:t>-</w:t>
            </w:r>
            <w:r>
              <w:rPr>
                <w:rFonts w:ascii="Times New Roman" w:hAnsi="Times New Roman"/>
                <w:sz w:val="18"/>
                <w:szCs w:val="18"/>
              </w:rPr>
              <w:t>300</w:t>
            </w:r>
          </w:p>
        </w:tc>
        <w:tc>
          <w:tcPr>
            <w:tcW w:w="1081" w:type="pct"/>
            <w:shd w:val="clear" w:color="auto" w:fill="auto"/>
            <w:vAlign w:val="center"/>
          </w:tcPr>
          <w:p>
            <w:pPr>
              <w:jc w:val="center"/>
              <w:rPr>
                <w:rFonts w:ascii="Times New Roman" w:hAnsi="Times New Roman"/>
                <w:sz w:val="18"/>
                <w:szCs w:val="18"/>
              </w:rPr>
            </w:pPr>
          </w:p>
        </w:tc>
        <w:tc>
          <w:tcPr>
            <w:tcW w:w="1111" w:type="pct"/>
            <w:shd w:val="clear" w:color="auto" w:fill="auto"/>
            <w:vAlign w:val="center"/>
          </w:tcPr>
          <w:p>
            <w:pPr>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中国</w:t>
            </w:r>
          </w:p>
        </w:tc>
        <w:tc>
          <w:tcPr>
            <w:tcW w:w="138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香港</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＞250</w:t>
            </w:r>
          </w:p>
        </w:tc>
        <w:tc>
          <w:tcPr>
            <w:tcW w:w="1081" w:type="pct"/>
            <w:shd w:val="clear" w:color="auto" w:fill="auto"/>
            <w:vAlign w:val="center"/>
          </w:tcPr>
          <w:p>
            <w:pPr>
              <w:jc w:val="center"/>
              <w:rPr>
                <w:rFonts w:ascii="Times New Roman" w:hAnsi="Times New Roman"/>
                <w:sz w:val="18"/>
                <w:szCs w:val="18"/>
              </w:rPr>
            </w:pPr>
          </w:p>
        </w:tc>
        <w:tc>
          <w:tcPr>
            <w:tcW w:w="1111" w:type="pct"/>
            <w:shd w:val="clear" w:color="auto" w:fill="auto"/>
            <w:vAlign w:val="center"/>
          </w:tcPr>
          <w:p>
            <w:pPr>
              <w:jc w:val="center"/>
              <w:rPr>
                <w:rFonts w:ascii="Times New Roman" w:hAnsi="Times New Roman"/>
                <w:sz w:val="18"/>
                <w:szCs w:val="18"/>
              </w:rPr>
            </w:pPr>
            <w:r>
              <w:rPr>
                <w:rFonts w:ascii="Times New Roman" w:hAnsi="Times New Roman"/>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 w:type="pct"/>
            <w:vMerge w:val="continue"/>
            <w:shd w:val="clear" w:color="auto" w:fill="auto"/>
            <w:vAlign w:val="center"/>
          </w:tcPr>
          <w:p>
            <w:pPr>
              <w:jc w:val="center"/>
              <w:rPr>
                <w:rFonts w:ascii="Times New Roman" w:hAnsi="Times New Roman"/>
                <w:sz w:val="18"/>
                <w:szCs w:val="18"/>
              </w:rPr>
            </w:pPr>
          </w:p>
        </w:tc>
        <w:tc>
          <w:tcPr>
            <w:tcW w:w="138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四川盆地</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250</w:t>
            </w:r>
            <w:r>
              <w:rPr>
                <w:rFonts w:hint="eastAsia" w:ascii="Times New Roman" w:hAnsi="Times New Roman"/>
                <w:sz w:val="18"/>
                <w:szCs w:val="18"/>
              </w:rPr>
              <w:t>-</w:t>
            </w:r>
            <w:r>
              <w:rPr>
                <w:rFonts w:ascii="Times New Roman" w:hAnsi="Times New Roman"/>
                <w:sz w:val="18"/>
                <w:szCs w:val="18"/>
              </w:rPr>
              <w:t>300</w:t>
            </w:r>
          </w:p>
        </w:tc>
        <w:tc>
          <w:tcPr>
            <w:tcW w:w="1081" w:type="pct"/>
            <w:shd w:val="clear" w:color="auto" w:fill="auto"/>
            <w:vAlign w:val="center"/>
          </w:tcPr>
          <w:p>
            <w:pPr>
              <w:jc w:val="center"/>
              <w:rPr>
                <w:rFonts w:ascii="Times New Roman" w:hAnsi="Times New Roman"/>
                <w:sz w:val="18"/>
                <w:szCs w:val="18"/>
              </w:rPr>
            </w:pPr>
            <w:r>
              <w:rPr>
                <w:rFonts w:ascii="Times New Roman" w:hAnsi="Times New Roman"/>
                <w:sz w:val="18"/>
                <w:szCs w:val="18"/>
              </w:rPr>
              <w:t>＞70</w:t>
            </w:r>
          </w:p>
        </w:tc>
        <w:tc>
          <w:tcPr>
            <w:tcW w:w="1111" w:type="pct"/>
            <w:shd w:val="clear" w:color="auto" w:fill="auto"/>
            <w:vAlign w:val="center"/>
          </w:tcPr>
          <w:p>
            <w:pPr>
              <w:jc w:val="center"/>
              <w:rPr>
                <w:rFonts w:ascii="Times New Roman" w:hAnsi="Times New Roman"/>
                <w:sz w:val="18"/>
                <w:szCs w:val="18"/>
              </w:rPr>
            </w:pPr>
            <w:r>
              <w:rPr>
                <w:rFonts w:ascii="Times New Roman" w:hAnsi="Times New Roman"/>
                <w:sz w:val="18"/>
                <w:szCs w:val="18"/>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 w:type="pct"/>
            <w:vMerge w:val="continue"/>
            <w:shd w:val="clear" w:color="auto" w:fill="auto"/>
            <w:vAlign w:val="center"/>
          </w:tcPr>
          <w:p>
            <w:pPr>
              <w:jc w:val="center"/>
              <w:rPr>
                <w:rFonts w:ascii="Times New Roman" w:hAnsi="Times New Roman"/>
                <w:sz w:val="18"/>
                <w:szCs w:val="18"/>
              </w:rPr>
            </w:pPr>
          </w:p>
        </w:tc>
        <w:tc>
          <w:tcPr>
            <w:tcW w:w="1380" w:type="pct"/>
            <w:gridSpan w:val="2"/>
            <w:shd w:val="clear" w:color="auto" w:fill="auto"/>
            <w:vAlign w:val="center"/>
          </w:tcPr>
          <w:p>
            <w:pPr>
              <w:jc w:val="center"/>
              <w:rPr>
                <w:rFonts w:ascii="Times New Roman" w:hAnsi="Times New Roman"/>
                <w:sz w:val="18"/>
                <w:szCs w:val="18"/>
              </w:rPr>
            </w:pPr>
            <w:r>
              <w:rPr>
                <w:rFonts w:ascii="Times New Roman" w:hAnsi="Times New Roman"/>
                <w:sz w:val="18"/>
                <w:szCs w:val="18"/>
              </w:rPr>
              <w:t>云阳奉节地区</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280</w:t>
            </w:r>
            <w:r>
              <w:rPr>
                <w:rFonts w:hint="eastAsia" w:ascii="Times New Roman" w:hAnsi="Times New Roman"/>
                <w:sz w:val="18"/>
                <w:szCs w:val="18"/>
              </w:rPr>
              <w:t>-</w:t>
            </w:r>
            <w:r>
              <w:rPr>
                <w:rFonts w:ascii="Times New Roman" w:hAnsi="Times New Roman"/>
                <w:sz w:val="18"/>
                <w:szCs w:val="18"/>
              </w:rPr>
              <w:t>300</w:t>
            </w:r>
          </w:p>
        </w:tc>
        <w:tc>
          <w:tcPr>
            <w:tcW w:w="1081" w:type="pct"/>
            <w:shd w:val="clear" w:color="auto" w:fill="auto"/>
            <w:vAlign w:val="center"/>
          </w:tcPr>
          <w:p>
            <w:pPr>
              <w:jc w:val="center"/>
              <w:rPr>
                <w:rFonts w:ascii="Times New Roman" w:hAnsi="Times New Roman"/>
                <w:sz w:val="18"/>
                <w:szCs w:val="18"/>
              </w:rPr>
            </w:pPr>
          </w:p>
        </w:tc>
        <w:tc>
          <w:tcPr>
            <w:tcW w:w="1111" w:type="pct"/>
            <w:shd w:val="clear" w:color="auto" w:fill="auto"/>
            <w:vAlign w:val="center"/>
          </w:tcPr>
          <w:p>
            <w:pPr>
              <w:jc w:val="center"/>
              <w:rPr>
                <w:rFonts w:ascii="Times New Roman" w:hAnsi="Times New Roman"/>
                <w:sz w:val="18"/>
                <w:szCs w:val="18"/>
              </w:rPr>
            </w:pPr>
            <w:r>
              <w:rPr>
                <w:rFonts w:ascii="Times New Roman" w:hAnsi="Times New Roman"/>
                <w:sz w:val="18"/>
                <w:szCs w:val="18"/>
              </w:rPr>
              <w:t>140</w:t>
            </w:r>
            <w:r>
              <w:rPr>
                <w:rFonts w:hint="eastAsia" w:ascii="Times New Roman" w:hAnsi="Times New Roman"/>
                <w:sz w:val="18"/>
                <w:szCs w:val="18"/>
              </w:rPr>
              <w:t>-</w:t>
            </w:r>
            <w:r>
              <w:rPr>
                <w:rFonts w:ascii="Times New Roman" w:hAnsi="Times New Roman"/>
                <w:sz w:val="18"/>
                <w:szCs w:val="1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 w:type="pct"/>
            <w:vMerge w:val="continue"/>
            <w:shd w:val="clear" w:color="auto" w:fill="auto"/>
            <w:vAlign w:val="center"/>
          </w:tcPr>
          <w:p>
            <w:pPr>
              <w:jc w:val="center"/>
              <w:rPr>
                <w:rFonts w:ascii="Times New Roman" w:hAnsi="Times New Roman"/>
                <w:sz w:val="18"/>
                <w:szCs w:val="18"/>
              </w:rPr>
            </w:pPr>
          </w:p>
        </w:tc>
        <w:tc>
          <w:tcPr>
            <w:tcW w:w="326" w:type="pct"/>
            <w:vMerge w:val="restart"/>
            <w:shd w:val="clear" w:color="auto" w:fill="auto"/>
            <w:vAlign w:val="center"/>
          </w:tcPr>
          <w:p>
            <w:pPr>
              <w:jc w:val="center"/>
              <w:rPr>
                <w:rFonts w:ascii="Times New Roman" w:hAnsi="Times New Roman"/>
                <w:sz w:val="18"/>
                <w:szCs w:val="18"/>
              </w:rPr>
            </w:pPr>
            <w:r>
              <w:rPr>
                <w:rFonts w:ascii="Times New Roman" w:hAnsi="Times New Roman"/>
                <w:sz w:val="18"/>
                <w:szCs w:val="18"/>
              </w:rPr>
              <w:t>三峡库区</w:t>
            </w:r>
          </w:p>
        </w:tc>
        <w:tc>
          <w:tcPr>
            <w:tcW w:w="1054" w:type="pct"/>
            <w:shd w:val="clear" w:color="auto" w:fill="auto"/>
            <w:vAlign w:val="center"/>
          </w:tcPr>
          <w:p>
            <w:pPr>
              <w:jc w:val="center"/>
              <w:rPr>
                <w:rFonts w:ascii="Times New Roman" w:hAnsi="Times New Roman"/>
                <w:sz w:val="18"/>
                <w:szCs w:val="18"/>
              </w:rPr>
            </w:pPr>
            <w:r>
              <w:rPr>
                <w:rFonts w:ascii="Times New Roman" w:hAnsi="Times New Roman"/>
                <w:sz w:val="18"/>
                <w:szCs w:val="18"/>
              </w:rPr>
              <w:t>堆积层滑坡</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50</w:t>
            </w:r>
            <w:r>
              <w:rPr>
                <w:rFonts w:hint="eastAsia" w:ascii="Times New Roman" w:hAnsi="Times New Roman"/>
                <w:sz w:val="18"/>
                <w:szCs w:val="18"/>
              </w:rPr>
              <w:t>-</w:t>
            </w:r>
            <w:r>
              <w:rPr>
                <w:rFonts w:ascii="Times New Roman" w:hAnsi="Times New Roman"/>
                <w:sz w:val="18"/>
                <w:szCs w:val="18"/>
              </w:rPr>
              <w:t>100</w:t>
            </w:r>
          </w:p>
        </w:tc>
        <w:tc>
          <w:tcPr>
            <w:tcW w:w="1081" w:type="pct"/>
            <w:shd w:val="clear" w:color="auto" w:fill="auto"/>
            <w:vAlign w:val="center"/>
          </w:tcPr>
          <w:p>
            <w:pPr>
              <w:jc w:val="center"/>
              <w:rPr>
                <w:rFonts w:ascii="Times New Roman" w:hAnsi="Times New Roman"/>
                <w:sz w:val="18"/>
                <w:szCs w:val="18"/>
              </w:rPr>
            </w:pPr>
            <w:r>
              <w:rPr>
                <w:rFonts w:ascii="Times New Roman" w:hAnsi="Times New Roman"/>
                <w:sz w:val="18"/>
                <w:szCs w:val="18"/>
              </w:rPr>
              <w:t>6</w:t>
            </w:r>
          </w:p>
        </w:tc>
        <w:tc>
          <w:tcPr>
            <w:tcW w:w="1111" w:type="pct"/>
            <w:shd w:val="clear" w:color="auto" w:fill="auto"/>
            <w:vAlign w:val="center"/>
          </w:tcPr>
          <w:p>
            <w:pPr>
              <w:jc w:val="center"/>
              <w:rPr>
                <w:rFonts w:ascii="Times New Roman" w:hAnsi="Times New Roman"/>
                <w:sz w:val="18"/>
                <w:szCs w:val="18"/>
              </w:rPr>
            </w:pPr>
            <w:r>
              <w:rPr>
                <w:rFonts w:ascii="Times New Roman" w:hAnsi="Times New Roman"/>
                <w:sz w:val="18"/>
                <w:szCs w:val="18"/>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 w:type="pct"/>
            <w:vMerge w:val="continue"/>
            <w:shd w:val="clear" w:color="auto" w:fill="auto"/>
            <w:vAlign w:val="center"/>
          </w:tcPr>
          <w:p>
            <w:pPr>
              <w:jc w:val="center"/>
              <w:rPr>
                <w:rFonts w:ascii="Times New Roman" w:hAnsi="Times New Roman"/>
                <w:sz w:val="18"/>
                <w:szCs w:val="18"/>
              </w:rPr>
            </w:pPr>
          </w:p>
        </w:tc>
        <w:tc>
          <w:tcPr>
            <w:tcW w:w="326" w:type="pct"/>
            <w:vMerge w:val="continue"/>
            <w:shd w:val="clear" w:color="auto" w:fill="auto"/>
            <w:vAlign w:val="center"/>
          </w:tcPr>
          <w:p>
            <w:pPr>
              <w:jc w:val="center"/>
              <w:rPr>
                <w:rFonts w:ascii="Times New Roman" w:hAnsi="Times New Roman"/>
                <w:sz w:val="18"/>
                <w:szCs w:val="18"/>
              </w:rPr>
            </w:pPr>
          </w:p>
        </w:tc>
        <w:tc>
          <w:tcPr>
            <w:tcW w:w="1054" w:type="pct"/>
            <w:shd w:val="clear" w:color="auto" w:fill="auto"/>
            <w:vAlign w:val="center"/>
          </w:tcPr>
          <w:p>
            <w:pPr>
              <w:jc w:val="center"/>
              <w:rPr>
                <w:rFonts w:ascii="Times New Roman" w:hAnsi="Times New Roman"/>
                <w:sz w:val="18"/>
                <w:szCs w:val="18"/>
              </w:rPr>
            </w:pPr>
            <w:r>
              <w:rPr>
                <w:rFonts w:ascii="Times New Roman" w:hAnsi="Times New Roman"/>
                <w:sz w:val="18"/>
                <w:szCs w:val="18"/>
              </w:rPr>
              <w:t>中厚层堆积层滑坡和破碎岩石滑坡</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150</w:t>
            </w:r>
            <w:r>
              <w:rPr>
                <w:rFonts w:hint="eastAsia" w:ascii="Times New Roman" w:hAnsi="Times New Roman"/>
                <w:sz w:val="18"/>
                <w:szCs w:val="18"/>
              </w:rPr>
              <w:t>-</w:t>
            </w:r>
            <w:r>
              <w:rPr>
                <w:rFonts w:ascii="Times New Roman" w:hAnsi="Times New Roman"/>
                <w:sz w:val="18"/>
                <w:szCs w:val="18"/>
              </w:rPr>
              <w:t>200</w:t>
            </w:r>
          </w:p>
        </w:tc>
        <w:tc>
          <w:tcPr>
            <w:tcW w:w="1081" w:type="pct"/>
            <w:shd w:val="clear" w:color="auto" w:fill="auto"/>
            <w:vAlign w:val="center"/>
          </w:tcPr>
          <w:p>
            <w:pPr>
              <w:jc w:val="center"/>
              <w:rPr>
                <w:rFonts w:ascii="Times New Roman" w:hAnsi="Times New Roman"/>
                <w:sz w:val="18"/>
                <w:szCs w:val="18"/>
              </w:rPr>
            </w:pPr>
            <w:r>
              <w:rPr>
                <w:rFonts w:ascii="Times New Roman" w:hAnsi="Times New Roman"/>
                <w:sz w:val="18"/>
                <w:szCs w:val="18"/>
              </w:rPr>
              <w:t>10</w:t>
            </w:r>
          </w:p>
        </w:tc>
        <w:tc>
          <w:tcPr>
            <w:tcW w:w="1111" w:type="pct"/>
            <w:shd w:val="clear" w:color="auto" w:fill="auto"/>
            <w:vAlign w:val="center"/>
          </w:tcPr>
          <w:p>
            <w:pPr>
              <w:jc w:val="center"/>
              <w:rPr>
                <w:rFonts w:ascii="Times New Roman" w:hAnsi="Times New Roman"/>
                <w:sz w:val="18"/>
                <w:szCs w:val="18"/>
              </w:rPr>
            </w:pPr>
            <w:r>
              <w:rPr>
                <w:rFonts w:ascii="Times New Roman" w:hAnsi="Times New Roman"/>
                <w:sz w:val="18"/>
                <w:szCs w:val="1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 w:type="pct"/>
            <w:vMerge w:val="continue"/>
            <w:shd w:val="clear" w:color="auto" w:fill="auto"/>
            <w:vAlign w:val="center"/>
          </w:tcPr>
          <w:p>
            <w:pPr>
              <w:jc w:val="center"/>
              <w:rPr>
                <w:rFonts w:ascii="Times New Roman" w:hAnsi="Times New Roman"/>
                <w:sz w:val="18"/>
                <w:szCs w:val="18"/>
              </w:rPr>
            </w:pPr>
          </w:p>
        </w:tc>
        <w:tc>
          <w:tcPr>
            <w:tcW w:w="326" w:type="pct"/>
            <w:vMerge w:val="continue"/>
            <w:shd w:val="clear" w:color="auto" w:fill="auto"/>
            <w:vAlign w:val="center"/>
          </w:tcPr>
          <w:p>
            <w:pPr>
              <w:jc w:val="center"/>
              <w:rPr>
                <w:rFonts w:ascii="Times New Roman" w:hAnsi="Times New Roman"/>
                <w:sz w:val="18"/>
                <w:szCs w:val="18"/>
              </w:rPr>
            </w:pPr>
          </w:p>
        </w:tc>
        <w:tc>
          <w:tcPr>
            <w:tcW w:w="1054" w:type="pct"/>
            <w:shd w:val="clear" w:color="auto" w:fill="auto"/>
            <w:vAlign w:val="center"/>
          </w:tcPr>
          <w:p>
            <w:pPr>
              <w:jc w:val="center"/>
              <w:rPr>
                <w:rFonts w:ascii="Times New Roman" w:hAnsi="Times New Roman"/>
                <w:sz w:val="18"/>
                <w:szCs w:val="18"/>
              </w:rPr>
            </w:pPr>
            <w:r>
              <w:rPr>
                <w:rFonts w:ascii="Times New Roman" w:hAnsi="Times New Roman"/>
                <w:sz w:val="18"/>
                <w:szCs w:val="18"/>
              </w:rPr>
              <w:t>厚层大型堆积层滑坡和基岩滑坡</w:t>
            </w:r>
          </w:p>
        </w:tc>
        <w:tc>
          <w:tcPr>
            <w:tcW w:w="1164" w:type="pct"/>
            <w:shd w:val="clear" w:color="auto" w:fill="auto"/>
            <w:vAlign w:val="center"/>
          </w:tcPr>
          <w:p>
            <w:pPr>
              <w:jc w:val="center"/>
              <w:rPr>
                <w:rFonts w:ascii="Times New Roman" w:hAnsi="Times New Roman"/>
                <w:sz w:val="18"/>
                <w:szCs w:val="18"/>
              </w:rPr>
            </w:pPr>
            <w:r>
              <w:rPr>
                <w:rFonts w:ascii="Times New Roman" w:hAnsi="Times New Roman"/>
                <w:sz w:val="18"/>
                <w:szCs w:val="18"/>
              </w:rPr>
              <w:t>250</w:t>
            </w:r>
            <w:r>
              <w:rPr>
                <w:rFonts w:hint="eastAsia" w:ascii="Times New Roman" w:hAnsi="Times New Roman"/>
                <w:sz w:val="18"/>
                <w:szCs w:val="18"/>
              </w:rPr>
              <w:t>-</w:t>
            </w:r>
            <w:r>
              <w:rPr>
                <w:rFonts w:ascii="Times New Roman" w:hAnsi="Times New Roman"/>
                <w:sz w:val="18"/>
                <w:szCs w:val="18"/>
              </w:rPr>
              <w:t>330</w:t>
            </w:r>
          </w:p>
        </w:tc>
        <w:tc>
          <w:tcPr>
            <w:tcW w:w="1081" w:type="pct"/>
            <w:shd w:val="clear" w:color="auto" w:fill="auto"/>
            <w:vAlign w:val="center"/>
          </w:tcPr>
          <w:p>
            <w:pPr>
              <w:jc w:val="center"/>
              <w:rPr>
                <w:rFonts w:ascii="Times New Roman" w:hAnsi="Times New Roman"/>
                <w:sz w:val="18"/>
                <w:szCs w:val="18"/>
              </w:rPr>
            </w:pPr>
            <w:r>
              <w:rPr>
                <w:rFonts w:ascii="Times New Roman" w:hAnsi="Times New Roman"/>
                <w:sz w:val="18"/>
                <w:szCs w:val="18"/>
              </w:rPr>
              <w:t>13</w:t>
            </w:r>
          </w:p>
        </w:tc>
        <w:tc>
          <w:tcPr>
            <w:tcW w:w="1111" w:type="pct"/>
            <w:shd w:val="clear" w:color="auto" w:fill="auto"/>
            <w:vAlign w:val="center"/>
          </w:tcPr>
          <w:p>
            <w:pPr>
              <w:jc w:val="center"/>
              <w:rPr>
                <w:rFonts w:ascii="Times New Roman" w:hAnsi="Times New Roman"/>
                <w:sz w:val="18"/>
                <w:szCs w:val="18"/>
              </w:rPr>
            </w:pPr>
            <w:r>
              <w:rPr>
                <w:rFonts w:ascii="Times New Roman" w:hAnsi="Times New Roman"/>
                <w:sz w:val="18"/>
                <w:szCs w:val="18"/>
              </w:rPr>
              <w:t>150</w:t>
            </w:r>
          </w:p>
        </w:tc>
      </w:tr>
    </w:tbl>
    <w:p>
      <w:pPr>
        <w:widowControl/>
        <w:tabs>
          <w:tab w:val="left" w:pos="360"/>
        </w:tabs>
        <w:spacing w:before="120" w:beforeLines="50" w:after="120" w:afterLines="50"/>
        <w:jc w:val="center"/>
        <w:rPr>
          <w:rFonts w:ascii="黑体" w:hAnsi="黑体" w:eastAsia="黑体"/>
          <w:kern w:val="0"/>
          <w:szCs w:val="21"/>
        </w:r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L-</w:t>
      </w:r>
      <w:r>
        <w:rPr>
          <w:rFonts w:ascii="黑体" w:hAnsi="黑体" w:eastAsia="黑体"/>
          <w:kern w:val="0"/>
          <w:szCs w:val="21"/>
        </w:rPr>
        <w:t>6</w:t>
      </w:r>
      <w:r>
        <w:rPr>
          <w:rFonts w:hint="eastAsia" w:ascii="黑体" w:hAnsi="黑体" w:eastAsia="黑体"/>
          <w:kern w:val="0"/>
          <w:szCs w:val="21"/>
        </w:rPr>
        <w:t xml:space="preserve">  </w:t>
      </w:r>
      <w:r>
        <w:rPr>
          <w:rFonts w:ascii="黑体" w:hAnsi="黑体" w:eastAsia="黑体"/>
          <w:kern w:val="0"/>
          <w:szCs w:val="21"/>
        </w:rPr>
        <w:t>四川、重庆部分地区发生滑坡的降雨特征值</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3"/>
        <w:gridCol w:w="1795"/>
        <w:gridCol w:w="1975"/>
        <w:gridCol w:w="1973"/>
        <w:gridCol w:w="1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Merge w:val="restar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县名</w:t>
            </w:r>
          </w:p>
        </w:tc>
        <w:tc>
          <w:tcPr>
            <w:tcW w:w="1970" w:type="pct"/>
            <w:gridSpan w:val="2"/>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滑坡开始发生时的降雨量</w:t>
            </w:r>
          </w:p>
          <w:p>
            <w:pPr>
              <w:autoSpaceDE w:val="0"/>
              <w:autoSpaceDN w:val="0"/>
              <w:adjustRightInd w:val="0"/>
              <w:jc w:val="center"/>
              <w:rPr>
                <w:rFonts w:ascii="Times New Roman" w:hAnsi="Times New Roman"/>
                <w:kern w:val="0"/>
                <w:sz w:val="18"/>
                <w:szCs w:val="18"/>
              </w:rPr>
            </w:pPr>
            <w:r>
              <w:rPr>
                <w:rFonts w:ascii="Times New Roman" w:hAnsi="Times New Roman"/>
                <w:bCs/>
                <w:kern w:val="0"/>
                <w:sz w:val="18"/>
                <w:szCs w:val="18"/>
              </w:rPr>
              <w:t>mm</w:t>
            </w:r>
          </w:p>
        </w:tc>
        <w:tc>
          <w:tcPr>
            <w:tcW w:w="2020" w:type="pct"/>
            <w:gridSpan w:val="2"/>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滑坡大量发生时的降雨量</w:t>
            </w:r>
          </w:p>
          <w:p>
            <w:pPr>
              <w:autoSpaceDE w:val="0"/>
              <w:autoSpaceDN w:val="0"/>
              <w:adjustRightInd w:val="0"/>
              <w:jc w:val="center"/>
              <w:rPr>
                <w:rFonts w:ascii="Times New Roman" w:hAnsi="Times New Roman"/>
                <w:kern w:val="0"/>
                <w:sz w:val="18"/>
                <w:szCs w:val="18"/>
              </w:rPr>
            </w:pPr>
            <w:r>
              <w:rPr>
                <w:rFonts w:ascii="Times New Roman" w:hAnsi="Times New Roman"/>
                <w:bCs/>
                <w:kern w:val="0"/>
                <w:sz w:val="18"/>
                <w:szCs w:val="18"/>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Merge w:val="continue"/>
            <w:vAlign w:val="center"/>
          </w:tcPr>
          <w:p>
            <w:pPr>
              <w:autoSpaceDE w:val="0"/>
              <w:autoSpaceDN w:val="0"/>
              <w:adjustRightInd w:val="0"/>
              <w:jc w:val="center"/>
              <w:rPr>
                <w:rFonts w:ascii="Times New Roman" w:hAnsi="Times New Roman"/>
                <w:kern w:val="0"/>
                <w:sz w:val="18"/>
                <w:szCs w:val="18"/>
              </w:rPr>
            </w:pP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累积降雨量</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日降雨量</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累积降雨量</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日降雨量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广元</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136.0</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34.0</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308.5</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旺苍</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119.9</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68.1</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295.5</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79.6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阆中</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98.1</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20.1</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279.7</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181.6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剑阁</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109.5</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89.1</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253.8</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盐亭</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130.6</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33.5</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331.5</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三台</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168.4</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74.2</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452.2</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射洪</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91.5</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87.5</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349.0</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忠县</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139.0</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139.0</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289.7</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138.2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开县</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53.4</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51.4</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280.8</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153.8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0"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奉节</w:t>
            </w:r>
          </w:p>
        </w:tc>
        <w:tc>
          <w:tcPr>
            <w:tcW w:w="938"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113.7</w:t>
            </w:r>
          </w:p>
        </w:tc>
        <w:tc>
          <w:tcPr>
            <w:tcW w:w="1032"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47.9</w:t>
            </w:r>
          </w:p>
        </w:tc>
        <w:tc>
          <w:tcPr>
            <w:tcW w:w="1031"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218.9</w:t>
            </w:r>
          </w:p>
        </w:tc>
        <w:tc>
          <w:tcPr>
            <w:tcW w:w="989"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150.1</w:t>
            </w:r>
          </w:p>
        </w:tc>
      </w:tr>
    </w:tbl>
    <w:p>
      <w:pPr>
        <w:tabs>
          <w:tab w:val="center" w:pos="4201"/>
          <w:tab w:val="right" w:leader="dot" w:pos="9298"/>
        </w:tabs>
        <w:autoSpaceDE w:val="0"/>
        <w:autoSpaceDN w:val="0"/>
        <w:spacing w:line="360" w:lineRule="auto"/>
        <w:rPr>
          <w:rFonts w:ascii="黑体" w:hAnsi="黑体" w:eastAsia="黑体"/>
          <w:kern w:val="0"/>
          <w:szCs w:val="21"/>
        </w:rPr>
      </w:pPr>
    </w:p>
    <w:p>
      <w:pPr>
        <w:tabs>
          <w:tab w:val="center" w:pos="4201"/>
          <w:tab w:val="right" w:leader="dot" w:pos="9298"/>
        </w:tabs>
        <w:autoSpaceDE w:val="0"/>
        <w:autoSpaceDN w:val="0"/>
        <w:spacing w:line="360" w:lineRule="auto"/>
        <w:rPr>
          <w:rFonts w:ascii="黑体" w:hAnsi="黑体" w:eastAsia="黑体"/>
          <w:kern w:val="0"/>
          <w:szCs w:val="21"/>
        </w:rPr>
        <w:sectPr>
          <w:pgSz w:w="11906" w:h="16838"/>
          <w:pgMar w:top="1418" w:right="1134" w:bottom="1134" w:left="1418" w:header="851" w:footer="992" w:gutter="0"/>
          <w:cols w:space="425" w:num="1"/>
          <w:docGrid w:linePitch="312" w:charSpace="0"/>
        </w:sect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L-</w:t>
      </w:r>
      <w:r>
        <w:rPr>
          <w:rFonts w:ascii="黑体" w:hAnsi="黑体" w:eastAsia="黑体"/>
          <w:kern w:val="0"/>
          <w:szCs w:val="21"/>
        </w:rPr>
        <w:t>7</w:t>
      </w:r>
      <w:r>
        <w:rPr>
          <w:rFonts w:hint="eastAsia" w:ascii="黑体" w:hAnsi="黑体" w:eastAsia="黑体"/>
          <w:kern w:val="0"/>
          <w:szCs w:val="21"/>
        </w:rPr>
        <w:t xml:space="preserve">  </w:t>
      </w:r>
      <w:r>
        <w:rPr>
          <w:rFonts w:ascii="黑体" w:hAnsi="黑体" w:eastAsia="黑体"/>
          <w:kern w:val="0"/>
          <w:szCs w:val="21"/>
        </w:rPr>
        <w:t>一些滑坡滑动前的宏观前兆异常特征</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2"/>
        <w:gridCol w:w="7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滑坡名称</w:t>
            </w:r>
          </w:p>
        </w:tc>
        <w:tc>
          <w:tcPr>
            <w:tcW w:w="385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滑坡前宏观前兆异常特征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湖北秭归新滩滑坡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1983年滑坡前前缘斜坡柳林至湖北省西陵峡岩崩调查工作处招待所一线泉水变浑，水量增大，湿地面积突然增大，在滑体上段姜家坡望人角一带（高程520</w:t>
            </w:r>
            <w:r>
              <w:rPr>
                <w:rFonts w:hint="eastAsia" w:ascii="Times New Roman" w:hAnsi="Times New Roman"/>
                <w:kern w:val="0"/>
                <w:sz w:val="18"/>
                <w:szCs w:val="18"/>
              </w:rPr>
              <w:t xml:space="preserve"> </w:t>
            </w:r>
            <w:r>
              <w:rPr>
                <w:rFonts w:ascii="Times New Roman" w:hAnsi="Times New Roman"/>
                <w:kern w:val="0"/>
                <w:sz w:val="18"/>
                <w:szCs w:val="18"/>
              </w:rPr>
              <w:t>m）70万方土石下滑前5分钟左右，斜坡突然喷射超高压泥沙水流（或气流）三丈余高。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广元县大石区滑坡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滑坡前，发现大、小猴子下山糟蹋庄稼，抢吃山粮。同时发现蛇和老鼠爬树，过后不几天发生大滑坡。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贵州平溪特大滑坡</w:t>
            </w:r>
          </w:p>
        </w:tc>
        <w:tc>
          <w:tcPr>
            <w:tcW w:w="3855" w:type="pct"/>
            <w:vAlign w:val="center"/>
          </w:tcPr>
          <w:p>
            <w:pPr>
              <w:autoSpaceDE w:val="0"/>
              <w:autoSpaceDN w:val="0"/>
              <w:adjustRightInd w:val="0"/>
              <w:rPr>
                <w:rFonts w:ascii="Times New Roman" w:hAnsi="Times New Roman" w:eastAsiaTheme="minorEastAsia"/>
                <w:kern w:val="0"/>
                <w:sz w:val="18"/>
                <w:szCs w:val="18"/>
              </w:rPr>
            </w:pPr>
            <w:r>
              <w:rPr>
                <w:rFonts w:ascii="Times New Roman" w:hAnsi="Times New Roman" w:eastAsiaTheme="minorEastAsia"/>
                <w:kern w:val="0"/>
                <w:sz w:val="18"/>
                <w:szCs w:val="18"/>
              </w:rPr>
              <w:t>2003年5月11日发生，发生前半小时内听见狗狂吠。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鹤哥山崩</w:t>
            </w:r>
          </w:p>
        </w:tc>
        <w:tc>
          <w:tcPr>
            <w:tcW w:w="3855" w:type="pct"/>
            <w:vAlign w:val="center"/>
          </w:tcPr>
          <w:p>
            <w:pPr>
              <w:autoSpaceDE w:val="0"/>
              <w:autoSpaceDN w:val="0"/>
              <w:adjustRightInd w:val="0"/>
              <w:rPr>
                <w:rFonts w:ascii="Times New Roman" w:hAnsi="Times New Roman" w:eastAsiaTheme="minorEastAsia"/>
                <w:kern w:val="0"/>
                <w:sz w:val="18"/>
                <w:szCs w:val="18"/>
              </w:rPr>
            </w:pPr>
            <w:r>
              <w:rPr>
                <w:rFonts w:ascii="Times New Roman" w:hAnsi="Times New Roman" w:eastAsiaTheme="minorEastAsia"/>
                <w:kern w:val="0"/>
                <w:sz w:val="18"/>
                <w:szCs w:val="18"/>
              </w:rPr>
              <w:t>据记载</w:t>
            </w:r>
            <w:r>
              <w:rPr>
                <w:rFonts w:ascii="宋体" w:hAnsi="宋体"/>
                <w:kern w:val="0"/>
                <w:sz w:val="18"/>
                <w:szCs w:val="18"/>
              </w:rPr>
              <w:t>“</w:t>
            </w:r>
            <w:r>
              <w:rPr>
                <w:rFonts w:ascii="Times New Roman" w:hAnsi="Times New Roman" w:eastAsiaTheme="minorEastAsia"/>
                <w:kern w:val="0"/>
                <w:sz w:val="18"/>
                <w:szCs w:val="18"/>
              </w:rPr>
              <w:t>公元1599年</w:t>
            </w:r>
            <w:r>
              <w:rPr>
                <w:rFonts w:hint="eastAsia" w:ascii="Times New Roman" w:hAnsi="Times New Roman" w:eastAsiaTheme="minorEastAsia"/>
                <w:kern w:val="0"/>
                <w:sz w:val="18"/>
                <w:szCs w:val="18"/>
              </w:rPr>
              <w:t>（</w:t>
            </w:r>
            <w:r>
              <w:rPr>
                <w:rFonts w:ascii="Times New Roman" w:hAnsi="Times New Roman" w:eastAsiaTheme="minorEastAsia"/>
                <w:kern w:val="0"/>
                <w:sz w:val="18"/>
                <w:szCs w:val="18"/>
              </w:rPr>
              <w:t>明万历二十七午</w:t>
            </w:r>
            <w:r>
              <w:rPr>
                <w:rFonts w:hint="eastAsia" w:ascii="Times New Roman" w:hAnsi="Times New Roman" w:eastAsiaTheme="minorEastAsia"/>
                <w:kern w:val="0"/>
                <w:sz w:val="18"/>
                <w:szCs w:val="18"/>
              </w:rPr>
              <w:t>）</w:t>
            </w:r>
            <w:r>
              <w:rPr>
                <w:rFonts w:ascii="Times New Roman" w:hAnsi="Times New Roman" w:eastAsiaTheme="minorEastAsia"/>
                <w:kern w:val="0"/>
                <w:sz w:val="18"/>
                <w:szCs w:val="18"/>
              </w:rPr>
              <w:t>狄道城东五里外，地名鹤哥山崩稍北拥出小山五座，分袭田地陷没坟墓未崩之先土民夜闻山中鼓吹之声不数日而山崩焉</w:t>
            </w:r>
            <w:r>
              <w:rPr>
                <w:rFonts w:asciiTheme="minorEastAsia" w:hAnsiTheme="minorEastAsia" w:eastAsiaTheme="minorEastAsia"/>
                <w:kern w:val="0"/>
                <w:sz w:val="18"/>
                <w:szCs w:val="18"/>
              </w:rPr>
              <w:t>”</w:t>
            </w:r>
            <w:r>
              <w:rPr>
                <w:rFonts w:ascii="Times New Roman" w:hAnsi="Times New Roman" w:eastAsiaTheme="minorEastAsia"/>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三峡库区千将坪滑坡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滑坡在2003年7月14日发生，发生前数天内，青干河滑坡部位突然鱼群聚集，致使周围渔民纷纷聚集于此打鱼。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沙岭滑坡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滑坡发生前有明显的变形，滑坡前缘开始有小的滑动，滑坡体上农田普遍开裂，裂缝最宽达1 m。且地下泉水变大水质变浑和冒气，有的地方还出现新泉。动物也有异常，诸如猪翻圈，耕牛惊叫，老鼠搬家等。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石柱县盈丰大滑坡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滑坡前，滑体上出现猪拱地，翻圈外逃，耕牛惊叫，老鼠搬家等动物反常现象。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四川青神县白菜滑坡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1980年四川青神县白菜崩滑体崩滑前，正在耕田的牛，骤然惊慌乱跑，不听主人呼叫，之后约一刻钟暴发了一场大滑大崩灾害。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四川省马头嘴滑坡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1981年7月16日4时地裂缝迅速扩大，随着一声巨响滑坡开始滑动。滑坡发生前地声明显，滑坡前滑体上曾有牛不进圈等动物异常前兆，滑坡后也有鼠爬竹子等动物异常现象。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天宝滑坡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滑坡在大滑动前一天听到地下像打闷雷的声响，猪牛不宁，不停嚎叫，扯人裤脚。1982年7月17日7时，滑坡前缘开始滑动，8</w:t>
            </w:r>
            <w:r>
              <w:rPr>
                <w:rFonts w:hint="eastAsia" w:ascii="Times New Roman" w:hAnsi="Times New Roman"/>
                <w:kern w:val="0"/>
                <w:sz w:val="18"/>
                <w:szCs w:val="18"/>
              </w:rPr>
              <w:t>-</w:t>
            </w:r>
            <w:r>
              <w:rPr>
                <w:rFonts w:ascii="Times New Roman" w:hAnsi="Times New Roman"/>
                <w:kern w:val="0"/>
                <w:sz w:val="18"/>
                <w:szCs w:val="18"/>
              </w:rPr>
              <w:t>9时，房屋普通开裂。11时，开始大滑动。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西藏易贡滑坡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2000年西藏易贡滑坡发生前数日，见扎隆沟内水流变黑，并散发出一股难闻的味道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云阳大滑坡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滑坡前，滑体前缘龙头处出现小股承压自喷浑泉，喷射水头高达2</w:t>
            </w:r>
            <w:r>
              <w:rPr>
                <w:rFonts w:hint="eastAsia" w:ascii="Times New Roman" w:hAnsi="Times New Roman"/>
                <w:kern w:val="0"/>
                <w:sz w:val="18"/>
                <w:szCs w:val="18"/>
              </w:rPr>
              <w:t>-</w:t>
            </w:r>
            <w:r>
              <w:rPr>
                <w:rFonts w:ascii="Times New Roman" w:hAnsi="Times New Roman"/>
                <w:kern w:val="0"/>
                <w:sz w:val="18"/>
                <w:szCs w:val="18"/>
              </w:rPr>
              <w:t>3米，出现狗哭泣，只喝水不吃食，悲伤得死去活来，两天后发生大于1 000万方的滑坡。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中江县滑坡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滑坡前一个星期，老鼠上山偷吃玉米，2</w:t>
            </w:r>
            <w:r>
              <w:rPr>
                <w:rFonts w:hint="eastAsia" w:ascii="Times New Roman" w:hAnsi="Times New Roman"/>
                <w:kern w:val="0"/>
                <w:sz w:val="18"/>
                <w:szCs w:val="18"/>
              </w:rPr>
              <w:t>-</w:t>
            </w:r>
            <w:r>
              <w:rPr>
                <w:rFonts w:ascii="Times New Roman" w:hAnsi="Times New Roman"/>
                <w:kern w:val="0"/>
                <w:sz w:val="18"/>
                <w:szCs w:val="18"/>
              </w:rPr>
              <w:t>3天吃光了3</w:t>
            </w:r>
            <w:r>
              <w:rPr>
                <w:rFonts w:hint="eastAsia" w:ascii="Times New Roman" w:hAnsi="Times New Roman"/>
                <w:kern w:val="0"/>
                <w:sz w:val="18"/>
                <w:szCs w:val="18"/>
              </w:rPr>
              <w:t>-</w:t>
            </w:r>
            <w:r>
              <w:rPr>
                <w:rFonts w:ascii="Times New Roman" w:hAnsi="Times New Roman"/>
                <w:kern w:val="0"/>
                <w:sz w:val="18"/>
                <w:szCs w:val="18"/>
              </w:rPr>
              <w:t>4亩地玉米，白天定居树上。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资中枣树公社滑坡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滑坡前三天，地面鼓包开裂，冒出浑水；滑前1</w:t>
            </w:r>
            <w:r>
              <w:rPr>
                <w:rFonts w:hint="eastAsia" w:ascii="Times New Roman" w:hAnsi="Times New Roman"/>
                <w:kern w:val="0"/>
                <w:sz w:val="18"/>
                <w:szCs w:val="18"/>
              </w:rPr>
              <w:t>-</w:t>
            </w:r>
            <w:r>
              <w:rPr>
                <w:rFonts w:ascii="Times New Roman" w:hAnsi="Times New Roman"/>
                <w:kern w:val="0"/>
                <w:sz w:val="18"/>
                <w:szCs w:val="18"/>
              </w:rPr>
              <w:t>2天，发现家蜂陆续飞逃，大雀鸟叼着没长毛地小鸟强行搬迁，次日发生滑坡。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旺苍县滑坡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1981年8月旺苍县许多滑坡滑动前出现猪、牛在圈内惊恐不安，大声惨叫，次日发生滑坡。王家沟滑坡前，地面溢出红泥浆水，涌出浑泉，湿地遍布。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南江县大滑坡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1974年9月14日大滑坡前一天，于滑体前缘突然冒出一股泉水，14日7时泉水流量增大，水变浑，至8</w:t>
            </w:r>
            <w:r>
              <w:rPr>
                <w:rFonts w:hint="eastAsia" w:ascii="Times New Roman" w:hAnsi="Times New Roman"/>
                <w:kern w:val="0"/>
                <w:sz w:val="18"/>
                <w:szCs w:val="18"/>
              </w:rPr>
              <w:t>-</w:t>
            </w:r>
            <w:r>
              <w:rPr>
                <w:rFonts w:ascii="Times New Roman" w:hAnsi="Times New Roman"/>
                <w:kern w:val="0"/>
                <w:sz w:val="18"/>
                <w:szCs w:val="18"/>
              </w:rPr>
              <w:t>9时出现喷泉，9时20分就发生大滑坡</w:t>
            </w:r>
            <w:r>
              <w:rPr>
                <w:rFonts w:hint="eastAsia" w:ascii="Times New Roman" w:hAnsi="Times New Roman"/>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攀钢石灰石矿滑坡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1981年滑前亦听到岩体位移的错断声。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四川越西铁西滑坡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1980年滑前起动均听到闷雷式隆隆声。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恩施杨家滑坡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1980年滑坡滑前一天，滑体中部碗口粗浑水上涌12小时才消失。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利川石坪寨滑坡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1982年滑前三天，滑体中部冒出脸盆粗二股含泥浑泉；同年巴东罗圈岩崩滑坡，滑前12小时在前缘多处冒浑水。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5"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陕西宁强石家坡滑坡</w:t>
            </w:r>
          </w:p>
        </w:tc>
        <w:tc>
          <w:tcPr>
            <w:tcW w:w="3855"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1981年滑坡前，前缘出现了高压射流的泥气流喷发，几小时后即发生了高速滑坡</w:t>
            </w:r>
            <w:r>
              <w:rPr>
                <w:rFonts w:hint="eastAsia" w:ascii="Times New Roman" w:hAnsi="Times New Roman"/>
                <w:kern w:val="0"/>
                <w:sz w:val="18"/>
                <w:szCs w:val="18"/>
              </w:rPr>
              <w:t>。</w:t>
            </w:r>
          </w:p>
        </w:tc>
      </w:tr>
    </w:tbl>
    <w:p>
      <w:pPr>
        <w:tabs>
          <w:tab w:val="center" w:pos="4201"/>
          <w:tab w:val="right" w:leader="dot" w:pos="9298"/>
        </w:tabs>
        <w:autoSpaceDE w:val="0"/>
        <w:autoSpaceDN w:val="0"/>
        <w:spacing w:line="360" w:lineRule="auto"/>
        <w:rPr>
          <w:rFonts w:ascii="黑体" w:hAnsi="黑体" w:eastAsia="黑体"/>
          <w:kern w:val="0"/>
          <w:szCs w:val="21"/>
        </w:rPr>
      </w:pPr>
    </w:p>
    <w:p>
      <w:pPr>
        <w:tabs>
          <w:tab w:val="center" w:pos="4201"/>
          <w:tab w:val="right" w:leader="dot" w:pos="9298"/>
        </w:tabs>
        <w:autoSpaceDE w:val="0"/>
        <w:autoSpaceDN w:val="0"/>
        <w:spacing w:line="360" w:lineRule="auto"/>
        <w:rPr>
          <w:rFonts w:ascii="黑体" w:hAnsi="黑体" w:eastAsia="黑体"/>
          <w:kern w:val="0"/>
          <w:szCs w:val="21"/>
        </w:rPr>
        <w:sectPr>
          <w:pgSz w:w="11906" w:h="16838"/>
          <w:pgMar w:top="1418" w:right="1134" w:bottom="1134" w:left="1418" w:header="851" w:footer="992" w:gutter="0"/>
          <w:cols w:space="425" w:num="1"/>
          <w:docGrid w:linePitch="312" w:charSpace="0"/>
        </w:sectPr>
      </w:pPr>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L-</w:t>
      </w:r>
      <w:r>
        <w:rPr>
          <w:rFonts w:ascii="黑体" w:hAnsi="黑体" w:eastAsia="黑体"/>
          <w:kern w:val="0"/>
          <w:szCs w:val="21"/>
        </w:rPr>
        <w:t>8</w:t>
      </w:r>
      <w:r>
        <w:rPr>
          <w:rFonts w:hint="eastAsia" w:ascii="黑体" w:hAnsi="黑体" w:eastAsia="黑体"/>
          <w:kern w:val="0"/>
          <w:szCs w:val="21"/>
        </w:rPr>
        <w:t xml:space="preserve">  </w:t>
      </w:r>
      <w:r>
        <w:rPr>
          <w:rFonts w:ascii="黑体" w:hAnsi="黑体" w:eastAsia="黑体"/>
          <w:kern w:val="0"/>
          <w:szCs w:val="21"/>
        </w:rPr>
        <w:t>一些滑坡破坏前的变形情况</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5"/>
        <w:gridCol w:w="6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滑坡名称</w:t>
            </w:r>
          </w:p>
        </w:tc>
        <w:tc>
          <w:tcPr>
            <w:tcW w:w="3273"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破坏前变形情况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新滩滑坡</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滑坡前一个月，A3</w:t>
            </w:r>
            <w:r>
              <w:rPr>
                <w:rFonts w:hint="eastAsia" w:ascii="Times New Roman" w:hAnsi="Times New Roman"/>
                <w:kern w:val="0"/>
                <w:sz w:val="18"/>
                <w:szCs w:val="18"/>
              </w:rPr>
              <w:t>、</w:t>
            </w:r>
            <w:r>
              <w:rPr>
                <w:rFonts w:ascii="Times New Roman" w:hAnsi="Times New Roman"/>
                <w:kern w:val="0"/>
                <w:sz w:val="18"/>
                <w:szCs w:val="18"/>
              </w:rPr>
              <w:t>B3点平均变形速率为85.9</w:t>
            </w:r>
            <w:r>
              <w:rPr>
                <w:rFonts w:hint="eastAsia" w:ascii="Times New Roman" w:hAnsi="Times New Roman"/>
                <w:kern w:val="0"/>
                <w:sz w:val="18"/>
                <w:szCs w:val="18"/>
              </w:rPr>
              <w:t>-</w:t>
            </w:r>
            <w:r>
              <w:rPr>
                <w:rFonts w:ascii="Times New Roman" w:hAnsi="Times New Roman"/>
                <w:kern w:val="0"/>
                <w:sz w:val="18"/>
                <w:szCs w:val="18"/>
              </w:rPr>
              <w:t>399</w:t>
            </w:r>
            <w:r>
              <w:rPr>
                <w:rFonts w:hint="eastAsia" w:ascii="Times New Roman" w:hAnsi="Times New Roman"/>
                <w:kern w:val="0"/>
                <w:sz w:val="18"/>
                <w:szCs w:val="18"/>
              </w:rPr>
              <w:t xml:space="preserve"> </w:t>
            </w:r>
            <w:r>
              <w:rPr>
                <w:rFonts w:ascii="Times New Roman" w:hAnsi="Times New Roman"/>
                <w:kern w:val="0"/>
                <w:sz w:val="18"/>
                <w:szCs w:val="18"/>
              </w:rPr>
              <w:t>mm/d。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酒埠江滑坡</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滑动破坏前一个月，变形速率为10</w:t>
            </w:r>
            <w:r>
              <w:rPr>
                <w:rFonts w:hint="eastAsia" w:ascii="Times New Roman" w:hAnsi="Times New Roman"/>
                <w:kern w:val="0"/>
                <w:sz w:val="18"/>
                <w:szCs w:val="18"/>
              </w:rPr>
              <w:t xml:space="preserve"> </w:t>
            </w:r>
            <w:r>
              <w:rPr>
                <w:rFonts w:ascii="Times New Roman" w:hAnsi="Times New Roman"/>
                <w:kern w:val="0"/>
                <w:sz w:val="18"/>
                <w:szCs w:val="18"/>
              </w:rPr>
              <w:t>mm/d左右，裂隙宽度每天增加10</w:t>
            </w:r>
            <w:r>
              <w:rPr>
                <w:rFonts w:hint="eastAsia" w:ascii="Times New Roman" w:hAnsi="Times New Roman"/>
                <w:kern w:val="0"/>
                <w:sz w:val="18"/>
                <w:szCs w:val="18"/>
              </w:rPr>
              <w:t xml:space="preserve"> </w:t>
            </w:r>
            <w:r>
              <w:rPr>
                <w:rFonts w:ascii="Times New Roman" w:hAnsi="Times New Roman"/>
                <w:kern w:val="0"/>
                <w:sz w:val="18"/>
                <w:szCs w:val="18"/>
              </w:rPr>
              <w:t>mm左右。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李家沱滑坡</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滑动破坏前22天，平均水平方向变形速率为8.2</w:t>
            </w:r>
            <w:r>
              <w:rPr>
                <w:rFonts w:hint="eastAsia" w:ascii="Times New Roman" w:hAnsi="Times New Roman"/>
                <w:kern w:val="0"/>
                <w:sz w:val="18"/>
                <w:szCs w:val="18"/>
              </w:rPr>
              <w:t xml:space="preserve"> </w:t>
            </w:r>
            <w:r>
              <w:rPr>
                <w:rFonts w:ascii="Times New Roman" w:hAnsi="Times New Roman"/>
                <w:kern w:val="0"/>
                <w:sz w:val="18"/>
                <w:szCs w:val="18"/>
              </w:rPr>
              <w:t>mm/d，竖直方向变形速率为9.2</w:t>
            </w:r>
            <w:r>
              <w:rPr>
                <w:rFonts w:hint="eastAsia" w:ascii="Times New Roman" w:hAnsi="Times New Roman"/>
                <w:kern w:val="0"/>
                <w:sz w:val="18"/>
                <w:szCs w:val="18"/>
              </w:rPr>
              <w:t xml:space="preserve"> </w:t>
            </w:r>
            <w:r>
              <w:rPr>
                <w:rFonts w:ascii="Times New Roman" w:hAnsi="Times New Roman"/>
                <w:kern w:val="0"/>
                <w:sz w:val="18"/>
                <w:szCs w:val="18"/>
              </w:rPr>
              <w:t>mm/d。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瓦依昂滑坡</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滑前半年左右开始加速变形，变形速率为1.4</w:t>
            </w:r>
            <w:r>
              <w:rPr>
                <w:rFonts w:hint="eastAsia" w:ascii="Times New Roman" w:hAnsi="Times New Roman"/>
                <w:kern w:val="0"/>
                <w:sz w:val="18"/>
                <w:szCs w:val="18"/>
              </w:rPr>
              <w:t xml:space="preserve"> </w:t>
            </w:r>
            <w:r>
              <w:rPr>
                <w:rFonts w:ascii="Times New Roman" w:hAnsi="Times New Roman"/>
                <w:kern w:val="0"/>
                <w:sz w:val="18"/>
                <w:szCs w:val="18"/>
              </w:rPr>
              <w:t>mm/d，滑前21天至15天(1963年9月18日至24日)，变形速率为10</w:t>
            </w:r>
            <w:r>
              <w:rPr>
                <w:rFonts w:hint="eastAsia" w:ascii="Times New Roman" w:hAnsi="Times New Roman"/>
                <w:kern w:val="0"/>
                <w:sz w:val="18"/>
                <w:szCs w:val="18"/>
              </w:rPr>
              <w:t xml:space="preserve"> </w:t>
            </w:r>
            <w:r>
              <w:rPr>
                <w:rFonts w:ascii="Times New Roman" w:hAnsi="Times New Roman"/>
                <w:kern w:val="0"/>
                <w:sz w:val="18"/>
                <w:szCs w:val="18"/>
              </w:rPr>
              <w:t>mm/d；9月25日至10月1日，变形速率为100</w:t>
            </w:r>
            <w:r>
              <w:rPr>
                <w:rFonts w:hint="eastAsia" w:ascii="Times New Roman" w:hAnsi="Times New Roman"/>
                <w:kern w:val="0"/>
                <w:sz w:val="18"/>
                <w:szCs w:val="18"/>
              </w:rPr>
              <w:t>-</w:t>
            </w:r>
            <w:r>
              <w:rPr>
                <w:rFonts w:ascii="Times New Roman" w:hAnsi="Times New Roman"/>
                <w:kern w:val="0"/>
                <w:sz w:val="18"/>
                <w:szCs w:val="18"/>
              </w:rPr>
              <w:t>200</w:t>
            </w:r>
            <w:r>
              <w:rPr>
                <w:rFonts w:hint="eastAsia" w:ascii="Times New Roman" w:hAnsi="Times New Roman"/>
                <w:kern w:val="0"/>
                <w:sz w:val="18"/>
                <w:szCs w:val="18"/>
              </w:rPr>
              <w:t xml:space="preserve"> </w:t>
            </w:r>
            <w:r>
              <w:rPr>
                <w:rFonts w:ascii="Times New Roman" w:hAnsi="Times New Roman"/>
                <w:kern w:val="0"/>
                <w:sz w:val="18"/>
                <w:szCs w:val="18"/>
              </w:rPr>
              <w:t>mm/d，10月8日变形速率为400</w:t>
            </w:r>
            <w:r>
              <w:rPr>
                <w:rFonts w:hint="eastAsia" w:ascii="Times New Roman" w:hAnsi="Times New Roman"/>
                <w:kern w:val="0"/>
                <w:sz w:val="18"/>
                <w:szCs w:val="18"/>
              </w:rPr>
              <w:t xml:space="preserve"> </w:t>
            </w:r>
            <w:r>
              <w:rPr>
                <w:rFonts w:ascii="Times New Roman" w:hAnsi="Times New Roman"/>
                <w:kern w:val="0"/>
                <w:sz w:val="18"/>
                <w:szCs w:val="18"/>
              </w:rPr>
              <w:t>mm/d；10月9日变形速率为800</w:t>
            </w:r>
            <w:r>
              <w:rPr>
                <w:rFonts w:hint="eastAsia" w:ascii="Times New Roman" w:hAnsi="Times New Roman"/>
                <w:kern w:val="0"/>
                <w:sz w:val="18"/>
                <w:szCs w:val="18"/>
              </w:rPr>
              <w:t xml:space="preserve"> </w:t>
            </w:r>
            <w:r>
              <w:rPr>
                <w:rFonts w:ascii="Times New Roman" w:hAnsi="Times New Roman"/>
                <w:kern w:val="0"/>
                <w:sz w:val="18"/>
                <w:szCs w:val="18"/>
              </w:rPr>
              <w:t>mm/d，并产生突然滑动。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紫坪铺水电枢纽2#导流洞出口边坡</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破坏前10天累计最大水平位移达150.1</w:t>
            </w:r>
            <w:r>
              <w:rPr>
                <w:rFonts w:hint="eastAsia" w:ascii="Times New Roman" w:hAnsi="Times New Roman"/>
                <w:kern w:val="0"/>
                <w:sz w:val="18"/>
                <w:szCs w:val="18"/>
              </w:rPr>
              <w:t xml:space="preserve"> </w:t>
            </w:r>
            <w:r>
              <w:rPr>
                <w:rFonts w:ascii="Times New Roman" w:hAnsi="Times New Roman"/>
                <w:kern w:val="0"/>
                <w:sz w:val="18"/>
                <w:szCs w:val="18"/>
              </w:rPr>
              <w:t>mm，最大竖直位移达97.6</w:t>
            </w:r>
            <w:r>
              <w:rPr>
                <w:rFonts w:hint="eastAsia" w:ascii="Times New Roman" w:hAnsi="Times New Roman"/>
                <w:kern w:val="0"/>
                <w:sz w:val="18"/>
                <w:szCs w:val="18"/>
              </w:rPr>
              <w:t xml:space="preserve"> </w:t>
            </w:r>
            <w:r>
              <w:rPr>
                <w:rFonts w:ascii="Times New Roman" w:hAnsi="Times New Roman"/>
                <w:kern w:val="0"/>
                <w:sz w:val="18"/>
                <w:szCs w:val="18"/>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盐池河山崩</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山崩32天，山体变形速率10</w:t>
            </w:r>
            <w:r>
              <w:rPr>
                <w:rFonts w:hint="eastAsia" w:ascii="Times New Roman" w:hAnsi="Times New Roman"/>
                <w:kern w:val="0"/>
                <w:sz w:val="18"/>
                <w:szCs w:val="18"/>
              </w:rPr>
              <w:t xml:space="preserve"> </w:t>
            </w:r>
            <w:r>
              <w:rPr>
                <w:rFonts w:ascii="Times New Roman" w:hAnsi="Times New Roman"/>
                <w:kern w:val="0"/>
                <w:sz w:val="18"/>
                <w:szCs w:val="18"/>
              </w:rPr>
              <w:t>mm/d。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大中川笛滑坡</w:t>
            </w:r>
            <w:r>
              <w:rPr>
                <w:rFonts w:hint="eastAsia" w:ascii="Times New Roman" w:hAnsi="Times New Roman"/>
                <w:kern w:val="0"/>
                <w:sz w:val="18"/>
                <w:szCs w:val="18"/>
              </w:rPr>
              <w:t>（</w:t>
            </w:r>
            <w:r>
              <w:rPr>
                <w:rFonts w:ascii="Times New Roman" w:hAnsi="Times New Roman"/>
                <w:kern w:val="0"/>
                <w:sz w:val="18"/>
                <w:szCs w:val="18"/>
              </w:rPr>
              <w:t>日本</w:t>
            </w:r>
            <w:r>
              <w:rPr>
                <w:rFonts w:hint="eastAsia" w:ascii="Times New Roman" w:hAnsi="Times New Roman"/>
                <w:kern w:val="0"/>
                <w:sz w:val="18"/>
                <w:szCs w:val="18"/>
              </w:rPr>
              <w:t>）</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滑动前一天，变形速率24</w:t>
            </w:r>
            <w:r>
              <w:rPr>
                <w:rFonts w:hint="eastAsia" w:ascii="Times New Roman" w:hAnsi="Times New Roman"/>
                <w:kern w:val="0"/>
                <w:sz w:val="18"/>
                <w:szCs w:val="18"/>
              </w:rPr>
              <w:t xml:space="preserve"> </w:t>
            </w:r>
            <w:r>
              <w:rPr>
                <w:rFonts w:ascii="Times New Roman" w:hAnsi="Times New Roman"/>
                <w:kern w:val="0"/>
                <w:sz w:val="18"/>
                <w:szCs w:val="18"/>
              </w:rPr>
              <w:t>mm/d。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鸡鸣寺滑坡</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滑前15个月变形速率小于1</w:t>
            </w:r>
            <w:r>
              <w:rPr>
                <w:rFonts w:hint="eastAsia" w:ascii="Times New Roman" w:hAnsi="Times New Roman"/>
                <w:kern w:val="0"/>
                <w:sz w:val="18"/>
                <w:szCs w:val="18"/>
              </w:rPr>
              <w:t xml:space="preserve"> </w:t>
            </w:r>
            <w:r>
              <w:rPr>
                <w:rFonts w:ascii="Times New Roman" w:hAnsi="Times New Roman"/>
                <w:kern w:val="0"/>
                <w:sz w:val="18"/>
                <w:szCs w:val="18"/>
              </w:rPr>
              <w:t>mm/d，滑前4个月变形速率大于1</w:t>
            </w:r>
            <w:r>
              <w:rPr>
                <w:rFonts w:hint="eastAsia" w:ascii="Times New Roman" w:hAnsi="Times New Roman"/>
                <w:kern w:val="0"/>
                <w:sz w:val="18"/>
                <w:szCs w:val="18"/>
              </w:rPr>
              <w:t xml:space="preserve"> </w:t>
            </w:r>
            <w:r>
              <w:rPr>
                <w:rFonts w:ascii="Times New Roman" w:hAnsi="Times New Roman"/>
                <w:kern w:val="0"/>
                <w:sz w:val="18"/>
                <w:szCs w:val="18"/>
              </w:rPr>
              <w:t>mm/d，滑前2个月变形速率10</w:t>
            </w:r>
            <w:r>
              <w:rPr>
                <w:rFonts w:hint="eastAsia" w:ascii="Times New Roman" w:hAnsi="Times New Roman"/>
                <w:kern w:val="0"/>
                <w:sz w:val="18"/>
                <w:szCs w:val="18"/>
              </w:rPr>
              <w:t xml:space="preserve"> </w:t>
            </w:r>
            <w:r>
              <w:rPr>
                <w:rFonts w:ascii="Times New Roman" w:hAnsi="Times New Roman"/>
                <w:kern w:val="0"/>
                <w:sz w:val="18"/>
                <w:szCs w:val="18"/>
              </w:rPr>
              <w:t>mm/d以上，滑前10天变形速率50</w:t>
            </w:r>
            <w:r>
              <w:rPr>
                <w:rFonts w:hint="eastAsia" w:ascii="Times New Roman" w:hAnsi="Times New Roman"/>
                <w:kern w:val="0"/>
                <w:sz w:val="18"/>
                <w:szCs w:val="18"/>
              </w:rPr>
              <w:t xml:space="preserve"> </w:t>
            </w:r>
            <w:r>
              <w:rPr>
                <w:rFonts w:ascii="Times New Roman" w:hAnsi="Times New Roman"/>
                <w:kern w:val="0"/>
                <w:sz w:val="18"/>
                <w:szCs w:val="18"/>
              </w:rPr>
              <w:t>mm/d以上，临滑前一天变形速率100</w:t>
            </w:r>
            <w:r>
              <w:rPr>
                <w:rFonts w:hint="eastAsia" w:ascii="Times New Roman" w:hAnsi="Times New Roman"/>
                <w:kern w:val="0"/>
                <w:sz w:val="18"/>
                <w:szCs w:val="18"/>
              </w:rPr>
              <w:t xml:space="preserve"> </w:t>
            </w:r>
            <w:r>
              <w:rPr>
                <w:rFonts w:ascii="Times New Roman" w:hAnsi="Times New Roman"/>
                <w:kern w:val="0"/>
                <w:sz w:val="18"/>
                <w:szCs w:val="18"/>
              </w:rPr>
              <w:t>mm/d以上。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宝成线李家河滑坡</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破坏前22天平均水平位移速率8.2</w:t>
            </w:r>
            <w:r>
              <w:rPr>
                <w:rFonts w:hint="eastAsia" w:ascii="Times New Roman" w:hAnsi="Times New Roman"/>
                <w:kern w:val="0"/>
                <w:sz w:val="18"/>
                <w:szCs w:val="18"/>
              </w:rPr>
              <w:t xml:space="preserve"> </w:t>
            </w:r>
            <w:r>
              <w:rPr>
                <w:rFonts w:ascii="Times New Roman" w:hAnsi="Times New Roman"/>
                <w:kern w:val="0"/>
                <w:sz w:val="18"/>
                <w:szCs w:val="18"/>
              </w:rPr>
              <w:t>mm/d，平均垂直位移速率为9.2</w:t>
            </w:r>
            <w:r>
              <w:rPr>
                <w:rFonts w:hint="eastAsia" w:ascii="Times New Roman" w:hAnsi="Times New Roman"/>
                <w:kern w:val="0"/>
                <w:sz w:val="18"/>
                <w:szCs w:val="18"/>
              </w:rPr>
              <w:t xml:space="preserve"> </w:t>
            </w:r>
            <w:r>
              <w:rPr>
                <w:rFonts w:ascii="Times New Roman" w:hAnsi="Times New Roman"/>
                <w:kern w:val="0"/>
                <w:sz w:val="18"/>
                <w:szCs w:val="18"/>
              </w:rPr>
              <w:t>mm/d。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成昆线377号滑坡</w:t>
            </w:r>
          </w:p>
        </w:tc>
        <w:tc>
          <w:tcPr>
            <w:tcW w:w="3273"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滑前水平位移5</w:t>
            </w:r>
            <w:r>
              <w:rPr>
                <w:rFonts w:hint="eastAsia" w:ascii="Times New Roman" w:hAnsi="Times New Roman"/>
                <w:kern w:val="0"/>
                <w:sz w:val="18"/>
                <w:szCs w:val="18"/>
              </w:rPr>
              <w:t>-</w:t>
            </w:r>
            <w:r>
              <w:rPr>
                <w:rFonts w:ascii="Times New Roman" w:hAnsi="Times New Roman"/>
                <w:kern w:val="0"/>
                <w:sz w:val="18"/>
                <w:szCs w:val="18"/>
              </w:rPr>
              <w:t>10</w:t>
            </w:r>
            <w:r>
              <w:rPr>
                <w:rFonts w:hint="eastAsia" w:ascii="Times New Roman" w:hAnsi="Times New Roman"/>
                <w:kern w:val="0"/>
                <w:sz w:val="18"/>
                <w:szCs w:val="18"/>
              </w:rPr>
              <w:t xml:space="preserve"> </w:t>
            </w:r>
            <w:r>
              <w:rPr>
                <w:rFonts w:ascii="Times New Roman" w:hAnsi="Times New Roman"/>
                <w:kern w:val="0"/>
                <w:sz w:val="18"/>
                <w:szCs w:val="18"/>
              </w:rPr>
              <w:t>mm/d，垂直1</w:t>
            </w:r>
            <w:r>
              <w:rPr>
                <w:rFonts w:hint="eastAsia" w:ascii="Times New Roman" w:hAnsi="Times New Roman"/>
                <w:kern w:val="0"/>
                <w:sz w:val="18"/>
                <w:szCs w:val="18"/>
              </w:rPr>
              <w:t>-</w:t>
            </w:r>
            <w:r>
              <w:rPr>
                <w:rFonts w:ascii="Times New Roman" w:hAnsi="Times New Roman"/>
                <w:kern w:val="0"/>
                <w:sz w:val="18"/>
                <w:szCs w:val="18"/>
              </w:rPr>
              <w:t>5</w:t>
            </w:r>
            <w:r>
              <w:rPr>
                <w:rFonts w:hint="eastAsia" w:ascii="Times New Roman" w:hAnsi="Times New Roman"/>
                <w:kern w:val="0"/>
                <w:sz w:val="18"/>
                <w:szCs w:val="18"/>
              </w:rPr>
              <w:t xml:space="preserve"> </w:t>
            </w:r>
            <w:r>
              <w:rPr>
                <w:rFonts w:ascii="Times New Roman" w:hAnsi="Times New Roman"/>
                <w:kern w:val="0"/>
                <w:sz w:val="18"/>
                <w:szCs w:val="18"/>
              </w:rPr>
              <w:t>mm/d。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黄龙西村滑坡</w:t>
            </w:r>
          </w:p>
        </w:tc>
        <w:tc>
          <w:tcPr>
            <w:tcW w:w="3273"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滑前6天7</w:t>
            </w:r>
            <w:r>
              <w:rPr>
                <w:rFonts w:hint="eastAsia" w:ascii="Times New Roman" w:hAnsi="Times New Roman"/>
                <w:kern w:val="0"/>
                <w:sz w:val="18"/>
                <w:szCs w:val="18"/>
              </w:rPr>
              <w:t xml:space="preserve"> </w:t>
            </w:r>
            <w:r>
              <w:rPr>
                <w:rFonts w:ascii="Times New Roman" w:hAnsi="Times New Roman"/>
                <w:kern w:val="0"/>
                <w:sz w:val="18"/>
                <w:szCs w:val="18"/>
              </w:rPr>
              <w:t>mm/d，滑前1天300</w:t>
            </w:r>
            <w:r>
              <w:rPr>
                <w:rFonts w:hint="eastAsia" w:ascii="Times New Roman" w:hAnsi="Times New Roman"/>
                <w:kern w:val="0"/>
                <w:sz w:val="18"/>
                <w:szCs w:val="18"/>
              </w:rPr>
              <w:t xml:space="preserve"> </w:t>
            </w:r>
            <w:r>
              <w:rPr>
                <w:rFonts w:ascii="Times New Roman" w:hAnsi="Times New Roman"/>
                <w:kern w:val="0"/>
                <w:sz w:val="18"/>
                <w:szCs w:val="18"/>
              </w:rPr>
              <w:t>mm/d。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大冶铁矿象鼻山北帮滑坡</w:t>
            </w:r>
          </w:p>
        </w:tc>
        <w:tc>
          <w:tcPr>
            <w:tcW w:w="3273"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滑动前1天的位移速率大于1</w:t>
            </w:r>
            <w:r>
              <w:rPr>
                <w:rFonts w:hint="eastAsia" w:ascii="Times New Roman" w:hAnsi="Times New Roman"/>
                <w:kern w:val="0"/>
                <w:sz w:val="18"/>
                <w:szCs w:val="18"/>
              </w:rPr>
              <w:t xml:space="preserve"> </w:t>
            </w:r>
            <w:r>
              <w:rPr>
                <w:rFonts w:ascii="Times New Roman" w:hAnsi="Times New Roman"/>
                <w:kern w:val="0"/>
                <w:sz w:val="18"/>
                <w:szCs w:val="18"/>
              </w:rPr>
              <w:t>000</w:t>
            </w:r>
            <w:r>
              <w:rPr>
                <w:rFonts w:hint="eastAsia" w:ascii="Times New Roman" w:hAnsi="Times New Roman"/>
                <w:kern w:val="0"/>
                <w:sz w:val="18"/>
                <w:szCs w:val="18"/>
              </w:rPr>
              <w:t xml:space="preserve"> </w:t>
            </w:r>
            <w:r>
              <w:rPr>
                <w:rFonts w:ascii="Times New Roman" w:hAnsi="Times New Roman"/>
                <w:kern w:val="0"/>
                <w:sz w:val="18"/>
                <w:szCs w:val="18"/>
              </w:rPr>
              <w:t>mm/d。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27" w:type="pct"/>
            <w:vAlign w:val="center"/>
          </w:tcPr>
          <w:p>
            <w:pPr>
              <w:autoSpaceDE w:val="0"/>
              <w:autoSpaceDN w:val="0"/>
              <w:adjustRightInd w:val="0"/>
              <w:jc w:val="center"/>
              <w:rPr>
                <w:rFonts w:ascii="Times New Roman" w:hAnsi="Times New Roman"/>
                <w:kern w:val="0"/>
                <w:sz w:val="18"/>
                <w:szCs w:val="18"/>
              </w:rPr>
            </w:pPr>
            <w:r>
              <w:rPr>
                <w:rFonts w:ascii="Times New Roman" w:hAnsi="Times New Roman"/>
                <w:kern w:val="0"/>
                <w:sz w:val="18"/>
                <w:szCs w:val="18"/>
              </w:rPr>
              <w:t>四川省北川县白什乡滑坡</w:t>
            </w:r>
          </w:p>
        </w:tc>
        <w:tc>
          <w:tcPr>
            <w:tcW w:w="3273" w:type="pct"/>
            <w:vAlign w:val="center"/>
          </w:tcPr>
          <w:p>
            <w:pPr>
              <w:autoSpaceDE w:val="0"/>
              <w:autoSpaceDN w:val="0"/>
              <w:adjustRightInd w:val="0"/>
              <w:rPr>
                <w:rFonts w:ascii="Times New Roman" w:hAnsi="Times New Roman"/>
                <w:kern w:val="0"/>
                <w:sz w:val="18"/>
                <w:szCs w:val="18"/>
              </w:rPr>
            </w:pPr>
            <w:r>
              <w:rPr>
                <w:rFonts w:ascii="Times New Roman" w:hAnsi="Times New Roman"/>
                <w:kern w:val="0"/>
                <w:sz w:val="18"/>
                <w:szCs w:val="18"/>
              </w:rPr>
              <w:t>等速变形阶段的变形速率基本维持在60</w:t>
            </w:r>
            <w:r>
              <w:rPr>
                <w:rFonts w:hint="eastAsia" w:ascii="Times New Roman" w:hAnsi="Times New Roman"/>
                <w:kern w:val="0"/>
                <w:sz w:val="18"/>
                <w:szCs w:val="18"/>
              </w:rPr>
              <w:t>-</w:t>
            </w:r>
            <w:r>
              <w:rPr>
                <w:rFonts w:ascii="Times New Roman" w:hAnsi="Times New Roman"/>
                <w:kern w:val="0"/>
                <w:sz w:val="18"/>
                <w:szCs w:val="18"/>
              </w:rPr>
              <w:t>80</w:t>
            </w:r>
            <w:r>
              <w:rPr>
                <w:rFonts w:hint="eastAsia" w:ascii="Times New Roman" w:hAnsi="Times New Roman"/>
                <w:kern w:val="0"/>
                <w:sz w:val="18"/>
                <w:szCs w:val="18"/>
              </w:rPr>
              <w:t xml:space="preserve"> </w:t>
            </w:r>
            <w:r>
              <w:rPr>
                <w:rFonts w:ascii="Times New Roman" w:hAnsi="Times New Roman"/>
                <w:kern w:val="0"/>
                <w:sz w:val="18"/>
                <w:szCs w:val="18"/>
              </w:rPr>
              <w:t>mm/d，加速变形阶段的位移速率约300</w:t>
            </w:r>
            <w:r>
              <w:rPr>
                <w:rFonts w:hint="eastAsia" w:ascii="Times New Roman" w:hAnsi="Times New Roman"/>
                <w:kern w:val="0"/>
                <w:sz w:val="18"/>
                <w:szCs w:val="18"/>
              </w:rPr>
              <w:t xml:space="preserve"> </w:t>
            </w:r>
            <w:r>
              <w:rPr>
                <w:rFonts w:ascii="Times New Roman" w:hAnsi="Times New Roman"/>
                <w:kern w:val="0"/>
                <w:sz w:val="18"/>
                <w:szCs w:val="18"/>
              </w:rPr>
              <w:t>mm/d，而失稳破坏前变形速率超过2</w:t>
            </w:r>
            <w:r>
              <w:rPr>
                <w:rFonts w:hint="eastAsia" w:ascii="Times New Roman" w:hAnsi="Times New Roman"/>
                <w:kern w:val="0"/>
                <w:sz w:val="18"/>
                <w:szCs w:val="18"/>
              </w:rPr>
              <w:t xml:space="preserve"> </w:t>
            </w:r>
            <w:r>
              <w:rPr>
                <w:rFonts w:ascii="Times New Roman" w:hAnsi="Times New Roman"/>
                <w:kern w:val="0"/>
                <w:sz w:val="18"/>
                <w:szCs w:val="18"/>
              </w:rPr>
              <w:t>000</w:t>
            </w:r>
            <w:r>
              <w:rPr>
                <w:rFonts w:hint="eastAsia" w:ascii="Times New Roman" w:hAnsi="Times New Roman"/>
                <w:kern w:val="0"/>
                <w:sz w:val="18"/>
                <w:szCs w:val="18"/>
              </w:rPr>
              <w:t xml:space="preserve"> </w:t>
            </w:r>
            <w:r>
              <w:rPr>
                <w:rFonts w:ascii="Times New Roman" w:hAnsi="Times New Roman"/>
                <w:kern w:val="0"/>
                <w:sz w:val="18"/>
                <w:szCs w:val="18"/>
              </w:rPr>
              <w:t>mm/d，所监测到的总位移量超过40</w:t>
            </w:r>
            <w:r>
              <w:rPr>
                <w:rFonts w:hint="eastAsia" w:ascii="Times New Roman" w:hAnsi="Times New Roman"/>
                <w:kern w:val="0"/>
                <w:sz w:val="18"/>
                <w:szCs w:val="18"/>
              </w:rPr>
              <w:t xml:space="preserve"> </w:t>
            </w:r>
            <w:r>
              <w:rPr>
                <w:rFonts w:ascii="Times New Roman" w:hAnsi="Times New Roman"/>
                <w:kern w:val="0"/>
                <w:sz w:val="18"/>
                <w:szCs w:val="18"/>
              </w:rPr>
              <w:t>000mm。而一般滑坡失稳前临界位移速率仅为几mm～数十mm，临界总位移量一般为1</w:t>
            </w:r>
            <w:r>
              <w:rPr>
                <w:rFonts w:hint="eastAsia" w:ascii="Times New Roman" w:hAnsi="Times New Roman"/>
                <w:kern w:val="0"/>
                <w:sz w:val="18"/>
                <w:szCs w:val="18"/>
              </w:rPr>
              <w:t xml:space="preserve"> </w:t>
            </w:r>
            <w:r>
              <w:rPr>
                <w:rFonts w:ascii="Times New Roman" w:hAnsi="Times New Roman"/>
                <w:kern w:val="0"/>
                <w:sz w:val="18"/>
                <w:szCs w:val="18"/>
              </w:rPr>
              <w:t>000</w:t>
            </w:r>
            <w:r>
              <w:rPr>
                <w:rFonts w:hint="eastAsia" w:ascii="Times New Roman" w:hAnsi="Times New Roman"/>
                <w:kern w:val="0"/>
                <w:sz w:val="18"/>
                <w:szCs w:val="18"/>
              </w:rPr>
              <w:t>-</w:t>
            </w:r>
            <w:r>
              <w:rPr>
                <w:rFonts w:ascii="Times New Roman" w:hAnsi="Times New Roman"/>
                <w:kern w:val="0"/>
                <w:sz w:val="18"/>
                <w:szCs w:val="18"/>
              </w:rPr>
              <w:t>2</w:t>
            </w:r>
            <w:r>
              <w:rPr>
                <w:rFonts w:hint="eastAsia" w:ascii="Times New Roman" w:hAnsi="Times New Roman"/>
                <w:kern w:val="0"/>
                <w:sz w:val="18"/>
                <w:szCs w:val="18"/>
              </w:rPr>
              <w:t xml:space="preserve"> </w:t>
            </w:r>
            <w:r>
              <w:rPr>
                <w:rFonts w:ascii="Times New Roman" w:hAnsi="Times New Roman"/>
                <w:kern w:val="0"/>
                <w:sz w:val="18"/>
                <w:szCs w:val="18"/>
              </w:rPr>
              <w:t>000mm。</w:t>
            </w:r>
          </w:p>
        </w:tc>
      </w:tr>
    </w:tbl>
    <w:p>
      <w:pPr>
        <w:tabs>
          <w:tab w:val="center" w:pos="4201"/>
          <w:tab w:val="right" w:leader="dot" w:pos="9298"/>
        </w:tabs>
        <w:autoSpaceDE w:val="0"/>
        <w:autoSpaceDN w:val="0"/>
        <w:spacing w:line="360" w:lineRule="auto"/>
        <w:rPr>
          <w:rFonts w:ascii="黑体" w:hAnsi="黑体" w:eastAsia="黑体"/>
          <w:kern w:val="0"/>
          <w:szCs w:val="21"/>
        </w:rPr>
      </w:pPr>
    </w:p>
    <w:p>
      <w:pPr>
        <w:tabs>
          <w:tab w:val="center" w:pos="4201"/>
          <w:tab w:val="right" w:leader="dot" w:pos="9298"/>
        </w:tabs>
        <w:autoSpaceDE w:val="0"/>
        <w:autoSpaceDN w:val="0"/>
        <w:spacing w:line="360" w:lineRule="auto"/>
        <w:rPr>
          <w:rFonts w:ascii="黑体" w:hAnsi="黑体" w:eastAsia="黑体"/>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bookmarkStart w:id="281" w:name="_Toc33177722"/>
      <w:bookmarkStart w:id="282" w:name="_Toc21966446"/>
      <w:bookmarkStart w:id="283" w:name="_Toc534577804"/>
      <w:r>
        <w:rPr>
          <w:rFonts w:ascii="黑体" w:hAnsi="黑体" w:eastAsia="黑体"/>
          <w:kern w:val="0"/>
          <w:szCs w:val="21"/>
        </w:rPr>
        <w:t xml:space="preserve">附  录  </w:t>
      </w:r>
      <w:r>
        <w:rPr>
          <w:rFonts w:hint="eastAsia" w:ascii="黑体" w:hAnsi="黑体" w:eastAsia="黑体"/>
          <w:kern w:val="0"/>
          <w:szCs w:val="21"/>
        </w:rPr>
        <w:t>M</w:t>
      </w:r>
    </w:p>
    <w:p>
      <w:pPr>
        <w:keepNext/>
        <w:widowControl/>
        <w:shd w:val="clear" w:color="FFFFFF" w:fill="FFFFFF"/>
        <w:tabs>
          <w:tab w:val="left" w:pos="360"/>
          <w:tab w:val="left" w:pos="6405"/>
        </w:tabs>
        <w:spacing w:before="120" w:beforeLines="50" w:after="120" w:afterLines="50"/>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（资料性附录）</w:t>
      </w:r>
    </w:p>
    <w:p>
      <w:pPr>
        <w:keepNext/>
        <w:widowControl/>
        <w:shd w:val="clear" w:color="FFFFFF" w:fill="FFFFFF"/>
        <w:tabs>
          <w:tab w:val="left" w:pos="360"/>
          <w:tab w:val="left" w:pos="6405"/>
        </w:tabs>
        <w:spacing w:before="120" w:beforeLines="50" w:after="120" w:afterLines="50"/>
        <w:jc w:val="center"/>
        <w:outlineLvl w:val="0"/>
        <w:rPr>
          <w:rFonts w:ascii="Times New Roman" w:hAnsi="Times New Roman" w:eastAsia="黑体"/>
          <w:b/>
          <w:bCs/>
          <w:kern w:val="44"/>
          <w:szCs w:val="21"/>
        </w:rPr>
      </w:pPr>
      <w:r>
        <w:rPr>
          <w:rFonts w:hint="eastAsia" w:ascii="Times New Roman" w:hAnsi="Times New Roman" w:eastAsia="黑体"/>
          <w:kern w:val="0"/>
          <w:szCs w:val="21"/>
        </w:rPr>
        <w:t>滑坡综合预测预报应注意的问题</w:t>
      </w:r>
      <w:bookmarkEnd w:id="281"/>
      <w:bookmarkEnd w:id="282"/>
      <w:bookmarkEnd w:id="283"/>
    </w:p>
    <w:p>
      <w:pPr>
        <w:spacing w:line="360" w:lineRule="auto"/>
        <w:ind w:firstLine="420" w:firstLineChars="200"/>
        <w:rPr>
          <w:rFonts w:ascii="Times New Roman" w:hAnsi="Times New Roman"/>
          <w:szCs w:val="24"/>
        </w:rPr>
      </w:pPr>
      <w:r>
        <w:rPr>
          <w:rFonts w:hint="eastAsia" w:ascii="Times New Roman" w:hAnsi="Times New Roman"/>
          <w:szCs w:val="24"/>
        </w:rPr>
        <w:t>斜坡发展演化，与世界上其它事物的发展演化过程一样，既遵循一些普适性的规律，又表现出非常强的个性特征，是共性与个性的统一体。因此，要真正对斜坡的发展演化规律作出准确地判断，对滑坡发生具体时间作出准确地预报，必须在坚持以下原则的基础上，开展滑坡综合预报。</w:t>
      </w:r>
    </w:p>
    <w:p>
      <w:pPr>
        <w:keepNext/>
        <w:keepLines/>
        <w:adjustRightInd w:val="0"/>
        <w:snapToGrid w:val="0"/>
        <w:spacing w:before="120" w:beforeLines="50" w:after="120" w:afterLines="50"/>
        <w:jc w:val="left"/>
        <w:rPr>
          <w:rFonts w:ascii="黑体" w:hAnsi="黑体" w:eastAsia="黑体"/>
          <w:bCs/>
          <w:kern w:val="44"/>
          <w:szCs w:val="21"/>
        </w:rPr>
      </w:pPr>
      <w:bookmarkStart w:id="284" w:name="_Toc21966447"/>
      <w:bookmarkStart w:id="285" w:name="_Toc534577805"/>
      <w:bookmarkStart w:id="286" w:name="_Toc534580162"/>
      <w:r>
        <w:rPr>
          <w:rFonts w:hint="eastAsia" w:ascii="黑体" w:hAnsi="黑体" w:eastAsia="黑体"/>
          <w:bCs/>
          <w:kern w:val="44"/>
          <w:szCs w:val="21"/>
        </w:rPr>
        <w:t>M</w:t>
      </w:r>
      <w:r>
        <w:rPr>
          <w:rFonts w:ascii="黑体" w:hAnsi="黑体" w:eastAsia="黑体"/>
          <w:bCs/>
          <w:kern w:val="44"/>
          <w:szCs w:val="21"/>
        </w:rPr>
        <w:t>.1</w:t>
      </w:r>
      <w:r>
        <w:rPr>
          <w:rFonts w:hint="eastAsia" w:ascii="黑体" w:hAnsi="黑体" w:eastAsia="黑体"/>
          <w:bCs/>
          <w:kern w:val="44"/>
          <w:szCs w:val="21"/>
        </w:rPr>
        <w:t xml:space="preserve">  滑坡预报的技术程序</w:t>
      </w:r>
      <w:bookmarkEnd w:id="284"/>
      <w:bookmarkEnd w:id="285"/>
      <w:bookmarkEnd w:id="286"/>
    </w:p>
    <w:p>
      <w:pPr>
        <w:spacing w:line="360" w:lineRule="auto"/>
        <w:ind w:firstLine="420" w:firstLineChars="200"/>
        <w:rPr>
          <w:rFonts w:ascii="Times New Roman" w:hAnsi="Times New Roman"/>
          <w:szCs w:val="24"/>
        </w:rPr>
      </w:pPr>
      <w:r>
        <w:rPr>
          <w:rFonts w:hint="eastAsia" w:ascii="Times New Roman" w:hAnsi="Times New Roman"/>
          <w:szCs w:val="24"/>
        </w:rPr>
        <w:t>首先应通过调查和勘探手段，在查明坡体的地形地貌、地层岩性、坡体结构以及水文地质条件等的基础上，对滑坡规模、类型、特别是变形破坏模式和成因机制进行分析判断，然后结合对坡体的变形监测资料和坡体宏观变形破坏迹象的综合分析，判断斜坡所处的发展演化阶段，并据此采用适宜的定量预报模型与定性分析方法，分析斜坡的变形破坏时空演化规律和发展趋势，作出预警预报。</w:t>
      </w:r>
    </w:p>
    <w:p>
      <w:pPr>
        <w:keepNext/>
        <w:keepLines/>
        <w:adjustRightInd w:val="0"/>
        <w:snapToGrid w:val="0"/>
        <w:spacing w:before="120" w:beforeLines="50" w:after="120" w:afterLines="50"/>
        <w:jc w:val="left"/>
        <w:rPr>
          <w:rFonts w:ascii="黑体" w:hAnsi="黑体" w:eastAsia="黑体"/>
          <w:bCs/>
          <w:kern w:val="44"/>
          <w:szCs w:val="21"/>
        </w:rPr>
      </w:pPr>
      <w:bookmarkStart w:id="287" w:name="_Toc534577806"/>
      <w:bookmarkStart w:id="288" w:name="_Toc534580163"/>
      <w:bookmarkStart w:id="289" w:name="_Toc21966448"/>
      <w:r>
        <w:rPr>
          <w:rFonts w:hint="eastAsia" w:ascii="黑体" w:hAnsi="黑体" w:eastAsia="黑体"/>
          <w:bCs/>
          <w:kern w:val="44"/>
          <w:szCs w:val="21"/>
        </w:rPr>
        <w:t>M.2  加强地质工作，尤其应注重滑坡宏观变形破坏迹象调查</w:t>
      </w:r>
      <w:bookmarkEnd w:id="287"/>
      <w:bookmarkEnd w:id="288"/>
      <w:bookmarkEnd w:id="289"/>
    </w:p>
    <w:p>
      <w:pPr>
        <w:spacing w:line="360" w:lineRule="auto"/>
        <w:ind w:firstLine="420" w:firstLineChars="200"/>
        <w:rPr>
          <w:rFonts w:ascii="Times New Roman" w:hAnsi="Times New Roman"/>
          <w:szCs w:val="24"/>
        </w:rPr>
      </w:pPr>
      <w:r>
        <w:rPr>
          <w:rFonts w:hint="eastAsia" w:ascii="Times New Roman" w:hAnsi="Times New Roman"/>
          <w:szCs w:val="24"/>
        </w:rPr>
        <w:t>滑坡体具有非常明显的个性特征，在滑坡监测预警时，应在把握和遵循滑坡变形演化普遍规律的前提下，具体问题具体分析。要掌握滑坡体的个性特征，加强地质工作，通过现场详细调查和地质勘测，查明滑坡体的结构特征。同时，在进行滑坡监测时，除采用监测仪器进行各测点的专业监测外，尤其应加强对滑坡体宏观变形破坏迹象的调查，并由此掌握滑坡体的空间变形破坏规律，判断斜坡的发展演化阶段。</w:t>
      </w:r>
    </w:p>
    <w:p>
      <w:pPr>
        <w:keepNext/>
        <w:keepLines/>
        <w:adjustRightInd w:val="0"/>
        <w:snapToGrid w:val="0"/>
        <w:spacing w:before="120" w:beforeLines="50" w:after="120" w:afterLines="50"/>
        <w:jc w:val="left"/>
        <w:rPr>
          <w:rFonts w:ascii="黑体" w:hAnsi="黑体" w:eastAsia="黑体"/>
          <w:bCs/>
          <w:kern w:val="44"/>
          <w:szCs w:val="21"/>
        </w:rPr>
      </w:pPr>
      <w:bookmarkStart w:id="290" w:name="_Toc534580164"/>
      <w:bookmarkStart w:id="291" w:name="_Toc534577807"/>
      <w:bookmarkStart w:id="292" w:name="_Toc21966449"/>
      <w:r>
        <w:rPr>
          <w:rFonts w:hint="eastAsia" w:ascii="黑体" w:hAnsi="黑体" w:eastAsia="黑体"/>
          <w:bCs/>
          <w:kern w:val="44"/>
          <w:szCs w:val="21"/>
        </w:rPr>
        <w:t>M.3  注意滑坡变形分区和监测点选取</w:t>
      </w:r>
      <w:bookmarkEnd w:id="290"/>
      <w:bookmarkEnd w:id="291"/>
      <w:bookmarkEnd w:id="292"/>
    </w:p>
    <w:p>
      <w:pPr>
        <w:spacing w:line="360" w:lineRule="auto"/>
        <w:ind w:firstLine="420" w:firstLineChars="200"/>
        <w:rPr>
          <w:rFonts w:ascii="Times New Roman" w:hAnsi="Times New Roman"/>
          <w:szCs w:val="24"/>
        </w:rPr>
      </w:pPr>
      <w:r>
        <w:rPr>
          <w:rFonts w:hint="eastAsia" w:ascii="Times New Roman" w:hAnsi="Times New Roman"/>
          <w:szCs w:val="24"/>
        </w:rPr>
        <w:t>因受坡体地形地貌、地质结构、外界影响因素等多种因素的影响，同一滑坡不同部位、不同区段其变形量的大小、变形规律可能会有所差别。因此，在滑坡监测预警时，首先应根据专业监测资料，结合宏观变形破坏迹象以及变形破坏机制，进行滑坡变形分区。在此基础上，各个区段选取1-2个关键监测点作为预测预报的依据。一般而言，位于滑坡后缘弧形拉裂缝附近的监测点基本可以代表整个滑坡的变形特征，是滑坡预测预警的关键监测点。当然，对于推移式滑坡，其前缘隆起部位的监测点也是非常具有代表性的关键监测点。</w:t>
      </w:r>
    </w:p>
    <w:p>
      <w:pPr>
        <w:keepNext/>
        <w:keepLines/>
        <w:adjustRightInd w:val="0"/>
        <w:snapToGrid w:val="0"/>
        <w:spacing w:before="120" w:beforeLines="50" w:after="120" w:afterLines="50"/>
        <w:jc w:val="left"/>
        <w:rPr>
          <w:rFonts w:ascii="黑体" w:hAnsi="黑体" w:eastAsia="黑体"/>
          <w:bCs/>
          <w:kern w:val="44"/>
          <w:szCs w:val="21"/>
        </w:rPr>
      </w:pPr>
      <w:bookmarkStart w:id="293" w:name="_Toc534577808"/>
      <w:bookmarkStart w:id="294" w:name="_Toc534580165"/>
      <w:bookmarkStart w:id="295" w:name="_Toc21966450"/>
      <w:r>
        <w:rPr>
          <w:rFonts w:hint="eastAsia" w:ascii="黑体" w:hAnsi="黑体" w:eastAsia="黑体"/>
          <w:bCs/>
          <w:kern w:val="44"/>
          <w:szCs w:val="21"/>
        </w:rPr>
        <w:t>M.4  注重斜坡变形破坏的时间和空间演化规律</w:t>
      </w:r>
      <w:bookmarkEnd w:id="293"/>
      <w:bookmarkEnd w:id="294"/>
      <w:bookmarkEnd w:id="295"/>
    </w:p>
    <w:p>
      <w:pPr>
        <w:spacing w:line="360" w:lineRule="auto"/>
        <w:ind w:firstLine="420" w:firstLineChars="200"/>
        <w:rPr>
          <w:rFonts w:ascii="Times New Roman" w:hAnsi="Times New Roman"/>
          <w:szCs w:val="24"/>
        </w:rPr>
      </w:pPr>
      <w:r>
        <w:rPr>
          <w:rFonts w:hint="eastAsia" w:ascii="Times New Roman" w:hAnsi="Times New Roman"/>
          <w:szCs w:val="24"/>
        </w:rPr>
        <w:t>斜坡变形的时间演化规律主要是指变形曲线的三阶段演化规律。斜坡变形进入加速变形阶段是斜坡整体失稳(滑坡)发生的前提。如果斜坡的处于等速变形阶段，再明显的宏观变形破坏迹象、再大的位移量也不能说明其即将整体下滑。相反，一旦进入加速变形阶段，就应引起高度重视，加强监测预警。斜坡变形的空间演化规律主要是指裂缝体系的分期配套特性。裂缝体系形成圈闭的配套体系是坡体整体下滑的基本条件。在实际的滑坡预测预报过程中，一方面要充分认识和掌握斜坡变形破坏的时-空演化规律，另一方面要将时间和空间演化规律有机结合，相互对比分析，才能作出准确的判断和预警预报。</w:t>
      </w:r>
    </w:p>
    <w:p>
      <w:pPr>
        <w:spacing w:line="360" w:lineRule="auto"/>
        <w:ind w:firstLine="420" w:firstLineChars="200"/>
        <w:rPr>
          <w:rFonts w:ascii="Times New Roman" w:hAnsi="Times New Roman"/>
          <w:szCs w:val="24"/>
        </w:rPr>
      </w:pPr>
      <w:r>
        <w:rPr>
          <w:rFonts w:hint="eastAsia" w:ascii="Times New Roman" w:hAnsi="Times New Roman"/>
          <w:szCs w:val="24"/>
        </w:rPr>
        <w:t>例如，如果仅从滑坡空间演化规律(裂缝的分期配套以及变形破坏特征)看，白什乡滑坡在2006年12月底发现后，就已表现出“临滑”征兆，但从变形曲线分析，其直到2007年4月底才真正进入加速变形阶段。而如果仅从滑坡时间演化规律看，三峡库区白水河滑坡自2007年4月以来就已进入加速变形阶段，2007年7月进入临滑阶段；但从地表裂缝体系分析，2007年7月仅形成了贯通的东侧，后缘也仅见断续的裂缝分布，实际上后缘和西侧边界并未形成，裂缝体系并未圈闭，2007年4月以来出现的变形急速增长现象仅是对汛期降雨和库水位下调的直接响应，其并未真正进入加速变形阶段。</w:t>
      </w:r>
    </w:p>
    <w:p>
      <w:pPr>
        <w:keepNext/>
        <w:keepLines/>
        <w:adjustRightInd w:val="0"/>
        <w:snapToGrid w:val="0"/>
        <w:spacing w:before="120" w:beforeLines="50" w:after="120" w:afterLines="50"/>
        <w:jc w:val="left"/>
        <w:rPr>
          <w:rFonts w:ascii="黑体" w:hAnsi="黑体" w:eastAsia="黑体"/>
          <w:bCs/>
          <w:kern w:val="44"/>
          <w:szCs w:val="21"/>
        </w:rPr>
      </w:pPr>
      <w:bookmarkStart w:id="296" w:name="_Toc534577809"/>
      <w:bookmarkStart w:id="297" w:name="_Toc21966451"/>
      <w:bookmarkStart w:id="298" w:name="_Toc534580166"/>
      <w:r>
        <w:rPr>
          <w:rFonts w:hint="eastAsia" w:ascii="黑体" w:hAnsi="黑体" w:eastAsia="黑体"/>
          <w:bCs/>
          <w:kern w:val="44"/>
          <w:szCs w:val="21"/>
        </w:rPr>
        <w:t>M.5  注意外界因素对斜坡变形的影响</w:t>
      </w:r>
      <w:bookmarkEnd w:id="296"/>
      <w:bookmarkEnd w:id="297"/>
      <w:bookmarkEnd w:id="298"/>
    </w:p>
    <w:p>
      <w:pPr>
        <w:spacing w:line="360" w:lineRule="auto"/>
        <w:ind w:firstLine="420" w:firstLineChars="200"/>
        <w:rPr>
          <w:rFonts w:ascii="Times New Roman" w:hAnsi="Times New Roman"/>
          <w:szCs w:val="24"/>
        </w:rPr>
      </w:pPr>
      <w:r>
        <w:rPr>
          <w:rFonts w:hint="eastAsia" w:ascii="Times New Roman" w:hAnsi="Times New Roman"/>
          <w:szCs w:val="24"/>
        </w:rPr>
        <w:t>前已述及，强降雨、库水位变动、人类工程活动等外界因素将对斜坡的变形演化会产生重要的影响，其不仅使变形监测曲线出现振荡，周期性的外界因素还可能使变形曲线呈现出“阶跃型”的特点。对于阶跃型变形曲线，有时判断其发展演化阶段仍很困难，尤其是阶跃出现后又还未恢复到平稳期时，很难确定究竟是斜坡演化的一个“阶跃”，还是斜坡已经进入加速变形阶段？建议可从以下角度考虑和分析此类问题：</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a)  进行外界影响因素与滑坡变形监测结果的相关性分析，找出变形曲线产生阶跃的直接原因。如果通过相关性分析，认为坡体变形的急剧变化是由降雨、库水位变动等原因造成，则只需加强监测，待相关因素的影响消除后看其进一步的发展趋势。反之，如果没有明显的的外界因素导致坡体变形急剧增加，而是由自身演化导致的，则可能说明其已真正进入加速变形阶段，应提高警惕，加强监测预警。</w:t>
      </w:r>
    </w:p>
    <w:p>
      <w:pPr>
        <w:spacing w:line="360" w:lineRule="auto"/>
        <w:ind w:left="840" w:leftChars="200" w:hanging="420" w:hangingChars="200"/>
        <w:rPr>
          <w:rFonts w:ascii="Times New Roman" w:hAnsi="Times New Roman"/>
          <w:szCs w:val="24"/>
        </w:rPr>
      </w:pPr>
      <w:r>
        <w:rPr>
          <w:rFonts w:hint="eastAsia" w:ascii="Times New Roman" w:hAnsi="Times New Roman"/>
          <w:szCs w:val="24"/>
        </w:rPr>
        <w:t>b)  加强变形监测曲线与斜坡宏观变形迹象的对比分析，尤其应加强对裂缝体系分期配套特征的分析。斜坡进入加速变形阶段在时间上的表现因素变形速率持续增加，在空间上的表现应该是形成圈闭的裂缝体系，两者应同时满足。</w:t>
      </w:r>
    </w:p>
    <w:p>
      <w:pPr>
        <w:keepNext/>
        <w:keepLines/>
        <w:adjustRightInd w:val="0"/>
        <w:snapToGrid w:val="0"/>
        <w:spacing w:before="120" w:beforeLines="50" w:after="120" w:afterLines="50"/>
        <w:jc w:val="left"/>
        <w:rPr>
          <w:rFonts w:ascii="黑体" w:hAnsi="黑体" w:eastAsia="黑体"/>
          <w:bCs/>
          <w:kern w:val="44"/>
          <w:szCs w:val="21"/>
        </w:rPr>
      </w:pPr>
      <w:bookmarkStart w:id="299" w:name="_Toc534580167"/>
      <w:bookmarkStart w:id="300" w:name="_Toc534577810"/>
      <w:bookmarkStart w:id="301" w:name="_Toc21966452"/>
      <w:r>
        <w:rPr>
          <w:rFonts w:hint="eastAsia" w:ascii="黑体" w:hAnsi="黑体" w:eastAsia="黑体"/>
          <w:bCs/>
          <w:kern w:val="44"/>
          <w:szCs w:val="21"/>
        </w:rPr>
        <w:t>M.6  注重定量预报与定性分析的结合，进行综合预报</w:t>
      </w:r>
      <w:bookmarkEnd w:id="299"/>
      <w:bookmarkEnd w:id="300"/>
      <w:bookmarkEnd w:id="301"/>
    </w:p>
    <w:p>
      <w:pPr>
        <w:spacing w:line="360" w:lineRule="auto"/>
        <w:ind w:firstLine="420" w:firstLineChars="200"/>
        <w:rPr>
          <w:rFonts w:ascii="Times New Roman" w:hAnsi="Times New Roman"/>
          <w:szCs w:val="24"/>
        </w:rPr>
      </w:pPr>
      <w:r>
        <w:rPr>
          <w:rFonts w:hint="eastAsia" w:ascii="Times New Roman" w:hAnsi="Times New Roman"/>
          <w:szCs w:val="24"/>
        </w:rPr>
        <w:t>前已述及，斜坡的发展演化具有非常强的个性特征，而现在所提出的滑坡定量预报模型，基本上都是依赖于对监测结果的数学推演，缺乏与滑坡体的直接关联和对滑坡体个性特征的把握，因此，目前滑坡的定量预报模型存在适宜性差、预报准确度不高、预报不具针对性等缺点。另一方面，如果要深究起来，滑坡定量预报还存在许多具体细节问题没有很好地解决，比如：在多个监测点中，究竟选取哪个监测点的监测数据作为预报依据？在一个监测时间序列中，究竟选取哪个时间段、多长时间段的监测数据作为预报依据？在位移切线角计算时如何统一纵横坐标系？如此等等。这些细节问题直接影响了预报结果的可信度和准确度。因此，滑坡的预测预报，应注意将定量预报、定性预报、数值模型预报三者有机结合，进行总体分析，宏观把握，实现滑坡的综合预测预报。</w:t>
      </w:r>
    </w:p>
    <w:p>
      <w:pPr>
        <w:keepNext/>
        <w:keepLines/>
        <w:adjustRightInd w:val="0"/>
        <w:snapToGrid w:val="0"/>
        <w:spacing w:before="120" w:beforeLines="50" w:after="120" w:afterLines="50"/>
        <w:jc w:val="left"/>
        <w:rPr>
          <w:rFonts w:ascii="黑体" w:hAnsi="黑体" w:eastAsia="黑体"/>
          <w:bCs/>
          <w:kern w:val="44"/>
          <w:szCs w:val="21"/>
        </w:rPr>
      </w:pPr>
      <w:bookmarkStart w:id="302" w:name="_Toc534577811"/>
      <w:bookmarkStart w:id="303" w:name="_Toc534580168"/>
      <w:bookmarkStart w:id="304" w:name="_Toc21966453"/>
      <w:r>
        <w:rPr>
          <w:rFonts w:hint="eastAsia" w:ascii="黑体" w:hAnsi="黑体" w:eastAsia="黑体"/>
          <w:bCs/>
          <w:kern w:val="44"/>
          <w:szCs w:val="21"/>
        </w:rPr>
        <w:t>M.7  注意滑坡的动态预测</w:t>
      </w:r>
      <w:bookmarkEnd w:id="302"/>
      <w:bookmarkEnd w:id="303"/>
      <w:bookmarkEnd w:id="304"/>
    </w:p>
    <w:p>
      <w:pPr>
        <w:tabs>
          <w:tab w:val="center" w:pos="4201"/>
          <w:tab w:val="right" w:leader="dot" w:pos="9298"/>
        </w:tabs>
        <w:autoSpaceDE w:val="0"/>
        <w:autoSpaceDN w:val="0"/>
        <w:spacing w:line="360" w:lineRule="auto"/>
        <w:ind w:firstLine="420" w:firstLineChars="200"/>
        <w:rPr>
          <w:rFonts w:ascii="黑体" w:hAnsi="黑体" w:eastAsia="黑体"/>
          <w:kern w:val="0"/>
          <w:szCs w:val="21"/>
        </w:rPr>
      </w:pPr>
      <w:r>
        <w:rPr>
          <w:rFonts w:hint="eastAsia" w:ascii="Times New Roman" w:hAnsi="Times New Roman"/>
          <w:szCs w:val="24"/>
        </w:rPr>
        <w:t>斜坡的发展变化是一个复杂的动态演化过程。在滑坡监测预警过程中，应随时根据坡体的动态变化特点，进行动态的监测预警。越到坡体的演化后期，尤其是进入加速变形阶段和临滑阶段，应加密观测，实时掌握坡体变形动态，并根据新的监测结果和宏观变形破坏迹象，及时作出综合的预测和预警。</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bookmarkStart w:id="305" w:name="_Toc534577812"/>
      <w:bookmarkStart w:id="306" w:name="_Toc33177723"/>
      <w:bookmarkStart w:id="307" w:name="_Toc21966454"/>
      <w:bookmarkStart w:id="308" w:name="_Toc482203923"/>
      <w:r>
        <w:rPr>
          <w:rFonts w:ascii="黑体" w:hAnsi="黑体" w:eastAsia="黑体"/>
          <w:kern w:val="0"/>
          <w:szCs w:val="21"/>
        </w:rPr>
        <w:t xml:space="preserve">附  录  </w:t>
      </w:r>
      <w:r>
        <w:rPr>
          <w:rFonts w:hint="eastAsia" w:ascii="黑体" w:hAnsi="黑体" w:eastAsia="黑体"/>
          <w:kern w:val="0"/>
          <w:szCs w:val="21"/>
        </w:rPr>
        <w:t>N</w:t>
      </w:r>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r>
        <w:rPr>
          <w:rFonts w:ascii="黑体" w:hAnsi="黑体" w:eastAsia="黑体"/>
          <w:kern w:val="0"/>
          <w:szCs w:val="21"/>
        </w:rPr>
        <w:t>（资料性附录）</w:t>
      </w:r>
    </w:p>
    <w:p>
      <w:pPr>
        <w:keepNext/>
        <w:widowControl/>
        <w:shd w:val="clear" w:color="FFFFFF" w:fill="FFFFFF"/>
        <w:tabs>
          <w:tab w:val="left" w:pos="360"/>
          <w:tab w:val="left" w:pos="6405"/>
        </w:tabs>
        <w:jc w:val="center"/>
        <w:outlineLvl w:val="0"/>
        <w:rPr>
          <w:rFonts w:ascii="黑体" w:hAnsi="黑体" w:eastAsia="黑体"/>
          <w:kern w:val="0"/>
          <w:szCs w:val="21"/>
        </w:rPr>
      </w:pPr>
      <w:r>
        <w:rPr>
          <w:rFonts w:ascii="黑体" w:hAnsi="黑体" w:eastAsia="黑体"/>
          <w:kern w:val="0"/>
          <w:szCs w:val="21"/>
        </w:rPr>
        <w:t>泥石流活动监测预警分析方法</w:t>
      </w:r>
      <w:bookmarkEnd w:id="305"/>
      <w:bookmarkEnd w:id="306"/>
      <w:bookmarkEnd w:id="307"/>
      <w:bookmarkEnd w:id="308"/>
      <w:bookmarkStart w:id="309" w:name="_Toc401042446"/>
      <w:bookmarkStart w:id="310" w:name="_Toc401588797"/>
      <w:bookmarkStart w:id="311" w:name="_Toc390884320"/>
    </w:p>
    <w:p>
      <w:pPr>
        <w:keepNext/>
        <w:keepLines/>
        <w:adjustRightInd w:val="0"/>
        <w:snapToGrid w:val="0"/>
        <w:spacing w:before="120" w:beforeLines="50" w:after="120" w:afterLines="50"/>
        <w:jc w:val="left"/>
        <w:rPr>
          <w:rFonts w:ascii="黑体" w:hAnsi="黑体" w:eastAsia="黑体"/>
          <w:bCs/>
          <w:kern w:val="44"/>
          <w:szCs w:val="21"/>
        </w:rPr>
      </w:pPr>
      <w:bookmarkStart w:id="312" w:name="_Toc21966455"/>
      <w:bookmarkStart w:id="313" w:name="_Toc534580170"/>
      <w:bookmarkStart w:id="314" w:name="_Toc534577813"/>
      <w:r>
        <w:rPr>
          <w:rFonts w:hint="eastAsia" w:ascii="黑体" w:hAnsi="黑体" w:eastAsia="黑体"/>
          <w:bCs/>
          <w:kern w:val="44"/>
          <w:szCs w:val="21"/>
        </w:rPr>
        <w:t xml:space="preserve">N.1  </w:t>
      </w:r>
      <w:r>
        <w:rPr>
          <w:rFonts w:ascii="黑体" w:hAnsi="黑体" w:eastAsia="黑体"/>
          <w:bCs/>
          <w:kern w:val="44"/>
          <w:szCs w:val="21"/>
        </w:rPr>
        <w:t>雨量预警阈值</w:t>
      </w:r>
      <w:bookmarkEnd w:id="309"/>
      <w:bookmarkEnd w:id="310"/>
      <w:bookmarkEnd w:id="311"/>
      <w:r>
        <w:rPr>
          <w:rFonts w:ascii="黑体" w:hAnsi="黑体" w:eastAsia="黑体"/>
          <w:bCs/>
          <w:kern w:val="44"/>
          <w:szCs w:val="21"/>
        </w:rPr>
        <w:t>确定方法</w:t>
      </w:r>
      <w:bookmarkEnd w:id="312"/>
      <w:bookmarkEnd w:id="313"/>
      <w:bookmarkEnd w:id="314"/>
    </w:p>
    <w:p>
      <w:pPr>
        <w:adjustRightInd w:val="0"/>
        <w:spacing w:line="360" w:lineRule="auto"/>
        <w:ind w:firstLine="420" w:firstLineChars="200"/>
        <w:textAlignment w:val="baseline"/>
        <w:rPr>
          <w:rFonts w:ascii="Times New Roman" w:hAnsi="Times New Roman"/>
          <w:kern w:val="0"/>
          <w:szCs w:val="21"/>
        </w:rPr>
      </w:pPr>
      <w:r>
        <w:rPr>
          <w:rFonts w:ascii="Times New Roman" w:hAnsi="Times New Roman"/>
          <w:kern w:val="0"/>
          <w:szCs w:val="21"/>
        </w:rPr>
        <w:t>目前，有关泥石流预警雨量阈值的研究，主要集中在泥石流临界雨量上，即引发泥石流的雨量。对于泥石流预警雨量指标主要包括10分钟预警雨量指标（10</w:t>
      </w:r>
      <w:r>
        <w:rPr>
          <w:rFonts w:hint="eastAsia" w:ascii="Times New Roman" w:hAnsi="Times New Roman"/>
          <w:kern w:val="0"/>
          <w:szCs w:val="21"/>
        </w:rPr>
        <w:t xml:space="preserve"> </w:t>
      </w:r>
      <w:r>
        <w:rPr>
          <w:rFonts w:ascii="Times New Roman" w:hAnsi="Times New Roman"/>
          <w:kern w:val="0"/>
          <w:szCs w:val="21"/>
        </w:rPr>
        <w:t>m）、1小时预警雨量指标（1</w:t>
      </w:r>
      <w:r>
        <w:rPr>
          <w:rFonts w:hint="eastAsia" w:ascii="Times New Roman" w:hAnsi="Times New Roman"/>
          <w:kern w:val="0"/>
          <w:szCs w:val="21"/>
        </w:rPr>
        <w:t xml:space="preserve"> </w:t>
      </w:r>
      <w:r>
        <w:rPr>
          <w:rFonts w:ascii="Times New Roman" w:hAnsi="Times New Roman"/>
          <w:kern w:val="0"/>
          <w:szCs w:val="21"/>
        </w:rPr>
        <w:t>h）、24小时预警雨量指标（24</w:t>
      </w:r>
      <w:r>
        <w:rPr>
          <w:rFonts w:hint="eastAsia" w:ascii="Times New Roman" w:hAnsi="Times New Roman"/>
          <w:kern w:val="0"/>
          <w:szCs w:val="21"/>
        </w:rPr>
        <w:t xml:space="preserve"> </w:t>
      </w:r>
      <w:r>
        <w:rPr>
          <w:rFonts w:ascii="Times New Roman" w:hAnsi="Times New Roman"/>
          <w:kern w:val="0"/>
          <w:szCs w:val="21"/>
        </w:rPr>
        <w:t>h）。我国山区泥石流灾害多由短时间暴雨触发，计算24小时预警雨量指标意义不大，因此本文件着重计算10分钟预警雨量指标和1小时预警雨量指标。</w:t>
      </w:r>
    </w:p>
    <w:p>
      <w:pPr>
        <w:adjustRightInd w:val="0"/>
        <w:spacing w:line="360" w:lineRule="auto"/>
        <w:ind w:firstLine="480"/>
        <w:textAlignment w:val="baseline"/>
        <w:rPr>
          <w:rFonts w:ascii="Times New Roman" w:hAnsi="Times New Roman"/>
          <w:kern w:val="0"/>
          <w:szCs w:val="21"/>
        </w:rPr>
      </w:pPr>
      <w:r>
        <w:rPr>
          <w:rFonts w:ascii="Times New Roman" w:hAnsi="Times New Roman"/>
          <w:kern w:val="0"/>
          <w:szCs w:val="21"/>
        </w:rPr>
        <w:t>泥石流预警雨量阈值计算方法较多，但多是根据不同区域泥石流灾害案例进行统计分析所提出来的方法。根据监测区水文、气象、地质等因素，本文件采用灾害历史调查法、模型计算法和模型试验法分别确定泥石流临界雨量，在此基础上进行综合分析，最终确定泥石流临界雨量。</w:t>
      </w:r>
    </w:p>
    <w:p>
      <w:pPr>
        <w:spacing w:before="120" w:beforeLines="50" w:after="120" w:afterLines="50"/>
        <w:rPr>
          <w:rFonts w:ascii="黑体" w:hAnsi="黑体" w:eastAsia="黑体"/>
          <w:szCs w:val="21"/>
        </w:rPr>
      </w:pPr>
      <w:bookmarkStart w:id="315" w:name="_Toc390884322"/>
      <w:bookmarkStart w:id="316" w:name="_Toc386471411"/>
      <w:bookmarkStart w:id="317" w:name="_Toc386471120"/>
      <w:r>
        <w:rPr>
          <w:rFonts w:hint="eastAsia" w:ascii="黑体" w:hAnsi="黑体" w:eastAsia="黑体"/>
          <w:szCs w:val="21"/>
        </w:rPr>
        <w:t xml:space="preserve">N.1.1  </w:t>
      </w:r>
      <w:r>
        <w:rPr>
          <w:rFonts w:ascii="黑体" w:hAnsi="黑体" w:eastAsia="黑体"/>
          <w:szCs w:val="21"/>
        </w:rPr>
        <w:t>灾害历史调查法</w:t>
      </w:r>
      <w:bookmarkEnd w:id="315"/>
      <w:bookmarkEnd w:id="316"/>
      <w:bookmarkEnd w:id="317"/>
    </w:p>
    <w:p>
      <w:pPr>
        <w:adjustRightInd w:val="0"/>
        <w:spacing w:line="360" w:lineRule="auto"/>
        <w:ind w:firstLine="420" w:firstLineChars="200"/>
        <w:textAlignment w:val="baseline"/>
        <w:rPr>
          <w:rFonts w:ascii="Times New Roman" w:hAnsi="Times New Roman"/>
          <w:kern w:val="0"/>
          <w:szCs w:val="21"/>
        </w:rPr>
      </w:pPr>
      <w:r>
        <w:rPr>
          <w:rFonts w:ascii="Times New Roman" w:hAnsi="Times New Roman"/>
          <w:kern w:val="0"/>
          <w:szCs w:val="21"/>
        </w:rPr>
        <w:t>灾害实例调查法是在缺资料地区最常用的一种方法。它是通过大量的灾害实例调查和雨量调查资料（有条件时也可收集一些专用雨量站实测资料，如厂矿、企业、水电站等单位的专用雨量站资料，也应收集区域周边邻近地区的雨量资料，便于分析比较），进行分析筛选，确定灾害区域临界雨量。采用此方法必须作全面的灾害实例调查和对应雨量调查，对所调查到的灾害及其对应的降雨资料进行统计分析时，根据调查资料情况，可以统计各场灾害不同时间段（但时间段不可能象有资料区域分得那么细）和过程降雨量，将历次灾害中各时间段和过程的最小雨量作为临界雨量初值。</w:t>
      </w:r>
    </w:p>
    <w:p>
      <w:pPr>
        <w:spacing w:before="120" w:beforeLines="50" w:after="120" w:afterLines="50"/>
        <w:rPr>
          <w:rFonts w:ascii="黑体" w:hAnsi="黑体" w:eastAsia="黑体"/>
          <w:szCs w:val="21"/>
        </w:rPr>
      </w:pPr>
      <w:bookmarkStart w:id="318" w:name="_Toc386471412"/>
      <w:bookmarkStart w:id="319" w:name="_Toc390884323"/>
      <w:bookmarkStart w:id="320" w:name="_Toc386471121"/>
      <w:r>
        <w:rPr>
          <w:rFonts w:hint="eastAsia" w:ascii="黑体" w:hAnsi="黑体" w:eastAsia="黑体"/>
          <w:szCs w:val="21"/>
        </w:rPr>
        <w:t xml:space="preserve">N.1.2  </w:t>
      </w:r>
      <w:r>
        <w:rPr>
          <w:rFonts w:ascii="黑体" w:hAnsi="黑体" w:eastAsia="黑体"/>
          <w:szCs w:val="21"/>
        </w:rPr>
        <w:t>基于泥石流形成机理的模型计算方法</w:t>
      </w:r>
      <w:bookmarkEnd w:id="318"/>
      <w:bookmarkEnd w:id="319"/>
      <w:bookmarkEnd w:id="320"/>
      <w:r>
        <w:rPr>
          <w:rFonts w:ascii="黑体" w:hAnsi="黑体" w:eastAsia="黑体"/>
          <w:szCs w:val="21"/>
        </w:rPr>
        <w:t>（</w:t>
      </w:r>
      <w:r>
        <w:rPr>
          <w:rFonts w:ascii="黑体" w:hAnsi="黑体" w:eastAsia="黑体"/>
          <w:kern w:val="0"/>
          <w:szCs w:val="21"/>
        </w:rPr>
        <w:t>水力类泥石流</w:t>
      </w:r>
      <w:r>
        <w:rPr>
          <w:rFonts w:ascii="黑体" w:hAnsi="黑体" w:eastAsia="黑体"/>
          <w:szCs w:val="21"/>
        </w:rPr>
        <w:t>）</w:t>
      </w:r>
    </w:p>
    <w:p>
      <w:pPr>
        <w:adjustRightInd w:val="0"/>
        <w:spacing w:line="360" w:lineRule="auto"/>
        <w:ind w:firstLine="420" w:firstLineChars="200"/>
        <w:textAlignment w:val="baseline"/>
        <w:rPr>
          <w:rFonts w:ascii="Times New Roman" w:hAnsi="Times New Roman"/>
          <w:kern w:val="0"/>
          <w:szCs w:val="21"/>
        </w:rPr>
      </w:pPr>
      <w:r>
        <w:rPr>
          <w:rFonts w:ascii="Times New Roman" w:hAnsi="Times New Roman"/>
          <w:kern w:val="0"/>
          <w:szCs w:val="21"/>
        </w:rPr>
        <w:t>按照泥石流形成的动力条件，可将泥石流划分为土力类泥石流和水力类泥石流，土力类泥石流是指准泥石流体或山坡强度降低而起动形成泥石流，偏粘性；水力类泥石流是指水流对坡面或沟槽强烈侵蚀而形成泥石流，偏稀性。</w:t>
      </w:r>
    </w:p>
    <w:p>
      <w:pPr>
        <w:adjustRightInd w:val="0"/>
        <w:spacing w:line="360" w:lineRule="auto"/>
        <w:ind w:firstLine="420" w:firstLineChars="200"/>
        <w:textAlignment w:val="baseline"/>
        <w:rPr>
          <w:rFonts w:ascii="Times New Roman" w:hAnsi="Times New Roman"/>
          <w:kern w:val="0"/>
          <w:szCs w:val="21"/>
        </w:rPr>
      </w:pPr>
      <w:r>
        <w:rPr>
          <w:rFonts w:ascii="Times New Roman" w:hAnsi="Times New Roman"/>
          <w:kern w:val="0"/>
          <w:szCs w:val="21"/>
        </w:rPr>
        <w:t>目前，尽管水力类泥石流启动的研究成果较土力类泥石流少，但还是有不少学者提出了水力类泥石流启动模型，这些启动模型按照建模理论可以分为两类：其一，采用摩尔-库伦破坏准则建立的水力类泥石流启动模型，代表性成果主要是Takahashi模型、Berti模型、Sassa模型等；其二，依据试验资料或调查资料建立的经验模型，其中最具代表性的有Toganacca模型、Gregoretti模型、中科院山地所模型等。</w:t>
      </w:r>
    </w:p>
    <w:p>
      <w:pPr>
        <w:adjustRightInd w:val="0"/>
        <w:spacing w:line="360" w:lineRule="auto"/>
        <w:ind w:firstLine="480"/>
        <w:rPr>
          <w:rFonts w:ascii="Times New Roman" w:hAnsi="Times New Roman"/>
          <w:bCs/>
          <w:kern w:val="0"/>
          <w:szCs w:val="21"/>
        </w:rPr>
      </w:pPr>
      <w:r>
        <w:rPr>
          <w:rFonts w:ascii="Times New Roman" w:hAnsi="Times New Roman"/>
          <w:bCs/>
          <w:kern w:val="0"/>
          <w:szCs w:val="21"/>
        </w:rPr>
        <w:t>基于试验资料或调查资料建立的模型当中，能够考虑沟床物质大小、沟床比降、沟床堆积物容重等因素的影响，这些参数通过调查直接获取，给类公式能沟依据以上参数计算泥石流启动时刻单宽清水流量。其中最具代表性的是Togannaca公式：</w:t>
      </w:r>
    </w:p>
    <w:p>
      <w:pPr>
        <w:adjustRightInd w:val="0"/>
        <w:spacing w:line="360" w:lineRule="auto"/>
        <w:ind w:right="105" w:firstLine="480"/>
        <w:jc w:val="right"/>
        <w:rPr>
          <w:rFonts w:ascii="Times New Roman" w:hAnsi="Times New Roman"/>
          <w:bCs/>
          <w:kern w:val="0"/>
          <w:szCs w:val="21"/>
        </w:rPr>
      </w:pPr>
      <w:r>
        <w:rPr>
          <w:rFonts w:ascii="Times New Roman" w:hAnsi="Times New Roman"/>
          <w:position w:val="-30"/>
          <w:szCs w:val="21"/>
        </w:rPr>
        <w:drawing>
          <wp:inline distT="0" distB="0" distL="0" distR="0">
            <wp:extent cx="990600" cy="457200"/>
            <wp:effectExtent l="19050" t="0" r="0" b="0"/>
            <wp:docPr id="6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32"/>
                    <pic:cNvPicPr>
                      <a:picLocks noChangeAspect="1" noChangeArrowheads="1"/>
                    </pic:cNvPicPr>
                  </pic:nvPicPr>
                  <pic:blipFill>
                    <a:blip r:embed="rId89" cstate="print"/>
                    <a:srcRect/>
                    <a:stretch>
                      <a:fillRect/>
                    </a:stretch>
                  </pic:blipFill>
                  <pic:spPr>
                    <a:xfrm>
                      <a:off x="0" y="0"/>
                      <a:ext cx="990600" cy="457200"/>
                    </a:xfrm>
                    <a:prstGeom prst="rect">
                      <a:avLst/>
                    </a:prstGeom>
                    <a:noFill/>
                    <a:ln w="9525">
                      <a:noFill/>
                      <a:miter lim="800000"/>
                      <a:headEnd/>
                      <a:tailEnd/>
                    </a:ln>
                  </pic:spPr>
                </pic:pic>
              </a:graphicData>
            </a:graphic>
          </wp:inline>
        </w:drawing>
      </w:r>
      <w:r>
        <w:rPr>
          <w:rFonts w:ascii="Times New Roman" w:hAnsi="Times New Roman"/>
          <w:sz w:val="20"/>
          <w:szCs w:val="20"/>
          <w:shd w:val="clear" w:color="auto" w:fill="FFFFFF"/>
        </w:rPr>
        <w:t>…………………………………………</w:t>
      </w:r>
      <w:r>
        <w:rPr>
          <w:rFonts w:ascii="Times New Roman" w:hAnsi="Times New Roman"/>
          <w:szCs w:val="24"/>
          <w:shd w:val="clear" w:color="auto" w:fill="FFFFFF"/>
        </w:rPr>
        <w:t>（</w:t>
      </w:r>
      <w:r>
        <w:rPr>
          <w:rFonts w:hint="eastAsia" w:ascii="Times New Roman" w:hAnsi="Times New Roman"/>
          <w:szCs w:val="24"/>
          <w:shd w:val="clear" w:color="auto" w:fill="FFFFFF"/>
        </w:rPr>
        <w:t>N.</w:t>
      </w:r>
      <w:r>
        <w:rPr>
          <w:rFonts w:ascii="Times New Roman" w:hAnsi="Times New Roman"/>
          <w:szCs w:val="24"/>
          <w:shd w:val="clear" w:color="auto" w:fill="FFFFFF"/>
        </w:rPr>
        <w:t>1）</w:t>
      </w:r>
    </w:p>
    <w:p>
      <w:pPr>
        <w:spacing w:line="360" w:lineRule="auto"/>
        <w:ind w:firstLine="480"/>
        <w:rPr>
          <w:rFonts w:ascii="Times New Roman" w:hAnsi="Times New Roman"/>
          <w:szCs w:val="21"/>
        </w:rPr>
      </w:pPr>
      <w:r>
        <w:rPr>
          <w:rFonts w:ascii="Times New Roman" w:hAnsi="Times New Roman"/>
          <w:szCs w:val="21"/>
        </w:rPr>
        <w:t>式中，</w:t>
      </w:r>
      <w:r>
        <w:rPr>
          <w:rFonts w:ascii="Times New Roman" w:hAnsi="Times New Roman"/>
          <w:position w:val="-10"/>
          <w:szCs w:val="21"/>
        </w:rPr>
        <w:drawing>
          <wp:inline distT="0" distB="0" distL="0" distR="0">
            <wp:extent cx="123825" cy="152400"/>
            <wp:effectExtent l="19050" t="0" r="0" b="0"/>
            <wp:docPr id="7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33"/>
                    <pic:cNvPicPr>
                      <a:picLocks noChangeAspect="1" noChangeArrowheads="1"/>
                    </pic:cNvPicPr>
                  </pic:nvPicPr>
                  <pic:blipFill>
                    <a:blip r:embed="rId90" cstate="print"/>
                    <a:srcRect/>
                    <a:stretch>
                      <a:fillRect/>
                    </a:stretch>
                  </pic:blipFill>
                  <pic:spPr>
                    <a:xfrm>
                      <a:off x="0" y="0"/>
                      <a:ext cx="123825" cy="152400"/>
                    </a:xfrm>
                    <a:prstGeom prst="rect">
                      <a:avLst/>
                    </a:prstGeom>
                    <a:noFill/>
                    <a:ln w="9525">
                      <a:noFill/>
                      <a:miter lim="800000"/>
                      <a:headEnd/>
                      <a:tailEnd/>
                    </a:ln>
                  </pic:spPr>
                </pic:pic>
              </a:graphicData>
            </a:graphic>
          </wp:inline>
        </w:drawing>
      </w:r>
      <w:r>
        <w:rPr>
          <w:rFonts w:ascii="Times New Roman" w:hAnsi="Times New Roman"/>
          <w:szCs w:val="21"/>
        </w:rPr>
        <w:t>是泥石流起动单宽流量；</w:t>
      </w:r>
      <w:r>
        <w:rPr>
          <w:rFonts w:ascii="Times New Roman" w:hAnsi="Times New Roman"/>
          <w:position w:val="-12"/>
          <w:szCs w:val="21"/>
        </w:rPr>
        <w:drawing>
          <wp:inline distT="0" distB="0" distL="0" distR="0">
            <wp:extent cx="200025" cy="228600"/>
            <wp:effectExtent l="19050" t="0" r="9525" b="0"/>
            <wp:docPr id="7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34"/>
                    <pic:cNvPicPr>
                      <a:picLocks noChangeAspect="1" noChangeArrowheads="1"/>
                    </pic:cNvPicPr>
                  </pic:nvPicPr>
                  <pic:blipFill>
                    <a:blip r:embed="rId91" cstate="print"/>
                    <a:srcRect/>
                    <a:stretch>
                      <a:fillRect/>
                    </a:stretch>
                  </pic:blipFill>
                  <pic:spPr>
                    <a:xfrm>
                      <a:off x="0" y="0"/>
                      <a:ext cx="200025" cy="228600"/>
                    </a:xfrm>
                    <a:prstGeom prst="rect">
                      <a:avLst/>
                    </a:prstGeom>
                    <a:noFill/>
                    <a:ln w="9525">
                      <a:noFill/>
                      <a:miter lim="800000"/>
                      <a:headEnd/>
                      <a:tailEnd/>
                    </a:ln>
                  </pic:spPr>
                </pic:pic>
              </a:graphicData>
            </a:graphic>
          </wp:inline>
        </w:drawing>
      </w:r>
      <w:r>
        <w:rPr>
          <w:rFonts w:ascii="Times New Roman" w:hAnsi="Times New Roman"/>
          <w:szCs w:val="21"/>
        </w:rPr>
        <w:t>是堆积物颗粒平均粒径；</w:t>
      </w:r>
      <w:r>
        <w:rPr>
          <w:rFonts w:ascii="Times New Roman" w:hAnsi="Times New Roman"/>
          <w:position w:val="-6"/>
          <w:szCs w:val="21"/>
        </w:rPr>
        <w:drawing>
          <wp:inline distT="0" distB="0" distL="0" distR="0">
            <wp:extent cx="123825" cy="180975"/>
            <wp:effectExtent l="0" t="0" r="9525" b="0"/>
            <wp:docPr id="7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35"/>
                    <pic:cNvPicPr>
                      <a:picLocks noChangeAspect="1" noChangeArrowheads="1"/>
                    </pic:cNvPicPr>
                  </pic:nvPicPr>
                  <pic:blipFill>
                    <a:blip r:embed="rId92" cstate="print"/>
                    <a:srcRect/>
                    <a:stretch>
                      <a:fillRect/>
                    </a:stretch>
                  </pic:blipFill>
                  <pic:spPr>
                    <a:xfrm>
                      <a:off x="0" y="0"/>
                      <a:ext cx="123825" cy="180975"/>
                    </a:xfrm>
                    <a:prstGeom prst="rect">
                      <a:avLst/>
                    </a:prstGeom>
                    <a:noFill/>
                    <a:ln w="9525">
                      <a:noFill/>
                      <a:miter lim="800000"/>
                      <a:headEnd/>
                      <a:tailEnd/>
                    </a:ln>
                  </pic:spPr>
                </pic:pic>
              </a:graphicData>
            </a:graphic>
          </wp:inline>
        </w:drawing>
      </w:r>
      <w:r>
        <w:rPr>
          <w:rFonts w:ascii="Times New Roman" w:hAnsi="Times New Roman"/>
          <w:szCs w:val="21"/>
        </w:rPr>
        <w:t>是沟床坡度。</w:t>
      </w:r>
    </w:p>
    <w:p>
      <w:pPr>
        <w:spacing w:line="360" w:lineRule="auto"/>
        <w:ind w:firstLine="480"/>
        <w:rPr>
          <w:rFonts w:ascii="Times New Roman" w:hAnsi="Times New Roman"/>
          <w:szCs w:val="21"/>
        </w:rPr>
      </w:pPr>
      <w:r>
        <w:rPr>
          <w:rFonts w:ascii="Times New Roman" w:hAnsi="Times New Roman"/>
          <w:szCs w:val="21"/>
        </w:rPr>
        <w:t>采用沟床启动模型计算泥石流启动降雨阈值，需要首先计算泥石流启动临界流量。采用修正后的Toganacca公式计算泥石流启动临界流量。修正后的Toganacca公式在进行计算时，采用沟床粗化层中值粒径进行计算。</w:t>
      </w:r>
    </w:p>
    <w:p>
      <w:pPr>
        <w:spacing w:line="360" w:lineRule="auto"/>
        <w:ind w:firstLine="315" w:firstLineChars="150"/>
        <w:rPr>
          <w:rFonts w:ascii="Times New Roman" w:hAnsi="Times New Roman"/>
          <w:szCs w:val="21"/>
        </w:rPr>
      </w:pPr>
      <w:r>
        <w:rPr>
          <w:rFonts w:ascii="Times New Roman" w:hAnsi="Times New Roman"/>
          <w:szCs w:val="21"/>
        </w:rPr>
        <w:t>利用此方法的具体操作步骤为：</w:t>
      </w:r>
    </w:p>
    <w:p>
      <w:pPr>
        <w:spacing w:line="360" w:lineRule="auto"/>
        <w:ind w:left="840" w:leftChars="200" w:hanging="420" w:hangingChars="200"/>
        <w:rPr>
          <w:rFonts w:ascii="Times New Roman" w:hAnsi="Times New Roman"/>
          <w:szCs w:val="21"/>
        </w:rPr>
      </w:pPr>
      <w:r>
        <w:rPr>
          <w:rFonts w:hint="eastAsia" w:ascii="Times New Roman" w:hAnsi="Times New Roman"/>
          <w:szCs w:val="21"/>
        </w:rPr>
        <w:t>a</w:t>
      </w:r>
      <w:r>
        <w:rPr>
          <w:rFonts w:hint="eastAsia" w:ascii="宋体" w:hAnsi="宋体"/>
          <w:szCs w:val="21"/>
        </w:rPr>
        <w:t xml:space="preserve">)  </w:t>
      </w:r>
      <w:r>
        <w:rPr>
          <w:rFonts w:ascii="Times New Roman" w:hAnsi="Times New Roman"/>
          <w:szCs w:val="21"/>
        </w:rPr>
        <w:t>确定沟道侵蚀型泥石流形成区特征过流断面。根据调查测绘确定泥石流沟道内泥石流形成区范围，在所述沟道泥石流形成区内的上段区域选择一段沟道顺直、沟床比降均一的沟段作为特征过流沟段，以所述特征过流沟段的中间断面作为特征过流断面；</w:t>
      </w:r>
    </w:p>
    <w:p>
      <w:pPr>
        <w:spacing w:line="360" w:lineRule="auto"/>
        <w:ind w:left="840" w:leftChars="200" w:hanging="420" w:hangingChars="200"/>
        <w:rPr>
          <w:rFonts w:ascii="Times New Roman" w:hAnsi="Times New Roman"/>
          <w:szCs w:val="21"/>
        </w:rPr>
      </w:pPr>
      <w:r>
        <w:rPr>
          <w:rFonts w:hint="eastAsia" w:ascii="Times New Roman" w:hAnsi="Times New Roman"/>
          <w:szCs w:val="21"/>
        </w:rPr>
        <w:t>b</w:t>
      </w:r>
      <w:r>
        <w:rPr>
          <w:rFonts w:hint="eastAsia" w:ascii="宋体" w:hAnsi="宋体"/>
          <w:szCs w:val="21"/>
        </w:rPr>
        <w:t xml:space="preserve">)  </w:t>
      </w:r>
      <w:r>
        <w:rPr>
          <w:rFonts w:ascii="Times New Roman" w:hAnsi="Times New Roman"/>
          <w:szCs w:val="21"/>
        </w:rPr>
        <w:t>确定地形地质基本参数数据</w:t>
      </w:r>
      <w:r>
        <w:rPr>
          <w:rFonts w:hint="eastAsia" w:ascii="Times New Roman" w:hAnsi="Times New Roman"/>
          <w:szCs w:val="21"/>
        </w:rPr>
        <w:t>。</w:t>
      </w:r>
      <w:r>
        <w:rPr>
          <w:rFonts w:ascii="Times New Roman" w:hAnsi="Times New Roman"/>
          <w:szCs w:val="21"/>
        </w:rPr>
        <w:t>调查测绘测量确定地形地质基本参数数据，所述地形地质基本参数数据包括：特征过流断面松散物质粗化层中值粒径</w:t>
      </w:r>
      <w:r>
        <w:rPr>
          <w:rFonts w:ascii="Times New Roman" w:hAnsi="Times New Roman"/>
          <w:szCs w:val="21"/>
        </w:rPr>
        <w:drawing>
          <wp:inline distT="0" distB="0" distL="0" distR="0">
            <wp:extent cx="228600" cy="228600"/>
            <wp:effectExtent l="19050" t="0" r="0" b="0"/>
            <wp:docPr id="7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41"/>
                    <pic:cNvPicPr>
                      <a:picLocks noChangeAspect="1" noChangeArrowheads="1"/>
                    </pic:cNvPicPr>
                  </pic:nvPicPr>
                  <pic:blipFill>
                    <a:blip r:embed="rId93" cstate="print"/>
                    <a:srcRect/>
                    <a:stretch>
                      <a:fillRect/>
                    </a:stretch>
                  </pic:blipFill>
                  <pic:spPr>
                    <a:xfrm>
                      <a:off x="0" y="0"/>
                      <a:ext cx="228600" cy="228600"/>
                    </a:xfrm>
                    <a:prstGeom prst="rect">
                      <a:avLst/>
                    </a:prstGeom>
                    <a:noFill/>
                    <a:ln w="9525">
                      <a:noFill/>
                      <a:miter lim="800000"/>
                      <a:headEnd/>
                      <a:tailEnd/>
                    </a:ln>
                  </pic:spPr>
                </pic:pic>
              </a:graphicData>
            </a:graphic>
          </wp:inline>
        </w:drawing>
      </w:r>
      <w:r>
        <w:rPr>
          <w:rFonts w:ascii="Times New Roman" w:hAnsi="Times New Roman"/>
          <w:szCs w:val="21"/>
        </w:rPr>
        <w:t>，特征过流断面宽度</w:t>
      </w:r>
      <w:r>
        <w:rPr>
          <w:rFonts w:ascii="Times New Roman" w:hAnsi="Times New Roman"/>
          <w:szCs w:val="21"/>
        </w:rPr>
        <w:drawing>
          <wp:inline distT="0" distB="0" distL="0" distR="0">
            <wp:extent cx="152400" cy="152400"/>
            <wp:effectExtent l="19050" t="0" r="0" b="0"/>
            <wp:docPr id="7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2"/>
                    <pic:cNvPicPr>
                      <a:picLocks noChangeAspect="1" noChangeArrowheads="1"/>
                    </pic:cNvPicPr>
                  </pic:nvPicPr>
                  <pic:blipFill>
                    <a:blip r:embed="rId94" cstate="print"/>
                    <a:srcRect/>
                    <a:stretch>
                      <a:fillRect/>
                    </a:stretch>
                  </pic:blipFill>
                  <pic:spPr>
                    <a:xfrm>
                      <a:off x="0" y="0"/>
                      <a:ext cx="152400" cy="152400"/>
                    </a:xfrm>
                    <a:prstGeom prst="rect">
                      <a:avLst/>
                    </a:prstGeom>
                    <a:noFill/>
                    <a:ln w="9525">
                      <a:noFill/>
                      <a:miter lim="800000"/>
                      <a:headEnd/>
                      <a:tailEnd/>
                    </a:ln>
                  </pic:spPr>
                </pic:pic>
              </a:graphicData>
            </a:graphic>
          </wp:inline>
        </w:drawing>
      </w:r>
      <w:r>
        <w:rPr>
          <w:rFonts w:ascii="Times New Roman" w:hAnsi="Times New Roman"/>
          <w:szCs w:val="21"/>
        </w:rPr>
        <w:t>、固体物质容重</w:t>
      </w:r>
      <w:r>
        <w:rPr>
          <w:rFonts w:ascii="Times New Roman" w:hAnsi="Times New Roman"/>
          <w:szCs w:val="21"/>
        </w:rPr>
        <w:drawing>
          <wp:inline distT="0" distB="0" distL="0" distR="0">
            <wp:extent cx="152400" cy="228600"/>
            <wp:effectExtent l="19050" t="0" r="0" b="0"/>
            <wp:docPr id="7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43"/>
                    <pic:cNvPicPr>
                      <a:picLocks noChangeAspect="1" noChangeArrowheads="1"/>
                    </pic:cNvPicPr>
                  </pic:nvPicPr>
                  <pic:blipFill>
                    <a:blip r:embed="rId95" cstate="print"/>
                    <a:srcRect/>
                    <a:stretch>
                      <a:fillRect/>
                    </a:stretch>
                  </pic:blipFill>
                  <pic:spPr>
                    <a:xfrm>
                      <a:off x="0" y="0"/>
                      <a:ext cx="152400" cy="228600"/>
                    </a:xfrm>
                    <a:prstGeom prst="rect">
                      <a:avLst/>
                    </a:prstGeom>
                    <a:noFill/>
                    <a:ln w="9525">
                      <a:noFill/>
                      <a:miter lim="800000"/>
                      <a:headEnd/>
                      <a:tailEnd/>
                    </a:ln>
                  </pic:spPr>
                </pic:pic>
              </a:graphicData>
            </a:graphic>
          </wp:inline>
        </w:drawing>
      </w:r>
      <w:r>
        <w:rPr>
          <w:rFonts w:ascii="Times New Roman" w:hAnsi="Times New Roman"/>
          <w:szCs w:val="21"/>
        </w:rPr>
        <w:t>、特征过流沟段比降</w:t>
      </w:r>
      <w:r>
        <w:rPr>
          <w:rFonts w:ascii="Times New Roman" w:hAnsi="Times New Roman"/>
          <w:szCs w:val="21"/>
        </w:rPr>
        <w:drawing>
          <wp:inline distT="0" distB="0" distL="0" distR="0">
            <wp:extent cx="85725" cy="152400"/>
            <wp:effectExtent l="19050" t="0" r="0" b="0"/>
            <wp:docPr id="7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44"/>
                    <pic:cNvPicPr>
                      <a:picLocks noChangeAspect="1" noChangeArrowheads="1"/>
                    </pic:cNvPicPr>
                  </pic:nvPicPr>
                  <pic:blipFill>
                    <a:blip r:embed="rId96" cstate="print"/>
                    <a:srcRect/>
                    <a:stretch>
                      <a:fillRect/>
                    </a:stretch>
                  </pic:blipFill>
                  <pic:spPr>
                    <a:xfrm>
                      <a:off x="0" y="0"/>
                      <a:ext cx="85725" cy="152400"/>
                    </a:xfrm>
                    <a:prstGeom prst="rect">
                      <a:avLst/>
                    </a:prstGeom>
                    <a:noFill/>
                    <a:ln w="9525">
                      <a:noFill/>
                      <a:miter lim="800000"/>
                      <a:headEnd/>
                      <a:tailEnd/>
                    </a:ln>
                  </pic:spPr>
                </pic:pic>
              </a:graphicData>
            </a:graphic>
          </wp:inline>
        </w:drawing>
      </w:r>
      <w:r>
        <w:rPr>
          <w:rFonts w:ascii="Times New Roman" w:hAnsi="Times New Roman"/>
          <w:szCs w:val="21"/>
        </w:rPr>
        <w:t>；</w:t>
      </w:r>
    </w:p>
    <w:p>
      <w:pPr>
        <w:spacing w:line="360" w:lineRule="auto"/>
        <w:ind w:left="840" w:leftChars="200" w:hanging="420" w:hangingChars="200"/>
        <w:rPr>
          <w:rFonts w:ascii="Times New Roman" w:hAnsi="Times New Roman"/>
          <w:szCs w:val="21"/>
        </w:rPr>
      </w:pPr>
      <w:r>
        <w:rPr>
          <w:rFonts w:hint="eastAsia" w:ascii="Times New Roman" w:hAnsi="Times New Roman"/>
          <w:szCs w:val="21"/>
        </w:rPr>
        <w:t>c</w:t>
      </w:r>
      <w:r>
        <w:rPr>
          <w:rFonts w:hint="eastAsia" w:ascii="宋体" w:hAnsi="宋体"/>
          <w:szCs w:val="21"/>
        </w:rPr>
        <w:t xml:space="preserve">)  </w:t>
      </w:r>
      <w:r>
        <w:rPr>
          <w:rFonts w:ascii="Times New Roman" w:hAnsi="Times New Roman"/>
          <w:szCs w:val="21"/>
        </w:rPr>
        <w:t>计算起动临界流量</w:t>
      </w:r>
      <w:r>
        <w:rPr>
          <w:rFonts w:hint="eastAsia" w:ascii="Times New Roman" w:hAnsi="Times New Roman"/>
          <w:szCs w:val="21"/>
        </w:rPr>
        <w:t>。</w:t>
      </w:r>
      <w:r>
        <w:rPr>
          <w:rFonts w:ascii="Times New Roman" w:hAnsi="Times New Roman"/>
          <w:szCs w:val="21"/>
        </w:rPr>
        <w:t>根据调查数据，结合修正后的Tongnacca公式，计算沟床堆积物起动形成泥石流的径流总量Q。</w:t>
      </w:r>
    </w:p>
    <w:p>
      <w:pPr>
        <w:spacing w:line="360" w:lineRule="auto"/>
        <w:ind w:left="840" w:leftChars="200" w:hanging="420" w:hangingChars="200"/>
        <w:rPr>
          <w:rFonts w:ascii="Times New Roman" w:hAnsi="Times New Roman"/>
          <w:szCs w:val="21"/>
        </w:rPr>
      </w:pPr>
      <w:r>
        <w:rPr>
          <w:rFonts w:hint="eastAsia" w:ascii="Times New Roman" w:hAnsi="Times New Roman"/>
          <w:szCs w:val="21"/>
        </w:rPr>
        <w:t>d</w:t>
      </w:r>
      <w:r>
        <w:rPr>
          <w:rFonts w:hint="eastAsia" w:ascii="宋体" w:hAnsi="宋体"/>
          <w:szCs w:val="21"/>
        </w:rPr>
        <w:t xml:space="preserve">)  </w:t>
      </w:r>
      <w:r>
        <w:rPr>
          <w:rFonts w:ascii="Times New Roman" w:hAnsi="Times New Roman"/>
          <w:szCs w:val="21"/>
        </w:rPr>
        <w:t>计算1小时临界雨量</w:t>
      </w:r>
      <w:r>
        <w:rPr>
          <w:rFonts w:hint="eastAsia" w:ascii="Times New Roman" w:hAnsi="Times New Roman"/>
          <w:szCs w:val="21"/>
        </w:rPr>
        <w:t>。</w:t>
      </w:r>
      <w:r>
        <w:rPr>
          <w:rFonts w:ascii="Times New Roman" w:hAnsi="Times New Roman"/>
          <w:szCs w:val="21"/>
        </w:rPr>
        <w:t>根据泥石流起动径流总量，结合特征沟道以上断面泥石流沟流域面积、总体比降等参数，运用水文手册中推荐的方法，计算泥石流起动1小时降雨量。</w:t>
      </w:r>
    </w:p>
    <w:p>
      <w:pPr>
        <w:spacing w:line="360" w:lineRule="auto"/>
        <w:ind w:left="840" w:leftChars="200" w:hanging="420" w:hangingChars="200"/>
        <w:rPr>
          <w:rFonts w:ascii="Times New Roman" w:hAnsi="Times New Roman"/>
          <w:szCs w:val="21"/>
        </w:rPr>
      </w:pPr>
      <w:r>
        <w:rPr>
          <w:rFonts w:hint="eastAsia" w:ascii="Times New Roman" w:hAnsi="Times New Roman"/>
          <w:szCs w:val="21"/>
        </w:rPr>
        <w:t>e</w:t>
      </w:r>
      <w:r>
        <w:rPr>
          <w:rFonts w:hint="eastAsia" w:ascii="宋体" w:hAnsi="宋体"/>
          <w:szCs w:val="21"/>
        </w:rPr>
        <w:t xml:space="preserve">)  </w:t>
      </w:r>
      <w:r>
        <w:rPr>
          <w:rFonts w:ascii="Times New Roman" w:hAnsi="Times New Roman"/>
          <w:szCs w:val="21"/>
        </w:rPr>
        <w:t>计算10分钟临界雨量</w:t>
      </w:r>
      <w:r>
        <w:rPr>
          <w:rFonts w:hint="eastAsia" w:ascii="Times New Roman" w:hAnsi="Times New Roman"/>
          <w:szCs w:val="21"/>
        </w:rPr>
        <w:t>。</w:t>
      </w:r>
      <w:r>
        <w:rPr>
          <w:rFonts w:ascii="Times New Roman" w:hAnsi="Times New Roman"/>
          <w:szCs w:val="21"/>
        </w:rPr>
        <w:t>假定10分钟临界雨量和1小时临界雨量同频率，结合1小时临界雨量值计算10分钟临界雨量。</w:t>
      </w:r>
    </w:p>
    <w:p>
      <w:pPr>
        <w:spacing w:before="120" w:beforeLines="50" w:after="120" w:afterLines="50"/>
        <w:rPr>
          <w:rFonts w:ascii="黑体" w:hAnsi="黑体" w:eastAsia="黑体"/>
          <w:szCs w:val="21"/>
        </w:rPr>
      </w:pPr>
      <w:r>
        <w:rPr>
          <w:rFonts w:hint="eastAsia" w:ascii="黑体" w:hAnsi="黑体" w:eastAsia="黑体"/>
          <w:szCs w:val="21"/>
        </w:rPr>
        <w:t xml:space="preserve">N.1.3  </w:t>
      </w:r>
      <w:r>
        <w:rPr>
          <w:rFonts w:ascii="黑体" w:hAnsi="黑体" w:eastAsia="黑体"/>
          <w:szCs w:val="21"/>
        </w:rPr>
        <w:t>模型试验法（</w:t>
      </w:r>
      <w:r>
        <w:rPr>
          <w:rFonts w:ascii="黑体" w:hAnsi="黑体" w:eastAsia="黑体"/>
          <w:kern w:val="0"/>
          <w:szCs w:val="21"/>
        </w:rPr>
        <w:t>土力类泥石流</w:t>
      </w:r>
      <w:r>
        <w:rPr>
          <w:rFonts w:ascii="黑体" w:hAnsi="黑体" w:eastAsia="黑体"/>
          <w:szCs w:val="21"/>
        </w:rPr>
        <w:t>）</w:t>
      </w:r>
    </w:p>
    <w:p>
      <w:pPr>
        <w:spacing w:line="360" w:lineRule="auto"/>
        <w:ind w:firstLine="480"/>
        <w:rPr>
          <w:rFonts w:ascii="Times New Roman" w:hAnsi="Times New Roman"/>
          <w:szCs w:val="21"/>
        </w:rPr>
      </w:pPr>
      <w:r>
        <w:rPr>
          <w:rFonts w:ascii="Times New Roman" w:hAnsi="Times New Roman"/>
          <w:szCs w:val="21"/>
        </w:rPr>
        <w:t>模型试验法来是通过野外人工降雨进行泥石流启动原型实验，分析泥石流启动过程中不同密度宽级配土体失稳转化为泥石流的具体降雨量指标。实验区应选择在物源区平整坡体进行，实验区面积大于2</w:t>
      </w:r>
      <w:r>
        <w:rPr>
          <w:rFonts w:hint="eastAsia" w:ascii="Times New Roman" w:hAnsi="Times New Roman"/>
          <w:szCs w:val="21"/>
        </w:rPr>
        <w:t xml:space="preserve"> </w:t>
      </w:r>
      <w:r>
        <w:rPr>
          <w:rFonts w:ascii="Times New Roman" w:hAnsi="Times New Roman"/>
          <w:szCs w:val="21"/>
        </w:rPr>
        <w:t>m×2</w:t>
      </w:r>
      <w:r>
        <w:rPr>
          <w:rFonts w:hint="eastAsia" w:ascii="Times New Roman" w:hAnsi="Times New Roman"/>
          <w:szCs w:val="21"/>
        </w:rPr>
        <w:t xml:space="preserve"> </w:t>
      </w:r>
      <w:r>
        <w:rPr>
          <w:rFonts w:ascii="Times New Roman" w:hAnsi="Times New Roman"/>
          <w:szCs w:val="21"/>
        </w:rPr>
        <w:t>m，松散砾石土厚30-35</w:t>
      </w:r>
      <w:r>
        <w:rPr>
          <w:rFonts w:hint="eastAsia" w:ascii="Times New Roman" w:hAnsi="Times New Roman"/>
          <w:szCs w:val="21"/>
        </w:rPr>
        <w:t xml:space="preserve"> </w:t>
      </w:r>
      <w:r>
        <w:rPr>
          <w:rFonts w:ascii="Times New Roman" w:hAnsi="Times New Roman"/>
          <w:szCs w:val="21"/>
        </w:rPr>
        <w:t>cm，坡角保持天然坡度35°左右。实验区四围采用防雨布覆盖，减少周围径流的影响。每次试验前均对坡面各参数进行测量，确保每次试验条件一致。降雨设备有效均匀降雨区域面积应大于20</w:t>
      </w:r>
      <w:r>
        <w:rPr>
          <w:rFonts w:hint="eastAsia" w:ascii="Times New Roman" w:hAnsi="Times New Roman"/>
          <w:szCs w:val="21"/>
        </w:rPr>
        <w:t xml:space="preserve"> </w:t>
      </w:r>
      <w:r>
        <w:rPr>
          <w:rFonts w:ascii="Times New Roman" w:hAnsi="Times New Roman"/>
          <w:szCs w:val="21"/>
        </w:rPr>
        <w:t>m</w:t>
      </w:r>
      <w:r>
        <w:rPr>
          <w:rFonts w:ascii="Times New Roman" w:hAnsi="Times New Roman"/>
          <w:szCs w:val="21"/>
          <w:vertAlign w:val="superscript"/>
        </w:rPr>
        <w:t>2</w:t>
      </w:r>
      <w:r>
        <w:rPr>
          <w:rFonts w:ascii="Times New Roman" w:hAnsi="Times New Roman"/>
          <w:szCs w:val="21"/>
        </w:rPr>
        <w:t>，且降雨强度范围以10</w:t>
      </w:r>
      <w:r>
        <w:rPr>
          <w:rFonts w:hint="eastAsia" w:ascii="Times New Roman" w:hAnsi="Times New Roman"/>
          <w:szCs w:val="21"/>
        </w:rPr>
        <w:t xml:space="preserve"> </w:t>
      </w:r>
      <w:r>
        <w:rPr>
          <w:rFonts w:ascii="Times New Roman" w:hAnsi="Times New Roman"/>
          <w:szCs w:val="21"/>
        </w:rPr>
        <w:t>mm/h</w:t>
      </w:r>
      <w:r>
        <w:rPr>
          <w:rFonts w:hint="eastAsia" w:ascii="宋体" w:hAnsi="宋体"/>
          <w:szCs w:val="21"/>
        </w:rPr>
        <w:t>～</w:t>
      </w:r>
      <w:r>
        <w:rPr>
          <w:rFonts w:ascii="Times New Roman" w:hAnsi="Times New Roman"/>
          <w:szCs w:val="21"/>
        </w:rPr>
        <w:t>150</w:t>
      </w:r>
      <w:r>
        <w:rPr>
          <w:rFonts w:hint="eastAsia" w:ascii="Times New Roman" w:hAnsi="Times New Roman"/>
          <w:szCs w:val="21"/>
        </w:rPr>
        <w:t xml:space="preserve"> </w:t>
      </w:r>
      <w:r>
        <w:rPr>
          <w:rFonts w:ascii="Times New Roman" w:hAnsi="Times New Roman"/>
          <w:szCs w:val="21"/>
        </w:rPr>
        <w:t>mm/h为宜。</w:t>
      </w:r>
    </w:p>
    <w:p>
      <w:pPr>
        <w:jc w:val="center"/>
        <w:rPr>
          <w:rFonts w:ascii="Times New Roman" w:hAnsi="Times New Roman"/>
          <w:szCs w:val="21"/>
        </w:rPr>
      </w:pPr>
      <w:r>
        <w:rPr>
          <w:rFonts w:ascii="Times New Roman" w:hAnsi="Times New Roman"/>
          <w:szCs w:val="21"/>
        </w:rPr>
        <w:drawing>
          <wp:inline distT="0" distB="0" distL="0" distR="0">
            <wp:extent cx="5238750" cy="2562225"/>
            <wp:effectExtent l="0" t="0" r="0" b="0"/>
            <wp:docPr id="77" name="图片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09"/>
                    <pic:cNvPicPr>
                      <a:picLocks noChangeAspect="1" noChangeArrowheads="1"/>
                    </pic:cNvPicPr>
                  </pic:nvPicPr>
                  <pic:blipFill>
                    <a:blip r:embed="rId97" cstate="print">
                      <a:lum bright="-6000"/>
                    </a:blip>
                    <a:srcRect l="17200" t="20509" r="10902" b="33865"/>
                    <a:stretch>
                      <a:fillRect/>
                    </a:stretch>
                  </pic:blipFill>
                  <pic:spPr>
                    <a:xfrm>
                      <a:off x="0" y="0"/>
                      <a:ext cx="5238750" cy="2562225"/>
                    </a:xfrm>
                    <a:prstGeom prst="rect">
                      <a:avLst/>
                    </a:prstGeom>
                    <a:noFill/>
                    <a:ln w="9525">
                      <a:noFill/>
                      <a:miter lim="800000"/>
                      <a:headEnd/>
                      <a:tailEnd/>
                    </a:ln>
                  </pic:spPr>
                </pic:pic>
              </a:graphicData>
            </a:graphic>
          </wp:inline>
        </w:drawing>
      </w:r>
    </w:p>
    <w:p>
      <w:pPr>
        <w:widowControl/>
        <w:tabs>
          <w:tab w:val="left" w:pos="360"/>
        </w:tabs>
        <w:spacing w:before="120" w:beforeLines="50" w:after="120" w:afterLines="50"/>
        <w:contextualSpacing/>
        <w:jc w:val="center"/>
        <w:rPr>
          <w:rFonts w:ascii="黑体" w:hAnsi="黑体" w:eastAsia="黑体"/>
          <w:kern w:val="0"/>
          <w:szCs w:val="21"/>
        </w:rPr>
      </w:pPr>
      <w:r>
        <w:rPr>
          <w:rFonts w:ascii="黑体" w:hAnsi="黑体" w:eastAsia="黑体"/>
          <w:kern w:val="0"/>
          <w:szCs w:val="21"/>
        </w:rPr>
        <w:t>图</w:t>
      </w:r>
      <w:r>
        <w:rPr>
          <w:rFonts w:hint="eastAsia" w:ascii="黑体" w:hAnsi="黑体" w:eastAsia="黑体"/>
          <w:kern w:val="0"/>
          <w:szCs w:val="21"/>
        </w:rPr>
        <w:t>N</w:t>
      </w:r>
      <w:r>
        <w:rPr>
          <w:rFonts w:ascii="黑体" w:hAnsi="黑体" w:eastAsia="黑体"/>
          <w:kern w:val="0"/>
          <w:szCs w:val="21"/>
        </w:rPr>
        <w:t>.1</w:t>
      </w:r>
      <w:r>
        <w:rPr>
          <w:rFonts w:hint="eastAsia" w:ascii="黑体" w:hAnsi="黑体" w:eastAsia="黑体"/>
          <w:kern w:val="0"/>
          <w:szCs w:val="21"/>
        </w:rPr>
        <w:t xml:space="preserve">  </w:t>
      </w:r>
      <w:r>
        <w:rPr>
          <w:rFonts w:ascii="黑体" w:hAnsi="黑体" w:eastAsia="黑体"/>
          <w:kern w:val="0"/>
          <w:szCs w:val="21"/>
        </w:rPr>
        <w:t>模型试验示意图</w:t>
      </w:r>
    </w:p>
    <w:p>
      <w:pPr>
        <w:widowControl/>
        <w:tabs>
          <w:tab w:val="left" w:pos="360"/>
        </w:tabs>
        <w:spacing w:before="120" w:beforeLines="50" w:after="120" w:afterLines="50"/>
        <w:contextualSpacing/>
        <w:jc w:val="center"/>
        <w:rPr>
          <w:rFonts w:ascii="黑体" w:hAnsi="黑体" w:eastAsia="黑体"/>
          <w:kern w:val="0"/>
          <w:szCs w:val="21"/>
        </w:rPr>
      </w:pPr>
    </w:p>
    <w:p>
      <w:pPr>
        <w:keepNext/>
        <w:keepLines/>
        <w:adjustRightInd w:val="0"/>
        <w:snapToGrid w:val="0"/>
        <w:spacing w:before="120" w:beforeLines="50" w:after="120" w:afterLines="50"/>
        <w:jc w:val="left"/>
        <w:rPr>
          <w:rFonts w:ascii="黑体" w:hAnsi="黑体" w:eastAsia="黑体"/>
          <w:bCs/>
          <w:kern w:val="44"/>
          <w:szCs w:val="21"/>
        </w:rPr>
      </w:pPr>
      <w:bookmarkStart w:id="321" w:name="_Toc390884332"/>
      <w:bookmarkStart w:id="322" w:name="_Toc401588798"/>
      <w:bookmarkStart w:id="323" w:name="_Toc401042447"/>
      <w:bookmarkStart w:id="324" w:name="_Toc534577814"/>
      <w:bookmarkStart w:id="325" w:name="_Toc21966456"/>
      <w:bookmarkStart w:id="326" w:name="_Toc534580171"/>
      <w:r>
        <w:rPr>
          <w:rFonts w:hint="eastAsia" w:ascii="黑体" w:hAnsi="黑体" w:eastAsia="黑体"/>
          <w:bCs/>
          <w:kern w:val="44"/>
          <w:szCs w:val="21"/>
        </w:rPr>
        <w:t xml:space="preserve">N.2  </w:t>
      </w:r>
      <w:r>
        <w:rPr>
          <w:rFonts w:ascii="黑体" w:hAnsi="黑体" w:eastAsia="黑体"/>
          <w:bCs/>
          <w:kern w:val="44"/>
          <w:szCs w:val="21"/>
        </w:rPr>
        <w:t>泥位</w:t>
      </w:r>
      <w:bookmarkEnd w:id="321"/>
      <w:r>
        <w:rPr>
          <w:rFonts w:ascii="黑体" w:hAnsi="黑体" w:eastAsia="黑体"/>
          <w:bCs/>
          <w:kern w:val="44"/>
          <w:szCs w:val="21"/>
        </w:rPr>
        <w:t>阈值</w:t>
      </w:r>
      <w:bookmarkEnd w:id="322"/>
      <w:bookmarkEnd w:id="323"/>
      <w:r>
        <w:rPr>
          <w:rFonts w:ascii="黑体" w:hAnsi="黑体" w:eastAsia="黑体"/>
          <w:bCs/>
          <w:kern w:val="44"/>
          <w:szCs w:val="21"/>
        </w:rPr>
        <w:t>确定方法</w:t>
      </w:r>
      <w:bookmarkEnd w:id="324"/>
      <w:bookmarkEnd w:id="325"/>
      <w:bookmarkEnd w:id="326"/>
    </w:p>
    <w:p>
      <w:pPr>
        <w:adjustRightInd w:val="0"/>
        <w:spacing w:line="360" w:lineRule="auto"/>
        <w:ind w:firstLine="480"/>
        <w:textAlignment w:val="baseline"/>
        <w:rPr>
          <w:rFonts w:ascii="Times New Roman" w:hAnsi="Times New Roman"/>
          <w:kern w:val="0"/>
          <w:szCs w:val="21"/>
        </w:rPr>
      </w:pPr>
      <w:r>
        <w:rPr>
          <w:rFonts w:ascii="Times New Roman" w:hAnsi="Times New Roman"/>
          <w:kern w:val="0"/>
          <w:szCs w:val="21"/>
        </w:rPr>
        <w:t>泥位特征值的确定是泥石流预警中的基本数据，特别是对于建立低频率泥石流或缺资料区域的泥石流监测预警系统尤为重要。泥石流泥位阈值的确定方法为：</w:t>
      </w:r>
      <w:r>
        <w:rPr>
          <w:rFonts w:hint="eastAsia" w:ascii="Times New Roman" w:hAnsi="Times New Roman"/>
          <w:kern w:val="0"/>
          <w:szCs w:val="21"/>
        </w:rPr>
        <w:t>一是可</w:t>
      </w:r>
      <w:r>
        <w:rPr>
          <w:rFonts w:ascii="Times New Roman" w:hAnsi="Times New Roman"/>
          <w:kern w:val="0"/>
          <w:szCs w:val="21"/>
        </w:rPr>
        <w:t>根据泥位站点的安装位置，计算出该断面处不同频率泥石流的流量；</w:t>
      </w:r>
      <w:r>
        <w:rPr>
          <w:rFonts w:hint="eastAsia" w:ascii="Times New Roman" w:hAnsi="Times New Roman"/>
          <w:kern w:val="0"/>
          <w:szCs w:val="21"/>
        </w:rPr>
        <w:t>二是</w:t>
      </w:r>
      <w:r>
        <w:rPr>
          <w:rFonts w:ascii="Times New Roman" w:hAnsi="Times New Roman"/>
          <w:kern w:val="0"/>
          <w:szCs w:val="21"/>
        </w:rPr>
        <w:t>调查各断面的泥石流洪痕，根据不同频率下各断面的流量，计算不同不同频率下泥石流的泥位深度。</w:t>
      </w:r>
    </w:p>
    <w:p>
      <w:pPr>
        <w:spacing w:line="360" w:lineRule="auto"/>
        <w:ind w:firstLine="480"/>
        <w:rPr>
          <w:rFonts w:ascii="Times New Roman" w:hAnsi="Times New Roman"/>
          <w:szCs w:val="21"/>
        </w:rPr>
      </w:pPr>
      <w:r>
        <w:rPr>
          <w:rFonts w:ascii="Times New Roman" w:hAnsi="Times New Roman"/>
          <w:szCs w:val="21"/>
        </w:rPr>
        <w:t>泥石流的流量Q</w:t>
      </w:r>
      <w:r>
        <w:rPr>
          <w:rFonts w:ascii="Times New Roman" w:hAnsi="Times New Roman"/>
          <w:szCs w:val="21"/>
          <w:vertAlign w:val="subscript"/>
        </w:rPr>
        <w:t>c</w:t>
      </w:r>
      <w:r>
        <w:rPr>
          <w:rFonts w:ascii="Times New Roman" w:hAnsi="Times New Roman"/>
          <w:szCs w:val="21"/>
        </w:rPr>
        <w:t>、流速U</w:t>
      </w:r>
      <w:r>
        <w:rPr>
          <w:rFonts w:ascii="Times New Roman" w:hAnsi="Times New Roman"/>
          <w:szCs w:val="21"/>
          <w:vertAlign w:val="subscript"/>
        </w:rPr>
        <w:t>c</w:t>
      </w:r>
      <w:r>
        <w:rPr>
          <w:rFonts w:ascii="Times New Roman" w:hAnsi="Times New Roman"/>
          <w:szCs w:val="21"/>
        </w:rPr>
        <w:t>以及过流断面面积A之间存在如下关系：</w:t>
      </w:r>
    </w:p>
    <w:p>
      <w:pPr>
        <w:adjustRightInd w:val="0"/>
        <w:spacing w:line="360" w:lineRule="auto"/>
        <w:jc w:val="right"/>
        <w:rPr>
          <w:rFonts w:ascii="Times New Roman" w:hAnsi="Times New Roman"/>
          <w:szCs w:val="21"/>
        </w:rPr>
      </w:pPr>
      <w:r>
        <w:rPr>
          <w:rFonts w:ascii="Times New Roman" w:hAnsi="Times New Roman"/>
          <w:position w:val="-12"/>
          <w:szCs w:val="21"/>
        </w:rPr>
        <w:drawing>
          <wp:inline distT="0" distB="0" distL="0" distR="0">
            <wp:extent cx="647700" cy="228600"/>
            <wp:effectExtent l="19050" t="0" r="0" b="0"/>
            <wp:docPr id="7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64"/>
                    <pic:cNvPicPr>
                      <a:picLocks noChangeAspect="1" noChangeArrowheads="1"/>
                    </pic:cNvPicPr>
                  </pic:nvPicPr>
                  <pic:blipFill>
                    <a:blip r:embed="rId98" cstate="print"/>
                    <a:srcRect/>
                    <a:stretch>
                      <a:fillRect/>
                    </a:stretch>
                  </pic:blipFill>
                  <pic:spPr>
                    <a:xfrm>
                      <a:off x="0" y="0"/>
                      <a:ext cx="647700" cy="228600"/>
                    </a:xfrm>
                    <a:prstGeom prst="rect">
                      <a:avLst/>
                    </a:prstGeom>
                    <a:noFill/>
                    <a:ln w="9525">
                      <a:noFill/>
                      <a:miter lim="800000"/>
                      <a:headEnd/>
                      <a:tailEnd/>
                    </a:ln>
                  </pic:spPr>
                </pic:pic>
              </a:graphicData>
            </a:graphic>
          </wp:inline>
        </w:drawing>
      </w:r>
      <w:r>
        <w:rPr>
          <w:rFonts w:ascii="Times New Roman" w:hAnsi="Times New Roman"/>
          <w:sz w:val="20"/>
          <w:szCs w:val="20"/>
          <w:shd w:val="clear" w:color="auto" w:fill="FFFFFF"/>
        </w:rPr>
        <w:t>………………………………………………………</w:t>
      </w:r>
      <w:r>
        <w:rPr>
          <w:rFonts w:ascii="Times New Roman" w:hAnsi="Times New Roman"/>
          <w:szCs w:val="24"/>
          <w:shd w:val="clear" w:color="auto" w:fill="FFFFFF"/>
        </w:rPr>
        <w:t>（</w:t>
      </w:r>
      <w:r>
        <w:rPr>
          <w:rFonts w:hint="eastAsia" w:ascii="Times New Roman" w:hAnsi="Times New Roman"/>
          <w:szCs w:val="24"/>
          <w:shd w:val="clear" w:color="auto" w:fill="FFFFFF"/>
        </w:rPr>
        <w:t>N</w:t>
      </w:r>
      <w:r>
        <w:rPr>
          <w:rFonts w:ascii="Times New Roman" w:hAnsi="Times New Roman"/>
          <w:szCs w:val="24"/>
          <w:shd w:val="clear" w:color="auto" w:fill="FFFFFF"/>
        </w:rPr>
        <w:t>.2）</w:t>
      </w:r>
    </w:p>
    <w:p>
      <w:pPr>
        <w:spacing w:line="360" w:lineRule="auto"/>
        <w:ind w:firstLine="480"/>
        <w:rPr>
          <w:rFonts w:ascii="Times New Roman" w:hAnsi="Times New Roman"/>
          <w:szCs w:val="21"/>
        </w:rPr>
      </w:pPr>
      <w:r>
        <w:rPr>
          <w:rFonts w:ascii="Times New Roman" w:hAnsi="Times New Roman"/>
          <w:szCs w:val="21"/>
        </w:rPr>
        <w:t>其中，流速U</w:t>
      </w:r>
      <w:r>
        <w:rPr>
          <w:rFonts w:ascii="Times New Roman" w:hAnsi="Times New Roman"/>
          <w:szCs w:val="21"/>
          <w:vertAlign w:val="subscript"/>
        </w:rPr>
        <w:t>c</w:t>
      </w:r>
      <w:r>
        <w:rPr>
          <w:rFonts w:ascii="Times New Roman" w:hAnsi="Times New Roman"/>
          <w:szCs w:val="21"/>
        </w:rPr>
        <w:t>采用西南地区现行的泥石流流速计算公式：</w:t>
      </w:r>
    </w:p>
    <w:p>
      <w:pPr>
        <w:adjustRightInd w:val="0"/>
        <w:spacing w:line="360" w:lineRule="auto"/>
        <w:ind w:firstLine="480"/>
        <w:jc w:val="right"/>
        <w:rPr>
          <w:rFonts w:ascii="Times New Roman" w:hAnsi="Times New Roman"/>
          <w:szCs w:val="24"/>
          <w:shd w:val="clear" w:color="auto" w:fill="FFFFFF"/>
        </w:rPr>
      </w:pPr>
      <w:r>
        <w:rPr>
          <w:rFonts w:ascii="Times New Roman" w:hAnsi="Times New Roman"/>
          <w:position w:val="-12"/>
          <w:szCs w:val="21"/>
        </w:rPr>
        <w:drawing>
          <wp:inline distT="0" distB="0" distL="0" distR="0">
            <wp:extent cx="1362075" cy="247650"/>
            <wp:effectExtent l="19050" t="0" r="9525" b="0"/>
            <wp:docPr id="7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65"/>
                    <pic:cNvPicPr>
                      <a:picLocks noChangeAspect="1" noChangeArrowheads="1"/>
                    </pic:cNvPicPr>
                  </pic:nvPicPr>
                  <pic:blipFill>
                    <a:blip r:embed="rId99" cstate="print"/>
                    <a:srcRect/>
                    <a:stretch>
                      <a:fillRect/>
                    </a:stretch>
                  </pic:blipFill>
                  <pic:spPr>
                    <a:xfrm>
                      <a:off x="0" y="0"/>
                      <a:ext cx="1362075" cy="247650"/>
                    </a:xfrm>
                    <a:prstGeom prst="rect">
                      <a:avLst/>
                    </a:prstGeom>
                    <a:noFill/>
                    <a:ln w="9525">
                      <a:noFill/>
                      <a:miter lim="800000"/>
                      <a:headEnd/>
                      <a:tailEnd/>
                    </a:ln>
                  </pic:spPr>
                </pic:pic>
              </a:graphicData>
            </a:graphic>
          </wp:inline>
        </w:drawing>
      </w:r>
      <w:r>
        <w:rPr>
          <w:rFonts w:ascii="Times New Roman" w:hAnsi="Times New Roman"/>
          <w:sz w:val="20"/>
          <w:szCs w:val="20"/>
          <w:shd w:val="clear" w:color="auto" w:fill="FFFFFF"/>
        </w:rPr>
        <w:t>…………………………………………</w:t>
      </w:r>
      <w:r>
        <w:rPr>
          <w:rFonts w:ascii="Times New Roman" w:hAnsi="Times New Roman"/>
          <w:szCs w:val="24"/>
          <w:shd w:val="clear" w:color="auto" w:fill="FFFFFF"/>
        </w:rPr>
        <w:t>（</w:t>
      </w:r>
      <w:r>
        <w:rPr>
          <w:rFonts w:hint="eastAsia" w:ascii="Times New Roman" w:hAnsi="Times New Roman"/>
          <w:szCs w:val="24"/>
          <w:shd w:val="clear" w:color="auto" w:fill="FFFFFF"/>
        </w:rPr>
        <w:t>N</w:t>
      </w:r>
      <w:r>
        <w:rPr>
          <w:rFonts w:ascii="Times New Roman" w:hAnsi="Times New Roman"/>
          <w:szCs w:val="24"/>
          <w:shd w:val="clear" w:color="auto" w:fill="FFFFFF"/>
        </w:rPr>
        <w:t>.3）</w:t>
      </w:r>
    </w:p>
    <w:p>
      <w:pPr>
        <w:adjustRightInd w:val="0"/>
        <w:spacing w:line="360" w:lineRule="auto"/>
        <w:ind w:firstLine="480"/>
        <w:jc w:val="right"/>
        <w:rPr>
          <w:rFonts w:ascii="Times New Roman" w:hAnsi="Times New Roman"/>
          <w:szCs w:val="21"/>
        </w:rPr>
      </w:pPr>
      <w:r>
        <w:rPr>
          <w:rFonts w:ascii="Times New Roman" w:hAnsi="Times New Roman"/>
          <w:szCs w:val="21"/>
        </w:rPr>
        <w:t>式中M</w:t>
      </w:r>
      <w:r>
        <w:rPr>
          <w:rFonts w:ascii="Times New Roman" w:hAnsi="Times New Roman"/>
          <w:szCs w:val="21"/>
          <w:vertAlign w:val="subscript"/>
        </w:rPr>
        <w:t>c</w:t>
      </w:r>
      <w:r>
        <w:rPr>
          <w:rFonts w:ascii="Times New Roman" w:hAnsi="Times New Roman"/>
          <w:szCs w:val="21"/>
        </w:rPr>
        <w:t>为泥石流沟糙率系数（可参见《中国泥石流》），α为校正系数（可根据泥石流容重以固体物质容重计算），R为水力半径，I</w:t>
      </w:r>
      <w:r>
        <w:rPr>
          <w:rFonts w:ascii="Times New Roman" w:hAnsi="Times New Roman"/>
          <w:szCs w:val="21"/>
          <w:vertAlign w:val="subscript"/>
        </w:rPr>
        <w:t>c</w:t>
      </w:r>
      <w:r>
        <w:rPr>
          <w:rFonts w:ascii="Times New Roman" w:hAnsi="Times New Roman"/>
          <w:szCs w:val="21"/>
        </w:rPr>
        <w:t>为比降。</w:t>
      </w:r>
    </w:p>
    <w:p>
      <w:pPr>
        <w:spacing w:line="360" w:lineRule="auto"/>
        <w:ind w:firstLine="480"/>
        <w:rPr>
          <w:rFonts w:ascii="Times New Roman" w:hAnsi="Times New Roman"/>
          <w:szCs w:val="21"/>
        </w:rPr>
      </w:pPr>
      <w:r>
        <w:rPr>
          <w:rFonts w:ascii="Times New Roman" w:hAnsi="Times New Roman"/>
          <w:szCs w:val="21"/>
        </w:rPr>
        <w:t>根据有工程情况下，不同雨量阈值（警戒雨量、紧急撤离雨量）下各泥位站点的泥石流峰值流量，采用上述公式可以计算泥石流泥位阈值。</w:t>
      </w:r>
    </w:p>
    <w:p>
      <w:pPr>
        <w:keepNext/>
        <w:keepLines/>
        <w:adjustRightInd w:val="0"/>
        <w:snapToGrid w:val="0"/>
        <w:spacing w:before="120" w:beforeLines="50" w:after="120" w:afterLines="50"/>
        <w:jc w:val="left"/>
        <w:rPr>
          <w:rFonts w:ascii="黑体" w:hAnsi="黑体" w:eastAsia="黑体"/>
          <w:bCs/>
          <w:kern w:val="44"/>
          <w:szCs w:val="21"/>
        </w:rPr>
      </w:pPr>
      <w:bookmarkStart w:id="327" w:name="_Toc401042448"/>
      <w:bookmarkStart w:id="328" w:name="_Toc401588799"/>
      <w:bookmarkStart w:id="329" w:name="_Toc390884335"/>
      <w:bookmarkStart w:id="330" w:name="_Toc534577815"/>
      <w:bookmarkStart w:id="331" w:name="_Toc534580172"/>
      <w:bookmarkStart w:id="332" w:name="_Toc21966457"/>
      <w:r>
        <w:rPr>
          <w:rFonts w:hint="eastAsia" w:ascii="黑体" w:hAnsi="黑体" w:eastAsia="黑体"/>
          <w:bCs/>
          <w:kern w:val="44"/>
          <w:szCs w:val="21"/>
        </w:rPr>
        <w:t xml:space="preserve">N.3  </w:t>
      </w:r>
      <w:r>
        <w:rPr>
          <w:rFonts w:ascii="黑体" w:hAnsi="黑体" w:eastAsia="黑体"/>
          <w:bCs/>
          <w:kern w:val="44"/>
          <w:szCs w:val="21"/>
        </w:rPr>
        <w:t>土体孔隙水压力和含水率预警阈值</w:t>
      </w:r>
      <w:bookmarkEnd w:id="327"/>
      <w:bookmarkEnd w:id="328"/>
      <w:bookmarkEnd w:id="329"/>
      <w:r>
        <w:rPr>
          <w:rFonts w:ascii="黑体" w:hAnsi="黑体" w:eastAsia="黑体"/>
          <w:bCs/>
          <w:kern w:val="44"/>
          <w:szCs w:val="21"/>
        </w:rPr>
        <w:t>确定方法</w:t>
      </w:r>
      <w:bookmarkEnd w:id="330"/>
      <w:bookmarkEnd w:id="331"/>
      <w:bookmarkEnd w:id="332"/>
    </w:p>
    <w:p>
      <w:pPr>
        <w:spacing w:line="360" w:lineRule="auto"/>
        <w:ind w:firstLine="420" w:firstLineChars="200"/>
        <w:rPr>
          <w:rFonts w:ascii="Times New Roman" w:hAnsi="Times New Roman"/>
          <w:szCs w:val="21"/>
        </w:rPr>
      </w:pPr>
      <w:r>
        <w:rPr>
          <w:rFonts w:ascii="Times New Roman" w:hAnsi="Times New Roman"/>
          <w:szCs w:val="21"/>
        </w:rPr>
        <w:t>孔隙水压力指标和含水率指标只能通过模型试验法获取，因此可以通过人工降雨试验来获取孔压和含水率阈值，并结合不同的降雨强度来确定泥石流形成雨量、警戒雨量和紧急撤离雨量下的孔隙水压力阈值和含水率阈值。</w:t>
      </w:r>
    </w:p>
    <w:p>
      <w:pPr>
        <w:keepNext/>
        <w:keepLines/>
        <w:adjustRightInd w:val="0"/>
        <w:snapToGrid w:val="0"/>
        <w:spacing w:before="120" w:beforeLines="50" w:after="120" w:afterLines="50"/>
        <w:jc w:val="left"/>
        <w:rPr>
          <w:rFonts w:ascii="黑体" w:hAnsi="黑体" w:eastAsia="黑体"/>
          <w:bCs/>
          <w:kern w:val="44"/>
          <w:szCs w:val="21"/>
        </w:rPr>
      </w:pPr>
      <w:bookmarkStart w:id="333" w:name="_Toc390884341"/>
      <w:bookmarkStart w:id="334" w:name="_Toc401042449"/>
      <w:bookmarkStart w:id="335" w:name="_Toc401588800"/>
      <w:bookmarkStart w:id="336" w:name="_Toc534580173"/>
      <w:bookmarkStart w:id="337" w:name="_Toc21966458"/>
      <w:bookmarkStart w:id="338" w:name="_Toc534577816"/>
      <w:r>
        <w:rPr>
          <w:rFonts w:hint="eastAsia" w:ascii="黑体" w:hAnsi="黑体" w:eastAsia="黑体"/>
          <w:bCs/>
          <w:kern w:val="44"/>
          <w:szCs w:val="21"/>
        </w:rPr>
        <w:t xml:space="preserve">N.4  </w:t>
      </w:r>
      <w:r>
        <w:rPr>
          <w:rFonts w:ascii="黑体" w:hAnsi="黑体" w:eastAsia="黑体"/>
          <w:bCs/>
          <w:kern w:val="44"/>
          <w:szCs w:val="21"/>
        </w:rPr>
        <w:t>振动预警阈值</w:t>
      </w:r>
      <w:bookmarkEnd w:id="333"/>
      <w:bookmarkEnd w:id="334"/>
      <w:bookmarkEnd w:id="335"/>
      <w:r>
        <w:rPr>
          <w:rFonts w:ascii="黑体" w:hAnsi="黑体" w:eastAsia="黑体"/>
          <w:bCs/>
          <w:kern w:val="44"/>
          <w:szCs w:val="21"/>
        </w:rPr>
        <w:t>确定方法</w:t>
      </w:r>
      <w:bookmarkEnd w:id="336"/>
      <w:bookmarkEnd w:id="337"/>
      <w:bookmarkEnd w:id="338"/>
    </w:p>
    <w:p>
      <w:pPr>
        <w:tabs>
          <w:tab w:val="center" w:pos="4201"/>
          <w:tab w:val="right" w:leader="dot" w:pos="9298"/>
        </w:tabs>
        <w:autoSpaceDE w:val="0"/>
        <w:autoSpaceDN w:val="0"/>
        <w:spacing w:line="360" w:lineRule="auto"/>
        <w:ind w:firstLine="420" w:firstLineChars="200"/>
        <w:jc w:val="left"/>
        <w:rPr>
          <w:rFonts w:ascii="宋体" w:hAnsi="Times New Roman"/>
          <w:kern w:val="0"/>
          <w:szCs w:val="21"/>
        </w:rPr>
      </w:pPr>
      <w:r>
        <w:rPr>
          <w:rFonts w:ascii="Times New Roman" w:hAnsi="Times New Roman"/>
          <w:kern w:val="0"/>
          <w:szCs w:val="21"/>
        </w:rPr>
        <w:t>由于各沟道地质条件各异，泥石流流动情况及其引发的振动资料极为缺乏，因此振动监测设备的预警阈值需要通过对长时间序列振动观测数据的分析进而确定。</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bookmarkStart w:id="339" w:name="_Toc21966459"/>
      <w:bookmarkStart w:id="340" w:name="_Toc534577817"/>
      <w:bookmarkStart w:id="341" w:name="_Toc33177724"/>
      <w:r>
        <w:rPr>
          <w:rFonts w:ascii="黑体" w:hAnsi="黑体" w:eastAsia="黑体"/>
          <w:kern w:val="0"/>
          <w:szCs w:val="21"/>
        </w:rPr>
        <w:t xml:space="preserve">附  录  </w:t>
      </w:r>
      <w:r>
        <w:rPr>
          <w:rFonts w:hint="eastAsia" w:ascii="黑体" w:hAnsi="黑体" w:eastAsia="黑体"/>
          <w:kern w:val="0"/>
          <w:szCs w:val="21"/>
        </w:rPr>
        <w:t>O</w:t>
      </w:r>
    </w:p>
    <w:p>
      <w:pPr>
        <w:keepNext/>
        <w:widowControl/>
        <w:shd w:val="clear" w:color="FFFFFF" w:fill="FFFFFF"/>
        <w:tabs>
          <w:tab w:val="left" w:pos="360"/>
          <w:tab w:val="left" w:pos="6405"/>
        </w:tabs>
        <w:spacing w:before="120" w:beforeLines="50" w:after="120" w:afterLines="50"/>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w:t>
      </w:r>
      <w:r>
        <w:rPr>
          <w:rFonts w:hint="eastAsia" w:ascii="Times New Roman" w:hAnsi="Times New Roman" w:eastAsia="黑体"/>
          <w:kern w:val="0"/>
          <w:szCs w:val="21"/>
        </w:rPr>
        <w:t>资料</w:t>
      </w:r>
      <w:r>
        <w:rPr>
          <w:rFonts w:ascii="Times New Roman" w:hAnsi="Times New Roman" w:eastAsia="黑体"/>
          <w:kern w:val="0"/>
          <w:szCs w:val="21"/>
        </w:rPr>
        <w:t>性附录）</w:t>
      </w:r>
    </w:p>
    <w:p>
      <w:pPr>
        <w:keepNext/>
        <w:widowControl/>
        <w:shd w:val="clear" w:color="FFFFFF" w:fill="FFFFFF"/>
        <w:tabs>
          <w:tab w:val="left" w:pos="360"/>
          <w:tab w:val="left" w:pos="6405"/>
        </w:tabs>
        <w:spacing w:before="120" w:beforeLines="50" w:after="120" w:afterLines="50"/>
        <w:jc w:val="center"/>
        <w:outlineLvl w:val="0"/>
        <w:rPr>
          <w:rFonts w:ascii="Times New Roman" w:hAnsi="Times New Roman" w:eastAsia="黑体"/>
          <w:kern w:val="0"/>
          <w:szCs w:val="21"/>
        </w:rPr>
      </w:pPr>
      <w:r>
        <w:rPr>
          <w:rFonts w:hint="eastAsia" w:ascii="Times New Roman" w:hAnsi="Times New Roman" w:eastAsia="黑体"/>
          <w:kern w:val="0"/>
          <w:szCs w:val="21"/>
        </w:rPr>
        <w:t>专业监测报表提纲</w:t>
      </w:r>
      <w:bookmarkEnd w:id="339"/>
      <w:bookmarkEnd w:id="340"/>
      <w:bookmarkEnd w:id="341"/>
    </w:p>
    <w:p>
      <w:pPr>
        <w:keepNext/>
        <w:keepLines/>
        <w:adjustRightInd w:val="0"/>
        <w:snapToGrid w:val="0"/>
        <w:spacing w:before="120" w:beforeLines="50" w:after="120" w:afterLines="50"/>
        <w:jc w:val="left"/>
        <w:rPr>
          <w:rFonts w:ascii="黑体" w:hAnsi="黑体" w:eastAsia="黑体"/>
          <w:bCs/>
          <w:kern w:val="44"/>
          <w:szCs w:val="21"/>
        </w:rPr>
      </w:pPr>
      <w:bookmarkStart w:id="342" w:name="_Toc21966460"/>
      <w:bookmarkStart w:id="343" w:name="_Toc534580175"/>
      <w:bookmarkStart w:id="344" w:name="_Toc534577818"/>
      <w:r>
        <w:rPr>
          <w:rFonts w:hint="eastAsia" w:ascii="黑体" w:hAnsi="黑体" w:eastAsia="黑体"/>
          <w:bCs/>
          <w:kern w:val="44"/>
          <w:szCs w:val="21"/>
        </w:rPr>
        <w:t>O.1  旬报提纲</w:t>
      </w:r>
      <w:bookmarkEnd w:id="342"/>
      <w:bookmarkEnd w:id="343"/>
      <w:bookmarkEnd w:id="344"/>
    </w:p>
    <w:p>
      <w:pPr>
        <w:spacing w:line="360" w:lineRule="auto"/>
        <w:rPr>
          <w:rFonts w:ascii="Times New Roman" w:hAnsi="Times New Roman"/>
          <w:szCs w:val="24"/>
        </w:rPr>
      </w:pPr>
      <w:r>
        <w:rPr>
          <w:rFonts w:hint="eastAsia" w:ascii="Times New Roman" w:hAnsi="Times New Roman"/>
          <w:szCs w:val="24"/>
        </w:rPr>
        <w:t>第一章  监测现状</w:t>
      </w:r>
    </w:p>
    <w:p>
      <w:pPr>
        <w:spacing w:line="360" w:lineRule="auto"/>
        <w:ind w:firstLine="420" w:firstLineChars="200"/>
        <w:rPr>
          <w:rFonts w:ascii="Times New Roman" w:hAnsi="Times New Roman"/>
          <w:szCs w:val="24"/>
        </w:rPr>
      </w:pPr>
      <w:r>
        <w:rPr>
          <w:rFonts w:hint="eastAsia" w:ascii="Times New Roman" w:hAnsi="Times New Roman"/>
          <w:szCs w:val="24"/>
        </w:rPr>
        <w:t>包括监测点布设及有无变更情况、本旬监测工作开展情况、本旬取得的监测成果情况。</w:t>
      </w:r>
    </w:p>
    <w:p>
      <w:pPr>
        <w:spacing w:line="360" w:lineRule="auto"/>
        <w:rPr>
          <w:rFonts w:ascii="Times New Roman" w:hAnsi="Times New Roman"/>
          <w:szCs w:val="24"/>
        </w:rPr>
      </w:pPr>
      <w:r>
        <w:rPr>
          <w:rFonts w:hint="eastAsia" w:ascii="Times New Roman" w:hAnsi="Times New Roman"/>
          <w:szCs w:val="24"/>
        </w:rPr>
        <w:t>第二章  监测数据分析</w:t>
      </w:r>
    </w:p>
    <w:p>
      <w:pPr>
        <w:spacing w:line="360" w:lineRule="auto"/>
        <w:ind w:firstLine="420" w:firstLineChars="200"/>
        <w:rPr>
          <w:rFonts w:ascii="Times New Roman" w:hAnsi="Times New Roman"/>
          <w:szCs w:val="24"/>
        </w:rPr>
      </w:pPr>
      <w:r>
        <w:rPr>
          <w:rFonts w:hint="eastAsia" w:ascii="Times New Roman" w:hAnsi="Times New Roman"/>
          <w:szCs w:val="24"/>
        </w:rPr>
        <w:t>明确单点最大变化量、变化速率以及对应的时间与点位信息。</w:t>
      </w:r>
    </w:p>
    <w:p>
      <w:pPr>
        <w:spacing w:line="360" w:lineRule="auto"/>
        <w:rPr>
          <w:rFonts w:ascii="Times New Roman" w:hAnsi="Times New Roman"/>
          <w:szCs w:val="24"/>
        </w:rPr>
      </w:pPr>
      <w:r>
        <w:rPr>
          <w:rFonts w:hint="eastAsia" w:ascii="Times New Roman" w:hAnsi="Times New Roman"/>
          <w:szCs w:val="24"/>
        </w:rPr>
        <w:t>第三章  稳定性现状</w:t>
      </w:r>
    </w:p>
    <w:p>
      <w:pPr>
        <w:spacing w:line="360" w:lineRule="auto"/>
        <w:ind w:firstLine="420" w:firstLineChars="200"/>
        <w:rPr>
          <w:rFonts w:ascii="Times New Roman" w:hAnsi="Times New Roman"/>
          <w:szCs w:val="24"/>
        </w:rPr>
      </w:pPr>
      <w:r>
        <w:rPr>
          <w:rFonts w:hint="eastAsia" w:ascii="Times New Roman" w:hAnsi="Times New Roman"/>
          <w:szCs w:val="24"/>
        </w:rPr>
        <w:t>基于目前监测数据并结合地质灾害体地质环境条件，判定监测对象的稳定性。</w:t>
      </w:r>
    </w:p>
    <w:p>
      <w:pPr>
        <w:spacing w:line="360" w:lineRule="auto"/>
        <w:ind w:firstLine="420" w:firstLineChars="200"/>
        <w:rPr>
          <w:rFonts w:ascii="Times New Roman" w:hAnsi="Times New Roman"/>
          <w:szCs w:val="24"/>
        </w:rPr>
      </w:pPr>
      <w:r>
        <w:rPr>
          <w:rFonts w:hint="eastAsia" w:ascii="Times New Roman" w:hAnsi="Times New Roman"/>
          <w:szCs w:val="24"/>
        </w:rPr>
        <w:t>附件：专业监测平面布置图</w:t>
      </w:r>
    </w:p>
    <w:p>
      <w:pPr>
        <w:keepNext/>
        <w:keepLines/>
        <w:adjustRightInd w:val="0"/>
        <w:snapToGrid w:val="0"/>
        <w:spacing w:before="120" w:beforeLines="50" w:after="120" w:afterLines="50"/>
        <w:jc w:val="left"/>
        <w:rPr>
          <w:rFonts w:ascii="黑体" w:hAnsi="黑体" w:eastAsia="黑体"/>
          <w:bCs/>
          <w:kern w:val="44"/>
          <w:szCs w:val="21"/>
        </w:rPr>
      </w:pPr>
      <w:bookmarkStart w:id="345" w:name="_Toc534577819"/>
      <w:bookmarkStart w:id="346" w:name="_Toc534580176"/>
      <w:bookmarkStart w:id="347" w:name="_Toc21966461"/>
      <w:r>
        <w:rPr>
          <w:rFonts w:hint="eastAsia" w:ascii="黑体" w:hAnsi="黑体" w:eastAsia="黑体"/>
          <w:bCs/>
          <w:kern w:val="44"/>
          <w:szCs w:val="21"/>
        </w:rPr>
        <w:t>O.2  月报提纲</w:t>
      </w:r>
      <w:bookmarkEnd w:id="345"/>
      <w:bookmarkEnd w:id="346"/>
      <w:bookmarkEnd w:id="347"/>
    </w:p>
    <w:p>
      <w:pPr>
        <w:spacing w:line="360" w:lineRule="auto"/>
        <w:rPr>
          <w:rFonts w:ascii="Times New Roman" w:hAnsi="Times New Roman"/>
          <w:szCs w:val="24"/>
        </w:rPr>
      </w:pPr>
      <w:r>
        <w:rPr>
          <w:rFonts w:hint="eastAsia" w:ascii="Times New Roman" w:hAnsi="Times New Roman"/>
          <w:szCs w:val="24"/>
        </w:rPr>
        <w:t>第一章  前言</w:t>
      </w:r>
    </w:p>
    <w:p>
      <w:pPr>
        <w:spacing w:line="360" w:lineRule="auto"/>
        <w:ind w:firstLine="420" w:firstLineChars="200"/>
        <w:rPr>
          <w:rFonts w:ascii="Times New Roman" w:hAnsi="Times New Roman"/>
          <w:szCs w:val="24"/>
        </w:rPr>
      </w:pPr>
      <w:r>
        <w:rPr>
          <w:rFonts w:hint="eastAsia" w:ascii="Times New Roman" w:hAnsi="Times New Roman"/>
          <w:szCs w:val="24"/>
        </w:rPr>
        <w:t>第一节  任务由来</w:t>
      </w:r>
    </w:p>
    <w:p>
      <w:pPr>
        <w:spacing w:line="360" w:lineRule="auto"/>
        <w:ind w:firstLine="420" w:firstLineChars="200"/>
        <w:rPr>
          <w:rFonts w:ascii="Times New Roman" w:hAnsi="Times New Roman"/>
          <w:szCs w:val="24"/>
        </w:rPr>
      </w:pPr>
      <w:r>
        <w:rPr>
          <w:rFonts w:hint="eastAsia" w:ascii="Times New Roman" w:hAnsi="Times New Roman"/>
          <w:szCs w:val="24"/>
        </w:rPr>
        <w:t>第二节  监测现状</w:t>
      </w:r>
    </w:p>
    <w:p>
      <w:pPr>
        <w:spacing w:line="360" w:lineRule="auto"/>
        <w:rPr>
          <w:rFonts w:ascii="Times New Roman" w:hAnsi="Times New Roman"/>
          <w:szCs w:val="24"/>
        </w:rPr>
      </w:pPr>
      <w:r>
        <w:rPr>
          <w:rFonts w:hint="eastAsia" w:ascii="Times New Roman" w:hAnsi="Times New Roman"/>
          <w:szCs w:val="24"/>
        </w:rPr>
        <w:t>第二章  监测内容及网点布设</w:t>
      </w:r>
    </w:p>
    <w:p>
      <w:pPr>
        <w:spacing w:line="360" w:lineRule="auto"/>
        <w:rPr>
          <w:rFonts w:ascii="Times New Roman" w:hAnsi="Times New Roman"/>
          <w:szCs w:val="24"/>
        </w:rPr>
      </w:pPr>
      <w:r>
        <w:rPr>
          <w:rFonts w:hint="eastAsia" w:ascii="Times New Roman" w:hAnsi="Times New Roman"/>
          <w:szCs w:val="24"/>
        </w:rPr>
        <w:t>第三章  监测方法及监测精度</w:t>
      </w:r>
    </w:p>
    <w:p>
      <w:pPr>
        <w:spacing w:line="360" w:lineRule="auto"/>
        <w:rPr>
          <w:rFonts w:ascii="Times New Roman" w:hAnsi="Times New Roman"/>
          <w:szCs w:val="24"/>
        </w:rPr>
      </w:pPr>
      <w:r>
        <w:rPr>
          <w:rFonts w:hint="eastAsia" w:ascii="Times New Roman" w:hAnsi="Times New Roman"/>
          <w:szCs w:val="24"/>
        </w:rPr>
        <w:t>第四章  监测实施监测成果</w:t>
      </w:r>
    </w:p>
    <w:p>
      <w:pPr>
        <w:spacing w:line="360" w:lineRule="auto"/>
        <w:ind w:firstLine="420" w:firstLineChars="200"/>
        <w:rPr>
          <w:rFonts w:ascii="Times New Roman" w:hAnsi="Times New Roman"/>
          <w:szCs w:val="24"/>
        </w:rPr>
      </w:pPr>
      <w:r>
        <w:rPr>
          <w:rFonts w:hint="eastAsia" w:ascii="Times New Roman" w:hAnsi="Times New Roman"/>
          <w:szCs w:val="24"/>
        </w:rPr>
        <w:t>第一节  监测实施频率</w:t>
      </w:r>
    </w:p>
    <w:p>
      <w:pPr>
        <w:spacing w:line="360" w:lineRule="auto"/>
        <w:ind w:firstLine="420" w:firstLineChars="200"/>
        <w:rPr>
          <w:rFonts w:ascii="Times New Roman" w:hAnsi="Times New Roman"/>
          <w:szCs w:val="24"/>
        </w:rPr>
      </w:pPr>
      <w:r>
        <w:rPr>
          <w:rFonts w:hint="eastAsia" w:ascii="Times New Roman" w:hAnsi="Times New Roman"/>
          <w:szCs w:val="24"/>
        </w:rPr>
        <w:t>第二节  监测质量保障措施</w:t>
      </w:r>
    </w:p>
    <w:p>
      <w:pPr>
        <w:spacing w:line="360" w:lineRule="auto"/>
        <w:ind w:firstLine="420" w:firstLineChars="200"/>
        <w:rPr>
          <w:rFonts w:ascii="Times New Roman" w:hAnsi="Times New Roman"/>
          <w:szCs w:val="24"/>
        </w:rPr>
      </w:pPr>
      <w:r>
        <w:rPr>
          <w:rFonts w:hint="eastAsia" w:ascii="Times New Roman" w:hAnsi="Times New Roman"/>
          <w:szCs w:val="24"/>
        </w:rPr>
        <w:t>第三节  监测成果</w:t>
      </w:r>
    </w:p>
    <w:p>
      <w:pPr>
        <w:spacing w:line="360" w:lineRule="auto"/>
        <w:rPr>
          <w:rFonts w:ascii="Times New Roman" w:hAnsi="Times New Roman"/>
          <w:szCs w:val="24"/>
        </w:rPr>
      </w:pPr>
      <w:r>
        <w:rPr>
          <w:rFonts w:hint="eastAsia" w:ascii="Times New Roman" w:hAnsi="Times New Roman"/>
          <w:szCs w:val="24"/>
        </w:rPr>
        <w:t>第五章  监测分析</w:t>
      </w:r>
    </w:p>
    <w:p>
      <w:pPr>
        <w:spacing w:line="360" w:lineRule="auto"/>
        <w:ind w:firstLine="420" w:firstLineChars="200"/>
        <w:rPr>
          <w:rFonts w:ascii="Times New Roman" w:hAnsi="Times New Roman"/>
          <w:szCs w:val="24"/>
        </w:rPr>
      </w:pPr>
      <w:r>
        <w:rPr>
          <w:rFonts w:hint="eastAsia" w:ascii="Times New Roman" w:hAnsi="Times New Roman"/>
          <w:szCs w:val="24"/>
        </w:rPr>
        <w:t>第一节  单点分析</w:t>
      </w:r>
    </w:p>
    <w:p>
      <w:pPr>
        <w:spacing w:line="360" w:lineRule="auto"/>
        <w:ind w:firstLine="420" w:firstLineChars="200"/>
        <w:rPr>
          <w:rFonts w:ascii="Times New Roman" w:hAnsi="Times New Roman"/>
          <w:szCs w:val="24"/>
        </w:rPr>
      </w:pPr>
      <w:r>
        <w:rPr>
          <w:rFonts w:hint="eastAsia" w:ascii="Times New Roman" w:hAnsi="Times New Roman"/>
          <w:szCs w:val="24"/>
        </w:rPr>
        <w:t>第二节  剖面分析</w:t>
      </w:r>
    </w:p>
    <w:p>
      <w:pPr>
        <w:spacing w:line="360" w:lineRule="auto"/>
        <w:ind w:firstLine="420" w:firstLineChars="200"/>
        <w:rPr>
          <w:rFonts w:ascii="Times New Roman" w:hAnsi="Times New Roman"/>
          <w:szCs w:val="24"/>
        </w:rPr>
      </w:pPr>
      <w:r>
        <w:rPr>
          <w:rFonts w:hint="eastAsia" w:ascii="Times New Roman" w:hAnsi="Times New Roman"/>
          <w:szCs w:val="24"/>
        </w:rPr>
        <w:t>第三节  总体分析</w:t>
      </w:r>
    </w:p>
    <w:p>
      <w:pPr>
        <w:spacing w:line="360" w:lineRule="auto"/>
        <w:rPr>
          <w:rFonts w:ascii="Times New Roman" w:hAnsi="Times New Roman"/>
          <w:szCs w:val="24"/>
        </w:rPr>
      </w:pPr>
      <w:r>
        <w:rPr>
          <w:rFonts w:hint="eastAsia" w:ascii="Times New Roman" w:hAnsi="Times New Roman"/>
          <w:szCs w:val="24"/>
        </w:rPr>
        <w:t>第六章  本月监测工作结论</w:t>
      </w:r>
    </w:p>
    <w:p>
      <w:pPr>
        <w:spacing w:line="360" w:lineRule="auto"/>
        <w:ind w:firstLine="420" w:firstLineChars="200"/>
        <w:rPr>
          <w:rFonts w:ascii="Times New Roman" w:hAnsi="Times New Roman"/>
          <w:szCs w:val="24"/>
        </w:rPr>
      </w:pPr>
      <w:r>
        <w:rPr>
          <w:rFonts w:hint="eastAsia" w:ascii="Times New Roman" w:hAnsi="Times New Roman"/>
          <w:szCs w:val="24"/>
        </w:rPr>
        <w:t>包括稳定性现状及发展变化趋势。</w:t>
      </w:r>
    </w:p>
    <w:p>
      <w:pPr>
        <w:spacing w:line="360" w:lineRule="auto"/>
        <w:rPr>
          <w:rFonts w:ascii="Times New Roman" w:hAnsi="Times New Roman"/>
          <w:szCs w:val="24"/>
        </w:rPr>
      </w:pPr>
      <w:r>
        <w:rPr>
          <w:rFonts w:hint="eastAsia" w:ascii="Times New Roman" w:hAnsi="Times New Roman"/>
          <w:szCs w:val="24"/>
        </w:rPr>
        <w:t>第七章  建议</w:t>
      </w:r>
    </w:p>
    <w:p>
      <w:pPr>
        <w:spacing w:line="360" w:lineRule="auto"/>
        <w:ind w:firstLine="420" w:firstLineChars="200"/>
        <w:rPr>
          <w:rFonts w:ascii="Times New Roman" w:hAnsi="Times New Roman"/>
          <w:szCs w:val="24"/>
        </w:rPr>
      </w:pPr>
      <w:r>
        <w:rPr>
          <w:rFonts w:hint="eastAsia" w:ascii="Times New Roman" w:hAnsi="Times New Roman"/>
          <w:szCs w:val="24"/>
        </w:rPr>
        <w:t>附图1 监测点位布设平面图、附图2  监测成果变形过程线、附表1  监测成果表</w:t>
      </w:r>
    </w:p>
    <w:p>
      <w:pPr>
        <w:keepNext/>
        <w:keepLines/>
        <w:adjustRightInd w:val="0"/>
        <w:snapToGrid w:val="0"/>
        <w:spacing w:before="120" w:beforeLines="50" w:after="120" w:afterLines="50"/>
        <w:jc w:val="left"/>
        <w:rPr>
          <w:rFonts w:ascii="黑体" w:hAnsi="黑体" w:eastAsia="黑体"/>
          <w:bCs/>
          <w:kern w:val="44"/>
          <w:szCs w:val="21"/>
        </w:rPr>
      </w:pPr>
      <w:bookmarkStart w:id="348" w:name="_Toc21966462"/>
      <w:bookmarkStart w:id="349" w:name="_Toc534577820"/>
      <w:bookmarkStart w:id="350" w:name="_Toc534580177"/>
      <w:r>
        <w:rPr>
          <w:rFonts w:hint="eastAsia" w:ascii="黑体" w:hAnsi="黑体" w:eastAsia="黑体"/>
          <w:bCs/>
          <w:kern w:val="44"/>
          <w:szCs w:val="21"/>
        </w:rPr>
        <w:t>O.3  季报提纲</w:t>
      </w:r>
      <w:bookmarkEnd w:id="348"/>
      <w:bookmarkEnd w:id="349"/>
      <w:bookmarkEnd w:id="350"/>
    </w:p>
    <w:p>
      <w:pPr>
        <w:spacing w:line="360" w:lineRule="auto"/>
        <w:rPr>
          <w:rFonts w:ascii="Times New Roman" w:hAnsi="Times New Roman"/>
          <w:szCs w:val="24"/>
        </w:rPr>
      </w:pPr>
      <w:r>
        <w:rPr>
          <w:rFonts w:hint="eastAsia" w:ascii="Times New Roman" w:hAnsi="Times New Roman"/>
          <w:szCs w:val="24"/>
        </w:rPr>
        <w:t>第一章  前言</w:t>
      </w:r>
    </w:p>
    <w:p>
      <w:pPr>
        <w:spacing w:line="360" w:lineRule="auto"/>
        <w:ind w:firstLine="420" w:firstLineChars="200"/>
        <w:rPr>
          <w:rFonts w:ascii="Times New Roman" w:hAnsi="Times New Roman"/>
          <w:szCs w:val="24"/>
        </w:rPr>
      </w:pPr>
      <w:r>
        <w:rPr>
          <w:rFonts w:hint="eastAsia" w:ascii="Times New Roman" w:hAnsi="Times New Roman"/>
          <w:szCs w:val="24"/>
        </w:rPr>
        <w:t>第一节  任务由来</w:t>
      </w:r>
    </w:p>
    <w:p>
      <w:pPr>
        <w:spacing w:line="360" w:lineRule="auto"/>
        <w:ind w:firstLine="420" w:firstLineChars="200"/>
        <w:rPr>
          <w:rFonts w:ascii="Times New Roman" w:hAnsi="Times New Roman"/>
          <w:szCs w:val="24"/>
        </w:rPr>
      </w:pPr>
      <w:r>
        <w:rPr>
          <w:rFonts w:hint="eastAsia" w:ascii="Times New Roman" w:hAnsi="Times New Roman"/>
          <w:szCs w:val="24"/>
        </w:rPr>
        <w:t>第二节  监测现状</w:t>
      </w:r>
    </w:p>
    <w:p>
      <w:pPr>
        <w:spacing w:line="360" w:lineRule="auto"/>
        <w:ind w:firstLine="420" w:firstLineChars="200"/>
        <w:rPr>
          <w:rFonts w:ascii="Times New Roman" w:hAnsi="Times New Roman"/>
          <w:szCs w:val="24"/>
        </w:rPr>
      </w:pPr>
      <w:r>
        <w:rPr>
          <w:rFonts w:hint="eastAsia" w:ascii="Times New Roman" w:hAnsi="Times New Roman"/>
          <w:szCs w:val="24"/>
        </w:rPr>
        <w:t>包括本季度完成的工作量、监测点位或频率变更情况、有无变形异常情况等。</w:t>
      </w:r>
    </w:p>
    <w:p>
      <w:pPr>
        <w:spacing w:line="360" w:lineRule="auto"/>
        <w:rPr>
          <w:rFonts w:ascii="Times New Roman" w:hAnsi="Times New Roman"/>
          <w:szCs w:val="24"/>
        </w:rPr>
      </w:pPr>
      <w:r>
        <w:rPr>
          <w:rFonts w:hint="eastAsia" w:ascii="Times New Roman" w:hAnsi="Times New Roman"/>
          <w:szCs w:val="24"/>
        </w:rPr>
        <w:t>第二章  监测区域地质环境条件</w:t>
      </w:r>
    </w:p>
    <w:p>
      <w:pPr>
        <w:spacing w:line="360" w:lineRule="auto"/>
        <w:rPr>
          <w:rFonts w:ascii="Times New Roman" w:hAnsi="Times New Roman"/>
          <w:szCs w:val="24"/>
        </w:rPr>
      </w:pPr>
      <w:r>
        <w:rPr>
          <w:rFonts w:hint="eastAsia" w:ascii="Times New Roman" w:hAnsi="Times New Roman"/>
          <w:szCs w:val="24"/>
        </w:rPr>
        <w:t>第三章  地质灾害特征及变形破坏模式</w:t>
      </w:r>
    </w:p>
    <w:p>
      <w:pPr>
        <w:spacing w:line="360" w:lineRule="auto"/>
        <w:rPr>
          <w:rFonts w:ascii="Times New Roman" w:hAnsi="Times New Roman"/>
          <w:szCs w:val="24"/>
        </w:rPr>
      </w:pPr>
      <w:r>
        <w:rPr>
          <w:rFonts w:hint="eastAsia" w:ascii="Times New Roman" w:hAnsi="Times New Roman"/>
          <w:szCs w:val="24"/>
        </w:rPr>
        <w:t>第四章  监测内容及网点布设</w:t>
      </w:r>
    </w:p>
    <w:p>
      <w:pPr>
        <w:spacing w:line="360" w:lineRule="auto"/>
        <w:rPr>
          <w:rFonts w:ascii="Times New Roman" w:hAnsi="Times New Roman"/>
          <w:szCs w:val="24"/>
        </w:rPr>
      </w:pPr>
      <w:r>
        <w:rPr>
          <w:rFonts w:hint="eastAsia" w:ascii="Times New Roman" w:hAnsi="Times New Roman"/>
          <w:szCs w:val="24"/>
        </w:rPr>
        <w:t>第五章  监测方法及监测精度</w:t>
      </w:r>
    </w:p>
    <w:p>
      <w:pPr>
        <w:spacing w:line="360" w:lineRule="auto"/>
        <w:rPr>
          <w:rFonts w:ascii="Times New Roman" w:hAnsi="Times New Roman"/>
          <w:szCs w:val="24"/>
        </w:rPr>
      </w:pPr>
      <w:r>
        <w:rPr>
          <w:rFonts w:hint="eastAsia" w:ascii="Times New Roman" w:hAnsi="Times New Roman"/>
          <w:szCs w:val="24"/>
        </w:rPr>
        <w:t>第六章  监测实施及监测成果</w:t>
      </w:r>
    </w:p>
    <w:p>
      <w:pPr>
        <w:spacing w:line="360" w:lineRule="auto"/>
        <w:ind w:firstLine="420" w:firstLineChars="200"/>
        <w:rPr>
          <w:rFonts w:ascii="Times New Roman" w:hAnsi="Times New Roman"/>
          <w:szCs w:val="24"/>
        </w:rPr>
      </w:pPr>
      <w:r>
        <w:rPr>
          <w:rFonts w:hint="eastAsia" w:ascii="Times New Roman" w:hAnsi="Times New Roman"/>
          <w:szCs w:val="24"/>
        </w:rPr>
        <w:t>第一节  监测实施频率</w:t>
      </w:r>
    </w:p>
    <w:p>
      <w:pPr>
        <w:spacing w:line="360" w:lineRule="auto"/>
        <w:ind w:firstLine="420" w:firstLineChars="200"/>
        <w:rPr>
          <w:rFonts w:ascii="Times New Roman" w:hAnsi="Times New Roman"/>
          <w:szCs w:val="24"/>
        </w:rPr>
      </w:pPr>
      <w:r>
        <w:rPr>
          <w:rFonts w:hint="eastAsia" w:ascii="Times New Roman" w:hAnsi="Times New Roman"/>
          <w:szCs w:val="24"/>
        </w:rPr>
        <w:t>第二节  监测质量保障措施</w:t>
      </w:r>
    </w:p>
    <w:p>
      <w:pPr>
        <w:spacing w:line="360" w:lineRule="auto"/>
        <w:ind w:firstLine="420" w:firstLineChars="200"/>
        <w:rPr>
          <w:rFonts w:ascii="Times New Roman" w:hAnsi="Times New Roman"/>
          <w:szCs w:val="24"/>
        </w:rPr>
      </w:pPr>
      <w:r>
        <w:rPr>
          <w:rFonts w:hint="eastAsia" w:ascii="Times New Roman" w:hAnsi="Times New Roman"/>
          <w:szCs w:val="24"/>
        </w:rPr>
        <w:t>第三节  监测成果</w:t>
      </w:r>
    </w:p>
    <w:p>
      <w:pPr>
        <w:spacing w:line="360" w:lineRule="auto"/>
        <w:rPr>
          <w:rFonts w:ascii="Times New Roman" w:hAnsi="Times New Roman"/>
          <w:szCs w:val="24"/>
        </w:rPr>
      </w:pPr>
      <w:r>
        <w:rPr>
          <w:rFonts w:hint="eastAsia" w:ascii="Times New Roman" w:hAnsi="Times New Roman"/>
          <w:szCs w:val="24"/>
        </w:rPr>
        <w:t>第七章  变形分析</w:t>
      </w:r>
    </w:p>
    <w:p>
      <w:pPr>
        <w:spacing w:line="360" w:lineRule="auto"/>
        <w:ind w:firstLine="420" w:firstLineChars="200"/>
        <w:rPr>
          <w:rFonts w:ascii="Times New Roman" w:hAnsi="Times New Roman"/>
          <w:szCs w:val="24"/>
        </w:rPr>
      </w:pPr>
      <w:r>
        <w:rPr>
          <w:rFonts w:hint="eastAsia" w:ascii="Times New Roman" w:hAnsi="Times New Roman"/>
          <w:szCs w:val="24"/>
        </w:rPr>
        <w:t>第一节  数据分析模型介绍</w:t>
      </w:r>
    </w:p>
    <w:p>
      <w:pPr>
        <w:spacing w:line="360" w:lineRule="auto"/>
        <w:ind w:firstLine="420" w:firstLineChars="200"/>
        <w:rPr>
          <w:rFonts w:ascii="Times New Roman" w:hAnsi="Times New Roman"/>
          <w:szCs w:val="24"/>
        </w:rPr>
      </w:pPr>
      <w:r>
        <w:rPr>
          <w:rFonts w:hint="eastAsia" w:ascii="Times New Roman" w:hAnsi="Times New Roman"/>
          <w:szCs w:val="24"/>
        </w:rPr>
        <w:t>第二节  单点变形分析</w:t>
      </w:r>
    </w:p>
    <w:p>
      <w:pPr>
        <w:spacing w:line="360" w:lineRule="auto"/>
        <w:ind w:firstLine="420" w:firstLineChars="200"/>
        <w:rPr>
          <w:rFonts w:ascii="Times New Roman" w:hAnsi="Times New Roman"/>
          <w:szCs w:val="24"/>
        </w:rPr>
      </w:pPr>
      <w:r>
        <w:rPr>
          <w:rFonts w:hint="eastAsia" w:ascii="Times New Roman" w:hAnsi="Times New Roman"/>
          <w:szCs w:val="24"/>
        </w:rPr>
        <w:t>第三节  剖面变形分析</w:t>
      </w:r>
    </w:p>
    <w:p>
      <w:pPr>
        <w:spacing w:line="360" w:lineRule="auto"/>
        <w:ind w:firstLine="420" w:firstLineChars="200"/>
        <w:rPr>
          <w:rFonts w:ascii="Times New Roman" w:hAnsi="Times New Roman"/>
          <w:szCs w:val="24"/>
        </w:rPr>
      </w:pPr>
      <w:r>
        <w:rPr>
          <w:rFonts w:hint="eastAsia" w:ascii="Times New Roman" w:hAnsi="Times New Roman"/>
          <w:szCs w:val="24"/>
        </w:rPr>
        <w:t>第四节  总体变形分析</w:t>
      </w:r>
    </w:p>
    <w:p>
      <w:pPr>
        <w:spacing w:line="360" w:lineRule="auto"/>
        <w:ind w:firstLine="420" w:firstLineChars="200"/>
        <w:rPr>
          <w:rFonts w:ascii="Times New Roman" w:hAnsi="Times New Roman"/>
          <w:szCs w:val="24"/>
        </w:rPr>
      </w:pPr>
      <w:r>
        <w:rPr>
          <w:rFonts w:hint="eastAsia" w:ascii="Times New Roman" w:hAnsi="Times New Roman"/>
          <w:szCs w:val="24"/>
        </w:rPr>
        <w:t>第五节  监测数据分析结论</w:t>
      </w:r>
    </w:p>
    <w:p>
      <w:pPr>
        <w:spacing w:line="360" w:lineRule="auto"/>
        <w:rPr>
          <w:rFonts w:ascii="Times New Roman" w:hAnsi="Times New Roman"/>
          <w:szCs w:val="24"/>
        </w:rPr>
      </w:pPr>
      <w:r>
        <w:rPr>
          <w:rFonts w:hint="eastAsia" w:ascii="Times New Roman" w:hAnsi="Times New Roman"/>
          <w:szCs w:val="24"/>
        </w:rPr>
        <w:t>第八章  变形原因判定及发展变化趋势预测</w:t>
      </w:r>
    </w:p>
    <w:p>
      <w:pPr>
        <w:spacing w:line="360" w:lineRule="auto"/>
        <w:rPr>
          <w:rFonts w:ascii="Times New Roman" w:hAnsi="Times New Roman"/>
          <w:szCs w:val="24"/>
        </w:rPr>
      </w:pPr>
      <w:r>
        <w:rPr>
          <w:rFonts w:hint="eastAsia" w:ascii="Times New Roman" w:hAnsi="Times New Roman"/>
          <w:szCs w:val="24"/>
        </w:rPr>
        <w:t>第九章  建议</w:t>
      </w:r>
    </w:p>
    <w:p>
      <w:pPr>
        <w:spacing w:line="360" w:lineRule="auto"/>
        <w:ind w:firstLine="420" w:firstLineChars="200"/>
        <w:rPr>
          <w:rFonts w:ascii="Times New Roman" w:hAnsi="Times New Roman"/>
          <w:szCs w:val="24"/>
        </w:rPr>
      </w:pPr>
      <w:r>
        <w:rPr>
          <w:rFonts w:hint="eastAsia" w:ascii="Times New Roman" w:hAnsi="Times New Roman"/>
          <w:szCs w:val="24"/>
        </w:rPr>
        <w:t>附图1  监测点位布设平面图</w:t>
      </w:r>
    </w:p>
    <w:p>
      <w:pPr>
        <w:spacing w:line="360" w:lineRule="auto"/>
        <w:ind w:firstLine="420" w:firstLineChars="200"/>
        <w:rPr>
          <w:rFonts w:ascii="Times New Roman" w:hAnsi="Times New Roman"/>
          <w:szCs w:val="24"/>
        </w:rPr>
      </w:pPr>
      <w:r>
        <w:rPr>
          <w:rFonts w:hint="eastAsia" w:ascii="Times New Roman" w:hAnsi="Times New Roman"/>
          <w:szCs w:val="24"/>
        </w:rPr>
        <w:t>附图2  监测成果变形过程线</w:t>
      </w:r>
    </w:p>
    <w:p>
      <w:pPr>
        <w:spacing w:line="360" w:lineRule="auto"/>
        <w:ind w:firstLine="420" w:firstLineChars="200"/>
        <w:rPr>
          <w:rFonts w:ascii="Times New Roman" w:hAnsi="Times New Roman"/>
          <w:szCs w:val="24"/>
        </w:rPr>
      </w:pPr>
      <w:r>
        <w:rPr>
          <w:rFonts w:hint="eastAsia" w:ascii="Times New Roman" w:hAnsi="Times New Roman"/>
          <w:szCs w:val="24"/>
        </w:rPr>
        <w:t>附表1  监测成果表</w:t>
      </w:r>
    </w:p>
    <w:p>
      <w:pPr>
        <w:keepNext/>
        <w:keepLines/>
        <w:adjustRightInd w:val="0"/>
        <w:snapToGrid w:val="0"/>
        <w:spacing w:before="120" w:beforeLines="50" w:after="120" w:afterLines="50"/>
        <w:jc w:val="left"/>
        <w:rPr>
          <w:rFonts w:ascii="黑体" w:hAnsi="黑体" w:eastAsia="黑体"/>
          <w:bCs/>
          <w:kern w:val="44"/>
          <w:szCs w:val="21"/>
        </w:rPr>
      </w:pPr>
      <w:bookmarkStart w:id="351" w:name="_Toc534580178"/>
      <w:bookmarkStart w:id="352" w:name="_Toc534577821"/>
      <w:bookmarkStart w:id="353" w:name="_Toc21966463"/>
      <w:r>
        <w:rPr>
          <w:rFonts w:hint="eastAsia" w:ascii="黑体" w:hAnsi="黑体" w:eastAsia="黑体"/>
          <w:bCs/>
          <w:kern w:val="44"/>
          <w:szCs w:val="21"/>
        </w:rPr>
        <w:t>O.4  年报提纲</w:t>
      </w:r>
      <w:bookmarkEnd w:id="351"/>
      <w:bookmarkEnd w:id="352"/>
      <w:bookmarkEnd w:id="353"/>
    </w:p>
    <w:p>
      <w:pPr>
        <w:spacing w:line="360" w:lineRule="auto"/>
        <w:rPr>
          <w:rFonts w:ascii="Times New Roman" w:hAnsi="Times New Roman"/>
          <w:szCs w:val="24"/>
        </w:rPr>
      </w:pPr>
      <w:r>
        <w:rPr>
          <w:rFonts w:hint="eastAsia" w:ascii="Times New Roman" w:hAnsi="Times New Roman"/>
          <w:szCs w:val="24"/>
        </w:rPr>
        <w:t>第一章  前言</w:t>
      </w:r>
    </w:p>
    <w:p>
      <w:pPr>
        <w:spacing w:line="360" w:lineRule="auto"/>
        <w:ind w:firstLine="420" w:firstLineChars="200"/>
        <w:rPr>
          <w:rFonts w:ascii="Times New Roman" w:hAnsi="Times New Roman"/>
          <w:szCs w:val="24"/>
        </w:rPr>
      </w:pPr>
      <w:r>
        <w:rPr>
          <w:rFonts w:hint="eastAsia" w:ascii="Times New Roman" w:hAnsi="Times New Roman"/>
          <w:szCs w:val="24"/>
        </w:rPr>
        <w:t>第一节  任务由来</w:t>
      </w:r>
    </w:p>
    <w:p>
      <w:pPr>
        <w:spacing w:line="360" w:lineRule="auto"/>
        <w:ind w:firstLine="420" w:firstLineChars="200"/>
        <w:rPr>
          <w:rFonts w:ascii="Times New Roman" w:hAnsi="Times New Roman"/>
          <w:szCs w:val="24"/>
        </w:rPr>
      </w:pPr>
      <w:r>
        <w:rPr>
          <w:rFonts w:hint="eastAsia" w:ascii="Times New Roman" w:hAnsi="Times New Roman"/>
          <w:szCs w:val="24"/>
        </w:rPr>
        <w:t>第二节  监测现状</w:t>
      </w:r>
    </w:p>
    <w:p>
      <w:pPr>
        <w:spacing w:line="360" w:lineRule="auto"/>
        <w:ind w:firstLine="420" w:firstLineChars="200"/>
        <w:rPr>
          <w:rFonts w:ascii="Times New Roman" w:hAnsi="Times New Roman"/>
          <w:szCs w:val="24"/>
        </w:rPr>
      </w:pPr>
      <w:r>
        <w:rPr>
          <w:rFonts w:hint="eastAsia" w:ascii="Times New Roman" w:hAnsi="Times New Roman"/>
          <w:szCs w:val="24"/>
        </w:rPr>
        <w:t>包括本年度完成的工作量、监测点位或频率变更情况、有无变形异常、特种工况及预报警情况等。</w:t>
      </w:r>
    </w:p>
    <w:p>
      <w:pPr>
        <w:spacing w:line="360" w:lineRule="auto"/>
        <w:rPr>
          <w:rFonts w:ascii="Times New Roman" w:hAnsi="Times New Roman"/>
          <w:szCs w:val="24"/>
        </w:rPr>
      </w:pPr>
      <w:r>
        <w:rPr>
          <w:rFonts w:hint="eastAsia" w:ascii="Times New Roman" w:hAnsi="Times New Roman"/>
          <w:szCs w:val="24"/>
        </w:rPr>
        <w:t>第二章  监测区域地质环境条件</w:t>
      </w:r>
    </w:p>
    <w:p>
      <w:pPr>
        <w:spacing w:line="360" w:lineRule="auto"/>
        <w:rPr>
          <w:rFonts w:ascii="Times New Roman" w:hAnsi="Times New Roman"/>
          <w:szCs w:val="24"/>
        </w:rPr>
      </w:pPr>
      <w:r>
        <w:rPr>
          <w:rFonts w:hint="eastAsia" w:ascii="Times New Roman" w:hAnsi="Times New Roman"/>
          <w:szCs w:val="24"/>
        </w:rPr>
        <w:t>第三章  地质灾害特征及变形破坏模式</w:t>
      </w:r>
    </w:p>
    <w:p>
      <w:pPr>
        <w:spacing w:line="360" w:lineRule="auto"/>
        <w:rPr>
          <w:rFonts w:ascii="Times New Roman" w:hAnsi="Times New Roman"/>
          <w:szCs w:val="24"/>
        </w:rPr>
      </w:pPr>
      <w:r>
        <w:rPr>
          <w:rFonts w:hint="eastAsia" w:ascii="Times New Roman" w:hAnsi="Times New Roman"/>
          <w:szCs w:val="24"/>
        </w:rPr>
        <w:t>第四章  监测内容及网点布设</w:t>
      </w:r>
    </w:p>
    <w:p>
      <w:pPr>
        <w:spacing w:line="360" w:lineRule="auto"/>
        <w:rPr>
          <w:rFonts w:ascii="Times New Roman" w:hAnsi="Times New Roman"/>
          <w:szCs w:val="24"/>
        </w:rPr>
      </w:pPr>
      <w:r>
        <w:rPr>
          <w:rFonts w:hint="eastAsia" w:ascii="Times New Roman" w:hAnsi="Times New Roman"/>
          <w:szCs w:val="24"/>
        </w:rPr>
        <w:t>第五章  监测方法及监测精度</w:t>
      </w:r>
    </w:p>
    <w:p>
      <w:pPr>
        <w:spacing w:line="360" w:lineRule="auto"/>
        <w:rPr>
          <w:rFonts w:ascii="Times New Roman" w:hAnsi="Times New Roman"/>
          <w:szCs w:val="24"/>
        </w:rPr>
      </w:pPr>
      <w:r>
        <w:rPr>
          <w:rFonts w:hint="eastAsia" w:ascii="Times New Roman" w:hAnsi="Times New Roman"/>
          <w:szCs w:val="24"/>
        </w:rPr>
        <w:t>第六章  监测实施及监测成果</w:t>
      </w:r>
    </w:p>
    <w:p>
      <w:pPr>
        <w:spacing w:line="360" w:lineRule="auto"/>
        <w:ind w:firstLine="420" w:firstLineChars="200"/>
        <w:rPr>
          <w:rFonts w:ascii="Times New Roman" w:hAnsi="Times New Roman"/>
          <w:szCs w:val="24"/>
        </w:rPr>
      </w:pPr>
      <w:r>
        <w:rPr>
          <w:rFonts w:hint="eastAsia" w:ascii="Times New Roman" w:hAnsi="Times New Roman"/>
          <w:szCs w:val="24"/>
        </w:rPr>
        <w:t>第一节  监测实施频率</w:t>
      </w:r>
    </w:p>
    <w:p>
      <w:pPr>
        <w:spacing w:line="360" w:lineRule="auto"/>
        <w:ind w:firstLine="420" w:firstLineChars="200"/>
        <w:rPr>
          <w:rFonts w:ascii="Times New Roman" w:hAnsi="Times New Roman"/>
          <w:szCs w:val="24"/>
        </w:rPr>
      </w:pPr>
      <w:r>
        <w:rPr>
          <w:rFonts w:hint="eastAsia" w:ascii="Times New Roman" w:hAnsi="Times New Roman"/>
          <w:szCs w:val="24"/>
        </w:rPr>
        <w:t>分监测阶段说明监测频率。</w:t>
      </w:r>
    </w:p>
    <w:p>
      <w:pPr>
        <w:spacing w:line="360" w:lineRule="auto"/>
        <w:ind w:firstLine="420" w:firstLineChars="200"/>
        <w:rPr>
          <w:rFonts w:ascii="Times New Roman" w:hAnsi="Times New Roman"/>
          <w:szCs w:val="24"/>
        </w:rPr>
      </w:pPr>
      <w:r>
        <w:rPr>
          <w:rFonts w:hint="eastAsia" w:ascii="Times New Roman" w:hAnsi="Times New Roman"/>
          <w:szCs w:val="24"/>
        </w:rPr>
        <w:t>第二节  监测质量保障措施</w:t>
      </w:r>
    </w:p>
    <w:p>
      <w:pPr>
        <w:spacing w:line="360" w:lineRule="auto"/>
        <w:ind w:firstLine="420" w:firstLineChars="200"/>
        <w:rPr>
          <w:rFonts w:ascii="Times New Roman" w:hAnsi="Times New Roman"/>
          <w:szCs w:val="24"/>
        </w:rPr>
      </w:pPr>
      <w:r>
        <w:rPr>
          <w:rFonts w:hint="eastAsia" w:ascii="Times New Roman" w:hAnsi="Times New Roman"/>
          <w:szCs w:val="24"/>
        </w:rPr>
        <w:t>第三节  监测成果</w:t>
      </w:r>
    </w:p>
    <w:p>
      <w:pPr>
        <w:spacing w:line="360" w:lineRule="auto"/>
        <w:ind w:firstLine="420" w:firstLineChars="200"/>
        <w:rPr>
          <w:rFonts w:ascii="Times New Roman" w:hAnsi="Times New Roman"/>
          <w:szCs w:val="24"/>
        </w:rPr>
      </w:pPr>
      <w:r>
        <w:rPr>
          <w:rFonts w:hint="eastAsia" w:ascii="Times New Roman" w:hAnsi="Times New Roman"/>
          <w:szCs w:val="24"/>
        </w:rPr>
        <w:t>包括监测数据汇总表，汇总表内可用加粗方式着重标注最大变形量、最大变形速率以及异常数据等。</w:t>
      </w:r>
    </w:p>
    <w:p>
      <w:pPr>
        <w:spacing w:line="360" w:lineRule="auto"/>
        <w:rPr>
          <w:rFonts w:ascii="Times New Roman" w:hAnsi="Times New Roman"/>
          <w:szCs w:val="24"/>
        </w:rPr>
      </w:pPr>
      <w:r>
        <w:rPr>
          <w:rFonts w:hint="eastAsia" w:ascii="Times New Roman" w:hAnsi="Times New Roman"/>
          <w:szCs w:val="24"/>
        </w:rPr>
        <w:t>第七章  变形分析</w:t>
      </w:r>
    </w:p>
    <w:p>
      <w:pPr>
        <w:spacing w:line="360" w:lineRule="auto"/>
        <w:ind w:firstLine="420" w:firstLineChars="200"/>
        <w:rPr>
          <w:rFonts w:ascii="Times New Roman" w:hAnsi="Times New Roman"/>
          <w:szCs w:val="24"/>
        </w:rPr>
      </w:pPr>
      <w:r>
        <w:rPr>
          <w:rFonts w:hint="eastAsia" w:ascii="Times New Roman" w:hAnsi="Times New Roman"/>
          <w:szCs w:val="24"/>
        </w:rPr>
        <w:t>第一节  数据分析模型</w:t>
      </w:r>
    </w:p>
    <w:p>
      <w:pPr>
        <w:spacing w:line="360" w:lineRule="auto"/>
        <w:ind w:firstLine="420" w:firstLineChars="200"/>
        <w:rPr>
          <w:rFonts w:ascii="Times New Roman" w:hAnsi="Times New Roman"/>
          <w:szCs w:val="24"/>
        </w:rPr>
      </w:pPr>
      <w:r>
        <w:rPr>
          <w:rFonts w:hint="eastAsia" w:ascii="Times New Roman" w:hAnsi="Times New Roman"/>
          <w:szCs w:val="24"/>
        </w:rPr>
        <w:t>第二节  单点变形分析</w:t>
      </w:r>
    </w:p>
    <w:p>
      <w:pPr>
        <w:spacing w:line="360" w:lineRule="auto"/>
        <w:ind w:firstLine="420" w:firstLineChars="200"/>
        <w:rPr>
          <w:rFonts w:ascii="Times New Roman" w:hAnsi="Times New Roman"/>
          <w:szCs w:val="24"/>
        </w:rPr>
      </w:pPr>
      <w:r>
        <w:rPr>
          <w:rFonts w:hint="eastAsia" w:ascii="Times New Roman" w:hAnsi="Times New Roman"/>
          <w:szCs w:val="24"/>
        </w:rPr>
        <w:t>第三节  剖面变形分析</w:t>
      </w:r>
    </w:p>
    <w:p>
      <w:pPr>
        <w:spacing w:line="360" w:lineRule="auto"/>
        <w:ind w:firstLine="420" w:firstLineChars="200"/>
        <w:rPr>
          <w:rFonts w:ascii="Times New Roman" w:hAnsi="Times New Roman"/>
          <w:szCs w:val="24"/>
        </w:rPr>
      </w:pPr>
      <w:r>
        <w:rPr>
          <w:rFonts w:hint="eastAsia" w:ascii="Times New Roman" w:hAnsi="Times New Roman"/>
          <w:szCs w:val="24"/>
        </w:rPr>
        <w:t>第四节  总体变形分析</w:t>
      </w:r>
    </w:p>
    <w:p>
      <w:pPr>
        <w:spacing w:line="360" w:lineRule="auto"/>
        <w:ind w:firstLine="420" w:firstLineChars="200"/>
        <w:rPr>
          <w:rFonts w:ascii="Times New Roman" w:hAnsi="Times New Roman"/>
          <w:szCs w:val="24"/>
        </w:rPr>
      </w:pPr>
      <w:r>
        <w:rPr>
          <w:rFonts w:hint="eastAsia" w:ascii="Times New Roman" w:hAnsi="Times New Roman"/>
          <w:szCs w:val="24"/>
        </w:rPr>
        <w:t>第五节  监测数据分析结论</w:t>
      </w:r>
    </w:p>
    <w:p>
      <w:pPr>
        <w:spacing w:line="360" w:lineRule="auto"/>
        <w:rPr>
          <w:rFonts w:ascii="Times New Roman" w:hAnsi="Times New Roman"/>
          <w:szCs w:val="24"/>
        </w:rPr>
      </w:pPr>
      <w:r>
        <w:rPr>
          <w:rFonts w:hint="eastAsia" w:ascii="Times New Roman" w:hAnsi="Times New Roman"/>
          <w:szCs w:val="24"/>
        </w:rPr>
        <w:t>第八章  变形原因判定及发展变化趋势预测</w:t>
      </w:r>
    </w:p>
    <w:p>
      <w:pPr>
        <w:spacing w:line="360" w:lineRule="auto"/>
        <w:rPr>
          <w:rFonts w:ascii="Times New Roman" w:hAnsi="Times New Roman"/>
          <w:szCs w:val="24"/>
        </w:rPr>
      </w:pPr>
      <w:r>
        <w:rPr>
          <w:rFonts w:hint="eastAsia" w:ascii="Times New Roman" w:hAnsi="Times New Roman"/>
          <w:szCs w:val="24"/>
        </w:rPr>
        <w:t>第九章  建议</w:t>
      </w:r>
    </w:p>
    <w:p>
      <w:pPr>
        <w:spacing w:line="360" w:lineRule="auto"/>
        <w:ind w:firstLine="420" w:firstLineChars="200"/>
        <w:rPr>
          <w:rFonts w:ascii="Times New Roman" w:hAnsi="Times New Roman"/>
          <w:szCs w:val="24"/>
        </w:rPr>
      </w:pPr>
      <w:r>
        <w:rPr>
          <w:rFonts w:hint="eastAsia" w:ascii="Times New Roman" w:hAnsi="Times New Roman"/>
          <w:szCs w:val="24"/>
        </w:rPr>
        <w:t>附图1  监测点位布设平面图</w:t>
      </w:r>
    </w:p>
    <w:p>
      <w:pPr>
        <w:spacing w:line="360" w:lineRule="auto"/>
        <w:ind w:firstLine="420" w:firstLineChars="200"/>
        <w:rPr>
          <w:rFonts w:ascii="Times New Roman" w:hAnsi="Times New Roman"/>
          <w:szCs w:val="24"/>
        </w:rPr>
      </w:pPr>
      <w:r>
        <w:rPr>
          <w:rFonts w:hint="eastAsia" w:ascii="Times New Roman" w:hAnsi="Times New Roman"/>
          <w:szCs w:val="24"/>
        </w:rPr>
        <w:t>附图2  监测成果变形过程线</w:t>
      </w:r>
    </w:p>
    <w:p>
      <w:pPr>
        <w:keepNext/>
        <w:keepLines/>
        <w:adjustRightInd w:val="0"/>
        <w:snapToGrid w:val="0"/>
        <w:spacing w:before="120" w:beforeLines="50" w:after="120" w:afterLines="50"/>
        <w:jc w:val="left"/>
        <w:rPr>
          <w:rFonts w:ascii="黑体" w:hAnsi="黑体" w:eastAsia="黑体"/>
          <w:bCs/>
          <w:kern w:val="44"/>
          <w:szCs w:val="21"/>
        </w:rPr>
      </w:pPr>
      <w:bookmarkStart w:id="354" w:name="_Toc534580179"/>
      <w:bookmarkStart w:id="355" w:name="_Toc21966464"/>
      <w:bookmarkStart w:id="356" w:name="_Toc534577822"/>
      <w:r>
        <w:rPr>
          <w:rFonts w:hint="eastAsia" w:ascii="黑体" w:hAnsi="黑体" w:eastAsia="黑体"/>
          <w:bCs/>
          <w:kern w:val="44"/>
          <w:szCs w:val="21"/>
        </w:rPr>
        <w:t>O.5  专报提纲</w:t>
      </w:r>
      <w:bookmarkEnd w:id="354"/>
      <w:bookmarkEnd w:id="355"/>
      <w:bookmarkEnd w:id="356"/>
    </w:p>
    <w:p>
      <w:pPr>
        <w:spacing w:line="360" w:lineRule="auto"/>
        <w:rPr>
          <w:rFonts w:ascii="Times New Roman" w:hAnsi="Times New Roman"/>
          <w:szCs w:val="24"/>
        </w:rPr>
      </w:pPr>
      <w:r>
        <w:rPr>
          <w:rFonts w:hint="eastAsia" w:ascii="Times New Roman" w:hAnsi="Times New Roman"/>
          <w:szCs w:val="24"/>
        </w:rPr>
        <w:t>第一章  前言</w:t>
      </w:r>
    </w:p>
    <w:p>
      <w:pPr>
        <w:spacing w:line="360" w:lineRule="auto"/>
        <w:ind w:firstLine="420" w:firstLineChars="200"/>
        <w:rPr>
          <w:rFonts w:ascii="Times New Roman" w:hAnsi="Times New Roman"/>
          <w:szCs w:val="24"/>
        </w:rPr>
      </w:pPr>
      <w:r>
        <w:rPr>
          <w:rFonts w:hint="eastAsia" w:ascii="Times New Roman" w:hAnsi="Times New Roman"/>
          <w:szCs w:val="24"/>
        </w:rPr>
        <w:t>第一节  任务由来</w:t>
      </w:r>
    </w:p>
    <w:p>
      <w:pPr>
        <w:spacing w:line="360" w:lineRule="auto"/>
        <w:ind w:firstLine="420" w:firstLineChars="200"/>
        <w:rPr>
          <w:rFonts w:ascii="Times New Roman" w:hAnsi="Times New Roman"/>
          <w:szCs w:val="24"/>
        </w:rPr>
      </w:pPr>
      <w:r>
        <w:rPr>
          <w:rFonts w:hint="eastAsia" w:ascii="Times New Roman" w:hAnsi="Times New Roman"/>
          <w:szCs w:val="24"/>
        </w:rPr>
        <w:t>第二节  监测现状</w:t>
      </w:r>
    </w:p>
    <w:p>
      <w:pPr>
        <w:spacing w:line="360" w:lineRule="auto"/>
        <w:ind w:firstLine="420" w:firstLineChars="200"/>
        <w:rPr>
          <w:rFonts w:ascii="Times New Roman" w:hAnsi="Times New Roman"/>
          <w:szCs w:val="24"/>
        </w:rPr>
      </w:pPr>
      <w:r>
        <w:rPr>
          <w:rFonts w:hint="eastAsia" w:ascii="Times New Roman" w:hAnsi="Times New Roman"/>
          <w:szCs w:val="24"/>
        </w:rPr>
        <w:t>包括本年度完成的工作量、监测点位或频率变更情况、有无变形异常、特种工况及预报警情况等。</w:t>
      </w:r>
    </w:p>
    <w:p>
      <w:pPr>
        <w:spacing w:line="360" w:lineRule="auto"/>
        <w:ind w:firstLine="420" w:firstLineChars="200"/>
        <w:rPr>
          <w:rFonts w:ascii="Times New Roman" w:hAnsi="Times New Roman"/>
          <w:szCs w:val="24"/>
        </w:rPr>
      </w:pPr>
      <w:r>
        <w:rPr>
          <w:rFonts w:hint="eastAsia" w:ascii="Times New Roman" w:hAnsi="Times New Roman"/>
          <w:szCs w:val="24"/>
        </w:rPr>
        <w:t>第三节  专报事由</w:t>
      </w:r>
    </w:p>
    <w:p>
      <w:pPr>
        <w:spacing w:line="360" w:lineRule="auto"/>
        <w:rPr>
          <w:rFonts w:ascii="Times New Roman" w:hAnsi="Times New Roman"/>
          <w:szCs w:val="24"/>
        </w:rPr>
      </w:pPr>
      <w:r>
        <w:rPr>
          <w:rFonts w:hint="eastAsia" w:ascii="Times New Roman" w:hAnsi="Times New Roman"/>
          <w:szCs w:val="24"/>
        </w:rPr>
        <w:t>第二章  专报期间监测方案</w:t>
      </w:r>
    </w:p>
    <w:p>
      <w:pPr>
        <w:spacing w:line="360" w:lineRule="auto"/>
        <w:ind w:firstLine="420" w:firstLineChars="200"/>
        <w:rPr>
          <w:rFonts w:ascii="Times New Roman" w:hAnsi="Times New Roman"/>
          <w:szCs w:val="24"/>
        </w:rPr>
      </w:pPr>
      <w:r>
        <w:rPr>
          <w:rFonts w:hint="eastAsia" w:ascii="Times New Roman" w:hAnsi="Times New Roman"/>
          <w:szCs w:val="24"/>
        </w:rPr>
        <w:t>重点说明专报期间监测工作量、监测方法、频率等变更情况及变更依据。</w:t>
      </w:r>
    </w:p>
    <w:p>
      <w:pPr>
        <w:spacing w:line="360" w:lineRule="auto"/>
        <w:rPr>
          <w:rFonts w:ascii="Times New Roman" w:hAnsi="Times New Roman"/>
          <w:szCs w:val="24"/>
        </w:rPr>
      </w:pPr>
      <w:r>
        <w:rPr>
          <w:rFonts w:hint="eastAsia" w:ascii="Times New Roman" w:hAnsi="Times New Roman"/>
          <w:szCs w:val="24"/>
        </w:rPr>
        <w:t>第三章  监测实施及监测成果</w:t>
      </w:r>
    </w:p>
    <w:p>
      <w:pPr>
        <w:spacing w:line="360" w:lineRule="auto"/>
        <w:ind w:firstLine="420" w:firstLineChars="200"/>
        <w:rPr>
          <w:rFonts w:ascii="Times New Roman" w:hAnsi="Times New Roman"/>
          <w:szCs w:val="24"/>
        </w:rPr>
      </w:pPr>
      <w:r>
        <w:rPr>
          <w:rFonts w:hint="eastAsia" w:ascii="Times New Roman" w:hAnsi="Times New Roman"/>
          <w:szCs w:val="24"/>
        </w:rPr>
        <w:t>说明监测实施细节、监测期间外界条件情况等、监测数据汇总表内可用加粗方式着重标注最大变形量、最大变形速率以及异常数据等。</w:t>
      </w:r>
    </w:p>
    <w:p>
      <w:pPr>
        <w:spacing w:line="360" w:lineRule="auto"/>
        <w:rPr>
          <w:rFonts w:ascii="Times New Roman" w:hAnsi="Times New Roman"/>
          <w:szCs w:val="24"/>
        </w:rPr>
      </w:pPr>
      <w:r>
        <w:rPr>
          <w:rFonts w:hint="eastAsia" w:ascii="Times New Roman" w:hAnsi="Times New Roman"/>
          <w:szCs w:val="24"/>
        </w:rPr>
        <w:t>第四章  变形分析</w:t>
      </w:r>
    </w:p>
    <w:p>
      <w:pPr>
        <w:spacing w:line="360" w:lineRule="auto"/>
        <w:ind w:firstLine="420" w:firstLineChars="200"/>
        <w:rPr>
          <w:rFonts w:ascii="Times New Roman" w:hAnsi="Times New Roman"/>
          <w:szCs w:val="24"/>
        </w:rPr>
      </w:pPr>
      <w:r>
        <w:rPr>
          <w:rFonts w:hint="eastAsia" w:ascii="Times New Roman" w:hAnsi="Times New Roman"/>
          <w:szCs w:val="24"/>
        </w:rPr>
        <w:t>第一节  数据分析模型介绍</w:t>
      </w:r>
    </w:p>
    <w:p>
      <w:pPr>
        <w:spacing w:line="360" w:lineRule="auto"/>
        <w:ind w:firstLine="420" w:firstLineChars="200"/>
        <w:rPr>
          <w:rFonts w:ascii="Times New Roman" w:hAnsi="Times New Roman"/>
          <w:szCs w:val="24"/>
        </w:rPr>
      </w:pPr>
      <w:r>
        <w:rPr>
          <w:rFonts w:hint="eastAsia" w:ascii="Times New Roman" w:hAnsi="Times New Roman"/>
          <w:szCs w:val="24"/>
        </w:rPr>
        <w:t>第二节  单点变形分析</w:t>
      </w:r>
    </w:p>
    <w:p>
      <w:pPr>
        <w:spacing w:line="360" w:lineRule="auto"/>
        <w:ind w:firstLine="420" w:firstLineChars="200"/>
        <w:rPr>
          <w:rFonts w:ascii="Times New Roman" w:hAnsi="Times New Roman"/>
          <w:szCs w:val="24"/>
        </w:rPr>
      </w:pPr>
      <w:r>
        <w:rPr>
          <w:rFonts w:hint="eastAsia" w:ascii="Times New Roman" w:hAnsi="Times New Roman"/>
          <w:szCs w:val="24"/>
        </w:rPr>
        <w:t>第三节  剖面变形分析</w:t>
      </w:r>
    </w:p>
    <w:p>
      <w:pPr>
        <w:spacing w:line="360" w:lineRule="auto"/>
        <w:ind w:firstLine="420" w:firstLineChars="200"/>
        <w:rPr>
          <w:rFonts w:ascii="Times New Roman" w:hAnsi="Times New Roman"/>
          <w:szCs w:val="24"/>
        </w:rPr>
      </w:pPr>
      <w:r>
        <w:rPr>
          <w:rFonts w:hint="eastAsia" w:ascii="Times New Roman" w:hAnsi="Times New Roman"/>
          <w:szCs w:val="24"/>
        </w:rPr>
        <w:t>第四节  工况变形分析</w:t>
      </w:r>
    </w:p>
    <w:p>
      <w:pPr>
        <w:spacing w:line="360" w:lineRule="auto"/>
        <w:ind w:firstLine="420" w:firstLineChars="200"/>
        <w:rPr>
          <w:rFonts w:ascii="Times New Roman" w:hAnsi="Times New Roman"/>
          <w:szCs w:val="24"/>
        </w:rPr>
      </w:pPr>
      <w:r>
        <w:rPr>
          <w:rFonts w:hint="eastAsia" w:ascii="Times New Roman" w:hAnsi="Times New Roman"/>
          <w:szCs w:val="24"/>
        </w:rPr>
        <w:t>特殊工况下变形相关性分析。</w:t>
      </w:r>
    </w:p>
    <w:p>
      <w:pPr>
        <w:spacing w:line="360" w:lineRule="auto"/>
        <w:ind w:firstLine="420" w:firstLineChars="200"/>
        <w:rPr>
          <w:rFonts w:ascii="Times New Roman" w:hAnsi="Times New Roman"/>
          <w:szCs w:val="24"/>
        </w:rPr>
      </w:pPr>
      <w:r>
        <w:rPr>
          <w:rFonts w:hint="eastAsia" w:ascii="Times New Roman" w:hAnsi="Times New Roman"/>
          <w:szCs w:val="24"/>
        </w:rPr>
        <w:t>第五节  监测数据分析结论</w:t>
      </w:r>
    </w:p>
    <w:p>
      <w:pPr>
        <w:spacing w:line="360" w:lineRule="auto"/>
        <w:rPr>
          <w:rFonts w:ascii="Times New Roman" w:hAnsi="Times New Roman"/>
          <w:szCs w:val="24"/>
        </w:rPr>
      </w:pPr>
      <w:r>
        <w:rPr>
          <w:rFonts w:hint="eastAsia" w:ascii="Times New Roman" w:hAnsi="Times New Roman"/>
          <w:szCs w:val="24"/>
        </w:rPr>
        <w:t>第五章  变形原因判定及发展变化趋势预测</w:t>
      </w:r>
    </w:p>
    <w:p>
      <w:pPr>
        <w:spacing w:line="360" w:lineRule="auto"/>
        <w:rPr>
          <w:rFonts w:ascii="Times New Roman" w:hAnsi="Times New Roman"/>
          <w:szCs w:val="24"/>
        </w:rPr>
      </w:pPr>
      <w:r>
        <w:rPr>
          <w:rFonts w:hint="eastAsia" w:ascii="Times New Roman" w:hAnsi="Times New Roman"/>
          <w:szCs w:val="24"/>
        </w:rPr>
        <w:t>第六章  建议</w:t>
      </w:r>
    </w:p>
    <w:p>
      <w:pPr>
        <w:spacing w:line="360" w:lineRule="auto"/>
        <w:ind w:firstLine="420" w:firstLineChars="200"/>
        <w:rPr>
          <w:rFonts w:ascii="Times New Roman" w:hAnsi="Times New Roman"/>
          <w:szCs w:val="24"/>
        </w:rPr>
      </w:pPr>
      <w:r>
        <w:rPr>
          <w:rFonts w:hint="eastAsia" w:ascii="Times New Roman" w:hAnsi="Times New Roman"/>
          <w:szCs w:val="24"/>
        </w:rPr>
        <w:t>附图1  监测点位布设平面图</w:t>
      </w:r>
    </w:p>
    <w:p>
      <w:pPr>
        <w:spacing w:line="360" w:lineRule="auto"/>
        <w:ind w:firstLine="420" w:firstLineChars="200"/>
        <w:rPr>
          <w:rFonts w:ascii="Times New Roman" w:hAnsi="Times New Roman"/>
          <w:szCs w:val="24"/>
        </w:rPr>
      </w:pPr>
      <w:r>
        <w:rPr>
          <w:rFonts w:hint="eastAsia" w:ascii="Times New Roman" w:hAnsi="Times New Roman"/>
          <w:szCs w:val="24"/>
        </w:rPr>
        <w:t>附图2  监测成果变形过程线</w:t>
      </w:r>
    </w:p>
    <w:p>
      <w:pPr>
        <w:tabs>
          <w:tab w:val="center" w:pos="4201"/>
          <w:tab w:val="right" w:leader="dot" w:pos="9298"/>
        </w:tabs>
        <w:autoSpaceDE w:val="0"/>
        <w:autoSpaceDN w:val="0"/>
        <w:spacing w:line="360" w:lineRule="auto"/>
        <w:jc w:val="left"/>
        <w:rPr>
          <w:rFonts w:ascii="宋体" w:hAnsi="Times New Roman"/>
          <w:kern w:val="0"/>
          <w:szCs w:val="21"/>
        </w:rPr>
      </w:pPr>
    </w:p>
    <w:p>
      <w:pPr>
        <w:tabs>
          <w:tab w:val="center" w:pos="4201"/>
          <w:tab w:val="right" w:leader="dot" w:pos="9298"/>
        </w:tabs>
        <w:autoSpaceDE w:val="0"/>
        <w:autoSpaceDN w:val="0"/>
        <w:spacing w:line="360" w:lineRule="auto"/>
        <w:jc w:val="left"/>
        <w:rPr>
          <w:rFonts w:ascii="宋体" w:hAnsi="Times New Roman"/>
          <w:kern w:val="0"/>
          <w:szCs w:val="21"/>
        </w:rPr>
        <w:sectPr>
          <w:pgSz w:w="11906" w:h="16838"/>
          <w:pgMar w:top="1418" w:right="1134" w:bottom="1134" w:left="1418" w:header="851" w:footer="992" w:gutter="0"/>
          <w:cols w:space="425" w:num="1"/>
          <w:docGrid w:linePitch="312" w:charSpace="0"/>
        </w:sectPr>
      </w:pPr>
    </w:p>
    <w:p>
      <w:pPr>
        <w:keepNext/>
        <w:widowControl/>
        <w:shd w:val="clear" w:color="FFFFFF" w:fill="FFFFFF"/>
        <w:tabs>
          <w:tab w:val="left" w:pos="360"/>
          <w:tab w:val="left" w:pos="6405"/>
        </w:tabs>
        <w:spacing w:before="120" w:beforeLines="50" w:after="120" w:afterLines="50"/>
        <w:jc w:val="center"/>
        <w:outlineLvl w:val="0"/>
        <w:rPr>
          <w:rFonts w:hint="eastAsia" w:ascii="黑体" w:hAnsi="黑体" w:eastAsia="黑体"/>
          <w:kern w:val="0"/>
          <w:szCs w:val="21"/>
          <w:lang w:eastAsia="zh-CN"/>
        </w:rPr>
      </w:pPr>
      <w:bookmarkStart w:id="357" w:name="_Toc33177725"/>
      <w:bookmarkStart w:id="358" w:name="_Toc534577823"/>
      <w:bookmarkStart w:id="359" w:name="_Toc21966465"/>
      <w:r>
        <w:rPr>
          <w:rFonts w:ascii="黑体" w:hAnsi="黑体" w:eastAsia="黑体"/>
          <w:kern w:val="0"/>
          <w:szCs w:val="21"/>
        </w:rPr>
        <w:t xml:space="preserve">附  录  </w:t>
      </w:r>
      <w:r>
        <w:rPr>
          <w:rFonts w:hint="eastAsia" w:ascii="黑体" w:hAnsi="黑体" w:eastAsia="黑体"/>
          <w:kern w:val="0"/>
          <w:szCs w:val="21"/>
        </w:rPr>
        <w:t>P</w:t>
      </w:r>
    </w:p>
    <w:p>
      <w:pPr>
        <w:keepNext/>
        <w:widowControl/>
        <w:shd w:val="clear" w:color="FFFFFF" w:fill="FFFFFF"/>
        <w:tabs>
          <w:tab w:val="left" w:pos="360"/>
          <w:tab w:val="left" w:pos="6405"/>
        </w:tabs>
        <w:spacing w:before="120" w:beforeLines="50" w:after="120" w:afterLines="50"/>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w:t>
      </w:r>
      <w:r>
        <w:rPr>
          <w:rFonts w:hint="eastAsia" w:ascii="Times New Roman" w:hAnsi="Times New Roman" w:eastAsia="黑体"/>
          <w:kern w:val="0"/>
          <w:szCs w:val="21"/>
        </w:rPr>
        <w:t>资料</w:t>
      </w:r>
      <w:r>
        <w:rPr>
          <w:rFonts w:ascii="Times New Roman" w:hAnsi="Times New Roman" w:eastAsia="黑体"/>
          <w:kern w:val="0"/>
          <w:szCs w:val="21"/>
        </w:rPr>
        <w:t>性附录）</w:t>
      </w:r>
    </w:p>
    <w:p>
      <w:pPr>
        <w:keepNext/>
        <w:widowControl/>
        <w:shd w:val="clear" w:color="FFFFFF" w:fill="FFFFFF"/>
        <w:tabs>
          <w:tab w:val="left" w:pos="360"/>
          <w:tab w:val="left" w:pos="6405"/>
        </w:tabs>
        <w:spacing w:before="120" w:beforeLines="50" w:after="120" w:afterLines="50"/>
        <w:jc w:val="center"/>
        <w:outlineLvl w:val="0"/>
        <w:rPr>
          <w:rFonts w:ascii="Times New Roman" w:hAnsi="Times New Roman" w:eastAsia="黑体"/>
          <w:kern w:val="0"/>
          <w:szCs w:val="21"/>
        </w:rPr>
      </w:pPr>
      <w:r>
        <w:rPr>
          <w:rFonts w:hint="eastAsia" w:ascii="Times New Roman" w:hAnsi="Times New Roman" w:eastAsia="黑体"/>
          <w:kern w:val="0"/>
          <w:szCs w:val="21"/>
        </w:rPr>
        <w:t>专业监测总结报告提纲</w:t>
      </w:r>
      <w:bookmarkEnd w:id="357"/>
      <w:bookmarkEnd w:id="358"/>
      <w:bookmarkEnd w:id="359"/>
    </w:p>
    <w:p>
      <w:pPr>
        <w:keepNext/>
        <w:keepLines/>
        <w:adjustRightInd w:val="0"/>
        <w:snapToGrid w:val="0"/>
        <w:spacing w:before="120" w:beforeLines="50" w:after="120" w:afterLines="50"/>
        <w:jc w:val="left"/>
        <w:rPr>
          <w:rFonts w:ascii="黑体" w:hAnsi="黑体" w:eastAsia="黑体"/>
          <w:bCs/>
          <w:kern w:val="44"/>
          <w:szCs w:val="21"/>
        </w:rPr>
      </w:pPr>
      <w:bookmarkStart w:id="360" w:name="_Toc534580181"/>
      <w:bookmarkStart w:id="361" w:name="_Toc21966466"/>
      <w:bookmarkStart w:id="362" w:name="_Toc534577824"/>
      <w:r>
        <w:rPr>
          <w:rFonts w:hint="eastAsia" w:ascii="黑体" w:hAnsi="黑体" w:eastAsia="黑体"/>
          <w:bCs/>
          <w:kern w:val="44"/>
          <w:szCs w:val="21"/>
        </w:rPr>
        <w:t>P.1  区域监测总结报告提纲</w:t>
      </w:r>
      <w:bookmarkEnd w:id="360"/>
      <w:bookmarkEnd w:id="361"/>
      <w:bookmarkEnd w:id="362"/>
    </w:p>
    <w:p>
      <w:pPr>
        <w:spacing w:line="360" w:lineRule="auto"/>
        <w:rPr>
          <w:rFonts w:ascii="Times New Roman" w:hAnsi="Times New Roman"/>
          <w:szCs w:val="24"/>
        </w:rPr>
      </w:pPr>
      <w:r>
        <w:rPr>
          <w:rFonts w:hint="eastAsia" w:ascii="Times New Roman" w:hAnsi="Times New Roman"/>
          <w:szCs w:val="24"/>
        </w:rPr>
        <w:t>第一章  概述</w:t>
      </w:r>
    </w:p>
    <w:p>
      <w:pPr>
        <w:spacing w:line="360" w:lineRule="auto"/>
        <w:ind w:firstLine="420" w:firstLineChars="200"/>
        <w:rPr>
          <w:rFonts w:ascii="Times New Roman" w:hAnsi="Times New Roman"/>
          <w:szCs w:val="24"/>
        </w:rPr>
      </w:pPr>
      <w:r>
        <w:rPr>
          <w:rFonts w:hint="eastAsia" w:ascii="Times New Roman" w:hAnsi="Times New Roman"/>
          <w:szCs w:val="24"/>
        </w:rPr>
        <w:t>项目概况、以往工作程度分析与评述、工作区范围、本次工作概况。</w:t>
      </w:r>
    </w:p>
    <w:p>
      <w:pPr>
        <w:spacing w:line="360" w:lineRule="auto"/>
        <w:rPr>
          <w:rFonts w:ascii="Times New Roman" w:hAnsi="Times New Roman"/>
          <w:szCs w:val="24"/>
        </w:rPr>
      </w:pPr>
      <w:r>
        <w:rPr>
          <w:rFonts w:hint="eastAsia" w:ascii="Times New Roman" w:hAnsi="Times New Roman"/>
          <w:szCs w:val="24"/>
        </w:rPr>
        <w:t>第二章  地质背景</w:t>
      </w:r>
    </w:p>
    <w:p>
      <w:pPr>
        <w:spacing w:line="360" w:lineRule="auto"/>
        <w:ind w:firstLine="420" w:firstLineChars="200"/>
        <w:rPr>
          <w:rFonts w:ascii="Times New Roman" w:hAnsi="Times New Roman"/>
          <w:szCs w:val="24"/>
        </w:rPr>
      </w:pPr>
      <w:r>
        <w:rPr>
          <w:rFonts w:hint="eastAsia" w:ascii="Times New Roman" w:hAnsi="Times New Roman"/>
          <w:szCs w:val="24"/>
        </w:rPr>
        <w:t>地形地貌与地表覆盖物、区域地层岩性、活动构造和地震、人类生产生活情况等。</w:t>
      </w:r>
    </w:p>
    <w:p>
      <w:pPr>
        <w:spacing w:line="360" w:lineRule="auto"/>
        <w:rPr>
          <w:rFonts w:ascii="Times New Roman" w:hAnsi="Times New Roman"/>
          <w:szCs w:val="24"/>
        </w:rPr>
      </w:pPr>
      <w:r>
        <w:rPr>
          <w:rFonts w:hint="eastAsia" w:ascii="Times New Roman" w:hAnsi="Times New Roman"/>
          <w:szCs w:val="24"/>
        </w:rPr>
        <w:t>第三章  InSAR技术方法与工作流程</w:t>
      </w:r>
    </w:p>
    <w:p>
      <w:pPr>
        <w:spacing w:line="360" w:lineRule="auto"/>
        <w:ind w:firstLine="420" w:firstLineChars="200"/>
        <w:rPr>
          <w:rFonts w:ascii="Times New Roman" w:hAnsi="Times New Roman"/>
          <w:szCs w:val="24"/>
        </w:rPr>
      </w:pPr>
      <w:r>
        <w:rPr>
          <w:rFonts w:hint="eastAsia" w:ascii="Times New Roman" w:hAnsi="Times New Roman"/>
          <w:szCs w:val="24"/>
        </w:rPr>
        <w:t>第一节  InSAR工作原理与进展</w:t>
      </w:r>
    </w:p>
    <w:p>
      <w:pPr>
        <w:spacing w:line="360" w:lineRule="auto"/>
        <w:ind w:firstLine="420" w:firstLineChars="200"/>
        <w:rPr>
          <w:rFonts w:ascii="Times New Roman" w:hAnsi="Times New Roman"/>
          <w:szCs w:val="24"/>
        </w:rPr>
      </w:pPr>
      <w:r>
        <w:rPr>
          <w:rFonts w:hint="eastAsia" w:ascii="Times New Roman" w:hAnsi="Times New Roman"/>
          <w:szCs w:val="24"/>
        </w:rPr>
        <w:t>第二节  技术路线</w:t>
      </w:r>
    </w:p>
    <w:p>
      <w:pPr>
        <w:spacing w:line="360" w:lineRule="auto"/>
        <w:ind w:firstLine="420" w:firstLineChars="200"/>
        <w:rPr>
          <w:rFonts w:ascii="Times New Roman" w:hAnsi="Times New Roman"/>
          <w:szCs w:val="24"/>
        </w:rPr>
      </w:pPr>
      <w:r>
        <w:rPr>
          <w:rFonts w:hint="eastAsia" w:ascii="Times New Roman" w:hAnsi="Times New Roman"/>
          <w:szCs w:val="24"/>
        </w:rPr>
        <w:t>第三节  本项目采用的主要技术方法</w:t>
      </w:r>
    </w:p>
    <w:p>
      <w:pPr>
        <w:spacing w:line="360" w:lineRule="auto"/>
        <w:rPr>
          <w:rFonts w:ascii="Times New Roman" w:hAnsi="Times New Roman"/>
          <w:szCs w:val="24"/>
        </w:rPr>
      </w:pPr>
      <w:r>
        <w:rPr>
          <w:rFonts w:hint="eastAsia" w:ascii="Times New Roman" w:hAnsi="Times New Roman"/>
          <w:szCs w:val="24"/>
        </w:rPr>
        <w:t>第四章  InSAR数据处理过程</w:t>
      </w:r>
    </w:p>
    <w:p>
      <w:pPr>
        <w:spacing w:line="360" w:lineRule="auto"/>
        <w:ind w:firstLine="420" w:firstLineChars="200"/>
        <w:rPr>
          <w:rFonts w:ascii="Times New Roman" w:hAnsi="Times New Roman"/>
          <w:szCs w:val="24"/>
        </w:rPr>
      </w:pPr>
      <w:r>
        <w:rPr>
          <w:rFonts w:hint="eastAsia" w:ascii="Times New Roman" w:hAnsi="Times New Roman"/>
          <w:szCs w:val="24"/>
        </w:rPr>
        <w:t>第一节  采用的SAR数据说明</w:t>
      </w:r>
    </w:p>
    <w:p>
      <w:pPr>
        <w:spacing w:line="360" w:lineRule="auto"/>
        <w:ind w:firstLine="420" w:firstLineChars="200"/>
        <w:rPr>
          <w:rFonts w:ascii="Times New Roman" w:hAnsi="Times New Roman"/>
          <w:szCs w:val="24"/>
        </w:rPr>
      </w:pPr>
      <w:r>
        <w:rPr>
          <w:rFonts w:hint="eastAsia" w:ascii="Times New Roman" w:hAnsi="Times New Roman"/>
          <w:szCs w:val="24"/>
        </w:rPr>
        <w:t>包括数据类型、采集方案、分辨率、数据量、时空基线、分辨率、入射角、轨道等。</w:t>
      </w:r>
    </w:p>
    <w:p>
      <w:pPr>
        <w:spacing w:line="360" w:lineRule="auto"/>
        <w:ind w:firstLine="420" w:firstLineChars="200"/>
        <w:rPr>
          <w:rFonts w:ascii="Times New Roman" w:hAnsi="Times New Roman"/>
          <w:szCs w:val="24"/>
        </w:rPr>
      </w:pPr>
      <w:r>
        <w:rPr>
          <w:rFonts w:hint="eastAsia" w:ascii="Times New Roman" w:hAnsi="Times New Roman"/>
          <w:szCs w:val="24"/>
        </w:rPr>
        <w:t>第二节  数据处理过程</w:t>
      </w:r>
    </w:p>
    <w:p>
      <w:pPr>
        <w:spacing w:line="360" w:lineRule="auto"/>
        <w:ind w:firstLine="420" w:firstLineChars="200"/>
        <w:rPr>
          <w:rFonts w:ascii="Times New Roman" w:hAnsi="Times New Roman"/>
          <w:szCs w:val="24"/>
        </w:rPr>
      </w:pPr>
      <w:r>
        <w:rPr>
          <w:rFonts w:hint="eastAsia" w:ascii="Times New Roman" w:hAnsi="Times New Roman"/>
          <w:szCs w:val="24"/>
        </w:rPr>
        <w:t>包括数据预处理，D-InSAR数据处理与有效数据对选取，TS-InSAR、Offset-SAR数据处理采用的关键参数，干涉和解缠过程中难题的处理、精度评价等。</w:t>
      </w:r>
    </w:p>
    <w:p>
      <w:pPr>
        <w:spacing w:line="360" w:lineRule="auto"/>
        <w:ind w:firstLine="420" w:firstLineChars="200"/>
        <w:rPr>
          <w:rFonts w:ascii="Times New Roman" w:hAnsi="Times New Roman"/>
          <w:szCs w:val="24"/>
        </w:rPr>
      </w:pPr>
      <w:r>
        <w:rPr>
          <w:rFonts w:hint="eastAsia" w:ascii="Times New Roman" w:hAnsi="Times New Roman"/>
          <w:szCs w:val="24"/>
        </w:rPr>
        <w:t>第三节  数据处理结果</w:t>
      </w:r>
    </w:p>
    <w:p>
      <w:pPr>
        <w:spacing w:line="360" w:lineRule="auto"/>
        <w:ind w:firstLine="420" w:firstLineChars="200"/>
        <w:rPr>
          <w:rFonts w:ascii="Times New Roman" w:hAnsi="Times New Roman"/>
          <w:szCs w:val="24"/>
        </w:rPr>
      </w:pPr>
      <w:r>
        <w:rPr>
          <w:rFonts w:hint="eastAsia" w:ascii="Times New Roman" w:hAnsi="Times New Roman"/>
          <w:szCs w:val="24"/>
        </w:rPr>
        <w:t>包括各种方法监测得到的线性、非线性变形结果的说明。</w:t>
      </w:r>
    </w:p>
    <w:p>
      <w:pPr>
        <w:spacing w:line="360" w:lineRule="auto"/>
        <w:rPr>
          <w:rFonts w:ascii="Times New Roman" w:hAnsi="Times New Roman"/>
          <w:szCs w:val="24"/>
        </w:rPr>
      </w:pPr>
      <w:r>
        <w:rPr>
          <w:rFonts w:hint="eastAsia" w:ascii="Times New Roman" w:hAnsi="Times New Roman"/>
          <w:szCs w:val="24"/>
        </w:rPr>
        <w:t>第五章  InSAR监测结果综合分析</w:t>
      </w:r>
    </w:p>
    <w:p>
      <w:pPr>
        <w:spacing w:line="360" w:lineRule="auto"/>
        <w:ind w:firstLine="420" w:firstLineChars="200"/>
        <w:rPr>
          <w:rFonts w:ascii="Times New Roman" w:hAnsi="Times New Roman"/>
          <w:szCs w:val="24"/>
        </w:rPr>
      </w:pPr>
      <w:r>
        <w:rPr>
          <w:rFonts w:hint="eastAsia" w:ascii="Times New Roman" w:hAnsi="Times New Roman"/>
          <w:szCs w:val="24"/>
        </w:rPr>
        <w:t>第一节  各数据观测结果比较</w:t>
      </w:r>
    </w:p>
    <w:p>
      <w:pPr>
        <w:spacing w:line="360" w:lineRule="auto"/>
        <w:ind w:firstLine="420" w:firstLineChars="200"/>
        <w:rPr>
          <w:rFonts w:ascii="Times New Roman" w:hAnsi="Times New Roman"/>
          <w:szCs w:val="24"/>
        </w:rPr>
      </w:pPr>
      <w:r>
        <w:rPr>
          <w:rFonts w:hint="eastAsia" w:ascii="Times New Roman" w:hAnsi="Times New Roman"/>
          <w:szCs w:val="24"/>
        </w:rPr>
        <w:t>第二节  区域变形分析</w:t>
      </w:r>
    </w:p>
    <w:p>
      <w:pPr>
        <w:spacing w:line="360" w:lineRule="auto"/>
        <w:ind w:firstLine="420" w:firstLineChars="200"/>
        <w:rPr>
          <w:rFonts w:ascii="Times New Roman" w:hAnsi="Times New Roman"/>
          <w:szCs w:val="24"/>
        </w:rPr>
      </w:pPr>
      <w:r>
        <w:rPr>
          <w:rFonts w:hint="eastAsia" w:ascii="Times New Roman" w:hAnsi="Times New Roman"/>
          <w:szCs w:val="24"/>
        </w:rPr>
        <w:t>包括区域变形值分析，构造变形验证，对区域变形异常的解释等。</w:t>
      </w:r>
    </w:p>
    <w:p>
      <w:pPr>
        <w:spacing w:line="360" w:lineRule="auto"/>
        <w:ind w:firstLine="420" w:firstLineChars="200"/>
        <w:rPr>
          <w:rFonts w:ascii="Times New Roman" w:hAnsi="Times New Roman"/>
          <w:szCs w:val="24"/>
        </w:rPr>
      </w:pPr>
      <w:r>
        <w:rPr>
          <w:rFonts w:hint="eastAsia" w:ascii="Times New Roman" w:hAnsi="Times New Roman"/>
          <w:szCs w:val="24"/>
        </w:rPr>
        <w:t>第三节  地质灾害变形分析</w:t>
      </w:r>
    </w:p>
    <w:p>
      <w:pPr>
        <w:spacing w:line="360" w:lineRule="auto"/>
        <w:ind w:firstLine="420" w:firstLineChars="200"/>
        <w:rPr>
          <w:rFonts w:ascii="Times New Roman" w:hAnsi="Times New Roman"/>
          <w:szCs w:val="24"/>
        </w:rPr>
      </w:pPr>
      <w:r>
        <w:rPr>
          <w:rFonts w:hint="eastAsia" w:ascii="Times New Roman" w:hAnsi="Times New Roman"/>
          <w:szCs w:val="24"/>
        </w:rPr>
        <w:t>包括构造因素影响的灾害体变形，岩土体性质影响的灾害体变形，地下水波动影响的灾害体变形，人类活动影响的灾害体变形等。</w:t>
      </w:r>
    </w:p>
    <w:p>
      <w:pPr>
        <w:spacing w:line="360" w:lineRule="auto"/>
        <w:rPr>
          <w:rFonts w:ascii="Times New Roman" w:hAnsi="Times New Roman"/>
          <w:szCs w:val="24"/>
        </w:rPr>
      </w:pPr>
      <w:r>
        <w:rPr>
          <w:rFonts w:hint="eastAsia" w:ascii="Times New Roman" w:hAnsi="Times New Roman"/>
          <w:szCs w:val="24"/>
        </w:rPr>
        <w:t>第六章  结论与建议</w:t>
      </w:r>
    </w:p>
    <w:p>
      <w:pPr>
        <w:spacing w:line="360" w:lineRule="auto"/>
        <w:ind w:firstLine="420" w:firstLineChars="200"/>
        <w:rPr>
          <w:rFonts w:ascii="Times New Roman" w:hAnsi="Times New Roman"/>
          <w:szCs w:val="24"/>
        </w:rPr>
      </w:pPr>
      <w:r>
        <w:rPr>
          <w:rFonts w:hint="eastAsia" w:ascii="Times New Roman" w:hAnsi="Times New Roman"/>
          <w:szCs w:val="24"/>
        </w:rPr>
        <w:t>第一节  取得的主要结论</w:t>
      </w:r>
    </w:p>
    <w:p>
      <w:pPr>
        <w:spacing w:line="360" w:lineRule="auto"/>
        <w:ind w:firstLine="420" w:firstLineChars="200"/>
        <w:rPr>
          <w:rFonts w:ascii="Times New Roman" w:hAnsi="Times New Roman"/>
          <w:szCs w:val="24"/>
        </w:rPr>
      </w:pPr>
      <w:r>
        <w:rPr>
          <w:rFonts w:hint="eastAsia" w:ascii="Times New Roman" w:hAnsi="Times New Roman"/>
          <w:szCs w:val="24"/>
        </w:rPr>
        <w:t>第二节  存在问题与建议</w:t>
      </w:r>
    </w:p>
    <w:p>
      <w:pPr>
        <w:spacing w:line="360" w:lineRule="auto"/>
        <w:ind w:firstLine="420" w:firstLineChars="200"/>
        <w:rPr>
          <w:rFonts w:ascii="Times New Roman" w:hAnsi="Times New Roman"/>
          <w:szCs w:val="24"/>
        </w:rPr>
      </w:pPr>
      <w:r>
        <w:rPr>
          <w:rFonts w:hint="eastAsia" w:ascii="Times New Roman" w:hAnsi="Times New Roman"/>
          <w:szCs w:val="24"/>
        </w:rPr>
        <w:t>附图及相关附件：参见附录I区域整编图内容</w:t>
      </w:r>
    </w:p>
    <w:p>
      <w:pPr>
        <w:keepNext/>
        <w:keepLines/>
        <w:adjustRightInd w:val="0"/>
        <w:snapToGrid w:val="0"/>
        <w:spacing w:before="120" w:beforeLines="50" w:after="120" w:afterLines="50"/>
        <w:jc w:val="left"/>
        <w:rPr>
          <w:rFonts w:ascii="黑体" w:hAnsi="黑体" w:eastAsia="黑体"/>
          <w:bCs/>
          <w:kern w:val="44"/>
          <w:szCs w:val="21"/>
        </w:rPr>
      </w:pPr>
      <w:bookmarkStart w:id="363" w:name="_Toc21966467"/>
      <w:bookmarkStart w:id="364" w:name="_Toc534577825"/>
      <w:bookmarkStart w:id="365" w:name="_Toc534580182"/>
      <w:r>
        <w:rPr>
          <w:rFonts w:hint="eastAsia" w:ascii="黑体" w:hAnsi="黑体" w:eastAsia="黑体"/>
          <w:bCs/>
          <w:kern w:val="44"/>
          <w:szCs w:val="21"/>
        </w:rPr>
        <w:t>P.2  隐患点监测总结报告提纲</w:t>
      </w:r>
      <w:bookmarkEnd w:id="363"/>
      <w:bookmarkEnd w:id="364"/>
      <w:bookmarkEnd w:id="365"/>
    </w:p>
    <w:p>
      <w:pPr>
        <w:spacing w:line="360" w:lineRule="auto"/>
        <w:rPr>
          <w:rFonts w:ascii="Times New Roman" w:hAnsi="Times New Roman"/>
          <w:szCs w:val="24"/>
        </w:rPr>
      </w:pPr>
      <w:r>
        <w:rPr>
          <w:rFonts w:hint="eastAsia" w:ascii="Times New Roman" w:hAnsi="Times New Roman"/>
          <w:szCs w:val="24"/>
        </w:rPr>
        <w:t>第一章  前言</w:t>
      </w:r>
    </w:p>
    <w:p>
      <w:pPr>
        <w:spacing w:line="360" w:lineRule="auto"/>
        <w:ind w:firstLine="420" w:firstLineChars="200"/>
        <w:rPr>
          <w:rFonts w:ascii="Times New Roman" w:hAnsi="Times New Roman"/>
          <w:szCs w:val="24"/>
        </w:rPr>
      </w:pPr>
      <w:r>
        <w:rPr>
          <w:rFonts w:hint="eastAsia" w:ascii="Times New Roman" w:hAnsi="Times New Roman"/>
          <w:szCs w:val="24"/>
        </w:rPr>
        <w:t>第一节  任务由来</w:t>
      </w:r>
    </w:p>
    <w:p>
      <w:pPr>
        <w:spacing w:line="360" w:lineRule="auto"/>
        <w:ind w:firstLine="420" w:firstLineChars="200"/>
        <w:rPr>
          <w:rFonts w:ascii="Times New Roman" w:hAnsi="Times New Roman"/>
          <w:szCs w:val="24"/>
        </w:rPr>
      </w:pPr>
      <w:r>
        <w:rPr>
          <w:rFonts w:hint="eastAsia" w:ascii="Times New Roman" w:hAnsi="Times New Roman"/>
          <w:szCs w:val="24"/>
        </w:rPr>
        <w:t>第二节  监测项目概况</w:t>
      </w:r>
    </w:p>
    <w:p>
      <w:pPr>
        <w:spacing w:line="360" w:lineRule="auto"/>
        <w:ind w:firstLine="420" w:firstLineChars="200"/>
        <w:rPr>
          <w:rFonts w:ascii="Times New Roman" w:hAnsi="Times New Roman"/>
          <w:szCs w:val="24"/>
        </w:rPr>
      </w:pPr>
      <w:r>
        <w:rPr>
          <w:rFonts w:hint="eastAsia" w:ascii="Times New Roman" w:hAnsi="Times New Roman"/>
          <w:szCs w:val="24"/>
        </w:rPr>
        <w:t>续作项目须总结前人监测成果及结论。</w:t>
      </w:r>
    </w:p>
    <w:p>
      <w:pPr>
        <w:spacing w:line="360" w:lineRule="auto"/>
        <w:ind w:firstLine="420" w:firstLineChars="200"/>
        <w:rPr>
          <w:rFonts w:ascii="Times New Roman" w:hAnsi="Times New Roman"/>
          <w:szCs w:val="24"/>
        </w:rPr>
      </w:pPr>
      <w:r>
        <w:rPr>
          <w:rFonts w:hint="eastAsia" w:ascii="Times New Roman" w:hAnsi="Times New Roman"/>
          <w:szCs w:val="24"/>
        </w:rPr>
        <w:t>第三节  测量基准</w:t>
      </w:r>
    </w:p>
    <w:p>
      <w:pPr>
        <w:spacing w:line="360" w:lineRule="auto"/>
        <w:rPr>
          <w:rFonts w:ascii="Times New Roman" w:hAnsi="Times New Roman"/>
          <w:szCs w:val="24"/>
        </w:rPr>
      </w:pPr>
      <w:r>
        <w:rPr>
          <w:rFonts w:hint="eastAsia" w:ascii="Times New Roman" w:hAnsi="Times New Roman"/>
          <w:szCs w:val="24"/>
        </w:rPr>
        <w:t>第二章  监测区域地质环境条件</w:t>
      </w:r>
    </w:p>
    <w:p>
      <w:pPr>
        <w:spacing w:line="360" w:lineRule="auto"/>
        <w:rPr>
          <w:rFonts w:ascii="Times New Roman" w:hAnsi="Times New Roman"/>
          <w:szCs w:val="24"/>
        </w:rPr>
      </w:pPr>
      <w:r>
        <w:rPr>
          <w:rFonts w:hint="eastAsia" w:ascii="Times New Roman" w:hAnsi="Times New Roman"/>
          <w:szCs w:val="24"/>
        </w:rPr>
        <w:t>第三章  地质灾害特征及变形破坏模式</w:t>
      </w:r>
    </w:p>
    <w:p>
      <w:pPr>
        <w:spacing w:line="360" w:lineRule="auto"/>
        <w:rPr>
          <w:rFonts w:ascii="Times New Roman" w:hAnsi="Times New Roman"/>
          <w:szCs w:val="24"/>
        </w:rPr>
      </w:pPr>
      <w:r>
        <w:rPr>
          <w:rFonts w:hint="eastAsia" w:ascii="Times New Roman" w:hAnsi="Times New Roman"/>
          <w:szCs w:val="24"/>
        </w:rPr>
        <w:t>第四章  监测实施依据</w:t>
      </w:r>
    </w:p>
    <w:p>
      <w:pPr>
        <w:spacing w:line="360" w:lineRule="auto"/>
        <w:rPr>
          <w:rFonts w:ascii="Times New Roman" w:hAnsi="Times New Roman"/>
          <w:szCs w:val="24"/>
        </w:rPr>
      </w:pPr>
      <w:r>
        <w:rPr>
          <w:rFonts w:hint="eastAsia" w:ascii="Times New Roman" w:hAnsi="Times New Roman"/>
          <w:szCs w:val="24"/>
        </w:rPr>
        <w:t>第五章  监测内容</w:t>
      </w:r>
    </w:p>
    <w:p>
      <w:pPr>
        <w:spacing w:line="360" w:lineRule="auto"/>
        <w:rPr>
          <w:rFonts w:ascii="Times New Roman" w:hAnsi="Times New Roman"/>
          <w:szCs w:val="24"/>
        </w:rPr>
      </w:pPr>
      <w:r>
        <w:rPr>
          <w:rFonts w:hint="eastAsia" w:ascii="Times New Roman" w:hAnsi="Times New Roman"/>
          <w:szCs w:val="24"/>
        </w:rPr>
        <w:t>第六章  监测网布设</w:t>
      </w:r>
    </w:p>
    <w:p>
      <w:pPr>
        <w:spacing w:line="360" w:lineRule="auto"/>
        <w:ind w:firstLine="420" w:firstLineChars="200"/>
        <w:rPr>
          <w:rFonts w:ascii="Times New Roman" w:hAnsi="Times New Roman"/>
          <w:szCs w:val="24"/>
        </w:rPr>
      </w:pPr>
      <w:r>
        <w:rPr>
          <w:rFonts w:hint="eastAsia" w:ascii="Times New Roman" w:hAnsi="Times New Roman"/>
          <w:szCs w:val="24"/>
        </w:rPr>
        <w:t>第一节  基准点布设</w:t>
      </w:r>
    </w:p>
    <w:p>
      <w:pPr>
        <w:spacing w:line="360" w:lineRule="auto"/>
        <w:ind w:firstLine="420" w:firstLineChars="200"/>
        <w:rPr>
          <w:rFonts w:ascii="Times New Roman" w:hAnsi="Times New Roman"/>
          <w:szCs w:val="24"/>
        </w:rPr>
      </w:pPr>
      <w:r>
        <w:rPr>
          <w:rFonts w:hint="eastAsia" w:ascii="Times New Roman" w:hAnsi="Times New Roman"/>
          <w:szCs w:val="24"/>
        </w:rPr>
        <w:t>第二节  监测网点布设</w:t>
      </w:r>
    </w:p>
    <w:p>
      <w:pPr>
        <w:spacing w:line="360" w:lineRule="auto"/>
        <w:rPr>
          <w:rFonts w:ascii="Times New Roman" w:hAnsi="Times New Roman"/>
          <w:szCs w:val="24"/>
        </w:rPr>
      </w:pPr>
      <w:r>
        <w:rPr>
          <w:rFonts w:hint="eastAsia" w:ascii="Times New Roman" w:hAnsi="Times New Roman"/>
          <w:szCs w:val="24"/>
        </w:rPr>
        <w:t>第七章  监测方法及监测精度分析</w:t>
      </w:r>
    </w:p>
    <w:p>
      <w:pPr>
        <w:spacing w:line="360" w:lineRule="auto"/>
        <w:ind w:firstLine="420" w:firstLineChars="200"/>
        <w:rPr>
          <w:rFonts w:ascii="Times New Roman" w:hAnsi="Times New Roman"/>
          <w:szCs w:val="24"/>
        </w:rPr>
      </w:pPr>
      <w:r>
        <w:rPr>
          <w:rFonts w:hint="eastAsia" w:ascii="Times New Roman" w:hAnsi="Times New Roman"/>
          <w:szCs w:val="24"/>
        </w:rPr>
        <w:t>第一节  监测方法</w:t>
      </w:r>
    </w:p>
    <w:p>
      <w:pPr>
        <w:spacing w:line="360" w:lineRule="auto"/>
        <w:ind w:firstLine="420" w:firstLineChars="200"/>
        <w:rPr>
          <w:rFonts w:ascii="Times New Roman" w:hAnsi="Times New Roman"/>
          <w:szCs w:val="24"/>
        </w:rPr>
      </w:pPr>
      <w:r>
        <w:rPr>
          <w:rFonts w:hint="eastAsia" w:ascii="Times New Roman" w:hAnsi="Times New Roman"/>
          <w:szCs w:val="24"/>
        </w:rPr>
        <w:t>第二节  监测精度分析</w:t>
      </w:r>
    </w:p>
    <w:p>
      <w:pPr>
        <w:spacing w:line="360" w:lineRule="auto"/>
        <w:rPr>
          <w:rFonts w:ascii="Times New Roman" w:hAnsi="Times New Roman"/>
          <w:szCs w:val="24"/>
        </w:rPr>
      </w:pPr>
      <w:r>
        <w:rPr>
          <w:rFonts w:hint="eastAsia" w:ascii="Times New Roman" w:hAnsi="Times New Roman"/>
          <w:szCs w:val="24"/>
        </w:rPr>
        <w:t>第八章  监测实施及监测成果</w:t>
      </w:r>
    </w:p>
    <w:p>
      <w:pPr>
        <w:spacing w:line="360" w:lineRule="auto"/>
        <w:ind w:firstLine="420" w:firstLineChars="200"/>
        <w:rPr>
          <w:rFonts w:ascii="Times New Roman" w:hAnsi="Times New Roman"/>
          <w:szCs w:val="24"/>
        </w:rPr>
      </w:pPr>
      <w:r>
        <w:rPr>
          <w:rFonts w:hint="eastAsia" w:ascii="Times New Roman" w:hAnsi="Times New Roman"/>
          <w:szCs w:val="24"/>
        </w:rPr>
        <w:t>第一节  监测实施频率</w:t>
      </w:r>
    </w:p>
    <w:p>
      <w:pPr>
        <w:spacing w:line="360" w:lineRule="auto"/>
        <w:ind w:firstLine="420" w:firstLineChars="200"/>
        <w:rPr>
          <w:rFonts w:ascii="Times New Roman" w:hAnsi="Times New Roman"/>
          <w:szCs w:val="24"/>
        </w:rPr>
      </w:pPr>
      <w:r>
        <w:rPr>
          <w:rFonts w:hint="eastAsia" w:ascii="Times New Roman" w:hAnsi="Times New Roman"/>
          <w:szCs w:val="24"/>
        </w:rPr>
        <w:t>第二节  监测质量保障措施</w:t>
      </w:r>
    </w:p>
    <w:p>
      <w:pPr>
        <w:spacing w:line="360" w:lineRule="auto"/>
        <w:ind w:firstLine="420" w:firstLineChars="200"/>
        <w:rPr>
          <w:rFonts w:ascii="Times New Roman" w:hAnsi="Times New Roman"/>
          <w:szCs w:val="24"/>
        </w:rPr>
      </w:pPr>
      <w:r>
        <w:rPr>
          <w:rFonts w:hint="eastAsia" w:ascii="Times New Roman" w:hAnsi="Times New Roman"/>
          <w:szCs w:val="24"/>
        </w:rPr>
        <w:t>第三节  监测成果</w:t>
      </w:r>
    </w:p>
    <w:p>
      <w:pPr>
        <w:spacing w:line="360" w:lineRule="auto"/>
        <w:rPr>
          <w:rFonts w:ascii="Times New Roman" w:hAnsi="Times New Roman"/>
          <w:szCs w:val="24"/>
        </w:rPr>
      </w:pPr>
      <w:r>
        <w:rPr>
          <w:rFonts w:hint="eastAsia" w:ascii="Times New Roman" w:hAnsi="Times New Roman"/>
          <w:szCs w:val="24"/>
        </w:rPr>
        <w:t>第九章  变形分析</w:t>
      </w:r>
    </w:p>
    <w:p>
      <w:pPr>
        <w:spacing w:line="360" w:lineRule="auto"/>
        <w:ind w:firstLine="420" w:firstLineChars="200"/>
        <w:rPr>
          <w:rFonts w:ascii="Times New Roman" w:hAnsi="Times New Roman"/>
          <w:szCs w:val="24"/>
        </w:rPr>
      </w:pPr>
      <w:r>
        <w:rPr>
          <w:rFonts w:hint="eastAsia" w:ascii="Times New Roman" w:hAnsi="Times New Roman"/>
          <w:szCs w:val="24"/>
        </w:rPr>
        <w:t>第一节  单点变形分析</w:t>
      </w:r>
    </w:p>
    <w:p>
      <w:pPr>
        <w:spacing w:line="360" w:lineRule="auto"/>
        <w:ind w:firstLine="420" w:firstLineChars="200"/>
        <w:rPr>
          <w:rFonts w:ascii="Times New Roman" w:hAnsi="Times New Roman"/>
          <w:szCs w:val="24"/>
        </w:rPr>
      </w:pPr>
      <w:r>
        <w:rPr>
          <w:rFonts w:hint="eastAsia" w:ascii="Times New Roman" w:hAnsi="Times New Roman"/>
          <w:szCs w:val="24"/>
        </w:rPr>
        <w:t>第二节  剖面变形分析</w:t>
      </w:r>
    </w:p>
    <w:p>
      <w:pPr>
        <w:spacing w:line="360" w:lineRule="auto"/>
        <w:ind w:firstLine="420" w:firstLineChars="200"/>
        <w:rPr>
          <w:rFonts w:ascii="Times New Roman" w:hAnsi="Times New Roman"/>
          <w:szCs w:val="24"/>
        </w:rPr>
      </w:pPr>
      <w:r>
        <w:rPr>
          <w:rFonts w:hint="eastAsia" w:ascii="Times New Roman" w:hAnsi="Times New Roman"/>
          <w:szCs w:val="24"/>
        </w:rPr>
        <w:t>第三节  特殊工况变形分析</w:t>
      </w:r>
    </w:p>
    <w:p>
      <w:pPr>
        <w:spacing w:line="360" w:lineRule="auto"/>
        <w:ind w:firstLine="420" w:firstLineChars="200"/>
        <w:rPr>
          <w:rFonts w:ascii="Times New Roman" w:hAnsi="Times New Roman"/>
          <w:szCs w:val="24"/>
        </w:rPr>
      </w:pPr>
      <w:r>
        <w:rPr>
          <w:rFonts w:hint="eastAsia" w:ascii="Times New Roman" w:hAnsi="Times New Roman"/>
          <w:szCs w:val="24"/>
        </w:rPr>
        <w:t>第四节  变形相关性分析</w:t>
      </w:r>
    </w:p>
    <w:p>
      <w:pPr>
        <w:spacing w:line="360" w:lineRule="auto"/>
        <w:ind w:firstLine="420" w:firstLineChars="200"/>
        <w:rPr>
          <w:rFonts w:ascii="Times New Roman" w:hAnsi="Times New Roman"/>
          <w:szCs w:val="24"/>
        </w:rPr>
      </w:pPr>
      <w:r>
        <w:rPr>
          <w:rFonts w:hint="eastAsia" w:ascii="Times New Roman" w:hAnsi="Times New Roman"/>
          <w:szCs w:val="24"/>
        </w:rPr>
        <w:t>第五节  总体变形情况分析</w:t>
      </w:r>
    </w:p>
    <w:p>
      <w:pPr>
        <w:spacing w:line="360" w:lineRule="auto"/>
        <w:rPr>
          <w:rFonts w:ascii="Times New Roman" w:hAnsi="Times New Roman"/>
          <w:szCs w:val="24"/>
        </w:rPr>
      </w:pPr>
      <w:r>
        <w:rPr>
          <w:rFonts w:hint="eastAsia" w:ascii="Times New Roman" w:hAnsi="Times New Roman"/>
          <w:szCs w:val="24"/>
        </w:rPr>
        <w:t>第十章  稳定性判断及变形趋势预测</w:t>
      </w:r>
    </w:p>
    <w:p>
      <w:pPr>
        <w:spacing w:line="360" w:lineRule="auto"/>
        <w:rPr>
          <w:rFonts w:ascii="Times New Roman" w:hAnsi="Times New Roman"/>
          <w:szCs w:val="24"/>
        </w:rPr>
      </w:pPr>
      <w:r>
        <w:rPr>
          <w:rFonts w:hint="eastAsia" w:ascii="Times New Roman" w:hAnsi="Times New Roman"/>
          <w:szCs w:val="24"/>
        </w:rPr>
        <w:t>第十一章  建议</w:t>
      </w:r>
    </w:p>
    <w:p>
      <w:pPr>
        <w:spacing w:line="360" w:lineRule="auto"/>
        <w:ind w:firstLine="420" w:firstLineChars="200"/>
        <w:rPr>
          <w:rFonts w:ascii="Times New Roman" w:hAnsi="Times New Roman"/>
          <w:szCs w:val="24"/>
        </w:rPr>
      </w:pPr>
      <w:r>
        <w:rPr>
          <w:rFonts w:hint="eastAsia" w:ascii="Times New Roman" w:hAnsi="Times New Roman"/>
          <w:szCs w:val="24"/>
        </w:rPr>
        <w:t>附图</w:t>
      </w:r>
      <w:r>
        <w:rPr>
          <w:rFonts w:ascii="Times New Roman" w:hAnsi="Times New Roman"/>
          <w:szCs w:val="24"/>
        </w:rPr>
        <w:t>1</w:t>
      </w:r>
      <w:r>
        <w:rPr>
          <w:rFonts w:hint="eastAsia" w:ascii="Times New Roman" w:hAnsi="Times New Roman"/>
          <w:szCs w:val="24"/>
        </w:rPr>
        <w:t xml:space="preserve"> </w:t>
      </w:r>
      <w:r>
        <w:rPr>
          <w:rFonts w:ascii="Times New Roman" w:hAnsi="Times New Roman"/>
          <w:szCs w:val="24"/>
        </w:rPr>
        <w:t xml:space="preserve"> </w:t>
      </w:r>
      <w:r>
        <w:rPr>
          <w:rFonts w:hint="eastAsia" w:ascii="Times New Roman" w:hAnsi="Times New Roman"/>
          <w:szCs w:val="24"/>
        </w:rPr>
        <w:t>监测点位布设平面图</w:t>
      </w:r>
    </w:p>
    <w:p>
      <w:pPr>
        <w:spacing w:line="360" w:lineRule="auto"/>
        <w:ind w:firstLine="420" w:firstLineChars="200"/>
        <w:rPr>
          <w:rFonts w:ascii="Times New Roman" w:hAnsi="Times New Roman"/>
          <w:szCs w:val="24"/>
        </w:rPr>
      </w:pPr>
      <w:r>
        <w:rPr>
          <w:rFonts w:hint="eastAsia" w:ascii="Times New Roman" w:hAnsi="Times New Roman"/>
          <w:szCs w:val="24"/>
        </w:rPr>
        <w:t>附图</w:t>
      </w:r>
      <w:r>
        <w:rPr>
          <w:rFonts w:ascii="Times New Roman" w:hAnsi="Times New Roman"/>
          <w:szCs w:val="24"/>
        </w:rPr>
        <w:t>2</w:t>
      </w:r>
      <w:r>
        <w:rPr>
          <w:rFonts w:hint="eastAsia" w:ascii="Times New Roman" w:hAnsi="Times New Roman"/>
          <w:szCs w:val="24"/>
        </w:rPr>
        <w:t xml:space="preserve"> </w:t>
      </w:r>
      <w:r>
        <w:rPr>
          <w:rFonts w:ascii="Times New Roman" w:hAnsi="Times New Roman"/>
          <w:szCs w:val="24"/>
        </w:rPr>
        <w:t xml:space="preserve"> </w:t>
      </w:r>
      <w:r>
        <w:rPr>
          <w:rFonts w:hint="eastAsia" w:ascii="Times New Roman" w:hAnsi="Times New Roman"/>
          <w:szCs w:val="24"/>
        </w:rPr>
        <w:t>监测点位布设剖面图</w:t>
      </w:r>
    </w:p>
    <w:p>
      <w:pPr>
        <w:spacing w:line="360" w:lineRule="auto"/>
        <w:ind w:firstLine="420" w:firstLineChars="200"/>
        <w:rPr>
          <w:rFonts w:ascii="Times New Roman" w:hAnsi="Times New Roman"/>
          <w:szCs w:val="24"/>
        </w:rPr>
      </w:pPr>
      <w:r>
        <w:rPr>
          <w:rFonts w:hint="eastAsia" w:ascii="Times New Roman" w:hAnsi="Times New Roman"/>
          <w:szCs w:val="24"/>
        </w:rPr>
        <w:t>附图3  监测点埋设构造图</w:t>
      </w:r>
    </w:p>
    <w:p>
      <w:pPr>
        <w:spacing w:line="360" w:lineRule="auto"/>
        <w:ind w:firstLine="420" w:firstLineChars="200"/>
        <w:rPr>
          <w:rFonts w:ascii="Times New Roman" w:hAnsi="Times New Roman"/>
          <w:szCs w:val="24"/>
        </w:rPr>
      </w:pPr>
      <w:r>
        <w:rPr>
          <w:rFonts w:hint="eastAsia" w:ascii="Times New Roman" w:hAnsi="Times New Roman"/>
          <w:szCs w:val="24"/>
        </w:rPr>
        <w:t>附表1</w:t>
      </w:r>
      <w:r>
        <w:rPr>
          <w:rFonts w:ascii="Times New Roman" w:hAnsi="Times New Roman"/>
          <w:szCs w:val="24"/>
        </w:rPr>
        <w:t xml:space="preserve"> </w:t>
      </w:r>
      <w:r>
        <w:rPr>
          <w:rFonts w:hint="eastAsia" w:ascii="Times New Roman" w:hAnsi="Times New Roman"/>
          <w:szCs w:val="24"/>
        </w:rPr>
        <w:t xml:space="preserve"> 监测基准点稳定性检验成果</w:t>
      </w:r>
    </w:p>
    <w:p>
      <w:pPr>
        <w:spacing w:line="360" w:lineRule="auto"/>
        <w:ind w:firstLine="420" w:firstLineChars="200"/>
        <w:rPr>
          <w:rFonts w:ascii="Times New Roman" w:hAnsi="Times New Roman"/>
          <w:szCs w:val="24"/>
        </w:rPr>
      </w:pPr>
      <w:r>
        <w:rPr>
          <w:rFonts w:hint="eastAsia" w:ascii="Times New Roman" w:hAnsi="Times New Roman"/>
          <w:szCs w:val="24"/>
        </w:rPr>
        <w:t xml:space="preserve">附表2 </w:t>
      </w:r>
      <w:r>
        <w:rPr>
          <w:rFonts w:ascii="Times New Roman" w:hAnsi="Times New Roman"/>
          <w:szCs w:val="24"/>
        </w:rPr>
        <w:t xml:space="preserve"> </w:t>
      </w:r>
      <w:r>
        <w:rPr>
          <w:rFonts w:hint="eastAsia" w:ascii="Times New Roman" w:hAnsi="Times New Roman"/>
          <w:szCs w:val="24"/>
        </w:rPr>
        <w:t>监测点施工验收报告</w:t>
      </w:r>
    </w:p>
    <w:p>
      <w:pPr>
        <w:spacing w:line="360" w:lineRule="auto"/>
        <w:ind w:firstLine="420" w:firstLineChars="200"/>
        <w:rPr>
          <w:rFonts w:ascii="Times New Roman" w:hAnsi="Times New Roman"/>
          <w:szCs w:val="24"/>
        </w:rPr>
      </w:pPr>
      <w:r>
        <w:rPr>
          <w:rFonts w:hint="eastAsia" w:ascii="Times New Roman" w:hAnsi="Times New Roman"/>
          <w:szCs w:val="24"/>
        </w:rPr>
        <w:t>附表3</w:t>
      </w:r>
      <w:r>
        <w:rPr>
          <w:rFonts w:ascii="Times New Roman" w:hAnsi="Times New Roman"/>
          <w:szCs w:val="24"/>
        </w:rPr>
        <w:t xml:space="preserve"> </w:t>
      </w:r>
      <w:r>
        <w:rPr>
          <w:rFonts w:hint="eastAsia" w:ascii="Times New Roman" w:hAnsi="Times New Roman"/>
          <w:szCs w:val="24"/>
        </w:rPr>
        <w:t xml:space="preserve"> 监测竣工验收报告</w:t>
      </w:r>
    </w:p>
    <w:p>
      <w:pPr>
        <w:spacing w:line="360" w:lineRule="auto"/>
        <w:ind w:firstLine="420" w:firstLineChars="200"/>
        <w:rPr>
          <w:rFonts w:ascii="Times New Roman" w:hAnsi="Times New Roman"/>
          <w:szCs w:val="24"/>
        </w:rPr>
      </w:pPr>
      <w:r>
        <w:rPr>
          <w:rFonts w:hint="eastAsia" w:ascii="Times New Roman" w:hAnsi="Times New Roman"/>
          <w:szCs w:val="24"/>
        </w:rPr>
        <w:t xml:space="preserve">附表4 </w:t>
      </w:r>
      <w:r>
        <w:rPr>
          <w:rFonts w:ascii="Times New Roman" w:hAnsi="Times New Roman"/>
          <w:szCs w:val="24"/>
        </w:rPr>
        <w:t xml:space="preserve"> </w:t>
      </w:r>
      <w:r>
        <w:rPr>
          <w:rFonts w:hint="eastAsia" w:ascii="Times New Roman" w:hAnsi="Times New Roman"/>
          <w:szCs w:val="24"/>
        </w:rPr>
        <w:t>监测数据汇总表</w:t>
      </w:r>
    </w:p>
    <w:p>
      <w:pPr>
        <w:spacing w:line="360" w:lineRule="auto"/>
        <w:ind w:firstLine="420" w:firstLineChars="200"/>
        <w:rPr>
          <w:rFonts w:ascii="Times New Roman" w:hAnsi="Times New Roman"/>
          <w:szCs w:val="24"/>
        </w:rPr>
      </w:pPr>
      <w:r>
        <w:rPr>
          <w:rFonts w:hint="eastAsia" w:ascii="Times New Roman" w:hAnsi="Times New Roman"/>
          <w:szCs w:val="24"/>
        </w:rPr>
        <w:t>附表5</w:t>
      </w:r>
      <w:r>
        <w:rPr>
          <w:rFonts w:ascii="Times New Roman" w:hAnsi="Times New Roman"/>
          <w:szCs w:val="24"/>
        </w:rPr>
        <w:t xml:space="preserve"> </w:t>
      </w:r>
      <w:r>
        <w:rPr>
          <w:rFonts w:hint="eastAsia" w:ascii="Times New Roman" w:hAnsi="Times New Roman"/>
          <w:szCs w:val="24"/>
        </w:rPr>
        <w:t xml:space="preserve"> 变形过程线</w:t>
      </w:r>
    </w:p>
    <w:p>
      <w:pPr>
        <w:spacing w:line="360" w:lineRule="auto"/>
        <w:ind w:firstLine="420" w:firstLineChars="200"/>
        <w:rPr>
          <w:rFonts w:ascii="宋体" w:hAnsi="Times New Roman"/>
          <w:kern w:val="0"/>
          <w:szCs w:val="21"/>
        </w:rPr>
      </w:pPr>
      <w:r>
        <w:rPr>
          <w:rFonts w:hint="eastAsia" w:ascii="Times New Roman" w:hAnsi="Times New Roman"/>
          <w:szCs w:val="24"/>
        </w:rPr>
        <w:t>视实际情况可增加相应附件。监测报告根据监测实际情况提供季报和年报；监测对象有需要响应时，及时提供相应的监测专报。</w:t>
      </w:r>
    </w:p>
    <w:p>
      <w:pPr>
        <w:tabs>
          <w:tab w:val="center" w:pos="4201"/>
          <w:tab w:val="right" w:leader="dot" w:pos="9298"/>
        </w:tabs>
        <w:autoSpaceDE w:val="0"/>
        <w:autoSpaceDN w:val="0"/>
        <w:spacing w:line="360" w:lineRule="auto"/>
        <w:jc w:val="left"/>
        <w:rPr>
          <w:rFonts w:ascii="宋体" w:hAnsi="Times New Roman"/>
          <w:kern w:val="0"/>
          <w:szCs w:val="21"/>
        </w:rPr>
      </w:pPr>
    </w:p>
    <w:p>
      <w:pPr>
        <w:keepNext/>
        <w:widowControl/>
        <w:shd w:val="clear" w:color="FFFFFF" w:fill="FFFFFF"/>
        <w:tabs>
          <w:tab w:val="left" w:pos="360"/>
          <w:tab w:val="left" w:pos="6405"/>
        </w:tabs>
        <w:jc w:val="center"/>
        <w:outlineLvl w:val="0"/>
        <w:rPr>
          <w:rFonts w:ascii="黑体" w:hAnsi="黑体" w:eastAsia="黑体"/>
          <w:kern w:val="0"/>
          <w:szCs w:val="21"/>
        </w:rPr>
        <w:sectPr>
          <w:headerReference r:id="rId7" w:type="even"/>
          <w:pgSz w:w="11906" w:h="16838"/>
          <w:pgMar w:top="1418" w:right="1134" w:bottom="1134" w:left="1418" w:header="851" w:footer="992" w:gutter="0"/>
          <w:cols w:space="425" w:num="1"/>
          <w:docGrid w:linePitch="312" w:charSpace="0"/>
        </w:sectPr>
      </w:pPr>
      <w:bookmarkStart w:id="366" w:name="_Toc21966468"/>
      <w:bookmarkStart w:id="367" w:name="_Toc534577826"/>
    </w:p>
    <w:p>
      <w:pPr>
        <w:keepNext/>
        <w:widowControl/>
        <w:shd w:val="clear" w:color="FFFFFF" w:fill="FFFFFF"/>
        <w:tabs>
          <w:tab w:val="left" w:pos="360"/>
          <w:tab w:val="left" w:pos="6405"/>
        </w:tabs>
        <w:jc w:val="center"/>
        <w:outlineLvl w:val="0"/>
        <w:rPr>
          <w:rFonts w:hint="eastAsia" w:ascii="黑体" w:hAnsi="黑体" w:eastAsia="黑体"/>
          <w:kern w:val="0"/>
          <w:szCs w:val="21"/>
          <w:lang w:eastAsia="zh-CN"/>
        </w:rPr>
      </w:pPr>
      <w:bookmarkStart w:id="368" w:name="_Toc33177726"/>
      <w:r>
        <w:rPr>
          <w:rFonts w:ascii="黑体" w:hAnsi="黑体" w:eastAsia="黑体"/>
          <w:kern w:val="0"/>
          <w:szCs w:val="21"/>
        </w:rPr>
        <w:t xml:space="preserve">附  录  </w:t>
      </w:r>
      <w:r>
        <w:rPr>
          <w:rFonts w:hint="eastAsia" w:ascii="黑体" w:hAnsi="黑体" w:eastAsia="黑体"/>
          <w:kern w:val="0"/>
          <w:szCs w:val="21"/>
        </w:rPr>
        <w:t>Q</w:t>
      </w:r>
    </w:p>
    <w:p>
      <w:pPr>
        <w:keepNext/>
        <w:widowControl/>
        <w:shd w:val="clear" w:color="FFFFFF" w:fill="FFFFFF"/>
        <w:tabs>
          <w:tab w:val="left" w:pos="360"/>
          <w:tab w:val="left" w:pos="6405"/>
        </w:tabs>
        <w:jc w:val="center"/>
        <w:outlineLvl w:val="0"/>
        <w:rPr>
          <w:rFonts w:hint="eastAsia" w:ascii="Times New Roman" w:hAnsi="Times New Roman" w:eastAsia="黑体"/>
          <w:kern w:val="0"/>
          <w:szCs w:val="21"/>
          <w:lang w:eastAsia="zh-CN"/>
        </w:rPr>
      </w:pPr>
      <w:r>
        <w:rPr>
          <w:rFonts w:ascii="Times New Roman" w:hAnsi="Times New Roman" w:eastAsia="黑体"/>
          <w:kern w:val="0"/>
          <w:szCs w:val="21"/>
        </w:rPr>
        <w:t>（</w:t>
      </w:r>
      <w:r>
        <w:rPr>
          <w:rFonts w:hint="eastAsia" w:ascii="Times New Roman" w:hAnsi="Times New Roman" w:eastAsia="黑体"/>
          <w:kern w:val="0"/>
          <w:szCs w:val="21"/>
        </w:rPr>
        <w:t>资料</w:t>
      </w:r>
      <w:r>
        <w:rPr>
          <w:rFonts w:ascii="Times New Roman" w:hAnsi="Times New Roman" w:eastAsia="黑体"/>
          <w:kern w:val="0"/>
          <w:szCs w:val="21"/>
        </w:rPr>
        <w:t>性附录）</w:t>
      </w:r>
    </w:p>
    <w:p>
      <w:pPr>
        <w:keepNext/>
        <w:widowControl/>
        <w:shd w:val="clear" w:color="FFFFFF" w:fill="FFFFFF"/>
        <w:tabs>
          <w:tab w:val="left" w:pos="360"/>
          <w:tab w:val="left" w:pos="6405"/>
        </w:tabs>
        <w:jc w:val="center"/>
        <w:outlineLvl w:val="0"/>
        <w:rPr>
          <w:rFonts w:ascii="Times New Roman" w:hAnsi="Times New Roman" w:eastAsia="黑体"/>
          <w:kern w:val="0"/>
          <w:szCs w:val="21"/>
        </w:rPr>
      </w:pPr>
      <w:r>
        <w:rPr>
          <w:rFonts w:hint="eastAsia" w:ascii="Times New Roman" w:hAnsi="Times New Roman" w:eastAsia="黑体"/>
          <w:kern w:val="0"/>
          <w:szCs w:val="21"/>
        </w:rPr>
        <w:t>专业监测文件归档范围及保管期限</w:t>
      </w:r>
      <w:bookmarkEnd w:id="366"/>
      <w:bookmarkEnd w:id="367"/>
      <w:bookmarkEnd w:id="368"/>
    </w:p>
    <w:p>
      <w:pPr>
        <w:widowControl/>
        <w:tabs>
          <w:tab w:val="left" w:pos="360"/>
        </w:tabs>
        <w:spacing w:before="120" w:beforeLines="50" w:after="120" w:afterLines="50"/>
        <w:jc w:val="center"/>
        <w:rPr>
          <w:rFonts w:ascii="黑体" w:hAnsi="黑体" w:eastAsia="黑体"/>
          <w:kern w:val="0"/>
          <w:szCs w:val="21"/>
        </w:rPr>
      </w:pPr>
      <w:r>
        <w:rPr>
          <w:rFonts w:ascii="黑体" w:hAnsi="黑体" w:eastAsia="黑体"/>
          <w:kern w:val="0"/>
          <w:szCs w:val="21"/>
        </w:rPr>
        <w:t>表</w:t>
      </w:r>
      <w:r>
        <w:rPr>
          <w:rFonts w:hint="eastAsia" w:ascii="黑体" w:hAnsi="黑体" w:eastAsia="黑体"/>
          <w:kern w:val="0"/>
          <w:szCs w:val="21"/>
        </w:rPr>
        <w:t>Q</w:t>
      </w:r>
      <w:r>
        <w:rPr>
          <w:rFonts w:ascii="黑体" w:hAnsi="黑体" w:eastAsia="黑体"/>
          <w:kern w:val="0"/>
          <w:szCs w:val="21"/>
        </w:rPr>
        <w:t>-1</w:t>
      </w:r>
      <w:r>
        <w:rPr>
          <w:rFonts w:hint="eastAsia" w:ascii="黑体" w:hAnsi="黑体" w:eastAsia="黑体"/>
          <w:kern w:val="0"/>
          <w:szCs w:val="21"/>
        </w:rPr>
        <w:t xml:space="preserve">  湖北</w:t>
      </w:r>
      <w:r>
        <w:rPr>
          <w:rFonts w:ascii="黑体" w:hAnsi="黑体" w:eastAsia="黑体"/>
          <w:kern w:val="0"/>
          <w:szCs w:val="21"/>
        </w:rPr>
        <w:t>省地质灾害专业监测文件归档范围及保管期限表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
        <w:gridCol w:w="1956"/>
        <w:gridCol w:w="1053"/>
        <w:gridCol w:w="1053"/>
        <w:gridCol w:w="909"/>
        <w:gridCol w:w="1047"/>
        <w:gridCol w:w="1053"/>
        <w:gridCol w:w="1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restar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序号</w:t>
            </w:r>
          </w:p>
        </w:tc>
        <w:tc>
          <w:tcPr>
            <w:tcW w:w="1022" w:type="pct"/>
            <w:vMerge w:val="restar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应归档文件材料</w:t>
            </w:r>
          </w:p>
        </w:tc>
        <w:tc>
          <w:tcPr>
            <w:tcW w:w="3507" w:type="pct"/>
            <w:gridSpan w:val="6"/>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保 存 单 位 和 保 管 期 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shd w:val="clear" w:color="auto" w:fill="auto"/>
            <w:vAlign w:val="center"/>
          </w:tcPr>
          <w:p>
            <w:pPr>
              <w:widowControl/>
              <w:ind w:right="6"/>
              <w:jc w:val="center"/>
              <w:rPr>
                <w:rFonts w:ascii="Times New Roman" w:hAnsi="Times New Roman"/>
                <w:kern w:val="0"/>
                <w:sz w:val="18"/>
                <w:szCs w:val="18"/>
              </w:rPr>
            </w:pPr>
          </w:p>
        </w:tc>
        <w:tc>
          <w:tcPr>
            <w:tcW w:w="1022" w:type="pct"/>
            <w:vMerge w:val="continue"/>
            <w:shd w:val="clear" w:color="auto" w:fill="auto"/>
            <w:vAlign w:val="center"/>
          </w:tcPr>
          <w:p>
            <w:pPr>
              <w:widowControl/>
              <w:ind w:right="6"/>
              <w:jc w:val="center"/>
              <w:rPr>
                <w:rFonts w:ascii="Times New Roman" w:hAnsi="Times New Roman"/>
                <w:kern w:val="0"/>
                <w:sz w:val="18"/>
                <w:szCs w:val="18"/>
              </w:rPr>
            </w:pP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业主</w:t>
            </w:r>
          </w:p>
          <w:p>
            <w:pPr>
              <w:widowControl/>
              <w:ind w:right="6"/>
              <w:jc w:val="center"/>
              <w:rPr>
                <w:rFonts w:ascii="Times New Roman" w:hAnsi="Times New Roman"/>
                <w:kern w:val="0"/>
                <w:sz w:val="18"/>
                <w:szCs w:val="18"/>
              </w:rPr>
            </w:pPr>
            <w:r>
              <w:rPr>
                <w:rFonts w:ascii="Times New Roman" w:hAnsi="Times New Roman"/>
                <w:kern w:val="0"/>
                <w:sz w:val="18"/>
                <w:szCs w:val="18"/>
              </w:rPr>
              <w:t>单位</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监理</w:t>
            </w:r>
          </w:p>
          <w:p>
            <w:pPr>
              <w:widowControl/>
              <w:ind w:right="6"/>
              <w:jc w:val="center"/>
              <w:rPr>
                <w:rFonts w:ascii="Times New Roman" w:hAnsi="Times New Roman"/>
                <w:kern w:val="0"/>
                <w:sz w:val="18"/>
                <w:szCs w:val="18"/>
              </w:rPr>
            </w:pPr>
            <w:r>
              <w:rPr>
                <w:rFonts w:ascii="Times New Roman" w:hAnsi="Times New Roman"/>
                <w:kern w:val="0"/>
                <w:sz w:val="18"/>
                <w:szCs w:val="18"/>
              </w:rPr>
              <w:t>单位</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施工</w:t>
            </w:r>
          </w:p>
          <w:p>
            <w:pPr>
              <w:widowControl/>
              <w:ind w:right="6"/>
              <w:jc w:val="center"/>
              <w:rPr>
                <w:rFonts w:ascii="Times New Roman" w:hAnsi="Times New Roman"/>
                <w:kern w:val="0"/>
                <w:sz w:val="18"/>
                <w:szCs w:val="18"/>
              </w:rPr>
            </w:pPr>
            <w:r>
              <w:rPr>
                <w:rFonts w:ascii="Times New Roman" w:hAnsi="Times New Roman"/>
                <w:kern w:val="0"/>
                <w:sz w:val="18"/>
                <w:szCs w:val="18"/>
              </w:rPr>
              <w:t>单位</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设计</w:t>
            </w:r>
          </w:p>
          <w:p>
            <w:pPr>
              <w:widowControl/>
              <w:ind w:right="6"/>
              <w:jc w:val="center"/>
              <w:rPr>
                <w:rFonts w:ascii="Times New Roman" w:hAnsi="Times New Roman"/>
                <w:kern w:val="0"/>
                <w:sz w:val="18"/>
                <w:szCs w:val="18"/>
              </w:rPr>
            </w:pPr>
            <w:r>
              <w:rPr>
                <w:rFonts w:ascii="Times New Roman" w:hAnsi="Times New Roman"/>
                <w:kern w:val="0"/>
                <w:sz w:val="18"/>
                <w:szCs w:val="18"/>
              </w:rPr>
              <w:t>单位</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监测</w:t>
            </w:r>
          </w:p>
          <w:p>
            <w:pPr>
              <w:widowControl/>
              <w:ind w:right="6"/>
              <w:jc w:val="center"/>
              <w:rPr>
                <w:rFonts w:ascii="Times New Roman" w:hAnsi="Times New Roman"/>
                <w:kern w:val="0"/>
                <w:sz w:val="18"/>
                <w:szCs w:val="18"/>
              </w:rPr>
            </w:pPr>
            <w:r>
              <w:rPr>
                <w:rFonts w:ascii="Times New Roman" w:hAnsi="Times New Roman"/>
                <w:kern w:val="0"/>
                <w:sz w:val="18"/>
                <w:szCs w:val="18"/>
              </w:rPr>
              <w:t>单位</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市州主</w:t>
            </w:r>
          </w:p>
          <w:p>
            <w:pPr>
              <w:widowControl/>
              <w:ind w:right="6"/>
              <w:jc w:val="center"/>
              <w:rPr>
                <w:rFonts w:ascii="Times New Roman" w:hAnsi="Times New Roman"/>
                <w:kern w:val="0"/>
                <w:sz w:val="18"/>
                <w:szCs w:val="18"/>
              </w:rPr>
            </w:pPr>
            <w:r>
              <w:rPr>
                <w:rFonts w:ascii="Times New Roman" w:hAnsi="Times New Roman"/>
                <w:kern w:val="0"/>
                <w:sz w:val="18"/>
                <w:szCs w:val="18"/>
              </w:rPr>
              <w:t>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1</w:t>
            </w:r>
          </w:p>
        </w:tc>
        <w:tc>
          <w:tcPr>
            <w:tcW w:w="4529" w:type="pct"/>
            <w:gridSpan w:val="7"/>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专业监测工程基础资料（二级类目，分类代字：基）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（1）</w:t>
            </w: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监测区域</w:t>
            </w:r>
          </w:p>
          <w:p>
            <w:pPr>
              <w:widowControl/>
              <w:ind w:right="6"/>
              <w:jc w:val="center"/>
              <w:rPr>
                <w:rFonts w:ascii="Times New Roman" w:hAnsi="Times New Roman"/>
                <w:kern w:val="0"/>
                <w:sz w:val="18"/>
                <w:szCs w:val="18"/>
              </w:rPr>
            </w:pPr>
            <w:r>
              <w:rPr>
                <w:rFonts w:ascii="Times New Roman" w:hAnsi="Times New Roman"/>
                <w:kern w:val="0"/>
                <w:sz w:val="18"/>
                <w:szCs w:val="18"/>
              </w:rPr>
              <w:t>地质资料</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短期</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短期</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长期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（2）</w:t>
            </w: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监测区域</w:t>
            </w:r>
          </w:p>
          <w:p>
            <w:pPr>
              <w:widowControl/>
              <w:ind w:right="6"/>
              <w:jc w:val="center"/>
              <w:rPr>
                <w:rFonts w:ascii="Times New Roman" w:hAnsi="Times New Roman"/>
                <w:kern w:val="0"/>
                <w:sz w:val="18"/>
                <w:szCs w:val="18"/>
              </w:rPr>
            </w:pPr>
            <w:r>
              <w:rPr>
                <w:rFonts w:ascii="Times New Roman" w:hAnsi="Times New Roman"/>
                <w:kern w:val="0"/>
                <w:sz w:val="18"/>
                <w:szCs w:val="18"/>
              </w:rPr>
              <w:t>地形资料</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短期</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短期</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长期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2</w:t>
            </w:r>
          </w:p>
        </w:tc>
        <w:tc>
          <w:tcPr>
            <w:tcW w:w="4529" w:type="pct"/>
            <w:gridSpan w:val="7"/>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专业监测工程施工监理及验收文件（二级类目，分类代字：监）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（4）</w:t>
            </w: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监测工程施工</w:t>
            </w:r>
          </w:p>
          <w:p>
            <w:pPr>
              <w:widowControl/>
              <w:ind w:right="6"/>
              <w:jc w:val="center"/>
              <w:rPr>
                <w:rFonts w:ascii="Times New Roman" w:hAnsi="Times New Roman"/>
                <w:kern w:val="0"/>
                <w:sz w:val="18"/>
                <w:szCs w:val="18"/>
              </w:rPr>
            </w:pPr>
            <w:r>
              <w:rPr>
                <w:rFonts w:ascii="Times New Roman" w:hAnsi="Times New Roman"/>
                <w:kern w:val="0"/>
                <w:sz w:val="18"/>
                <w:szCs w:val="18"/>
              </w:rPr>
              <w:t>监理及验收表格</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长期</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3</w:t>
            </w:r>
          </w:p>
        </w:tc>
        <w:tc>
          <w:tcPr>
            <w:tcW w:w="4529" w:type="pct"/>
            <w:gridSpan w:val="7"/>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专业监测工程运行期间工程文件（二级类目，分类代字：运）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（6）</w:t>
            </w: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监测设计书</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短期</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短期</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（7）</w:t>
            </w: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外业原始资料</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（9）</w:t>
            </w: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监测报表</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年度总结报告</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年度专家</w:t>
            </w:r>
          </w:p>
          <w:p>
            <w:pPr>
              <w:widowControl/>
              <w:ind w:right="6"/>
              <w:jc w:val="center"/>
              <w:rPr>
                <w:rFonts w:ascii="Times New Roman" w:hAnsi="Times New Roman"/>
                <w:kern w:val="0"/>
                <w:sz w:val="18"/>
                <w:szCs w:val="18"/>
              </w:rPr>
            </w:pPr>
            <w:r>
              <w:rPr>
                <w:rFonts w:ascii="Times New Roman" w:hAnsi="Times New Roman"/>
                <w:kern w:val="0"/>
                <w:sz w:val="18"/>
                <w:szCs w:val="18"/>
              </w:rPr>
              <w:t>会商意见</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4</w:t>
            </w:r>
          </w:p>
        </w:tc>
        <w:tc>
          <w:tcPr>
            <w:tcW w:w="4529" w:type="pct"/>
            <w:gridSpan w:val="7"/>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专业监测工程竣工验收文件（二级类目，分类代字：竣）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竣工验收</w:t>
            </w:r>
          </w:p>
          <w:p>
            <w:pPr>
              <w:widowControl/>
              <w:ind w:right="6"/>
              <w:jc w:val="center"/>
              <w:rPr>
                <w:rFonts w:ascii="Times New Roman" w:hAnsi="Times New Roman"/>
                <w:kern w:val="0"/>
                <w:sz w:val="18"/>
                <w:szCs w:val="18"/>
              </w:rPr>
            </w:pPr>
            <w:r>
              <w:rPr>
                <w:rFonts w:ascii="Times New Roman" w:hAnsi="Times New Roman"/>
                <w:kern w:val="0"/>
                <w:sz w:val="18"/>
                <w:szCs w:val="18"/>
              </w:rPr>
              <w:t>专家意见</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5</w:t>
            </w:r>
          </w:p>
        </w:tc>
        <w:tc>
          <w:tcPr>
            <w:tcW w:w="4529" w:type="pct"/>
            <w:gridSpan w:val="7"/>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专业监测工程财务相关文件（二级类目，分类代字：财）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（1）</w:t>
            </w: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工程决算</w:t>
            </w:r>
          </w:p>
          <w:p>
            <w:pPr>
              <w:widowControl/>
              <w:ind w:right="6"/>
              <w:jc w:val="center"/>
              <w:rPr>
                <w:rFonts w:ascii="Times New Roman" w:hAnsi="Times New Roman"/>
                <w:kern w:val="0"/>
                <w:sz w:val="18"/>
                <w:szCs w:val="18"/>
              </w:rPr>
            </w:pPr>
            <w:r>
              <w:rPr>
                <w:rFonts w:ascii="Times New Roman" w:hAnsi="Times New Roman"/>
                <w:kern w:val="0"/>
                <w:sz w:val="18"/>
                <w:szCs w:val="18"/>
              </w:rPr>
              <w:t>及审查意见</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71"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（2）</w:t>
            </w:r>
          </w:p>
        </w:tc>
        <w:tc>
          <w:tcPr>
            <w:tcW w:w="1022"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竣工财务决算</w:t>
            </w:r>
          </w:p>
          <w:p>
            <w:pPr>
              <w:widowControl/>
              <w:ind w:right="6"/>
              <w:jc w:val="center"/>
              <w:rPr>
                <w:rFonts w:ascii="Times New Roman" w:hAnsi="Times New Roman"/>
                <w:kern w:val="0"/>
                <w:sz w:val="18"/>
                <w:szCs w:val="18"/>
              </w:rPr>
            </w:pPr>
            <w:r>
              <w:rPr>
                <w:rFonts w:ascii="Times New Roman" w:hAnsi="Times New Roman"/>
                <w:kern w:val="0"/>
                <w:sz w:val="18"/>
                <w:szCs w:val="18"/>
              </w:rPr>
              <w:t>及审查结论</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47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47"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w:t>
            </w:r>
          </w:p>
        </w:tc>
        <w:tc>
          <w:tcPr>
            <w:tcW w:w="550"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c>
          <w:tcPr>
            <w:tcW w:w="835" w:type="pct"/>
            <w:shd w:val="clear" w:color="auto" w:fill="auto"/>
            <w:noWrap/>
            <w:vAlign w:val="center"/>
          </w:tcPr>
          <w:p>
            <w:pPr>
              <w:widowControl/>
              <w:ind w:right="6"/>
              <w:jc w:val="center"/>
              <w:rPr>
                <w:rFonts w:ascii="Times New Roman" w:hAnsi="Times New Roman"/>
                <w:kern w:val="0"/>
                <w:sz w:val="18"/>
                <w:szCs w:val="18"/>
              </w:rPr>
            </w:pPr>
            <w:r>
              <w:rPr>
                <w:rFonts w:ascii="Times New Roman" w:hAnsi="Times New Roman"/>
                <w:kern w:val="0"/>
                <w:sz w:val="18"/>
                <w:szCs w:val="18"/>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shd w:val="clear" w:color="auto" w:fill="auto"/>
            <w:noWrap/>
            <w:vAlign w:val="center"/>
          </w:tcPr>
          <w:p>
            <w:pPr>
              <w:widowControl/>
              <w:tabs>
                <w:tab w:val="left" w:pos="360"/>
              </w:tabs>
              <w:jc w:val="left"/>
              <w:rPr>
                <w:rFonts w:ascii="Times New Roman" w:hAnsi="Times New Roman"/>
                <w:kern w:val="0"/>
                <w:sz w:val="18"/>
                <w:szCs w:val="18"/>
              </w:rPr>
            </w:pPr>
            <w:r>
              <w:rPr>
                <w:rFonts w:ascii="黑体" w:hAnsi="黑体" w:eastAsia="黑体" w:cs="Arial"/>
                <w:kern w:val="0"/>
                <w:sz w:val="18"/>
                <w:szCs w:val="18"/>
              </w:rPr>
              <w:t>注：</w:t>
            </w:r>
            <w:r>
              <w:rPr>
                <w:rFonts w:ascii="宋体" w:hAnsi="宋体" w:cs="Arial"/>
                <w:kern w:val="0"/>
                <w:sz w:val="18"/>
                <w:szCs w:val="18"/>
              </w:rPr>
              <w:t>短期保管</w:t>
            </w:r>
            <w:r>
              <w:rPr>
                <w:rFonts w:ascii="Times New Roman" w:hAnsi="Times New Roman"/>
                <w:kern w:val="0"/>
                <w:sz w:val="18"/>
                <w:szCs w:val="18"/>
              </w:rPr>
              <w:t>不少于1个水文年、长期保管不少于3个水文年</w:t>
            </w:r>
            <w:r>
              <w:rPr>
                <w:rFonts w:ascii="宋体" w:hAnsi="宋体" w:cs="Arial"/>
                <w:kern w:val="0"/>
                <w:sz w:val="18"/>
                <w:szCs w:val="18"/>
              </w:rPr>
              <w:t>。</w:t>
            </w:r>
          </w:p>
        </w:tc>
      </w:tr>
    </w:tbl>
    <w:p>
      <w:pPr>
        <w:widowControl/>
        <w:tabs>
          <w:tab w:val="left" w:pos="360"/>
        </w:tabs>
        <w:spacing w:before="120" w:beforeLines="50" w:after="120" w:afterLines="50"/>
        <w:jc w:val="center"/>
        <w:rPr>
          <w:rFonts w:ascii="Times New Roman" w:hAnsi="Times New Roman" w:eastAsia="黑体"/>
          <w:kern w:val="0"/>
          <w:szCs w:val="21"/>
        </w:rPr>
      </w:pPr>
      <w:bookmarkStart w:id="369" w:name="_Toc21966470"/>
      <w:bookmarkStart w:id="370" w:name="_Toc477527561"/>
      <w:bookmarkStart w:id="371" w:name="_Toc479510442"/>
      <w:bookmarkStart w:id="372" w:name="BKCKWX"/>
      <w:bookmarkStart w:id="373" w:name="_Toc466296787"/>
      <w:bookmarkStart w:id="374" w:name="_Toc534577828"/>
    </w:p>
    <w:p>
      <w:pPr>
        <w:widowControl/>
        <w:tabs>
          <w:tab w:val="left" w:pos="360"/>
        </w:tabs>
        <w:spacing w:before="120" w:beforeLines="50" w:after="120" w:afterLines="50"/>
        <w:jc w:val="center"/>
        <w:rPr>
          <w:rFonts w:ascii="Times New Roman" w:hAnsi="Times New Roman" w:eastAsia="黑体"/>
          <w:kern w:val="0"/>
          <w:szCs w:val="21"/>
        </w:rPr>
      </w:pPr>
    </w:p>
    <w:p>
      <w:pPr>
        <w:widowControl/>
        <w:tabs>
          <w:tab w:val="left" w:pos="360"/>
        </w:tabs>
        <w:spacing w:before="120" w:beforeLines="50" w:after="120" w:afterLines="50"/>
        <w:jc w:val="center"/>
        <w:rPr>
          <w:rFonts w:ascii="Times New Roman" w:hAnsi="Times New Roman" w:eastAsia="黑体"/>
          <w:kern w:val="0"/>
          <w:szCs w:val="21"/>
        </w:rPr>
        <w:sectPr>
          <w:pgSz w:w="11906" w:h="16838"/>
          <w:pgMar w:top="1418" w:right="1134" w:bottom="1134" w:left="1418" w:header="851" w:footer="992" w:gutter="0"/>
          <w:cols w:space="425" w:num="1"/>
          <w:docGrid w:linePitch="312" w:charSpace="0"/>
        </w:sectPr>
      </w:pPr>
    </w:p>
    <w:bookmarkEnd w:id="369"/>
    <w:bookmarkEnd w:id="370"/>
    <w:bookmarkEnd w:id="371"/>
    <w:bookmarkEnd w:id="372"/>
    <w:bookmarkEnd w:id="373"/>
    <w:bookmarkEnd w:id="374"/>
    <w:p>
      <w:pPr>
        <w:widowControl/>
        <w:spacing w:line="400" w:lineRule="exact"/>
        <w:ind w:firstLine="420" w:firstLineChars="200"/>
        <w:rPr>
          <w:rFonts w:asciiTheme="minorEastAsia" w:hAnsiTheme="minorEastAsia" w:eastAsiaTheme="minorEastAsia"/>
          <w:szCs w:val="21"/>
        </w:rPr>
      </w:pPr>
    </w:p>
    <w:p>
      <w:pPr>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各位专家、从业人员：</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湖北省地质灾害防治专业监测预警工程建设技术要求（试行）》将发布试行。为进一步提高标准质量，提升标准的适用性，我们将在标准试行过程中继续征求意见。各位专家、从业人员在标准使用中，如发现存在不妥之处，请填写征求意见表，并通过邮件的方式发送给编制单位。</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联系方式</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联系人：肖宇煌</w:t>
      </w:r>
    </w:p>
    <w:p>
      <w:pPr>
        <w:spacing w:line="360" w:lineRule="auto"/>
        <w:ind w:firstLine="420" w:firstLineChars="200"/>
        <w:rPr>
          <w:rFonts w:ascii="Times New Roman" w:hAnsi="Times New Roman" w:eastAsiaTheme="minorEastAsia"/>
          <w:szCs w:val="21"/>
        </w:rPr>
      </w:pPr>
      <w:r>
        <w:rPr>
          <w:rFonts w:hint="eastAsia" w:asciiTheme="minorEastAsia" w:hAnsiTheme="minorEastAsia" w:eastAsiaTheme="minorEastAsia"/>
          <w:szCs w:val="21"/>
        </w:rPr>
        <w:t>电  话</w:t>
      </w:r>
      <w:r>
        <w:rPr>
          <w:rFonts w:ascii="Times New Roman" w:hAnsi="Times New Roman" w:eastAsiaTheme="minorEastAsia"/>
          <w:szCs w:val="21"/>
        </w:rPr>
        <w:t>：13871607776</w:t>
      </w:r>
    </w:p>
    <w:p>
      <w:pPr>
        <w:spacing w:line="360" w:lineRule="auto"/>
        <w:ind w:firstLine="420" w:firstLineChars="200"/>
        <w:rPr>
          <w:rFonts w:ascii="Times New Roman" w:hAnsi="Times New Roman" w:eastAsiaTheme="minorEastAsia"/>
          <w:szCs w:val="21"/>
        </w:rPr>
      </w:pPr>
      <w:r>
        <w:rPr>
          <w:rFonts w:ascii="Times New Roman" w:hAnsi="Times New Roman" w:eastAsiaTheme="minorEastAsia"/>
          <w:szCs w:val="21"/>
        </w:rPr>
        <w:t>邮  箱：505336969@qq.com</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p>
    <w:p>
      <w:pPr>
        <w:widowControl/>
        <w:tabs>
          <w:tab w:val="left" w:pos="360"/>
        </w:tabs>
        <w:spacing w:before="120" w:beforeLines="50" w:after="120" w:afterLines="50"/>
        <w:jc w:val="center"/>
        <w:rPr>
          <w:rFonts w:ascii="黑体" w:hAnsi="黑体" w:eastAsia="黑体"/>
          <w:kern w:val="0"/>
          <w:szCs w:val="21"/>
        </w:rPr>
      </w:pPr>
      <w:r>
        <w:rPr>
          <w:rFonts w:hint="eastAsia" w:ascii="黑体" w:hAnsi="黑体" w:eastAsia="黑体"/>
          <w:kern w:val="0"/>
          <w:szCs w:val="21"/>
        </w:rPr>
        <w:t>征求意见表</w:t>
      </w:r>
    </w:p>
    <w:tbl>
      <w:tblPr>
        <w:tblStyle w:val="15"/>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92"/>
        <w:gridCol w:w="2392"/>
        <w:gridCol w:w="2393"/>
        <w:gridCol w:w="23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标准名称</w:t>
            </w:r>
          </w:p>
        </w:tc>
        <w:tc>
          <w:tcPr>
            <w:tcW w:w="3750" w:type="pct"/>
            <w:gridSpan w:val="3"/>
            <w:vAlign w:val="center"/>
          </w:tcPr>
          <w:p>
            <w:pPr>
              <w:jc w:val="center"/>
              <w:rPr>
                <w:rFonts w:asciiTheme="minorEastAsia" w:hAnsiTheme="minorEastAsia" w:eastAsia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姓名</w:t>
            </w:r>
          </w:p>
        </w:tc>
        <w:tc>
          <w:tcPr>
            <w:tcW w:w="1250" w:type="pct"/>
            <w:vAlign w:val="center"/>
          </w:tcPr>
          <w:p>
            <w:pPr>
              <w:jc w:val="center"/>
              <w:rPr>
                <w:rFonts w:asciiTheme="minorEastAsia" w:hAnsiTheme="minorEastAsia" w:eastAsiaTheme="minorEastAsia"/>
                <w:szCs w:val="21"/>
              </w:rPr>
            </w:pPr>
          </w:p>
        </w:tc>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所在单位</w:t>
            </w:r>
          </w:p>
        </w:tc>
        <w:tc>
          <w:tcPr>
            <w:tcW w:w="1250" w:type="pct"/>
            <w:vAlign w:val="center"/>
          </w:tcPr>
          <w:p>
            <w:pPr>
              <w:jc w:val="center"/>
              <w:rPr>
                <w:rFonts w:asciiTheme="minorEastAsia" w:hAnsiTheme="minorEastAsia" w:eastAsia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职称</w:t>
            </w:r>
            <w:r>
              <w:rPr>
                <w:rFonts w:hint="eastAsia" w:asciiTheme="minorEastAsia" w:hAnsiTheme="minorEastAsia" w:eastAsiaTheme="minorEastAsia"/>
                <w:szCs w:val="21"/>
              </w:rPr>
              <w:t>/职务</w:t>
            </w:r>
          </w:p>
        </w:tc>
        <w:tc>
          <w:tcPr>
            <w:tcW w:w="1250" w:type="pct"/>
            <w:vAlign w:val="center"/>
          </w:tcPr>
          <w:p>
            <w:pPr>
              <w:jc w:val="center"/>
              <w:rPr>
                <w:rFonts w:asciiTheme="minorEastAsia" w:hAnsiTheme="minorEastAsia" w:eastAsiaTheme="minorEastAsia"/>
                <w:szCs w:val="21"/>
              </w:rPr>
            </w:pPr>
          </w:p>
        </w:tc>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联系方式</w:t>
            </w:r>
          </w:p>
        </w:tc>
        <w:tc>
          <w:tcPr>
            <w:tcW w:w="1250" w:type="pct"/>
            <w:vAlign w:val="center"/>
          </w:tcPr>
          <w:p>
            <w:pPr>
              <w:jc w:val="center"/>
              <w:rPr>
                <w:rFonts w:asciiTheme="minorEastAsia" w:hAnsiTheme="minorEastAsia" w:eastAsia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序号</w:t>
            </w:r>
          </w:p>
        </w:tc>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章节</w:t>
            </w:r>
          </w:p>
        </w:tc>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意见内容</w:t>
            </w:r>
          </w:p>
        </w:tc>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修改建议</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imes New Roman" w:hAnsi="Times New Roman" w:eastAsiaTheme="minorEastAsia"/>
                <w:szCs w:val="21"/>
              </w:rPr>
            </w:pPr>
            <w:r>
              <w:rPr>
                <w:rFonts w:ascii="Times New Roman" w:hAnsi="Times New Roman" w:eastAsiaTheme="minorEastAsia"/>
                <w:szCs w:val="21"/>
              </w:rPr>
              <w:t>1</w:t>
            </w:r>
          </w:p>
        </w:tc>
        <w:tc>
          <w:tcPr>
            <w:tcW w:w="1250" w:type="pct"/>
            <w:vAlign w:val="center"/>
          </w:tcPr>
          <w:p>
            <w:pPr>
              <w:jc w:val="center"/>
              <w:rPr>
                <w:rFonts w:asciiTheme="minorEastAsia" w:hAnsiTheme="minorEastAsia" w:eastAsiaTheme="minorEastAsia"/>
                <w:szCs w:val="21"/>
              </w:rPr>
            </w:pPr>
          </w:p>
        </w:tc>
        <w:tc>
          <w:tcPr>
            <w:tcW w:w="1250" w:type="pct"/>
            <w:vAlign w:val="center"/>
          </w:tcPr>
          <w:p>
            <w:pPr>
              <w:jc w:val="center"/>
              <w:rPr>
                <w:rFonts w:asciiTheme="minorEastAsia" w:hAnsiTheme="minorEastAsia" w:eastAsiaTheme="minorEastAsia"/>
                <w:szCs w:val="21"/>
              </w:rPr>
            </w:pPr>
          </w:p>
        </w:tc>
        <w:tc>
          <w:tcPr>
            <w:tcW w:w="1250" w:type="pct"/>
            <w:vAlign w:val="center"/>
          </w:tcPr>
          <w:p>
            <w:pPr>
              <w:jc w:val="center"/>
              <w:rPr>
                <w:rFonts w:asciiTheme="minorEastAsia" w:hAnsiTheme="minorEastAsia" w:eastAsia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imes New Roman" w:hAnsi="Times New Roman" w:eastAsiaTheme="minorEastAsia"/>
                <w:szCs w:val="21"/>
              </w:rPr>
            </w:pPr>
            <w:r>
              <w:rPr>
                <w:rFonts w:ascii="Times New Roman" w:hAnsi="Times New Roman" w:eastAsiaTheme="minorEastAsia"/>
                <w:szCs w:val="21"/>
              </w:rPr>
              <w:t>2</w:t>
            </w:r>
          </w:p>
        </w:tc>
        <w:tc>
          <w:tcPr>
            <w:tcW w:w="1250" w:type="pct"/>
            <w:vAlign w:val="center"/>
          </w:tcPr>
          <w:p>
            <w:pPr>
              <w:jc w:val="center"/>
              <w:rPr>
                <w:rFonts w:asciiTheme="minorEastAsia" w:hAnsiTheme="minorEastAsia" w:eastAsiaTheme="minorEastAsia"/>
                <w:szCs w:val="21"/>
              </w:rPr>
            </w:pPr>
          </w:p>
        </w:tc>
        <w:tc>
          <w:tcPr>
            <w:tcW w:w="1250" w:type="pct"/>
            <w:vAlign w:val="center"/>
          </w:tcPr>
          <w:p>
            <w:pPr>
              <w:jc w:val="center"/>
              <w:rPr>
                <w:rFonts w:asciiTheme="minorEastAsia" w:hAnsiTheme="minorEastAsia" w:eastAsiaTheme="minorEastAsia"/>
                <w:szCs w:val="21"/>
              </w:rPr>
            </w:pPr>
          </w:p>
        </w:tc>
        <w:tc>
          <w:tcPr>
            <w:tcW w:w="1250" w:type="pct"/>
            <w:vAlign w:val="center"/>
          </w:tcPr>
          <w:p>
            <w:pPr>
              <w:jc w:val="center"/>
              <w:rPr>
                <w:rFonts w:asciiTheme="minorEastAsia" w:hAnsiTheme="minorEastAsia" w:eastAsia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eastAsiaTheme="minorEastAsia"/>
                <w:szCs w:val="21"/>
              </w:rPr>
            </w:pPr>
            <w:r>
              <w:rPr>
                <w:rFonts w:asciiTheme="minorEastAsia" w:hAnsiTheme="minorEastAsia" w:eastAsiaTheme="minorEastAsia"/>
                <w:szCs w:val="21"/>
              </w:rPr>
              <w:t>…</w:t>
            </w:r>
          </w:p>
        </w:tc>
        <w:tc>
          <w:tcPr>
            <w:tcW w:w="1250" w:type="pct"/>
            <w:vAlign w:val="center"/>
          </w:tcPr>
          <w:p>
            <w:pPr>
              <w:jc w:val="center"/>
              <w:rPr>
                <w:rFonts w:asciiTheme="minorEastAsia" w:hAnsiTheme="minorEastAsia" w:eastAsiaTheme="minorEastAsia"/>
                <w:szCs w:val="21"/>
              </w:rPr>
            </w:pPr>
          </w:p>
        </w:tc>
        <w:tc>
          <w:tcPr>
            <w:tcW w:w="1250" w:type="pct"/>
            <w:vAlign w:val="center"/>
          </w:tcPr>
          <w:p>
            <w:pPr>
              <w:jc w:val="center"/>
              <w:rPr>
                <w:rFonts w:asciiTheme="minorEastAsia" w:hAnsiTheme="minorEastAsia" w:eastAsiaTheme="minorEastAsia"/>
                <w:szCs w:val="21"/>
              </w:rPr>
            </w:pPr>
          </w:p>
        </w:tc>
        <w:tc>
          <w:tcPr>
            <w:tcW w:w="1250" w:type="pct"/>
            <w:vAlign w:val="center"/>
          </w:tcPr>
          <w:p>
            <w:pPr>
              <w:jc w:val="center"/>
              <w:rPr>
                <w:rFonts w:asciiTheme="minorEastAsia" w:hAnsiTheme="minorEastAsia" w:eastAsiaTheme="minorEastAsia"/>
                <w:szCs w:val="21"/>
              </w:rPr>
            </w:pPr>
          </w:p>
        </w:tc>
      </w:tr>
    </w:tbl>
    <w:p>
      <w:pPr>
        <w:rPr>
          <w:rFonts w:asciiTheme="minorEastAsia" w:hAnsiTheme="minorEastAsia" w:eastAsiaTheme="minorEastAsia"/>
          <w:szCs w:val="21"/>
        </w:rPr>
      </w:pPr>
    </w:p>
    <w:p>
      <w:pPr>
        <w:tabs>
          <w:tab w:val="center" w:pos="4201"/>
          <w:tab w:val="right" w:leader="dot" w:pos="9298"/>
        </w:tabs>
        <w:autoSpaceDE w:val="0"/>
        <w:autoSpaceDN w:val="0"/>
        <w:spacing w:line="360" w:lineRule="auto"/>
        <w:jc w:val="left"/>
        <w:rPr>
          <w:rFonts w:ascii="宋体" w:hAnsi="Times New Roman"/>
          <w:kern w:val="0"/>
          <w:szCs w:val="21"/>
        </w:rPr>
      </w:pPr>
    </w:p>
    <w:sectPr>
      <w:footerReference r:id="rId8" w:type="default"/>
      <w:pgSz w:w="11906" w:h="16838"/>
      <w:pgMar w:top="1418" w:right="1134" w:bottom="1134" w:left="1418" w:header="567" w:footer="567" w:gutter="0"/>
      <w:pgNumType w:start="1"/>
      <w:cols w:space="425"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华文新魏">
    <w:panose1 w:val="02010800040101010101"/>
    <w:charset w:val="86"/>
    <w:family w:val="auto"/>
    <w:pitch w:val="default"/>
    <w:sig w:usb0="00000001" w:usb1="080F0000" w:usb2="00000000" w:usb3="00000000" w:csb0="00040000"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Times New Roman" w:hAnsi="Times New Roman"/>
        <w:sz w:val="21"/>
        <w:szCs w:val="21"/>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III</w:t>
    </w:r>
    <w:r>
      <w:rPr>
        <w:rFonts w:ascii="Times New Roman" w:hAns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120</w:t>
    </w:r>
    <w:r>
      <w:rPr>
        <w:rFonts w:ascii="Times New Roman" w:hAnsi="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Times New Roman" w:hAnsi="Times New Roman"/>
        <w:sz w:val="21"/>
        <w:szCs w:val="21"/>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121</w:t>
    </w:r>
    <w:r>
      <w:rPr>
        <w:rFonts w:ascii="Times New Roman" w:hAnsi="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hideSpellingErrors/>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Q4NTdkYzE5YjkwZjU3MjMxNjBkOTU3YmQ4ZmQ1YjYifQ=="/>
    <w:docVar w:name="KSO_WPS_MARK_KEY" w:val="64403d41-e8db-4721-85a1-6d45f79a04d3"/>
  </w:docVars>
  <w:rsids>
    <w:rsidRoot w:val="0049359A"/>
    <w:rsid w:val="000036AF"/>
    <w:rsid w:val="000041D5"/>
    <w:rsid w:val="000110B3"/>
    <w:rsid w:val="000159EE"/>
    <w:rsid w:val="00017A9C"/>
    <w:rsid w:val="00021034"/>
    <w:rsid w:val="0002290E"/>
    <w:rsid w:val="000318C0"/>
    <w:rsid w:val="000332A7"/>
    <w:rsid w:val="000400E7"/>
    <w:rsid w:val="00044EAA"/>
    <w:rsid w:val="00047ADC"/>
    <w:rsid w:val="00047B2C"/>
    <w:rsid w:val="00064C83"/>
    <w:rsid w:val="00066510"/>
    <w:rsid w:val="000721C2"/>
    <w:rsid w:val="00073BA5"/>
    <w:rsid w:val="00073EE6"/>
    <w:rsid w:val="00075FDF"/>
    <w:rsid w:val="00083AD4"/>
    <w:rsid w:val="00083C2D"/>
    <w:rsid w:val="00084BB5"/>
    <w:rsid w:val="00085090"/>
    <w:rsid w:val="00086981"/>
    <w:rsid w:val="00090A3D"/>
    <w:rsid w:val="0009130B"/>
    <w:rsid w:val="000940CE"/>
    <w:rsid w:val="00095EB8"/>
    <w:rsid w:val="00096083"/>
    <w:rsid w:val="000A2E1F"/>
    <w:rsid w:val="000A6B61"/>
    <w:rsid w:val="000A74EF"/>
    <w:rsid w:val="000C2B86"/>
    <w:rsid w:val="000D1FC8"/>
    <w:rsid w:val="000D2B94"/>
    <w:rsid w:val="000D4A45"/>
    <w:rsid w:val="000D5560"/>
    <w:rsid w:val="000D7337"/>
    <w:rsid w:val="000E0023"/>
    <w:rsid w:val="000E2C92"/>
    <w:rsid w:val="000E7557"/>
    <w:rsid w:val="000E7CF4"/>
    <w:rsid w:val="000F661A"/>
    <w:rsid w:val="001000C6"/>
    <w:rsid w:val="00103711"/>
    <w:rsid w:val="0011002A"/>
    <w:rsid w:val="00116D0F"/>
    <w:rsid w:val="00120DCF"/>
    <w:rsid w:val="00135DE2"/>
    <w:rsid w:val="00140236"/>
    <w:rsid w:val="00143395"/>
    <w:rsid w:val="0015214E"/>
    <w:rsid w:val="00152594"/>
    <w:rsid w:val="0015644A"/>
    <w:rsid w:val="00157FE3"/>
    <w:rsid w:val="001610CA"/>
    <w:rsid w:val="00163F06"/>
    <w:rsid w:val="00164F9C"/>
    <w:rsid w:val="00176256"/>
    <w:rsid w:val="00181BDB"/>
    <w:rsid w:val="00186002"/>
    <w:rsid w:val="00191CE9"/>
    <w:rsid w:val="00197808"/>
    <w:rsid w:val="001A1515"/>
    <w:rsid w:val="001A74A1"/>
    <w:rsid w:val="001A7CBF"/>
    <w:rsid w:val="001C012C"/>
    <w:rsid w:val="001C4A47"/>
    <w:rsid w:val="001C4C20"/>
    <w:rsid w:val="001D056C"/>
    <w:rsid w:val="001D1B4F"/>
    <w:rsid w:val="001D4822"/>
    <w:rsid w:val="001E16A7"/>
    <w:rsid w:val="001E451A"/>
    <w:rsid w:val="001F3D11"/>
    <w:rsid w:val="001F5F4A"/>
    <w:rsid w:val="001F6253"/>
    <w:rsid w:val="00202B39"/>
    <w:rsid w:val="00204180"/>
    <w:rsid w:val="00206BD2"/>
    <w:rsid w:val="00213B35"/>
    <w:rsid w:val="0021580A"/>
    <w:rsid w:val="00224521"/>
    <w:rsid w:val="00224E5F"/>
    <w:rsid w:val="002260C4"/>
    <w:rsid w:val="00230162"/>
    <w:rsid w:val="00230902"/>
    <w:rsid w:val="00241988"/>
    <w:rsid w:val="00251305"/>
    <w:rsid w:val="00265B04"/>
    <w:rsid w:val="00266FB7"/>
    <w:rsid w:val="0027334E"/>
    <w:rsid w:val="00276639"/>
    <w:rsid w:val="00290939"/>
    <w:rsid w:val="002A3B33"/>
    <w:rsid w:val="002A44DA"/>
    <w:rsid w:val="002A5D6E"/>
    <w:rsid w:val="002B0A94"/>
    <w:rsid w:val="002B1A94"/>
    <w:rsid w:val="002B5301"/>
    <w:rsid w:val="002B7F46"/>
    <w:rsid w:val="002C2D20"/>
    <w:rsid w:val="002C6E53"/>
    <w:rsid w:val="002C74B1"/>
    <w:rsid w:val="002D0A97"/>
    <w:rsid w:val="002D2A6E"/>
    <w:rsid w:val="002D2F64"/>
    <w:rsid w:val="002D649D"/>
    <w:rsid w:val="002E0A0C"/>
    <w:rsid w:val="002E29FB"/>
    <w:rsid w:val="002E433D"/>
    <w:rsid w:val="002F6841"/>
    <w:rsid w:val="0030592B"/>
    <w:rsid w:val="00310342"/>
    <w:rsid w:val="00322BF1"/>
    <w:rsid w:val="00331DA2"/>
    <w:rsid w:val="00332159"/>
    <w:rsid w:val="003330CF"/>
    <w:rsid w:val="003332E8"/>
    <w:rsid w:val="00334906"/>
    <w:rsid w:val="00336403"/>
    <w:rsid w:val="0034075E"/>
    <w:rsid w:val="00352551"/>
    <w:rsid w:val="00355392"/>
    <w:rsid w:val="003561F5"/>
    <w:rsid w:val="003575D2"/>
    <w:rsid w:val="00357A34"/>
    <w:rsid w:val="00365704"/>
    <w:rsid w:val="00370608"/>
    <w:rsid w:val="00376E4D"/>
    <w:rsid w:val="00380500"/>
    <w:rsid w:val="00380614"/>
    <w:rsid w:val="0038244E"/>
    <w:rsid w:val="00383211"/>
    <w:rsid w:val="00383628"/>
    <w:rsid w:val="00383B86"/>
    <w:rsid w:val="00386331"/>
    <w:rsid w:val="003864E7"/>
    <w:rsid w:val="00392DE4"/>
    <w:rsid w:val="003A12A7"/>
    <w:rsid w:val="003A311C"/>
    <w:rsid w:val="003A6BBD"/>
    <w:rsid w:val="003B3767"/>
    <w:rsid w:val="003B5299"/>
    <w:rsid w:val="003B709B"/>
    <w:rsid w:val="003C6465"/>
    <w:rsid w:val="003C65EA"/>
    <w:rsid w:val="003D4D03"/>
    <w:rsid w:val="003D6686"/>
    <w:rsid w:val="003F3ED4"/>
    <w:rsid w:val="003F5018"/>
    <w:rsid w:val="003F5F84"/>
    <w:rsid w:val="003F7EF3"/>
    <w:rsid w:val="0040385B"/>
    <w:rsid w:val="004045AA"/>
    <w:rsid w:val="00405DEC"/>
    <w:rsid w:val="00407BBE"/>
    <w:rsid w:val="0041139A"/>
    <w:rsid w:val="004203AF"/>
    <w:rsid w:val="004213CC"/>
    <w:rsid w:val="00421593"/>
    <w:rsid w:val="00425F6D"/>
    <w:rsid w:val="00434007"/>
    <w:rsid w:val="00441DC8"/>
    <w:rsid w:val="00446BF3"/>
    <w:rsid w:val="00450378"/>
    <w:rsid w:val="00451331"/>
    <w:rsid w:val="00451701"/>
    <w:rsid w:val="00452C46"/>
    <w:rsid w:val="004566A7"/>
    <w:rsid w:val="00467EA3"/>
    <w:rsid w:val="00472830"/>
    <w:rsid w:val="00475BB6"/>
    <w:rsid w:val="00476A68"/>
    <w:rsid w:val="004778A3"/>
    <w:rsid w:val="00483CD6"/>
    <w:rsid w:val="00485E2D"/>
    <w:rsid w:val="0049268B"/>
    <w:rsid w:val="00492DBB"/>
    <w:rsid w:val="0049359A"/>
    <w:rsid w:val="004A0E0D"/>
    <w:rsid w:val="004A112B"/>
    <w:rsid w:val="004B61AE"/>
    <w:rsid w:val="004C0863"/>
    <w:rsid w:val="004C6170"/>
    <w:rsid w:val="004C70BF"/>
    <w:rsid w:val="004D3AD1"/>
    <w:rsid w:val="004D5B4B"/>
    <w:rsid w:val="004D645E"/>
    <w:rsid w:val="004E2735"/>
    <w:rsid w:val="004E35E3"/>
    <w:rsid w:val="004E3817"/>
    <w:rsid w:val="004E4D8E"/>
    <w:rsid w:val="004E6B63"/>
    <w:rsid w:val="004F0B59"/>
    <w:rsid w:val="004F2F02"/>
    <w:rsid w:val="004F4315"/>
    <w:rsid w:val="0050259E"/>
    <w:rsid w:val="00503A8C"/>
    <w:rsid w:val="005056EA"/>
    <w:rsid w:val="00507F05"/>
    <w:rsid w:val="005149C4"/>
    <w:rsid w:val="00514A90"/>
    <w:rsid w:val="00516EE7"/>
    <w:rsid w:val="0052085E"/>
    <w:rsid w:val="00532768"/>
    <w:rsid w:val="00535872"/>
    <w:rsid w:val="00535874"/>
    <w:rsid w:val="005377BF"/>
    <w:rsid w:val="00537E36"/>
    <w:rsid w:val="005443E4"/>
    <w:rsid w:val="00545CD1"/>
    <w:rsid w:val="0054634E"/>
    <w:rsid w:val="00547A37"/>
    <w:rsid w:val="00554009"/>
    <w:rsid w:val="005559C7"/>
    <w:rsid w:val="00564A2F"/>
    <w:rsid w:val="005711E4"/>
    <w:rsid w:val="00573063"/>
    <w:rsid w:val="005734EC"/>
    <w:rsid w:val="00574D1A"/>
    <w:rsid w:val="00576524"/>
    <w:rsid w:val="00577494"/>
    <w:rsid w:val="00583DED"/>
    <w:rsid w:val="00584F89"/>
    <w:rsid w:val="005850A4"/>
    <w:rsid w:val="00587C20"/>
    <w:rsid w:val="00596352"/>
    <w:rsid w:val="005A40B6"/>
    <w:rsid w:val="005A63D8"/>
    <w:rsid w:val="005A67D2"/>
    <w:rsid w:val="005A7B5E"/>
    <w:rsid w:val="005B40C0"/>
    <w:rsid w:val="005B566A"/>
    <w:rsid w:val="005C7388"/>
    <w:rsid w:val="005C7505"/>
    <w:rsid w:val="005C75E8"/>
    <w:rsid w:val="005C7C25"/>
    <w:rsid w:val="005D0E9C"/>
    <w:rsid w:val="005D2896"/>
    <w:rsid w:val="005D5DA2"/>
    <w:rsid w:val="005E0C01"/>
    <w:rsid w:val="005E2790"/>
    <w:rsid w:val="005F0193"/>
    <w:rsid w:val="005F3795"/>
    <w:rsid w:val="005F3DEF"/>
    <w:rsid w:val="005F4FD1"/>
    <w:rsid w:val="005F5BF6"/>
    <w:rsid w:val="005F6458"/>
    <w:rsid w:val="0060307C"/>
    <w:rsid w:val="00616F9D"/>
    <w:rsid w:val="006170CC"/>
    <w:rsid w:val="006207D0"/>
    <w:rsid w:val="00621400"/>
    <w:rsid w:val="00624A05"/>
    <w:rsid w:val="00630DF5"/>
    <w:rsid w:val="00633B22"/>
    <w:rsid w:val="00642FBA"/>
    <w:rsid w:val="00645A3A"/>
    <w:rsid w:val="00650849"/>
    <w:rsid w:val="0065647B"/>
    <w:rsid w:val="0066435C"/>
    <w:rsid w:val="00671588"/>
    <w:rsid w:val="00672F70"/>
    <w:rsid w:val="00673B9F"/>
    <w:rsid w:val="00675071"/>
    <w:rsid w:val="00677FAE"/>
    <w:rsid w:val="006803B0"/>
    <w:rsid w:val="0068046E"/>
    <w:rsid w:val="00685A42"/>
    <w:rsid w:val="006863D9"/>
    <w:rsid w:val="006923CB"/>
    <w:rsid w:val="00692522"/>
    <w:rsid w:val="00694F6F"/>
    <w:rsid w:val="00696A97"/>
    <w:rsid w:val="006A4D43"/>
    <w:rsid w:val="006A514B"/>
    <w:rsid w:val="006B06D4"/>
    <w:rsid w:val="006B3622"/>
    <w:rsid w:val="006B6CE9"/>
    <w:rsid w:val="006C3C45"/>
    <w:rsid w:val="006C7B8B"/>
    <w:rsid w:val="006D010B"/>
    <w:rsid w:val="006D1CE6"/>
    <w:rsid w:val="006D644F"/>
    <w:rsid w:val="006E0B63"/>
    <w:rsid w:val="006E4B20"/>
    <w:rsid w:val="006F2125"/>
    <w:rsid w:val="007011DB"/>
    <w:rsid w:val="0070406F"/>
    <w:rsid w:val="00705A64"/>
    <w:rsid w:val="00706536"/>
    <w:rsid w:val="007105AF"/>
    <w:rsid w:val="00712732"/>
    <w:rsid w:val="007137B9"/>
    <w:rsid w:val="0071567C"/>
    <w:rsid w:val="007162C5"/>
    <w:rsid w:val="0071783F"/>
    <w:rsid w:val="00717928"/>
    <w:rsid w:val="00720E18"/>
    <w:rsid w:val="00722C1E"/>
    <w:rsid w:val="0072337E"/>
    <w:rsid w:val="007239A5"/>
    <w:rsid w:val="00730FFC"/>
    <w:rsid w:val="00732884"/>
    <w:rsid w:val="0073540C"/>
    <w:rsid w:val="0073633E"/>
    <w:rsid w:val="007406FB"/>
    <w:rsid w:val="007474DE"/>
    <w:rsid w:val="00750C2E"/>
    <w:rsid w:val="00751A1B"/>
    <w:rsid w:val="00755744"/>
    <w:rsid w:val="00757FD0"/>
    <w:rsid w:val="007654A2"/>
    <w:rsid w:val="0076648F"/>
    <w:rsid w:val="0077037B"/>
    <w:rsid w:val="007715AA"/>
    <w:rsid w:val="00775BA3"/>
    <w:rsid w:val="00783E8C"/>
    <w:rsid w:val="00792EEA"/>
    <w:rsid w:val="0079338F"/>
    <w:rsid w:val="0079365B"/>
    <w:rsid w:val="007A02EB"/>
    <w:rsid w:val="007A5AA8"/>
    <w:rsid w:val="007B0DF8"/>
    <w:rsid w:val="007B12C8"/>
    <w:rsid w:val="007B4861"/>
    <w:rsid w:val="007B6B2F"/>
    <w:rsid w:val="007B758C"/>
    <w:rsid w:val="007C2B33"/>
    <w:rsid w:val="007D1048"/>
    <w:rsid w:val="007D685D"/>
    <w:rsid w:val="007E1E8D"/>
    <w:rsid w:val="007E6ABD"/>
    <w:rsid w:val="007F36CA"/>
    <w:rsid w:val="007F6355"/>
    <w:rsid w:val="00801D31"/>
    <w:rsid w:val="00802FDB"/>
    <w:rsid w:val="00803685"/>
    <w:rsid w:val="00803A66"/>
    <w:rsid w:val="00804064"/>
    <w:rsid w:val="008045CB"/>
    <w:rsid w:val="00807F1D"/>
    <w:rsid w:val="008146A4"/>
    <w:rsid w:val="0082090B"/>
    <w:rsid w:val="00820A06"/>
    <w:rsid w:val="00823775"/>
    <w:rsid w:val="00825173"/>
    <w:rsid w:val="00827A12"/>
    <w:rsid w:val="0083306A"/>
    <w:rsid w:val="008371DC"/>
    <w:rsid w:val="00837370"/>
    <w:rsid w:val="008421AF"/>
    <w:rsid w:val="0084251B"/>
    <w:rsid w:val="00847719"/>
    <w:rsid w:val="00847EDF"/>
    <w:rsid w:val="008531D6"/>
    <w:rsid w:val="00854098"/>
    <w:rsid w:val="0085497E"/>
    <w:rsid w:val="00860314"/>
    <w:rsid w:val="00861475"/>
    <w:rsid w:val="00861601"/>
    <w:rsid w:val="008635E9"/>
    <w:rsid w:val="00870318"/>
    <w:rsid w:val="0087237C"/>
    <w:rsid w:val="00876237"/>
    <w:rsid w:val="00876B20"/>
    <w:rsid w:val="00877A31"/>
    <w:rsid w:val="00881B7B"/>
    <w:rsid w:val="00884EF1"/>
    <w:rsid w:val="00885D8B"/>
    <w:rsid w:val="008923D3"/>
    <w:rsid w:val="00892424"/>
    <w:rsid w:val="00897261"/>
    <w:rsid w:val="00897BBE"/>
    <w:rsid w:val="008A4C89"/>
    <w:rsid w:val="008C2EA9"/>
    <w:rsid w:val="008C3B7B"/>
    <w:rsid w:val="008C54D7"/>
    <w:rsid w:val="008C6D62"/>
    <w:rsid w:val="008D40F3"/>
    <w:rsid w:val="008E04B3"/>
    <w:rsid w:val="008E0DDD"/>
    <w:rsid w:val="008E152B"/>
    <w:rsid w:val="008E29CD"/>
    <w:rsid w:val="008E2E67"/>
    <w:rsid w:val="008E41B5"/>
    <w:rsid w:val="008F517B"/>
    <w:rsid w:val="009012DD"/>
    <w:rsid w:val="00902B10"/>
    <w:rsid w:val="00904164"/>
    <w:rsid w:val="009071DF"/>
    <w:rsid w:val="00907D53"/>
    <w:rsid w:val="00907F2A"/>
    <w:rsid w:val="00910189"/>
    <w:rsid w:val="00910B54"/>
    <w:rsid w:val="009217CE"/>
    <w:rsid w:val="009270E8"/>
    <w:rsid w:val="00947E5F"/>
    <w:rsid w:val="00950A54"/>
    <w:rsid w:val="00950B16"/>
    <w:rsid w:val="009523B8"/>
    <w:rsid w:val="0095338E"/>
    <w:rsid w:val="009573A9"/>
    <w:rsid w:val="00957744"/>
    <w:rsid w:val="009627A1"/>
    <w:rsid w:val="00962AA8"/>
    <w:rsid w:val="00973A1E"/>
    <w:rsid w:val="00984A7A"/>
    <w:rsid w:val="0098653C"/>
    <w:rsid w:val="009A622D"/>
    <w:rsid w:val="009B071F"/>
    <w:rsid w:val="009B55BA"/>
    <w:rsid w:val="009C30AA"/>
    <w:rsid w:val="009C3CE6"/>
    <w:rsid w:val="009C6995"/>
    <w:rsid w:val="009D2788"/>
    <w:rsid w:val="009D4E9C"/>
    <w:rsid w:val="009E007F"/>
    <w:rsid w:val="009E4165"/>
    <w:rsid w:val="009E5301"/>
    <w:rsid w:val="009E55FA"/>
    <w:rsid w:val="009E7534"/>
    <w:rsid w:val="009F3DAC"/>
    <w:rsid w:val="009F45D3"/>
    <w:rsid w:val="00A11914"/>
    <w:rsid w:val="00A24501"/>
    <w:rsid w:val="00A26ED5"/>
    <w:rsid w:val="00A331B2"/>
    <w:rsid w:val="00A3673C"/>
    <w:rsid w:val="00A46253"/>
    <w:rsid w:val="00A520A1"/>
    <w:rsid w:val="00A53B7C"/>
    <w:rsid w:val="00A54410"/>
    <w:rsid w:val="00A55006"/>
    <w:rsid w:val="00A55BC4"/>
    <w:rsid w:val="00A56B9B"/>
    <w:rsid w:val="00A6133B"/>
    <w:rsid w:val="00A64398"/>
    <w:rsid w:val="00A66630"/>
    <w:rsid w:val="00A716AA"/>
    <w:rsid w:val="00A72F03"/>
    <w:rsid w:val="00A732DD"/>
    <w:rsid w:val="00A75BFD"/>
    <w:rsid w:val="00A776C1"/>
    <w:rsid w:val="00A83ECC"/>
    <w:rsid w:val="00A8658D"/>
    <w:rsid w:val="00A90C70"/>
    <w:rsid w:val="00A96501"/>
    <w:rsid w:val="00A9757A"/>
    <w:rsid w:val="00AA00AF"/>
    <w:rsid w:val="00AA0292"/>
    <w:rsid w:val="00AA1C55"/>
    <w:rsid w:val="00AA2878"/>
    <w:rsid w:val="00AA33EE"/>
    <w:rsid w:val="00AA53AA"/>
    <w:rsid w:val="00AC3C21"/>
    <w:rsid w:val="00AD5587"/>
    <w:rsid w:val="00AD637B"/>
    <w:rsid w:val="00AE15C5"/>
    <w:rsid w:val="00AE28B5"/>
    <w:rsid w:val="00AF05A3"/>
    <w:rsid w:val="00AF45DA"/>
    <w:rsid w:val="00B019D1"/>
    <w:rsid w:val="00B021D8"/>
    <w:rsid w:val="00B03CB5"/>
    <w:rsid w:val="00B04112"/>
    <w:rsid w:val="00B04F36"/>
    <w:rsid w:val="00B04F50"/>
    <w:rsid w:val="00B07EDE"/>
    <w:rsid w:val="00B07F68"/>
    <w:rsid w:val="00B13D1E"/>
    <w:rsid w:val="00B14471"/>
    <w:rsid w:val="00B145E4"/>
    <w:rsid w:val="00B171D5"/>
    <w:rsid w:val="00B210CE"/>
    <w:rsid w:val="00B21190"/>
    <w:rsid w:val="00B217E4"/>
    <w:rsid w:val="00B2417E"/>
    <w:rsid w:val="00B320B3"/>
    <w:rsid w:val="00B33D3A"/>
    <w:rsid w:val="00B4059F"/>
    <w:rsid w:val="00B4219F"/>
    <w:rsid w:val="00B46163"/>
    <w:rsid w:val="00B51074"/>
    <w:rsid w:val="00B569B0"/>
    <w:rsid w:val="00B578B4"/>
    <w:rsid w:val="00B6036C"/>
    <w:rsid w:val="00B74682"/>
    <w:rsid w:val="00B84865"/>
    <w:rsid w:val="00B85063"/>
    <w:rsid w:val="00B8714C"/>
    <w:rsid w:val="00B8748F"/>
    <w:rsid w:val="00BA6B27"/>
    <w:rsid w:val="00BA7E7B"/>
    <w:rsid w:val="00BB3EE8"/>
    <w:rsid w:val="00BB51F0"/>
    <w:rsid w:val="00BB55E4"/>
    <w:rsid w:val="00BC24D7"/>
    <w:rsid w:val="00BC2900"/>
    <w:rsid w:val="00BC55DD"/>
    <w:rsid w:val="00BC5B95"/>
    <w:rsid w:val="00BD0DC2"/>
    <w:rsid w:val="00BD174E"/>
    <w:rsid w:val="00BD376A"/>
    <w:rsid w:val="00BD5018"/>
    <w:rsid w:val="00BF6A0A"/>
    <w:rsid w:val="00C02B0E"/>
    <w:rsid w:val="00C03409"/>
    <w:rsid w:val="00C03B7B"/>
    <w:rsid w:val="00C10008"/>
    <w:rsid w:val="00C1370E"/>
    <w:rsid w:val="00C14A04"/>
    <w:rsid w:val="00C26A6C"/>
    <w:rsid w:val="00C27D28"/>
    <w:rsid w:val="00C40F08"/>
    <w:rsid w:val="00C44ADB"/>
    <w:rsid w:val="00C501C8"/>
    <w:rsid w:val="00C5199E"/>
    <w:rsid w:val="00C54FF2"/>
    <w:rsid w:val="00C720AA"/>
    <w:rsid w:val="00C7228F"/>
    <w:rsid w:val="00C73BAE"/>
    <w:rsid w:val="00C806AE"/>
    <w:rsid w:val="00C8207D"/>
    <w:rsid w:val="00C84452"/>
    <w:rsid w:val="00C84CE5"/>
    <w:rsid w:val="00C948C6"/>
    <w:rsid w:val="00C96B69"/>
    <w:rsid w:val="00CA0C07"/>
    <w:rsid w:val="00CA1962"/>
    <w:rsid w:val="00CA35A2"/>
    <w:rsid w:val="00CA3628"/>
    <w:rsid w:val="00CA648F"/>
    <w:rsid w:val="00CC03B6"/>
    <w:rsid w:val="00CC2BD8"/>
    <w:rsid w:val="00CD0CAA"/>
    <w:rsid w:val="00CD20D8"/>
    <w:rsid w:val="00CD63C3"/>
    <w:rsid w:val="00CD7383"/>
    <w:rsid w:val="00CE0A94"/>
    <w:rsid w:val="00CE4DB5"/>
    <w:rsid w:val="00CF2427"/>
    <w:rsid w:val="00CF35F9"/>
    <w:rsid w:val="00CF5C0A"/>
    <w:rsid w:val="00CF798A"/>
    <w:rsid w:val="00D015AB"/>
    <w:rsid w:val="00D03986"/>
    <w:rsid w:val="00D0641E"/>
    <w:rsid w:val="00D07032"/>
    <w:rsid w:val="00D14618"/>
    <w:rsid w:val="00D20A98"/>
    <w:rsid w:val="00D214BB"/>
    <w:rsid w:val="00D245C9"/>
    <w:rsid w:val="00D26408"/>
    <w:rsid w:val="00D31FB2"/>
    <w:rsid w:val="00D32C66"/>
    <w:rsid w:val="00D346E5"/>
    <w:rsid w:val="00D47E77"/>
    <w:rsid w:val="00D508B8"/>
    <w:rsid w:val="00D5255E"/>
    <w:rsid w:val="00D70832"/>
    <w:rsid w:val="00D7149B"/>
    <w:rsid w:val="00D75296"/>
    <w:rsid w:val="00D75AF0"/>
    <w:rsid w:val="00D76AD4"/>
    <w:rsid w:val="00D81840"/>
    <w:rsid w:val="00D81DDC"/>
    <w:rsid w:val="00D81F8C"/>
    <w:rsid w:val="00D90DB2"/>
    <w:rsid w:val="00D91CB8"/>
    <w:rsid w:val="00D947BB"/>
    <w:rsid w:val="00D95B18"/>
    <w:rsid w:val="00D97066"/>
    <w:rsid w:val="00DA66EB"/>
    <w:rsid w:val="00DB0293"/>
    <w:rsid w:val="00DB0D08"/>
    <w:rsid w:val="00DC71F4"/>
    <w:rsid w:val="00DD1ED5"/>
    <w:rsid w:val="00DD36AB"/>
    <w:rsid w:val="00DE1FE3"/>
    <w:rsid w:val="00DE49FE"/>
    <w:rsid w:val="00DE5A3A"/>
    <w:rsid w:val="00DE6087"/>
    <w:rsid w:val="00DE766A"/>
    <w:rsid w:val="00DF0490"/>
    <w:rsid w:val="00DF09EA"/>
    <w:rsid w:val="00DF34FA"/>
    <w:rsid w:val="00DF737F"/>
    <w:rsid w:val="00E02F82"/>
    <w:rsid w:val="00E030F9"/>
    <w:rsid w:val="00E04DD8"/>
    <w:rsid w:val="00E04F29"/>
    <w:rsid w:val="00E1187D"/>
    <w:rsid w:val="00E11E1E"/>
    <w:rsid w:val="00E234FF"/>
    <w:rsid w:val="00E25A1D"/>
    <w:rsid w:val="00E265AD"/>
    <w:rsid w:val="00E32CD2"/>
    <w:rsid w:val="00E3383E"/>
    <w:rsid w:val="00E37251"/>
    <w:rsid w:val="00E41A23"/>
    <w:rsid w:val="00E41B2E"/>
    <w:rsid w:val="00E4551E"/>
    <w:rsid w:val="00E46BED"/>
    <w:rsid w:val="00E571A4"/>
    <w:rsid w:val="00E57E4C"/>
    <w:rsid w:val="00E60109"/>
    <w:rsid w:val="00E638F4"/>
    <w:rsid w:val="00E6685E"/>
    <w:rsid w:val="00E677F9"/>
    <w:rsid w:val="00E76FB2"/>
    <w:rsid w:val="00E846CA"/>
    <w:rsid w:val="00E90FD3"/>
    <w:rsid w:val="00E936E5"/>
    <w:rsid w:val="00E97590"/>
    <w:rsid w:val="00EA0A8C"/>
    <w:rsid w:val="00EA427B"/>
    <w:rsid w:val="00EB1DB4"/>
    <w:rsid w:val="00EB2F3B"/>
    <w:rsid w:val="00EB6AEC"/>
    <w:rsid w:val="00EC0514"/>
    <w:rsid w:val="00EC617C"/>
    <w:rsid w:val="00EC7354"/>
    <w:rsid w:val="00ED246E"/>
    <w:rsid w:val="00ED29D4"/>
    <w:rsid w:val="00EE2DF2"/>
    <w:rsid w:val="00EE348C"/>
    <w:rsid w:val="00EE4781"/>
    <w:rsid w:val="00EE588E"/>
    <w:rsid w:val="00EE5906"/>
    <w:rsid w:val="00EE640F"/>
    <w:rsid w:val="00EF00CE"/>
    <w:rsid w:val="00F075C6"/>
    <w:rsid w:val="00F11EF1"/>
    <w:rsid w:val="00F13C9A"/>
    <w:rsid w:val="00F157FC"/>
    <w:rsid w:val="00F328EC"/>
    <w:rsid w:val="00F406CB"/>
    <w:rsid w:val="00F408A1"/>
    <w:rsid w:val="00F53C8E"/>
    <w:rsid w:val="00F607C4"/>
    <w:rsid w:val="00F7440D"/>
    <w:rsid w:val="00F757A5"/>
    <w:rsid w:val="00F760A0"/>
    <w:rsid w:val="00F8168F"/>
    <w:rsid w:val="00F84614"/>
    <w:rsid w:val="00F85126"/>
    <w:rsid w:val="00F851D1"/>
    <w:rsid w:val="00F85AC1"/>
    <w:rsid w:val="00F87D04"/>
    <w:rsid w:val="00F90F24"/>
    <w:rsid w:val="00F975E0"/>
    <w:rsid w:val="00F977EF"/>
    <w:rsid w:val="00FA0AFA"/>
    <w:rsid w:val="00FA142C"/>
    <w:rsid w:val="00FA326C"/>
    <w:rsid w:val="00FA51F7"/>
    <w:rsid w:val="00FA6A2A"/>
    <w:rsid w:val="00FA7034"/>
    <w:rsid w:val="00FB067F"/>
    <w:rsid w:val="00FC4012"/>
    <w:rsid w:val="00FC4512"/>
    <w:rsid w:val="00FC61EA"/>
    <w:rsid w:val="00FC68DA"/>
    <w:rsid w:val="00FC76F1"/>
    <w:rsid w:val="00FE021A"/>
    <w:rsid w:val="00FE0922"/>
    <w:rsid w:val="00FE2EC7"/>
    <w:rsid w:val="00FE7146"/>
    <w:rsid w:val="00FE7455"/>
    <w:rsid w:val="00FF1D5D"/>
    <w:rsid w:val="5FC44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直接箭头连接符 3"/>
        <o:r id="V:Rule2" type="connector" idref="#直接箭头连接符 12"/>
        <o:r id="V:Rule3" type="connector" idref="#直接箭头连接符 14"/>
        <o:r id="V:Rule4" type="connector" idref="#直接箭头连接符 4"/>
        <o:r id="V:Rule5" type="connector" idref="#直接箭头连接符 5"/>
        <o:r id="V:Rule6" type="connector" idref="#AutoShape 298"/>
        <o:r id="V:Rule7" type="connector" idref="#直接箭头连接符 18"/>
        <o:r id="V:Rule8" type="connector" idref="#直接箭头连接符 18"/>
        <o:r id="V:Rule9" type="connector" idref="#直接箭头连接符 3"/>
        <o:r id="V:Rule10" type="connector" idref="#直接箭头连接符 4"/>
        <o:r id="V:Rule11" type="connector" idref="#AutoShape 64"/>
        <o:r id="V:Rule12" type="connector" idref="#AutoShape 19"/>
        <o:r id="V:Rule13" type="connector" idref="#AutoShape 46"/>
        <o:r id="V:Rule14" type="connector" idref="#AutoShape 45"/>
        <o:r id="V:Rule15" type="connector" idref="#AutoShape 44"/>
        <o:r id="V:Rule16" type="connector" idref="#AutoShape 43"/>
        <o:r id="V:Rule17" type="connector" idref="#AutoShape 63"/>
        <o:r id="V:Rule18" type="connector" idref="#AutoShape 62"/>
        <o:r id="V:Rule19" type="connector" idref="#AutoShape 34"/>
        <o:r id="V:Rule20" type="connector" idref="#AutoShape 33"/>
        <o:r id="V:Rule21" type="connector" idref="#AutoShape 32"/>
        <o:r id="V:Rule22" type="connector" idref="#AutoShape 35"/>
        <o:r id="V:Rule23" type="connector" idref="#AutoShape 26"/>
        <o:r id="V:Rule24" type="connector" idref="#AutoShape 27"/>
        <o:r id="V:Rule25" type="connector" idref="#AutoShape 28"/>
        <o:r id="V:Rule26" type="connector" idref="#AutoShape 25"/>
        <o:r id="V:Rule27" type="connector" idref="#直接箭头连接符 65"/>
        <o:r id="V:Rule28" type="connector" idref="#AutoShape 21"/>
        <o:r id="V:Rule29" type="connector" idref="#AutoShape 20"/>
        <o:r id="V:Rule30" type="connector" idref="#AutoShape 656"/>
        <o:r id="V:Rule31" type="connector" idref="#AutoShape 655"/>
        <o:r id="V:Rule32" type="connector" idref="#直接箭头连接符 38"/>
        <o:r id="V:Rule33" type="connector" idref="#直接箭头连接符 36"/>
        <o:r id="V:Rule34" type="connector" idref="#直接箭头连接符 32"/>
        <o:r id="V:Rule35" type="connector" idref="#直接箭头连接符 42"/>
        <o:r id="V:Rule36" type="connector" idref="#AutoShape 244"/>
        <o:r id="V:Rule37" type="connector" idref="#AutoShape 648"/>
        <o:r id="V:Rule38" type="connector" idref="#AutoShape 652"/>
        <o:r id="V:Rule39" type="connector" idref="#直接箭头连接符 27"/>
        <o:r id="V:Rule40" type="connector" idref="#AutoShape 646"/>
        <o:r id="V:Rule41" type="connector" idref="#直接箭头连接符 16"/>
        <o:r id="V:Rule42" type="connector" idref="#直接箭头连接符 26"/>
        <o:r id="V:Rule43" type="connector" idref="#直接箭头连接符 2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0"/>
    <w:qFormat/>
    <w:uiPriority w:val="9"/>
    <w:pPr>
      <w:keepNext/>
      <w:keepLines/>
      <w:spacing w:beforeLines="100" w:afterLines="100"/>
      <w:jc w:val="left"/>
      <w:outlineLvl w:val="0"/>
    </w:pPr>
    <w:rPr>
      <w:rFonts w:ascii="黑体" w:hAnsi="黑体" w:eastAsia="黑体"/>
      <w:bCs/>
      <w:kern w:val="44"/>
      <w:szCs w:val="21"/>
    </w:rPr>
  </w:style>
  <w:style w:type="paragraph" w:styleId="3">
    <w:name w:val="heading 2"/>
    <w:basedOn w:val="1"/>
    <w:next w:val="1"/>
    <w:link w:val="21"/>
    <w:unhideWhenUsed/>
    <w:qFormat/>
    <w:uiPriority w:val="9"/>
    <w:pPr>
      <w:keepNext/>
      <w:keepLines/>
      <w:spacing w:beforeLines="50" w:afterLines="50"/>
      <w:jc w:val="left"/>
      <w:outlineLvl w:val="1"/>
    </w:pPr>
    <w:rPr>
      <w:rFonts w:ascii="黑体" w:hAnsi="黑体" w:eastAsia="黑体"/>
      <w:bCs/>
      <w:szCs w:val="21"/>
    </w:rPr>
  </w:style>
  <w:style w:type="paragraph" w:styleId="4">
    <w:name w:val="heading 3"/>
    <w:basedOn w:val="1"/>
    <w:next w:val="1"/>
    <w:link w:val="22"/>
    <w:unhideWhenUsed/>
    <w:qFormat/>
    <w:uiPriority w:val="9"/>
    <w:pPr>
      <w:keepNext/>
      <w:keepLines/>
      <w:spacing w:beforeLines="50" w:afterLines="50"/>
      <w:jc w:val="left"/>
      <w:outlineLvl w:val="2"/>
    </w:pPr>
    <w:rPr>
      <w:rFonts w:ascii="黑体" w:hAnsi="黑体" w:eastAsia="黑体"/>
      <w:bCs/>
      <w:szCs w:val="21"/>
    </w:rPr>
  </w:style>
  <w:style w:type="paragraph" w:styleId="5">
    <w:name w:val="heading 4"/>
    <w:basedOn w:val="4"/>
    <w:next w:val="1"/>
    <w:link w:val="23"/>
    <w:unhideWhenUsed/>
    <w:qFormat/>
    <w:uiPriority w:val="9"/>
    <w:pPr>
      <w:outlineLvl w:val="3"/>
    </w:pPr>
  </w:style>
  <w:style w:type="paragraph" w:styleId="6">
    <w:name w:val="heading 5"/>
    <w:basedOn w:val="5"/>
    <w:next w:val="1"/>
    <w:link w:val="24"/>
    <w:unhideWhenUsed/>
    <w:qFormat/>
    <w:uiPriority w:val="9"/>
    <w:pPr>
      <w:spacing w:before="50" w:after="50"/>
      <w:outlineLvl w:val="4"/>
    </w:p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7">
    <w:name w:val="Document Map"/>
    <w:basedOn w:val="1"/>
    <w:link w:val="26"/>
    <w:semiHidden/>
    <w:unhideWhenUsed/>
    <w:qFormat/>
    <w:uiPriority w:val="99"/>
    <w:rPr>
      <w:rFonts w:ascii="宋体"/>
      <w:sz w:val="18"/>
      <w:szCs w:val="18"/>
    </w:rPr>
  </w:style>
  <w:style w:type="paragraph" w:styleId="8">
    <w:name w:val="Date"/>
    <w:basedOn w:val="1"/>
    <w:next w:val="1"/>
    <w:link w:val="25"/>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19"/>
    <w:unhideWhenUsed/>
    <w:qFormat/>
    <w:uiPriority w:val="99"/>
    <w:pPr>
      <w:tabs>
        <w:tab w:val="center" w:pos="4153"/>
        <w:tab w:val="right" w:pos="8306"/>
      </w:tabs>
      <w:snapToGrid w:val="0"/>
      <w:jc w:val="left"/>
    </w:pPr>
    <w:rPr>
      <w:sz w:val="18"/>
      <w:szCs w:val="18"/>
    </w:rPr>
  </w:style>
  <w:style w:type="paragraph" w:styleId="11">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9344"/>
      </w:tabs>
      <w:spacing w:line="360" w:lineRule="auto"/>
    </w:pPr>
  </w:style>
  <w:style w:type="paragraph" w:styleId="13">
    <w:name w:val="toc 2"/>
    <w:basedOn w:val="1"/>
    <w:next w:val="1"/>
    <w:unhideWhenUsed/>
    <w:qFormat/>
    <w:uiPriority w:val="39"/>
    <w:pPr>
      <w:tabs>
        <w:tab w:val="right" w:leader="dot" w:pos="9344"/>
      </w:tabs>
      <w:spacing w:line="360" w:lineRule="auto"/>
      <w:ind w:firstLine="210" w:firstLineChars="1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Hyperlink"/>
    <w:unhideWhenUsed/>
    <w:qFormat/>
    <w:uiPriority w:val="99"/>
    <w:rPr>
      <w:color w:val="0000FF"/>
      <w:u w:val="single"/>
    </w:rPr>
  </w:style>
  <w:style w:type="character" w:customStyle="1" w:styleId="18">
    <w:name w:val="页眉 Char"/>
    <w:link w:val="11"/>
    <w:qFormat/>
    <w:uiPriority w:val="99"/>
    <w:rPr>
      <w:sz w:val="18"/>
      <w:szCs w:val="18"/>
    </w:rPr>
  </w:style>
  <w:style w:type="character" w:customStyle="1" w:styleId="19">
    <w:name w:val="页脚 Char"/>
    <w:link w:val="10"/>
    <w:qFormat/>
    <w:uiPriority w:val="99"/>
    <w:rPr>
      <w:sz w:val="18"/>
      <w:szCs w:val="18"/>
    </w:rPr>
  </w:style>
  <w:style w:type="character" w:customStyle="1" w:styleId="20">
    <w:name w:val="标题 1 Char"/>
    <w:link w:val="2"/>
    <w:qFormat/>
    <w:uiPriority w:val="9"/>
    <w:rPr>
      <w:rFonts w:ascii="黑体" w:hAnsi="黑体" w:eastAsia="黑体"/>
      <w:bCs/>
      <w:kern w:val="44"/>
      <w:sz w:val="21"/>
      <w:szCs w:val="21"/>
    </w:rPr>
  </w:style>
  <w:style w:type="character" w:customStyle="1" w:styleId="21">
    <w:name w:val="标题 2 Char"/>
    <w:link w:val="3"/>
    <w:qFormat/>
    <w:uiPriority w:val="9"/>
    <w:rPr>
      <w:rFonts w:ascii="黑体" w:hAnsi="黑体" w:eastAsia="黑体"/>
      <w:bCs/>
      <w:kern w:val="2"/>
      <w:sz w:val="21"/>
      <w:szCs w:val="21"/>
    </w:rPr>
  </w:style>
  <w:style w:type="character" w:customStyle="1" w:styleId="22">
    <w:name w:val="标题 3 Char"/>
    <w:link w:val="4"/>
    <w:qFormat/>
    <w:uiPriority w:val="9"/>
    <w:rPr>
      <w:rFonts w:ascii="黑体" w:hAnsi="黑体" w:eastAsia="黑体"/>
      <w:bCs/>
      <w:kern w:val="2"/>
      <w:sz w:val="21"/>
      <w:szCs w:val="21"/>
    </w:rPr>
  </w:style>
  <w:style w:type="character" w:customStyle="1" w:styleId="23">
    <w:name w:val="标题 4 Char"/>
    <w:link w:val="5"/>
    <w:qFormat/>
    <w:uiPriority w:val="9"/>
    <w:rPr>
      <w:rFonts w:ascii="黑体" w:hAnsi="黑体" w:eastAsia="黑体"/>
      <w:bCs/>
      <w:kern w:val="2"/>
      <w:sz w:val="21"/>
      <w:szCs w:val="21"/>
    </w:rPr>
  </w:style>
  <w:style w:type="character" w:customStyle="1" w:styleId="24">
    <w:name w:val="标题 5 Char"/>
    <w:link w:val="6"/>
    <w:qFormat/>
    <w:uiPriority w:val="9"/>
    <w:rPr>
      <w:rFonts w:ascii="黑体" w:hAnsi="黑体" w:eastAsia="黑体"/>
      <w:bCs/>
      <w:kern w:val="2"/>
      <w:sz w:val="21"/>
      <w:szCs w:val="21"/>
    </w:rPr>
  </w:style>
  <w:style w:type="character" w:customStyle="1" w:styleId="25">
    <w:name w:val="日期 Char"/>
    <w:link w:val="8"/>
    <w:semiHidden/>
    <w:qFormat/>
    <w:uiPriority w:val="99"/>
    <w:rPr>
      <w:kern w:val="2"/>
      <w:sz w:val="21"/>
      <w:szCs w:val="22"/>
    </w:rPr>
  </w:style>
  <w:style w:type="character" w:customStyle="1" w:styleId="26">
    <w:name w:val="文档结构图 Char"/>
    <w:basedOn w:val="16"/>
    <w:link w:val="7"/>
    <w:semiHidden/>
    <w:qFormat/>
    <w:uiPriority w:val="99"/>
    <w:rPr>
      <w:rFonts w:ascii="宋体"/>
      <w:kern w:val="2"/>
      <w:sz w:val="18"/>
      <w:szCs w:val="18"/>
    </w:rPr>
  </w:style>
  <w:style w:type="character" w:customStyle="1" w:styleId="27">
    <w:name w:val="批注框文本 Char"/>
    <w:basedOn w:val="16"/>
    <w:link w:val="9"/>
    <w:semiHidden/>
    <w:qFormat/>
    <w:uiPriority w:val="99"/>
    <w:rPr>
      <w:kern w:val="2"/>
      <w:sz w:val="18"/>
      <w:szCs w:val="18"/>
    </w:rPr>
  </w:style>
  <w:style w:type="paragraph" w:styleId="28">
    <w:name w:val="No Spacing"/>
    <w:link w:val="29"/>
    <w:qFormat/>
    <w:uiPriority w:val="1"/>
    <w:pPr>
      <w:widowControl w:val="0"/>
      <w:spacing w:beforeLines="50" w:afterLines="50"/>
      <w:jc w:val="center"/>
    </w:pPr>
    <w:rPr>
      <w:rFonts w:ascii="黑体" w:hAnsi="黑体" w:eastAsia="黑体" w:cstheme="minorBidi"/>
      <w:kern w:val="2"/>
      <w:sz w:val="21"/>
      <w:szCs w:val="22"/>
      <w:lang w:val="en-US" w:eastAsia="zh-CN" w:bidi="ar-SA"/>
    </w:rPr>
  </w:style>
  <w:style w:type="character" w:customStyle="1" w:styleId="29">
    <w:name w:val="无间隔 Char"/>
    <w:basedOn w:val="16"/>
    <w:link w:val="28"/>
    <w:qFormat/>
    <w:uiPriority w:val="1"/>
    <w:rPr>
      <w:rFonts w:ascii="黑体" w:hAnsi="黑体" w:eastAsia="黑体" w:cstheme="minorBidi"/>
      <w:kern w:val="2"/>
      <w:sz w:val="21"/>
      <w:szCs w:val="22"/>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4.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jpeg"/><Relationship Id="rId70" Type="http://schemas.openxmlformats.org/officeDocument/2006/relationships/image" Target="media/image61.jpeg"/><Relationship Id="rId7" Type="http://schemas.openxmlformats.org/officeDocument/2006/relationships/header" Target="header2.xml"/><Relationship Id="rId69" Type="http://schemas.microsoft.com/office/2007/relationships/hdphoto" Target="media/image60.wdp"/><Relationship Id="rId68" Type="http://schemas.openxmlformats.org/officeDocument/2006/relationships/image" Target="media/image59.jpeg"/><Relationship Id="rId67" Type="http://schemas.openxmlformats.org/officeDocument/2006/relationships/image" Target="media/image58.png"/><Relationship Id="rId66" Type="http://schemas.microsoft.com/office/2007/relationships/hdphoto" Target="media/image57.wdp"/><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jpeg"/><Relationship Id="rId62" Type="http://schemas.openxmlformats.org/officeDocument/2006/relationships/image" Target="media/image53.png"/><Relationship Id="rId61" Type="http://schemas.openxmlformats.org/officeDocument/2006/relationships/image" Target="media/image52.jpeg"/><Relationship Id="rId60" Type="http://schemas.microsoft.com/office/2007/relationships/hdphoto" Target="media/image51.wdp"/><Relationship Id="rId6" Type="http://schemas.openxmlformats.org/officeDocument/2006/relationships/footer" Target="footer3.xml"/><Relationship Id="rId59" Type="http://schemas.openxmlformats.org/officeDocument/2006/relationships/image" Target="media/image50.png"/><Relationship Id="rId58" Type="http://schemas.openxmlformats.org/officeDocument/2006/relationships/image" Target="media/image49.jpe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wmf"/><Relationship Id="rId5" Type="http://schemas.openxmlformats.org/officeDocument/2006/relationships/footer" Target="footer2.xml"/><Relationship Id="rId49" Type="http://schemas.openxmlformats.org/officeDocument/2006/relationships/image" Target="media/image40.wmf"/><Relationship Id="rId48" Type="http://schemas.openxmlformats.org/officeDocument/2006/relationships/image" Target="media/image39.png"/><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microsoft.com/office/2007/relationships/hdphoto" Target="media/image32.wdp"/><Relationship Id="rId40" Type="http://schemas.openxmlformats.org/officeDocument/2006/relationships/image" Target="media/image31.jpeg"/><Relationship Id="rId4" Type="http://schemas.openxmlformats.org/officeDocument/2006/relationships/footer" Target="footer1.xml"/><Relationship Id="rId39" Type="http://schemas.openxmlformats.org/officeDocument/2006/relationships/image" Target="media/image30.jpeg"/><Relationship Id="rId38" Type="http://schemas.openxmlformats.org/officeDocument/2006/relationships/image" Target="media/image29.jpeg"/><Relationship Id="rId37" Type="http://schemas.microsoft.com/office/2007/relationships/hdphoto" Target="media/image28.wdp"/><Relationship Id="rId36" Type="http://schemas.openxmlformats.org/officeDocument/2006/relationships/image" Target="media/image27.png"/><Relationship Id="rId35" Type="http://schemas.microsoft.com/office/2007/relationships/hdphoto" Target="media/image26.wdp"/><Relationship Id="rId34" Type="http://schemas.openxmlformats.org/officeDocument/2006/relationships/image" Target="media/image25.pn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jpeg"/><Relationship Id="rId27" Type="http://schemas.microsoft.com/office/2007/relationships/hdphoto" Target="media/image18.wdp"/><Relationship Id="rId26" Type="http://schemas.openxmlformats.org/officeDocument/2006/relationships/image" Target="media/image17.pn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microsoft.com/office/2007/relationships/hdphoto" Target="media/image12.wdp"/><Relationship Id="rId20" Type="http://schemas.openxmlformats.org/officeDocument/2006/relationships/image" Target="media/image11.jpeg"/><Relationship Id="rId2" Type="http://schemas.openxmlformats.org/officeDocument/2006/relationships/settings" Target="settings.xml"/><Relationship Id="rId19" Type="http://schemas.microsoft.com/office/2007/relationships/hdphoto" Target="media/image10.wdp"/><Relationship Id="rId18" Type="http://schemas.openxmlformats.org/officeDocument/2006/relationships/image" Target="media/image9.jpeg"/><Relationship Id="rId17" Type="http://schemas.microsoft.com/office/2007/relationships/hdphoto" Target="media/image8.wdp"/><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2" Type="http://schemas.openxmlformats.org/officeDocument/2006/relationships/fontTable" Target="fontTable.xml"/><Relationship Id="rId101" Type="http://schemas.openxmlformats.org/officeDocument/2006/relationships/customXml" Target="../customXml/item2.xml"/><Relationship Id="rId100"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自定义 1">
      <a:dk1>
        <a:sysClr val="windowText" lastClr="000000"/>
      </a:dk1>
      <a:lt1>
        <a:sysClr val="window" lastClr="FFFFFF"/>
      </a:lt1>
      <a:dk2>
        <a:srgbClr val="000000"/>
      </a:dk2>
      <a:lt2>
        <a:srgbClr val="F8F8F8"/>
      </a:lt2>
      <a:accent1>
        <a:srgbClr val="000000"/>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26"/>
    <customShpInfo spid="_x0000_s1033"/>
    <customShpInfo spid="_x0000_s1034"/>
    <customShpInfo spid="_x0000_s1035"/>
    <customShpInfo spid="_x0000_s1036"/>
    <customShpInfo spid="_x0000_s1037"/>
    <customShpInfo spid="_x0000_s1038"/>
    <customShpInfo spid="_x0000_s1164"/>
    <customShpInfo spid="_x0000_s1163"/>
    <customShpInfo spid="_x0000_s1162"/>
    <customShpInfo spid="_x0000_s1039"/>
    <customShpInfo spid="_x0000_s1040"/>
    <customShpInfo spid="_x0000_s1161"/>
    <customShpInfo spid="_x0000_s1160"/>
    <customShpInfo spid="_x0000_s1041"/>
    <customShpInfo spid="_x0000_s1042"/>
    <customShpInfo spid="_x0000_s1159"/>
    <customShpInfo spid="_x0000_s1158"/>
    <customShpInfo spid="_x0000_s1043"/>
    <customShpInfo spid="_x0000_s1044"/>
    <customShpInfo spid="_x0000_s1157"/>
    <customShpInfo spid="_x0000_s1156"/>
    <customShpInfo spid="_x0000_s1155"/>
    <customShpInfo spid="_x0000_s1154"/>
    <customShpInfo spid="_x0000_s1153"/>
    <customShpInfo spid="_x0000_s1045"/>
    <customShpInfo spid="_x0000_s1152"/>
    <customShpInfo spid="_x0000_s1151"/>
    <customShpInfo spid="_x0000_s1046"/>
    <customShpInfo spid="_x0000_s1047"/>
    <customShpInfo spid="_x0000_s1048"/>
    <customShpInfo spid="_x0000_s1049"/>
    <customShpInfo spid="_x0000_s1150"/>
    <customShpInfo spid="_x0000_s1149"/>
    <customShpInfo spid="_x0000_s1148"/>
    <customShpInfo spid="_x0000_s1050"/>
    <customShpInfo spid="_x0000_s1147"/>
    <customShpInfo spid="_x0000_s1051"/>
    <customShpInfo spid="_x0000_s1146"/>
    <customShpInfo spid="_x0000_s1145"/>
    <customShpInfo spid="_x0000_s1144"/>
    <customShpInfo spid="_x0000_s1054"/>
    <customShpInfo spid="_x0000_s1055"/>
    <customShpInfo spid="_x0000_s1056"/>
    <customShpInfo spid="_x0000_s1057"/>
    <customShpInfo spid="_x0000_s1058"/>
    <customShpInfo spid="_x0000_s1059"/>
    <customShpInfo spid="_x0000_s1053"/>
    <customShpInfo spid="_x0000_s1061"/>
    <customShpInfo spid="_x0000_s1062"/>
    <customShpInfo spid="_x0000_s1063"/>
    <customShpInfo spid="_x0000_s1064"/>
    <customShpInfo spid="_x0000_s1060"/>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65"/>
    <customShpInfo spid="_x0000_s1076"/>
    <customShpInfo spid="_x0000_s1077"/>
    <customShpInfo spid="_x0000_s1078"/>
    <customShpInfo spid="_x0000_s1079"/>
    <customShpInfo spid="_x0000_s1080"/>
    <customShpInfo spid="_x0000_s1081"/>
    <customShpInfo spid="_x0000_s1082"/>
    <customShpInfo spid="_x0000_s1083"/>
    <customShpInfo spid="_x0000_s1075"/>
    <customShpInfo spid="_x0000_s1052"/>
    <customShpInfo spid="_x0000_s1143"/>
    <customShpInfo spid="_x0000_s1084"/>
    <customShpInfo spid="_x0000_s1085"/>
    <customShpInfo spid="_x0000_s1142"/>
    <customShpInfo spid="_x0000_s1141"/>
    <customShpInfo spid="_x0000_s1086"/>
    <customShpInfo spid="_x0000_s1087"/>
    <customShpInfo spid="_x0000_s1088"/>
    <customShpInfo spid="_x0000_s1140"/>
    <customShpInfo spid="_x0000_s1089"/>
    <customShpInfo spid="_x0000_s1137"/>
    <customShpInfo spid="_x0000_s1139"/>
    <customShpInfo spid="_x0000_s1138"/>
    <customShpInfo spid="_x0000_s1090"/>
    <customShpInfo spid="_x0000_s1091"/>
    <customShpInfo spid="_x0000_s1136"/>
    <customShpInfo spid="_x0000_s1135"/>
    <customShpInfo spid="_x0000_s1134"/>
    <customShpInfo spid="_x0000_s1133"/>
    <customShpInfo spid="_x0000_s1092"/>
    <customShpInfo spid="_x0000_s1093"/>
    <customShpInfo spid="_x0000_s1094"/>
    <customShpInfo spid="_x0000_s1132"/>
    <customShpInfo spid="_x0000_s1131"/>
    <customShpInfo spid="_x0000_s1130"/>
    <customShpInfo spid="_x0000_s1129"/>
    <customShpInfo spid="_x0000_s1095"/>
    <customShpInfo spid="_x0000_s1096"/>
    <customShpInfo spid="_x0000_s1097"/>
    <customShpInfo spid="_x0000_s1128"/>
    <customShpInfo spid="_x0000_s1127"/>
    <customShpInfo spid="_x0000_s1126"/>
    <customShpInfo spid="_x0000_s1098"/>
    <customShpInfo spid="_x0000_s1125"/>
    <customShpInfo spid="_x0000_s1124"/>
    <customShpInfo spid="_x0000_s1123"/>
    <customShpInfo spid="_x0000_s1122"/>
    <customShpInfo spid="_x0000_s1099"/>
    <customShpInfo spid="_x0000_s1100"/>
    <customShpInfo spid="_x0000_s1101"/>
    <customShpInfo spid="_x0000_s1121"/>
    <customShpInfo spid="_x0000_s1102"/>
    <customShpInfo spid="_x0000_s1120"/>
    <customShpInfo spid="_x0000_s1119"/>
    <customShpInfo spid="_x0000_s1103"/>
    <customShpInfo spid="_x0000_s1118"/>
    <customShpInfo spid="_x0000_s1117"/>
    <customShpInfo spid="_x0000_s1104"/>
    <customShpInfo spid="_x0000_s1107"/>
    <customShpInfo spid="_x0000_s1108"/>
    <customShpInfo spid="_x0000_s1109"/>
    <customShpInfo spid="_x0000_s1110"/>
    <customShpInfo spid="_x0000_s1111"/>
    <customShpInfo spid="_x0000_s1106"/>
    <customShpInfo spid="_x0000_s1112"/>
    <customShpInfo spid="_x0000_s1113"/>
    <customShpInfo spid="_x0000_s1114"/>
    <customShpInfo spid="_x0000_s1115"/>
    <customShpInfo spid="_x0000_s1116"/>
    <customShpInfo spid="_x0000_s110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64E80A-4258-454D-B4E4-8DC35CC0587D}">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131</Pages>
  <Words>70706</Words>
  <Characters>78231</Characters>
  <Lines>663</Lines>
  <Paragraphs>186</Paragraphs>
  <TotalTime>941</TotalTime>
  <ScaleCrop>false</ScaleCrop>
  <LinksUpToDate>false</LinksUpToDate>
  <CharactersWithSpaces>83330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2020-01-14T05:22:00Z</dcterms:created>
  <dc:creator>User</dc:creator>
  <cp:lastModifiedBy>郝庆锋</cp:lastModifiedBy>
  <cp:lastPrinted>2020-02-21T06:21:00Z</cp:lastPrinted>
  <dcterms:modified xsi:type="dcterms:W3CDTF">2024-10-30T01:19:24Z</dcterms:modified>
  <cp:revision>166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77AD435AF4A442E097A00FD14AD8CDAE</vt:lpwstr>
  </property>
</Properties>
</file>