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snapToGrid/>
        <w:spacing w:before="3400"/>
        <w:jc w:val="center"/>
        <w:rPr>
          <w:rFonts w:ascii="宋体"/>
          <w:b/>
          <w:sz w:val="52"/>
          <w:szCs w:val="52"/>
        </w:rPr>
      </w:pPr>
      <w:r>
        <w:rPr>
          <w:rFonts w:hint="eastAsia" w:ascii="宋体"/>
          <w:b/>
          <w:sz w:val="52"/>
          <w:szCs w:val="52"/>
        </w:rPr>
        <w:t>湖北省地质灾害防治</w:t>
      </w:r>
      <w:r>
        <w:rPr>
          <w:rFonts w:hint="eastAsia" w:ascii="宋体" w:cs="宋体"/>
          <w:b/>
          <w:sz w:val="52"/>
          <w:szCs w:val="52"/>
        </w:rPr>
        <w:t>能力建设</w:t>
      </w:r>
    </w:p>
    <w:p>
      <w:pPr>
        <w:jc w:val="center"/>
        <w:rPr>
          <w:rFonts w:ascii="宋体" w:cs="宋体"/>
          <w:b/>
          <w:sz w:val="52"/>
          <w:szCs w:val="52"/>
        </w:rPr>
      </w:pPr>
      <w:r>
        <w:rPr>
          <w:rFonts w:hint="eastAsia" w:ascii="宋体" w:cs="宋体"/>
          <w:b/>
          <w:sz w:val="52"/>
          <w:szCs w:val="52"/>
        </w:rPr>
        <w:t>技术要求</w:t>
      </w:r>
    </w:p>
    <w:p>
      <w:pPr>
        <w:jc w:val="center"/>
        <w:rPr>
          <w:rFonts w:ascii="宋体" w:cs="宋体"/>
          <w:b/>
          <w:sz w:val="52"/>
          <w:szCs w:val="52"/>
        </w:rPr>
      </w:pPr>
      <w:r>
        <w:rPr>
          <w:rFonts w:hint="eastAsia" w:ascii="宋体" w:cs="宋体"/>
          <w:b/>
          <w:sz w:val="52"/>
          <w:szCs w:val="52"/>
        </w:rPr>
        <w:t>（试行）</w:t>
      </w:r>
    </w:p>
    <w:p>
      <w:pPr>
        <w:spacing w:line="360" w:lineRule="auto"/>
        <w:jc w:val="center"/>
        <w:rPr>
          <w:rFonts w:ascii="宋体" w:cs="宋体"/>
          <w:b/>
          <w:sz w:val="24"/>
        </w:rPr>
      </w:pPr>
    </w:p>
    <w:p>
      <w:pPr>
        <w:spacing w:line="360" w:lineRule="auto"/>
        <w:jc w:val="center"/>
        <w:rPr>
          <w:rFonts w:ascii="宋体" w:cs="宋体"/>
          <w:b/>
          <w:sz w:val="24"/>
        </w:rPr>
      </w:pPr>
    </w:p>
    <w:p>
      <w:pPr>
        <w:spacing w:line="360" w:lineRule="auto"/>
        <w:jc w:val="center"/>
        <w:rPr>
          <w:rFonts w:ascii="宋体" w:cs="宋体"/>
          <w:b/>
          <w:sz w:val="24"/>
        </w:rPr>
      </w:pPr>
    </w:p>
    <w:p>
      <w:pPr>
        <w:spacing w:line="360" w:lineRule="auto"/>
        <w:jc w:val="center"/>
        <w:rPr>
          <w:rFonts w:ascii="宋体" w:cs="宋体"/>
          <w:b/>
          <w:sz w:val="24"/>
        </w:rPr>
      </w:pPr>
    </w:p>
    <w:p>
      <w:pPr>
        <w:spacing w:line="360" w:lineRule="auto"/>
        <w:jc w:val="center"/>
        <w:rPr>
          <w:rFonts w:ascii="宋体" w:cs="宋体"/>
          <w:b/>
          <w:sz w:val="24"/>
        </w:rPr>
      </w:pPr>
    </w:p>
    <w:p>
      <w:pPr>
        <w:spacing w:line="360" w:lineRule="auto"/>
        <w:jc w:val="center"/>
        <w:rPr>
          <w:rFonts w:ascii="宋体" w:cs="宋体"/>
          <w:b/>
          <w:sz w:val="24"/>
        </w:rPr>
      </w:pPr>
    </w:p>
    <w:p>
      <w:pPr>
        <w:spacing w:line="360" w:lineRule="auto"/>
        <w:jc w:val="center"/>
        <w:rPr>
          <w:rFonts w:ascii="宋体" w:cs="宋体"/>
          <w:b/>
          <w:sz w:val="24"/>
        </w:rPr>
      </w:pPr>
    </w:p>
    <w:p>
      <w:pPr>
        <w:spacing w:line="360" w:lineRule="auto"/>
        <w:jc w:val="center"/>
        <w:rPr>
          <w:rFonts w:ascii="宋体" w:cs="宋体"/>
          <w:b/>
          <w:sz w:val="24"/>
        </w:rPr>
      </w:pPr>
    </w:p>
    <w:p>
      <w:pPr>
        <w:spacing w:line="360" w:lineRule="auto"/>
        <w:jc w:val="center"/>
        <w:rPr>
          <w:rFonts w:ascii="宋体" w:cs="宋体"/>
          <w:b/>
          <w:sz w:val="24"/>
        </w:rPr>
      </w:pPr>
    </w:p>
    <w:p>
      <w:pPr>
        <w:spacing w:line="360" w:lineRule="auto"/>
        <w:jc w:val="center"/>
        <w:rPr>
          <w:rFonts w:ascii="宋体" w:cs="宋体"/>
          <w:b/>
          <w:sz w:val="24"/>
        </w:rPr>
      </w:pPr>
    </w:p>
    <w:p>
      <w:pPr>
        <w:spacing w:line="360" w:lineRule="auto"/>
        <w:jc w:val="center"/>
        <w:rPr>
          <w:rFonts w:ascii="宋体" w:cs="宋体"/>
          <w:b/>
          <w:sz w:val="24"/>
        </w:rPr>
      </w:pPr>
    </w:p>
    <w:p>
      <w:pPr>
        <w:spacing w:line="360" w:lineRule="auto"/>
        <w:jc w:val="center"/>
        <w:rPr>
          <w:rFonts w:ascii="宋体" w:cs="宋体"/>
          <w:b/>
          <w:sz w:val="24"/>
        </w:rPr>
      </w:pPr>
    </w:p>
    <w:p>
      <w:pPr>
        <w:spacing w:line="360" w:lineRule="auto"/>
        <w:jc w:val="center"/>
        <w:rPr>
          <w:rFonts w:ascii="宋体" w:cs="宋体"/>
          <w:b/>
          <w:sz w:val="24"/>
        </w:rPr>
      </w:pPr>
    </w:p>
    <w:p>
      <w:pPr>
        <w:spacing w:line="360" w:lineRule="auto"/>
        <w:jc w:val="center"/>
        <w:rPr>
          <w:rFonts w:ascii="宋体" w:cs="宋体"/>
          <w:b/>
          <w:sz w:val="24"/>
        </w:rPr>
      </w:pPr>
    </w:p>
    <w:p>
      <w:pPr>
        <w:jc w:val="center"/>
        <w:rPr>
          <w:rFonts w:ascii="仿宋" w:eastAsia="仿宋"/>
          <w:b/>
          <w:sz w:val="32"/>
          <w:szCs w:val="32"/>
        </w:rPr>
      </w:pPr>
      <w:r>
        <w:rPr>
          <w:rFonts w:hint="eastAsia" w:ascii="仿宋" w:eastAsia="仿宋"/>
          <w:b/>
          <w:sz w:val="32"/>
          <w:szCs w:val="32"/>
        </w:rPr>
        <w:t>湖北省自然资源厅   发布</w:t>
      </w:r>
    </w:p>
    <w:p>
      <w:pPr>
        <w:rPr>
          <w:rFonts w:ascii="仿宋" w:eastAsia="仿宋"/>
          <w:b/>
          <w:sz w:val="32"/>
          <w:szCs w:val="32"/>
        </w:rPr>
        <w:sectPr>
          <w:headerReference r:id="rId3" w:type="first"/>
          <w:footerReference r:id="rId5" w:type="first"/>
          <w:footerReference r:id="rId4" w:type="default"/>
          <w:pgSz w:w="11906" w:h="16838"/>
          <w:pgMar w:top="1418" w:right="1134" w:bottom="1134" w:left="1418" w:header="851" w:footer="992" w:gutter="0"/>
          <w:pgNumType w:fmt="upperRoman" w:start="1"/>
          <w:cols w:space="720" w:num="1"/>
          <w:docGrid w:linePitch="312" w:charSpace="0"/>
        </w:sectPr>
      </w:pPr>
    </w:p>
    <w:p>
      <w:pPr>
        <w:pStyle w:val="13"/>
        <w:tabs>
          <w:tab w:val="right" w:leader="dot" w:pos="8296"/>
        </w:tabs>
        <w:spacing w:before="851" w:after="680" w:line="240" w:lineRule="auto"/>
        <w:jc w:val="center"/>
        <w:rPr>
          <w:rFonts w:ascii="黑体" w:eastAsia="黑体"/>
          <w:bCs/>
          <w:sz w:val="32"/>
          <w:szCs w:val="32"/>
        </w:rPr>
      </w:pPr>
      <w:r>
        <w:rPr>
          <w:rFonts w:hint="eastAsia" w:ascii="黑体" w:eastAsia="黑体"/>
          <w:bCs/>
          <w:sz w:val="32"/>
          <w:szCs w:val="32"/>
        </w:rPr>
        <w:t>目  次</w:t>
      </w:r>
    </w:p>
    <w:p>
      <w:pPr>
        <w:pStyle w:val="13"/>
        <w:tabs>
          <w:tab w:val="right" w:leader="dot" w:pos="8296"/>
        </w:tabs>
        <w:rPr>
          <w:rFonts w:ascii="Times New Roman" w:hAnsi="Times New Roman" w:eastAsia="宋体"/>
          <w:kern w:val="2"/>
          <w:sz w:val="21"/>
          <w:szCs w:val="21"/>
        </w:rPr>
      </w:pPr>
      <w:r>
        <w:rPr>
          <w:rFonts w:ascii="Times New Roman" w:hAnsi="Times New Roman" w:eastAsia="宋体"/>
          <w:sz w:val="21"/>
          <w:szCs w:val="21"/>
        </w:rPr>
        <w:fldChar w:fldCharType="begin"/>
      </w:r>
      <w:r>
        <w:rPr>
          <w:rFonts w:ascii="Times New Roman" w:hAnsi="Times New Roman" w:eastAsia="宋体"/>
          <w:sz w:val="21"/>
          <w:szCs w:val="21"/>
        </w:rPr>
        <w:instrText xml:space="preserve"> TOC \o "1-3" \h \z \u </w:instrText>
      </w:r>
      <w:r>
        <w:rPr>
          <w:rFonts w:ascii="Times New Roman" w:hAnsi="Times New Roman" w:eastAsia="宋体"/>
          <w:sz w:val="21"/>
          <w:szCs w:val="21"/>
        </w:rPr>
        <w:fldChar w:fldCharType="separate"/>
      </w:r>
      <w:r>
        <w:rPr>
          <w:rFonts w:ascii="Times New Roman" w:hAnsi="Times New Roman"/>
          <w:sz w:val="21"/>
          <w:szCs w:val="21"/>
        </w:rPr>
        <w:fldChar w:fldCharType="begin"/>
      </w:r>
      <w:r>
        <w:rPr>
          <w:rFonts w:ascii="Times New Roman" w:hAnsi="Times New Roman"/>
          <w:sz w:val="21"/>
          <w:szCs w:val="21"/>
        </w:rPr>
        <w:instrText xml:space="preserve">Hyperlink \l "_Toc24540495"</w:instrText>
      </w:r>
      <w:r>
        <w:rPr>
          <w:rFonts w:ascii="Times New Roman" w:hAnsi="Times New Roman"/>
          <w:sz w:val="21"/>
          <w:szCs w:val="21"/>
        </w:rPr>
        <w:fldChar w:fldCharType="separate"/>
      </w:r>
      <w:r>
        <w:rPr>
          <w:rFonts w:ascii="Times New Roman" w:hAnsi="Times New Roman" w:eastAsia="宋体"/>
          <w:sz w:val="21"/>
          <w:szCs w:val="21"/>
        </w:rPr>
        <w:t>前言</w:t>
      </w:r>
      <w:r>
        <w:rPr>
          <w:rFonts w:ascii="Times New Roman" w:hAnsi="Times New Roman" w:eastAsia="宋体"/>
          <w:sz w:val="21"/>
          <w:szCs w:val="21"/>
        </w:rPr>
        <w:tab/>
      </w:r>
      <w:r>
        <w:rPr>
          <w:rFonts w:ascii="Times New Roman" w:hAnsi="Times New Roman" w:eastAsia="宋体"/>
          <w:sz w:val="21"/>
          <w:szCs w:val="21"/>
        </w:rPr>
        <w:fldChar w:fldCharType="begin"/>
      </w:r>
      <w:r>
        <w:rPr>
          <w:rFonts w:ascii="Times New Roman" w:hAnsi="Times New Roman" w:eastAsia="宋体"/>
          <w:sz w:val="21"/>
          <w:szCs w:val="21"/>
        </w:rPr>
        <w:instrText xml:space="preserve"> PAGEREF _Toc24540495 \h </w:instrText>
      </w:r>
      <w:r>
        <w:rPr>
          <w:rFonts w:ascii="Times New Roman" w:hAnsi="Times New Roman" w:eastAsia="宋体"/>
          <w:sz w:val="21"/>
          <w:szCs w:val="21"/>
        </w:rPr>
        <w:fldChar w:fldCharType="separate"/>
      </w:r>
      <w:r>
        <w:rPr>
          <w:rFonts w:ascii="Times New Roman" w:hAnsi="Times New Roman" w:eastAsia="宋体"/>
          <w:sz w:val="21"/>
          <w:szCs w:val="21"/>
        </w:rPr>
        <w:t>III</w:t>
      </w:r>
      <w:r>
        <w:rPr>
          <w:rFonts w:ascii="Times New Roman" w:hAnsi="Times New Roman" w:eastAsia="宋体"/>
          <w:sz w:val="21"/>
          <w:szCs w:val="21"/>
        </w:rPr>
        <w:fldChar w:fldCharType="end"/>
      </w:r>
      <w:r>
        <w:rPr>
          <w:rFonts w:ascii="Times New Roman" w:hAnsi="Times New Roman"/>
          <w:sz w:val="21"/>
          <w:szCs w:val="21"/>
        </w:rPr>
        <w:fldChar w:fldCharType="end"/>
      </w:r>
    </w:p>
    <w:p>
      <w:pPr>
        <w:pStyle w:val="13"/>
        <w:tabs>
          <w:tab w:val="right" w:leader="dot" w:pos="8296"/>
        </w:tabs>
        <w:rPr>
          <w:rFonts w:ascii="Times New Roman" w:hAnsi="Times New Roman" w:eastAsia="宋体"/>
          <w:kern w:val="2"/>
          <w:sz w:val="21"/>
          <w:szCs w:val="21"/>
        </w:rPr>
      </w:pPr>
      <w:r>
        <w:rPr>
          <w:rFonts w:ascii="Times New Roman" w:hAnsi="Times New Roman"/>
          <w:sz w:val="21"/>
          <w:szCs w:val="21"/>
        </w:rPr>
        <w:fldChar w:fldCharType="begin"/>
      </w:r>
      <w:r>
        <w:rPr>
          <w:rFonts w:ascii="Times New Roman" w:hAnsi="Times New Roman"/>
          <w:sz w:val="21"/>
          <w:szCs w:val="21"/>
        </w:rPr>
        <w:instrText xml:space="preserve">Hyperlink \l "_Toc24540496"</w:instrText>
      </w:r>
      <w:r>
        <w:rPr>
          <w:rFonts w:ascii="Times New Roman" w:hAnsi="Times New Roman"/>
          <w:sz w:val="21"/>
          <w:szCs w:val="21"/>
        </w:rPr>
        <w:fldChar w:fldCharType="separate"/>
      </w:r>
      <w:r>
        <w:rPr>
          <w:rFonts w:ascii="Times New Roman" w:hAnsi="Times New Roman" w:eastAsia="宋体"/>
          <w:sz w:val="21"/>
          <w:szCs w:val="21"/>
        </w:rPr>
        <w:t>引言</w:t>
      </w:r>
      <w:r>
        <w:rPr>
          <w:rFonts w:ascii="Times New Roman" w:hAnsi="Times New Roman" w:eastAsia="宋体"/>
          <w:sz w:val="21"/>
          <w:szCs w:val="21"/>
        </w:rPr>
        <w:tab/>
      </w:r>
      <w:r>
        <w:rPr>
          <w:rFonts w:ascii="Times New Roman" w:hAnsi="Times New Roman" w:eastAsia="宋体"/>
          <w:sz w:val="21"/>
          <w:szCs w:val="21"/>
        </w:rPr>
        <w:fldChar w:fldCharType="begin"/>
      </w:r>
      <w:r>
        <w:rPr>
          <w:rFonts w:ascii="Times New Roman" w:hAnsi="Times New Roman" w:eastAsia="宋体"/>
          <w:sz w:val="21"/>
          <w:szCs w:val="21"/>
        </w:rPr>
        <w:instrText xml:space="preserve"> PAGEREF _Toc24540496 \h </w:instrText>
      </w:r>
      <w:r>
        <w:rPr>
          <w:rFonts w:ascii="Times New Roman" w:hAnsi="Times New Roman" w:eastAsia="宋体"/>
          <w:sz w:val="21"/>
          <w:szCs w:val="21"/>
        </w:rPr>
        <w:fldChar w:fldCharType="separate"/>
      </w:r>
      <w:r>
        <w:rPr>
          <w:rFonts w:ascii="Times New Roman" w:hAnsi="Times New Roman" w:eastAsia="宋体"/>
          <w:sz w:val="21"/>
          <w:szCs w:val="21"/>
        </w:rPr>
        <w:t>IV</w:t>
      </w:r>
      <w:r>
        <w:rPr>
          <w:rFonts w:ascii="Times New Roman" w:hAnsi="Times New Roman" w:eastAsia="宋体"/>
          <w:sz w:val="21"/>
          <w:szCs w:val="21"/>
        </w:rPr>
        <w:fldChar w:fldCharType="end"/>
      </w:r>
      <w:r>
        <w:rPr>
          <w:rFonts w:ascii="Times New Roman" w:hAnsi="Times New Roman"/>
          <w:sz w:val="21"/>
          <w:szCs w:val="21"/>
        </w:rPr>
        <w:fldChar w:fldCharType="end"/>
      </w:r>
    </w:p>
    <w:p>
      <w:pPr>
        <w:pStyle w:val="13"/>
        <w:tabs>
          <w:tab w:val="right" w:leader="dot" w:pos="8296"/>
        </w:tabs>
        <w:rPr>
          <w:rFonts w:ascii="Times New Roman" w:hAnsi="Times New Roman" w:eastAsia="宋体"/>
          <w:kern w:val="2"/>
          <w:sz w:val="21"/>
          <w:szCs w:val="21"/>
        </w:rPr>
      </w:pPr>
      <w:r>
        <w:rPr>
          <w:rFonts w:ascii="Times New Roman" w:hAnsi="Times New Roman"/>
          <w:sz w:val="21"/>
          <w:szCs w:val="21"/>
        </w:rPr>
        <w:fldChar w:fldCharType="begin"/>
      </w:r>
      <w:r>
        <w:rPr>
          <w:rFonts w:ascii="Times New Roman" w:hAnsi="Times New Roman"/>
          <w:sz w:val="21"/>
          <w:szCs w:val="21"/>
        </w:rPr>
        <w:instrText xml:space="preserve">Hyperlink \l "_Toc24540497"</w:instrText>
      </w:r>
      <w:r>
        <w:rPr>
          <w:rFonts w:ascii="Times New Roman" w:hAnsi="Times New Roman"/>
          <w:sz w:val="21"/>
          <w:szCs w:val="21"/>
        </w:rPr>
        <w:fldChar w:fldCharType="separate"/>
      </w:r>
      <w:r>
        <w:rPr>
          <w:rFonts w:ascii="Times New Roman" w:hAnsi="Times New Roman" w:eastAsia="宋体"/>
          <w:sz w:val="21"/>
          <w:szCs w:val="21"/>
        </w:rPr>
        <w:t>1  范围</w:t>
      </w:r>
      <w:r>
        <w:rPr>
          <w:rFonts w:ascii="Times New Roman" w:hAnsi="Times New Roman" w:eastAsia="宋体"/>
          <w:sz w:val="21"/>
          <w:szCs w:val="21"/>
        </w:rPr>
        <w:tab/>
      </w:r>
      <w:r>
        <w:rPr>
          <w:rFonts w:ascii="Times New Roman" w:hAnsi="Times New Roman" w:eastAsia="宋体"/>
          <w:sz w:val="21"/>
          <w:szCs w:val="21"/>
        </w:rPr>
        <w:fldChar w:fldCharType="begin"/>
      </w:r>
      <w:r>
        <w:rPr>
          <w:rFonts w:ascii="Times New Roman" w:hAnsi="Times New Roman" w:eastAsia="宋体"/>
          <w:sz w:val="21"/>
          <w:szCs w:val="21"/>
        </w:rPr>
        <w:instrText xml:space="preserve"> PAGEREF _Toc24540497 \h </w:instrText>
      </w:r>
      <w:r>
        <w:rPr>
          <w:rFonts w:ascii="Times New Roman" w:hAnsi="Times New Roman" w:eastAsia="宋体"/>
          <w:sz w:val="21"/>
          <w:szCs w:val="21"/>
        </w:rPr>
        <w:fldChar w:fldCharType="separate"/>
      </w:r>
      <w:r>
        <w:rPr>
          <w:rFonts w:ascii="Times New Roman" w:hAnsi="Times New Roman" w:eastAsia="宋体"/>
          <w:sz w:val="21"/>
          <w:szCs w:val="21"/>
        </w:rPr>
        <w:t>1</w:t>
      </w:r>
      <w:r>
        <w:rPr>
          <w:rFonts w:ascii="Times New Roman" w:hAnsi="Times New Roman" w:eastAsia="宋体"/>
          <w:sz w:val="21"/>
          <w:szCs w:val="21"/>
        </w:rPr>
        <w:fldChar w:fldCharType="end"/>
      </w:r>
      <w:r>
        <w:rPr>
          <w:rFonts w:ascii="Times New Roman" w:hAnsi="Times New Roman"/>
          <w:sz w:val="21"/>
          <w:szCs w:val="21"/>
        </w:rPr>
        <w:fldChar w:fldCharType="end"/>
      </w:r>
    </w:p>
    <w:p>
      <w:pPr>
        <w:pStyle w:val="13"/>
        <w:tabs>
          <w:tab w:val="right" w:leader="dot" w:pos="8296"/>
        </w:tabs>
        <w:rPr>
          <w:rFonts w:ascii="Times New Roman" w:hAnsi="Times New Roman" w:eastAsia="宋体"/>
          <w:kern w:val="2"/>
          <w:sz w:val="21"/>
          <w:szCs w:val="21"/>
        </w:rPr>
      </w:pPr>
      <w:r>
        <w:rPr>
          <w:rFonts w:ascii="Times New Roman" w:hAnsi="Times New Roman"/>
          <w:sz w:val="21"/>
          <w:szCs w:val="21"/>
        </w:rPr>
        <w:fldChar w:fldCharType="begin"/>
      </w:r>
      <w:r>
        <w:rPr>
          <w:rFonts w:ascii="Times New Roman" w:hAnsi="Times New Roman"/>
          <w:sz w:val="21"/>
          <w:szCs w:val="21"/>
        </w:rPr>
        <w:instrText xml:space="preserve">Hyperlink \l "_Toc24540498"</w:instrText>
      </w:r>
      <w:r>
        <w:rPr>
          <w:rFonts w:ascii="Times New Roman" w:hAnsi="Times New Roman"/>
          <w:sz w:val="21"/>
          <w:szCs w:val="21"/>
        </w:rPr>
        <w:fldChar w:fldCharType="separate"/>
      </w:r>
      <w:r>
        <w:rPr>
          <w:rFonts w:ascii="Times New Roman" w:hAnsi="Times New Roman" w:eastAsia="宋体"/>
          <w:sz w:val="21"/>
          <w:szCs w:val="21"/>
        </w:rPr>
        <w:t>2  规范性引用文件</w:t>
      </w:r>
      <w:r>
        <w:rPr>
          <w:rFonts w:ascii="Times New Roman" w:hAnsi="Times New Roman" w:eastAsia="宋体"/>
          <w:sz w:val="21"/>
          <w:szCs w:val="21"/>
        </w:rPr>
        <w:tab/>
      </w:r>
      <w:r>
        <w:rPr>
          <w:rFonts w:ascii="Times New Roman" w:hAnsi="Times New Roman" w:eastAsia="宋体"/>
          <w:sz w:val="21"/>
          <w:szCs w:val="21"/>
        </w:rPr>
        <w:fldChar w:fldCharType="begin"/>
      </w:r>
      <w:r>
        <w:rPr>
          <w:rFonts w:ascii="Times New Roman" w:hAnsi="Times New Roman" w:eastAsia="宋体"/>
          <w:sz w:val="21"/>
          <w:szCs w:val="21"/>
        </w:rPr>
        <w:instrText xml:space="preserve"> PAGEREF _Toc24540498 \h </w:instrText>
      </w:r>
      <w:r>
        <w:rPr>
          <w:rFonts w:ascii="Times New Roman" w:hAnsi="Times New Roman" w:eastAsia="宋体"/>
          <w:sz w:val="21"/>
          <w:szCs w:val="21"/>
        </w:rPr>
        <w:fldChar w:fldCharType="separate"/>
      </w:r>
      <w:r>
        <w:rPr>
          <w:rFonts w:ascii="Times New Roman" w:hAnsi="Times New Roman" w:eastAsia="宋体"/>
          <w:sz w:val="21"/>
          <w:szCs w:val="21"/>
        </w:rPr>
        <w:t>1</w:t>
      </w:r>
      <w:r>
        <w:rPr>
          <w:rFonts w:ascii="Times New Roman" w:hAnsi="Times New Roman" w:eastAsia="宋体"/>
          <w:sz w:val="21"/>
          <w:szCs w:val="21"/>
        </w:rPr>
        <w:fldChar w:fldCharType="end"/>
      </w:r>
      <w:r>
        <w:rPr>
          <w:rFonts w:ascii="Times New Roman" w:hAnsi="Times New Roman"/>
          <w:sz w:val="21"/>
          <w:szCs w:val="21"/>
        </w:rPr>
        <w:fldChar w:fldCharType="end"/>
      </w:r>
    </w:p>
    <w:p>
      <w:pPr>
        <w:pStyle w:val="13"/>
        <w:tabs>
          <w:tab w:val="right" w:leader="dot" w:pos="8296"/>
        </w:tabs>
        <w:rPr>
          <w:rFonts w:ascii="Times New Roman" w:hAnsi="Times New Roman" w:eastAsia="宋体"/>
          <w:kern w:val="2"/>
          <w:sz w:val="21"/>
          <w:szCs w:val="21"/>
        </w:rPr>
      </w:pPr>
      <w:r>
        <w:rPr>
          <w:rFonts w:ascii="Times New Roman" w:hAnsi="Times New Roman"/>
          <w:sz w:val="21"/>
          <w:szCs w:val="21"/>
        </w:rPr>
        <w:fldChar w:fldCharType="begin"/>
      </w:r>
      <w:r>
        <w:rPr>
          <w:rFonts w:ascii="Times New Roman" w:hAnsi="Times New Roman"/>
          <w:sz w:val="21"/>
          <w:szCs w:val="21"/>
        </w:rPr>
        <w:instrText xml:space="preserve">Hyperlink \l "_Toc24540499"</w:instrText>
      </w:r>
      <w:r>
        <w:rPr>
          <w:rFonts w:ascii="Times New Roman" w:hAnsi="Times New Roman"/>
          <w:sz w:val="21"/>
          <w:szCs w:val="21"/>
        </w:rPr>
        <w:fldChar w:fldCharType="separate"/>
      </w:r>
      <w:r>
        <w:rPr>
          <w:rFonts w:ascii="Times New Roman" w:hAnsi="Times New Roman" w:eastAsia="宋体"/>
          <w:sz w:val="21"/>
          <w:szCs w:val="21"/>
        </w:rPr>
        <w:t>3  术语和定义</w:t>
      </w:r>
      <w:r>
        <w:rPr>
          <w:rFonts w:ascii="Times New Roman" w:hAnsi="Times New Roman" w:eastAsia="宋体"/>
          <w:sz w:val="21"/>
          <w:szCs w:val="21"/>
        </w:rPr>
        <w:tab/>
      </w:r>
      <w:r>
        <w:rPr>
          <w:rFonts w:ascii="Times New Roman" w:hAnsi="Times New Roman" w:eastAsia="宋体"/>
          <w:sz w:val="21"/>
          <w:szCs w:val="21"/>
        </w:rPr>
        <w:fldChar w:fldCharType="begin"/>
      </w:r>
      <w:r>
        <w:rPr>
          <w:rFonts w:ascii="Times New Roman" w:hAnsi="Times New Roman" w:eastAsia="宋体"/>
          <w:sz w:val="21"/>
          <w:szCs w:val="21"/>
        </w:rPr>
        <w:instrText xml:space="preserve"> PAGEREF _Toc24540499 \h </w:instrText>
      </w:r>
      <w:r>
        <w:rPr>
          <w:rFonts w:ascii="Times New Roman" w:hAnsi="Times New Roman" w:eastAsia="宋体"/>
          <w:sz w:val="21"/>
          <w:szCs w:val="21"/>
        </w:rPr>
        <w:fldChar w:fldCharType="separate"/>
      </w:r>
      <w:r>
        <w:rPr>
          <w:rFonts w:ascii="Times New Roman" w:hAnsi="Times New Roman" w:eastAsia="宋体"/>
          <w:sz w:val="21"/>
          <w:szCs w:val="21"/>
        </w:rPr>
        <w:t>1</w:t>
      </w:r>
      <w:r>
        <w:rPr>
          <w:rFonts w:ascii="Times New Roman" w:hAnsi="Times New Roman" w:eastAsia="宋体"/>
          <w:sz w:val="21"/>
          <w:szCs w:val="21"/>
        </w:rPr>
        <w:fldChar w:fldCharType="end"/>
      </w:r>
      <w:r>
        <w:rPr>
          <w:rFonts w:ascii="Times New Roman" w:hAnsi="Times New Roman"/>
          <w:sz w:val="21"/>
          <w:szCs w:val="21"/>
        </w:rPr>
        <w:fldChar w:fldCharType="end"/>
      </w:r>
    </w:p>
    <w:p>
      <w:pPr>
        <w:pStyle w:val="13"/>
        <w:tabs>
          <w:tab w:val="right" w:leader="dot" w:pos="8296"/>
        </w:tabs>
        <w:rPr>
          <w:rFonts w:ascii="Times New Roman" w:hAnsi="Times New Roman" w:eastAsia="宋体"/>
          <w:kern w:val="2"/>
          <w:sz w:val="21"/>
          <w:szCs w:val="21"/>
        </w:rPr>
      </w:pPr>
      <w:r>
        <w:rPr>
          <w:rFonts w:ascii="Times New Roman" w:hAnsi="Times New Roman"/>
          <w:sz w:val="21"/>
          <w:szCs w:val="21"/>
        </w:rPr>
        <w:fldChar w:fldCharType="begin"/>
      </w:r>
      <w:r>
        <w:rPr>
          <w:rFonts w:ascii="Times New Roman" w:hAnsi="Times New Roman"/>
          <w:sz w:val="21"/>
          <w:szCs w:val="21"/>
        </w:rPr>
        <w:instrText xml:space="preserve">Hyperlink \l "_Toc24540500"</w:instrText>
      </w:r>
      <w:r>
        <w:rPr>
          <w:rFonts w:ascii="Times New Roman" w:hAnsi="Times New Roman"/>
          <w:sz w:val="21"/>
          <w:szCs w:val="21"/>
        </w:rPr>
        <w:fldChar w:fldCharType="separate"/>
      </w:r>
      <w:r>
        <w:rPr>
          <w:rFonts w:ascii="Times New Roman" w:hAnsi="Times New Roman" w:eastAsia="宋体"/>
          <w:sz w:val="21"/>
          <w:szCs w:val="21"/>
        </w:rPr>
        <w:t>4  总则</w:t>
      </w:r>
      <w:r>
        <w:rPr>
          <w:rFonts w:ascii="Times New Roman" w:hAnsi="Times New Roman" w:eastAsia="宋体"/>
          <w:sz w:val="21"/>
          <w:szCs w:val="21"/>
        </w:rPr>
        <w:tab/>
      </w:r>
      <w:r>
        <w:rPr>
          <w:rFonts w:ascii="Times New Roman" w:hAnsi="Times New Roman" w:eastAsia="宋体"/>
          <w:sz w:val="21"/>
          <w:szCs w:val="21"/>
        </w:rPr>
        <w:fldChar w:fldCharType="begin"/>
      </w:r>
      <w:r>
        <w:rPr>
          <w:rFonts w:ascii="Times New Roman" w:hAnsi="Times New Roman" w:eastAsia="宋体"/>
          <w:sz w:val="21"/>
          <w:szCs w:val="21"/>
        </w:rPr>
        <w:instrText xml:space="preserve"> PAGEREF _Toc24540500 \h </w:instrText>
      </w:r>
      <w:r>
        <w:rPr>
          <w:rFonts w:ascii="Times New Roman" w:hAnsi="Times New Roman" w:eastAsia="宋体"/>
          <w:sz w:val="21"/>
          <w:szCs w:val="21"/>
        </w:rPr>
        <w:fldChar w:fldCharType="separate"/>
      </w:r>
      <w:r>
        <w:rPr>
          <w:rFonts w:ascii="Times New Roman" w:hAnsi="Times New Roman" w:eastAsia="宋体"/>
          <w:sz w:val="21"/>
          <w:szCs w:val="21"/>
        </w:rPr>
        <w:t>3</w:t>
      </w:r>
      <w:r>
        <w:rPr>
          <w:rFonts w:ascii="Times New Roman" w:hAnsi="Times New Roman" w:eastAsia="宋体"/>
          <w:sz w:val="21"/>
          <w:szCs w:val="21"/>
        </w:rPr>
        <w:fldChar w:fldCharType="end"/>
      </w:r>
      <w:r>
        <w:rPr>
          <w:rFonts w:ascii="Times New Roman" w:hAnsi="Times New Roman"/>
          <w:sz w:val="21"/>
          <w:szCs w:val="21"/>
        </w:rPr>
        <w:fldChar w:fldCharType="end"/>
      </w:r>
    </w:p>
    <w:p>
      <w:pPr>
        <w:pStyle w:val="15"/>
        <w:tabs>
          <w:tab w:val="right" w:leader="dot" w:pos="8296"/>
        </w:tabs>
        <w:rPr>
          <w:rFonts w:ascii="Times New Roman" w:hAnsi="Times New Roman" w:eastAsia="宋体"/>
          <w:kern w:val="2"/>
          <w:sz w:val="21"/>
          <w:szCs w:val="21"/>
        </w:rPr>
      </w:pPr>
      <w:r>
        <w:rPr>
          <w:rFonts w:ascii="Times New Roman" w:hAnsi="Times New Roman"/>
          <w:sz w:val="21"/>
          <w:szCs w:val="21"/>
        </w:rPr>
        <w:fldChar w:fldCharType="begin"/>
      </w:r>
      <w:r>
        <w:rPr>
          <w:rFonts w:ascii="Times New Roman" w:hAnsi="Times New Roman"/>
          <w:sz w:val="21"/>
          <w:szCs w:val="21"/>
        </w:rPr>
        <w:instrText xml:space="preserve">Hyperlink \l "_Toc24540501"</w:instrText>
      </w:r>
      <w:r>
        <w:rPr>
          <w:rFonts w:ascii="Times New Roman" w:hAnsi="Times New Roman"/>
          <w:sz w:val="21"/>
          <w:szCs w:val="21"/>
        </w:rPr>
        <w:fldChar w:fldCharType="separate"/>
      </w:r>
      <w:r>
        <w:rPr>
          <w:rFonts w:ascii="Times New Roman" w:hAnsi="Times New Roman" w:eastAsia="宋体"/>
          <w:sz w:val="21"/>
          <w:szCs w:val="21"/>
        </w:rPr>
        <w:t>4.1  目的</w:t>
      </w:r>
      <w:r>
        <w:rPr>
          <w:rFonts w:ascii="Times New Roman" w:hAnsi="Times New Roman" w:eastAsia="宋体"/>
          <w:sz w:val="21"/>
          <w:szCs w:val="21"/>
        </w:rPr>
        <w:tab/>
      </w:r>
      <w:r>
        <w:rPr>
          <w:rFonts w:ascii="Times New Roman" w:hAnsi="Times New Roman" w:eastAsia="宋体"/>
          <w:sz w:val="21"/>
          <w:szCs w:val="21"/>
        </w:rPr>
        <w:fldChar w:fldCharType="begin"/>
      </w:r>
      <w:r>
        <w:rPr>
          <w:rFonts w:ascii="Times New Roman" w:hAnsi="Times New Roman" w:eastAsia="宋体"/>
          <w:sz w:val="21"/>
          <w:szCs w:val="21"/>
        </w:rPr>
        <w:instrText xml:space="preserve"> PAGEREF _Toc24540501 \h </w:instrText>
      </w:r>
      <w:r>
        <w:rPr>
          <w:rFonts w:ascii="Times New Roman" w:hAnsi="Times New Roman" w:eastAsia="宋体"/>
          <w:sz w:val="21"/>
          <w:szCs w:val="21"/>
        </w:rPr>
        <w:fldChar w:fldCharType="separate"/>
      </w:r>
      <w:r>
        <w:rPr>
          <w:rFonts w:ascii="Times New Roman" w:hAnsi="Times New Roman" w:eastAsia="宋体"/>
          <w:sz w:val="21"/>
          <w:szCs w:val="21"/>
        </w:rPr>
        <w:t>3</w:t>
      </w:r>
      <w:r>
        <w:rPr>
          <w:rFonts w:ascii="Times New Roman" w:hAnsi="Times New Roman" w:eastAsia="宋体"/>
          <w:sz w:val="21"/>
          <w:szCs w:val="21"/>
        </w:rPr>
        <w:fldChar w:fldCharType="end"/>
      </w:r>
      <w:r>
        <w:rPr>
          <w:rFonts w:ascii="Times New Roman" w:hAnsi="Times New Roman"/>
          <w:sz w:val="21"/>
          <w:szCs w:val="21"/>
        </w:rPr>
        <w:fldChar w:fldCharType="end"/>
      </w:r>
    </w:p>
    <w:p>
      <w:pPr>
        <w:pStyle w:val="15"/>
        <w:tabs>
          <w:tab w:val="right" w:leader="dot" w:pos="8296"/>
        </w:tabs>
        <w:rPr>
          <w:rFonts w:ascii="Times New Roman" w:hAnsi="Times New Roman" w:eastAsia="宋体"/>
          <w:kern w:val="2"/>
          <w:sz w:val="21"/>
          <w:szCs w:val="21"/>
        </w:rPr>
      </w:pPr>
      <w:r>
        <w:rPr>
          <w:rFonts w:ascii="Times New Roman" w:hAnsi="Times New Roman"/>
          <w:sz w:val="21"/>
          <w:szCs w:val="21"/>
        </w:rPr>
        <w:fldChar w:fldCharType="begin"/>
      </w:r>
      <w:r>
        <w:rPr>
          <w:rFonts w:ascii="Times New Roman" w:hAnsi="Times New Roman"/>
          <w:sz w:val="21"/>
          <w:szCs w:val="21"/>
        </w:rPr>
        <w:instrText xml:space="preserve">Hyperlink \l "_Toc24540502"</w:instrText>
      </w:r>
      <w:r>
        <w:rPr>
          <w:rFonts w:ascii="Times New Roman" w:hAnsi="Times New Roman"/>
          <w:sz w:val="21"/>
          <w:szCs w:val="21"/>
        </w:rPr>
        <w:fldChar w:fldCharType="separate"/>
      </w:r>
      <w:r>
        <w:rPr>
          <w:rFonts w:ascii="Times New Roman" w:hAnsi="Times New Roman" w:eastAsia="宋体"/>
          <w:sz w:val="21"/>
          <w:szCs w:val="21"/>
        </w:rPr>
        <w:t>4.2  任务</w:t>
      </w:r>
      <w:r>
        <w:rPr>
          <w:rFonts w:ascii="Times New Roman" w:hAnsi="Times New Roman" w:eastAsia="宋体"/>
          <w:sz w:val="21"/>
          <w:szCs w:val="21"/>
        </w:rPr>
        <w:tab/>
      </w:r>
      <w:r>
        <w:rPr>
          <w:rFonts w:ascii="Times New Roman" w:hAnsi="Times New Roman" w:eastAsia="宋体"/>
          <w:sz w:val="21"/>
          <w:szCs w:val="21"/>
        </w:rPr>
        <w:fldChar w:fldCharType="begin"/>
      </w:r>
      <w:r>
        <w:rPr>
          <w:rFonts w:ascii="Times New Roman" w:hAnsi="Times New Roman" w:eastAsia="宋体"/>
          <w:sz w:val="21"/>
          <w:szCs w:val="21"/>
        </w:rPr>
        <w:instrText xml:space="preserve"> PAGEREF _Toc24540502 \h </w:instrText>
      </w:r>
      <w:r>
        <w:rPr>
          <w:rFonts w:ascii="Times New Roman" w:hAnsi="Times New Roman" w:eastAsia="宋体"/>
          <w:sz w:val="21"/>
          <w:szCs w:val="21"/>
        </w:rPr>
        <w:fldChar w:fldCharType="separate"/>
      </w:r>
      <w:r>
        <w:rPr>
          <w:rFonts w:ascii="Times New Roman" w:hAnsi="Times New Roman" w:eastAsia="宋体"/>
          <w:sz w:val="21"/>
          <w:szCs w:val="21"/>
        </w:rPr>
        <w:t>3</w:t>
      </w:r>
      <w:r>
        <w:rPr>
          <w:rFonts w:ascii="Times New Roman" w:hAnsi="Times New Roman" w:eastAsia="宋体"/>
          <w:sz w:val="21"/>
          <w:szCs w:val="21"/>
        </w:rPr>
        <w:fldChar w:fldCharType="end"/>
      </w:r>
      <w:r>
        <w:rPr>
          <w:rFonts w:ascii="Times New Roman" w:hAnsi="Times New Roman"/>
          <w:sz w:val="21"/>
          <w:szCs w:val="21"/>
        </w:rPr>
        <w:fldChar w:fldCharType="end"/>
      </w:r>
    </w:p>
    <w:p>
      <w:pPr>
        <w:pStyle w:val="15"/>
        <w:tabs>
          <w:tab w:val="right" w:leader="dot" w:pos="8296"/>
        </w:tabs>
        <w:rPr>
          <w:rFonts w:ascii="Times New Roman" w:hAnsi="Times New Roman" w:eastAsia="宋体"/>
          <w:kern w:val="2"/>
          <w:sz w:val="21"/>
          <w:szCs w:val="21"/>
        </w:rPr>
      </w:pPr>
      <w:r>
        <w:rPr>
          <w:rFonts w:ascii="Times New Roman" w:hAnsi="Times New Roman"/>
          <w:sz w:val="21"/>
          <w:szCs w:val="21"/>
        </w:rPr>
        <w:fldChar w:fldCharType="begin"/>
      </w:r>
      <w:r>
        <w:rPr>
          <w:rFonts w:ascii="Times New Roman" w:hAnsi="Times New Roman"/>
          <w:sz w:val="21"/>
          <w:szCs w:val="21"/>
        </w:rPr>
        <w:instrText xml:space="preserve">Hyperlink \l "_Toc24540503"</w:instrText>
      </w:r>
      <w:r>
        <w:rPr>
          <w:rFonts w:ascii="Times New Roman" w:hAnsi="Times New Roman"/>
          <w:sz w:val="21"/>
          <w:szCs w:val="21"/>
        </w:rPr>
        <w:fldChar w:fldCharType="separate"/>
      </w:r>
      <w:r>
        <w:rPr>
          <w:rFonts w:ascii="Times New Roman" w:hAnsi="Times New Roman" w:eastAsia="宋体"/>
          <w:sz w:val="21"/>
          <w:szCs w:val="21"/>
        </w:rPr>
        <w:t>4.3  原则</w:t>
      </w:r>
      <w:r>
        <w:rPr>
          <w:rFonts w:ascii="Times New Roman" w:hAnsi="Times New Roman" w:eastAsia="宋体"/>
          <w:sz w:val="21"/>
          <w:szCs w:val="21"/>
        </w:rPr>
        <w:tab/>
      </w:r>
      <w:r>
        <w:rPr>
          <w:rFonts w:ascii="Times New Roman" w:hAnsi="Times New Roman" w:eastAsia="宋体"/>
          <w:sz w:val="21"/>
          <w:szCs w:val="21"/>
        </w:rPr>
        <w:fldChar w:fldCharType="begin"/>
      </w:r>
      <w:r>
        <w:rPr>
          <w:rFonts w:ascii="Times New Roman" w:hAnsi="Times New Roman" w:eastAsia="宋体"/>
          <w:sz w:val="21"/>
          <w:szCs w:val="21"/>
        </w:rPr>
        <w:instrText xml:space="preserve"> PAGEREF _Toc24540503 \h </w:instrText>
      </w:r>
      <w:r>
        <w:rPr>
          <w:rFonts w:ascii="Times New Roman" w:hAnsi="Times New Roman" w:eastAsia="宋体"/>
          <w:sz w:val="21"/>
          <w:szCs w:val="21"/>
        </w:rPr>
        <w:fldChar w:fldCharType="separate"/>
      </w:r>
      <w:r>
        <w:rPr>
          <w:rFonts w:ascii="Times New Roman" w:hAnsi="Times New Roman" w:eastAsia="宋体"/>
          <w:sz w:val="21"/>
          <w:szCs w:val="21"/>
        </w:rPr>
        <w:t>4</w:t>
      </w:r>
      <w:r>
        <w:rPr>
          <w:rFonts w:ascii="Times New Roman" w:hAnsi="Times New Roman" w:eastAsia="宋体"/>
          <w:sz w:val="21"/>
          <w:szCs w:val="21"/>
        </w:rPr>
        <w:fldChar w:fldCharType="end"/>
      </w:r>
      <w:r>
        <w:rPr>
          <w:rFonts w:ascii="Times New Roman" w:hAnsi="Times New Roman"/>
          <w:sz w:val="21"/>
          <w:szCs w:val="21"/>
        </w:rPr>
        <w:fldChar w:fldCharType="end"/>
      </w:r>
    </w:p>
    <w:p>
      <w:pPr>
        <w:pStyle w:val="13"/>
        <w:tabs>
          <w:tab w:val="right" w:leader="dot" w:pos="8296"/>
        </w:tabs>
        <w:rPr>
          <w:rFonts w:ascii="Times New Roman" w:hAnsi="Times New Roman" w:eastAsia="宋体"/>
          <w:kern w:val="2"/>
          <w:sz w:val="21"/>
          <w:szCs w:val="21"/>
        </w:rPr>
      </w:pPr>
      <w:r>
        <w:rPr>
          <w:rFonts w:ascii="Times New Roman" w:hAnsi="Times New Roman"/>
          <w:sz w:val="21"/>
          <w:szCs w:val="21"/>
        </w:rPr>
        <w:fldChar w:fldCharType="begin"/>
      </w:r>
      <w:r>
        <w:rPr>
          <w:rFonts w:ascii="Times New Roman" w:hAnsi="Times New Roman"/>
          <w:sz w:val="21"/>
          <w:szCs w:val="21"/>
        </w:rPr>
        <w:instrText xml:space="preserve">Hyperlink \l "_Toc24540504"</w:instrText>
      </w:r>
      <w:r>
        <w:rPr>
          <w:rFonts w:ascii="Times New Roman" w:hAnsi="Times New Roman"/>
          <w:sz w:val="21"/>
          <w:szCs w:val="21"/>
        </w:rPr>
        <w:fldChar w:fldCharType="separate"/>
      </w:r>
      <w:r>
        <w:rPr>
          <w:rFonts w:ascii="Times New Roman" w:hAnsi="Times New Roman" w:eastAsia="宋体"/>
          <w:sz w:val="21"/>
          <w:szCs w:val="21"/>
        </w:rPr>
        <w:t>5  防治机构建设要求</w:t>
      </w:r>
      <w:r>
        <w:rPr>
          <w:rFonts w:ascii="Times New Roman" w:hAnsi="Times New Roman" w:eastAsia="宋体"/>
          <w:sz w:val="21"/>
          <w:szCs w:val="21"/>
        </w:rPr>
        <w:tab/>
      </w:r>
      <w:r>
        <w:rPr>
          <w:rFonts w:ascii="Times New Roman" w:hAnsi="Times New Roman" w:eastAsia="宋体"/>
          <w:sz w:val="21"/>
          <w:szCs w:val="21"/>
        </w:rPr>
        <w:fldChar w:fldCharType="begin"/>
      </w:r>
      <w:r>
        <w:rPr>
          <w:rFonts w:ascii="Times New Roman" w:hAnsi="Times New Roman" w:eastAsia="宋体"/>
          <w:sz w:val="21"/>
          <w:szCs w:val="21"/>
        </w:rPr>
        <w:instrText xml:space="preserve"> PAGEREF _Toc24540504 \h </w:instrText>
      </w:r>
      <w:r>
        <w:rPr>
          <w:rFonts w:ascii="Times New Roman" w:hAnsi="Times New Roman" w:eastAsia="宋体"/>
          <w:sz w:val="21"/>
          <w:szCs w:val="21"/>
        </w:rPr>
        <w:fldChar w:fldCharType="separate"/>
      </w:r>
      <w:r>
        <w:rPr>
          <w:rFonts w:ascii="Times New Roman" w:hAnsi="Times New Roman" w:eastAsia="宋体"/>
          <w:sz w:val="21"/>
          <w:szCs w:val="21"/>
        </w:rPr>
        <w:t>4</w:t>
      </w:r>
      <w:r>
        <w:rPr>
          <w:rFonts w:ascii="Times New Roman" w:hAnsi="Times New Roman" w:eastAsia="宋体"/>
          <w:sz w:val="21"/>
          <w:szCs w:val="21"/>
        </w:rPr>
        <w:fldChar w:fldCharType="end"/>
      </w:r>
      <w:r>
        <w:rPr>
          <w:rFonts w:ascii="Times New Roman" w:hAnsi="Times New Roman"/>
          <w:sz w:val="21"/>
          <w:szCs w:val="21"/>
        </w:rPr>
        <w:fldChar w:fldCharType="end"/>
      </w:r>
    </w:p>
    <w:p>
      <w:pPr>
        <w:pStyle w:val="15"/>
        <w:tabs>
          <w:tab w:val="right" w:leader="dot" w:pos="8296"/>
        </w:tabs>
        <w:rPr>
          <w:rFonts w:ascii="Times New Roman" w:hAnsi="Times New Roman" w:eastAsia="宋体"/>
          <w:kern w:val="2"/>
          <w:sz w:val="21"/>
          <w:szCs w:val="21"/>
        </w:rPr>
      </w:pPr>
      <w:r>
        <w:rPr>
          <w:rFonts w:ascii="Times New Roman" w:hAnsi="Times New Roman"/>
          <w:sz w:val="21"/>
          <w:szCs w:val="21"/>
        </w:rPr>
        <w:fldChar w:fldCharType="begin"/>
      </w:r>
      <w:r>
        <w:rPr>
          <w:rFonts w:ascii="Times New Roman" w:hAnsi="Times New Roman"/>
          <w:sz w:val="21"/>
          <w:szCs w:val="21"/>
        </w:rPr>
        <w:instrText xml:space="preserve">Hyperlink \l "_Toc24540505"</w:instrText>
      </w:r>
      <w:r>
        <w:rPr>
          <w:rFonts w:ascii="Times New Roman" w:hAnsi="Times New Roman"/>
          <w:sz w:val="21"/>
          <w:szCs w:val="21"/>
        </w:rPr>
        <w:fldChar w:fldCharType="separate"/>
      </w:r>
      <w:r>
        <w:rPr>
          <w:rFonts w:ascii="Times New Roman" w:hAnsi="Times New Roman" w:eastAsia="宋体"/>
          <w:sz w:val="21"/>
          <w:szCs w:val="21"/>
        </w:rPr>
        <w:t>5.1  基本要求</w:t>
      </w:r>
      <w:r>
        <w:rPr>
          <w:rFonts w:ascii="Times New Roman" w:hAnsi="Times New Roman" w:eastAsia="宋体"/>
          <w:sz w:val="21"/>
          <w:szCs w:val="21"/>
        </w:rPr>
        <w:tab/>
      </w:r>
      <w:r>
        <w:rPr>
          <w:rFonts w:ascii="Times New Roman" w:hAnsi="Times New Roman" w:eastAsia="宋体"/>
          <w:sz w:val="21"/>
          <w:szCs w:val="21"/>
        </w:rPr>
        <w:fldChar w:fldCharType="begin"/>
      </w:r>
      <w:r>
        <w:rPr>
          <w:rFonts w:ascii="Times New Roman" w:hAnsi="Times New Roman" w:eastAsia="宋体"/>
          <w:sz w:val="21"/>
          <w:szCs w:val="21"/>
        </w:rPr>
        <w:instrText xml:space="preserve"> PAGEREF _Toc24540505 \h </w:instrText>
      </w:r>
      <w:r>
        <w:rPr>
          <w:rFonts w:ascii="Times New Roman" w:hAnsi="Times New Roman" w:eastAsia="宋体"/>
          <w:sz w:val="21"/>
          <w:szCs w:val="21"/>
        </w:rPr>
        <w:fldChar w:fldCharType="separate"/>
      </w:r>
      <w:r>
        <w:rPr>
          <w:rFonts w:ascii="Times New Roman" w:hAnsi="Times New Roman" w:eastAsia="宋体"/>
          <w:sz w:val="21"/>
          <w:szCs w:val="21"/>
        </w:rPr>
        <w:t>4</w:t>
      </w:r>
      <w:r>
        <w:rPr>
          <w:rFonts w:ascii="Times New Roman" w:hAnsi="Times New Roman" w:eastAsia="宋体"/>
          <w:sz w:val="21"/>
          <w:szCs w:val="21"/>
        </w:rPr>
        <w:fldChar w:fldCharType="end"/>
      </w:r>
      <w:r>
        <w:rPr>
          <w:rFonts w:ascii="Times New Roman" w:hAnsi="Times New Roman"/>
          <w:sz w:val="21"/>
          <w:szCs w:val="21"/>
        </w:rPr>
        <w:fldChar w:fldCharType="end"/>
      </w:r>
    </w:p>
    <w:p>
      <w:pPr>
        <w:pStyle w:val="15"/>
        <w:tabs>
          <w:tab w:val="right" w:leader="dot" w:pos="8296"/>
        </w:tabs>
        <w:rPr>
          <w:rFonts w:ascii="Times New Roman" w:hAnsi="Times New Roman" w:eastAsia="宋体"/>
          <w:kern w:val="2"/>
          <w:sz w:val="21"/>
          <w:szCs w:val="21"/>
        </w:rPr>
      </w:pPr>
      <w:r>
        <w:rPr>
          <w:rFonts w:ascii="Times New Roman" w:hAnsi="Times New Roman"/>
          <w:sz w:val="21"/>
          <w:szCs w:val="21"/>
        </w:rPr>
        <w:fldChar w:fldCharType="begin"/>
      </w:r>
      <w:r>
        <w:rPr>
          <w:rFonts w:ascii="Times New Roman" w:hAnsi="Times New Roman"/>
          <w:sz w:val="21"/>
          <w:szCs w:val="21"/>
        </w:rPr>
        <w:instrText xml:space="preserve">Hyperlink \l "_Toc24540506"</w:instrText>
      </w:r>
      <w:r>
        <w:rPr>
          <w:rFonts w:ascii="Times New Roman" w:hAnsi="Times New Roman"/>
          <w:sz w:val="21"/>
          <w:szCs w:val="21"/>
        </w:rPr>
        <w:fldChar w:fldCharType="separate"/>
      </w:r>
      <w:r>
        <w:rPr>
          <w:rFonts w:ascii="Times New Roman" w:hAnsi="Times New Roman" w:eastAsia="宋体"/>
          <w:sz w:val="21"/>
          <w:szCs w:val="21"/>
        </w:rPr>
        <w:t>5.2  机构建设</w:t>
      </w:r>
      <w:r>
        <w:rPr>
          <w:rFonts w:ascii="Times New Roman" w:hAnsi="Times New Roman" w:eastAsia="宋体"/>
          <w:sz w:val="21"/>
          <w:szCs w:val="21"/>
        </w:rPr>
        <w:tab/>
      </w:r>
      <w:r>
        <w:rPr>
          <w:rFonts w:ascii="Times New Roman" w:hAnsi="Times New Roman" w:eastAsia="宋体"/>
          <w:sz w:val="21"/>
          <w:szCs w:val="21"/>
        </w:rPr>
        <w:fldChar w:fldCharType="begin"/>
      </w:r>
      <w:r>
        <w:rPr>
          <w:rFonts w:ascii="Times New Roman" w:hAnsi="Times New Roman" w:eastAsia="宋体"/>
          <w:sz w:val="21"/>
          <w:szCs w:val="21"/>
        </w:rPr>
        <w:instrText xml:space="preserve"> PAGEREF _Toc24540506 \h </w:instrText>
      </w:r>
      <w:r>
        <w:rPr>
          <w:rFonts w:ascii="Times New Roman" w:hAnsi="Times New Roman" w:eastAsia="宋体"/>
          <w:sz w:val="21"/>
          <w:szCs w:val="21"/>
        </w:rPr>
        <w:fldChar w:fldCharType="separate"/>
      </w:r>
      <w:r>
        <w:rPr>
          <w:rFonts w:ascii="Times New Roman" w:hAnsi="Times New Roman" w:eastAsia="宋体"/>
          <w:sz w:val="21"/>
          <w:szCs w:val="21"/>
        </w:rPr>
        <w:t>5</w:t>
      </w:r>
      <w:r>
        <w:rPr>
          <w:rFonts w:ascii="Times New Roman" w:hAnsi="Times New Roman" w:eastAsia="宋体"/>
          <w:sz w:val="21"/>
          <w:szCs w:val="21"/>
        </w:rPr>
        <w:fldChar w:fldCharType="end"/>
      </w:r>
      <w:r>
        <w:rPr>
          <w:rFonts w:ascii="Times New Roman" w:hAnsi="Times New Roman"/>
          <w:sz w:val="21"/>
          <w:szCs w:val="21"/>
        </w:rPr>
        <w:fldChar w:fldCharType="end"/>
      </w:r>
    </w:p>
    <w:p>
      <w:pPr>
        <w:pStyle w:val="15"/>
        <w:tabs>
          <w:tab w:val="right" w:leader="dot" w:pos="8296"/>
        </w:tabs>
        <w:rPr>
          <w:rFonts w:ascii="Times New Roman" w:hAnsi="Times New Roman" w:eastAsia="宋体"/>
          <w:kern w:val="2"/>
          <w:sz w:val="21"/>
          <w:szCs w:val="21"/>
        </w:rPr>
      </w:pPr>
      <w:r>
        <w:rPr>
          <w:rFonts w:ascii="Times New Roman" w:hAnsi="Times New Roman"/>
          <w:sz w:val="21"/>
          <w:szCs w:val="21"/>
        </w:rPr>
        <w:fldChar w:fldCharType="begin"/>
      </w:r>
      <w:r>
        <w:rPr>
          <w:rFonts w:ascii="Times New Roman" w:hAnsi="Times New Roman"/>
          <w:sz w:val="21"/>
          <w:szCs w:val="21"/>
        </w:rPr>
        <w:instrText xml:space="preserve">Hyperlink \l "_Toc24540507"</w:instrText>
      </w:r>
      <w:r>
        <w:rPr>
          <w:rFonts w:ascii="Times New Roman" w:hAnsi="Times New Roman"/>
          <w:sz w:val="21"/>
          <w:szCs w:val="21"/>
        </w:rPr>
        <w:fldChar w:fldCharType="separate"/>
      </w:r>
      <w:r>
        <w:rPr>
          <w:rFonts w:ascii="Times New Roman" w:hAnsi="Times New Roman" w:eastAsia="宋体"/>
          <w:sz w:val="21"/>
          <w:szCs w:val="21"/>
        </w:rPr>
        <w:t>5.3  装备设施建设</w:t>
      </w:r>
      <w:r>
        <w:rPr>
          <w:rFonts w:ascii="Times New Roman" w:hAnsi="Times New Roman" w:eastAsia="宋体"/>
          <w:sz w:val="21"/>
          <w:szCs w:val="21"/>
        </w:rPr>
        <w:tab/>
      </w:r>
      <w:r>
        <w:rPr>
          <w:rFonts w:ascii="Times New Roman" w:hAnsi="Times New Roman" w:eastAsia="宋体"/>
          <w:sz w:val="21"/>
          <w:szCs w:val="21"/>
        </w:rPr>
        <w:fldChar w:fldCharType="begin"/>
      </w:r>
      <w:r>
        <w:rPr>
          <w:rFonts w:ascii="Times New Roman" w:hAnsi="Times New Roman" w:eastAsia="宋体"/>
          <w:sz w:val="21"/>
          <w:szCs w:val="21"/>
        </w:rPr>
        <w:instrText xml:space="preserve"> PAGEREF _Toc24540507 \h </w:instrText>
      </w:r>
      <w:r>
        <w:rPr>
          <w:rFonts w:ascii="Times New Roman" w:hAnsi="Times New Roman" w:eastAsia="宋体"/>
          <w:sz w:val="21"/>
          <w:szCs w:val="21"/>
        </w:rPr>
        <w:fldChar w:fldCharType="separate"/>
      </w:r>
      <w:r>
        <w:rPr>
          <w:rFonts w:ascii="Times New Roman" w:hAnsi="Times New Roman" w:eastAsia="宋体"/>
          <w:sz w:val="21"/>
          <w:szCs w:val="21"/>
        </w:rPr>
        <w:t>5</w:t>
      </w:r>
      <w:r>
        <w:rPr>
          <w:rFonts w:ascii="Times New Roman" w:hAnsi="Times New Roman" w:eastAsia="宋体"/>
          <w:sz w:val="21"/>
          <w:szCs w:val="21"/>
        </w:rPr>
        <w:fldChar w:fldCharType="end"/>
      </w:r>
      <w:r>
        <w:rPr>
          <w:rFonts w:ascii="Times New Roman" w:hAnsi="Times New Roman"/>
          <w:sz w:val="21"/>
          <w:szCs w:val="21"/>
        </w:rPr>
        <w:fldChar w:fldCharType="end"/>
      </w:r>
    </w:p>
    <w:p>
      <w:pPr>
        <w:pStyle w:val="13"/>
        <w:tabs>
          <w:tab w:val="right" w:leader="dot" w:pos="8296"/>
        </w:tabs>
        <w:rPr>
          <w:rFonts w:ascii="Times New Roman" w:hAnsi="Times New Roman" w:eastAsia="宋体"/>
          <w:kern w:val="2"/>
          <w:sz w:val="21"/>
          <w:szCs w:val="21"/>
        </w:rPr>
      </w:pPr>
      <w:r>
        <w:rPr>
          <w:rFonts w:ascii="Times New Roman" w:hAnsi="Times New Roman"/>
          <w:sz w:val="21"/>
          <w:szCs w:val="21"/>
        </w:rPr>
        <w:fldChar w:fldCharType="begin"/>
      </w:r>
      <w:r>
        <w:rPr>
          <w:rFonts w:ascii="Times New Roman" w:hAnsi="Times New Roman"/>
          <w:sz w:val="21"/>
          <w:szCs w:val="21"/>
        </w:rPr>
        <w:instrText xml:space="preserve">Hyperlink \l "_Toc24540508"</w:instrText>
      </w:r>
      <w:r>
        <w:rPr>
          <w:rFonts w:ascii="Times New Roman" w:hAnsi="Times New Roman"/>
          <w:sz w:val="21"/>
          <w:szCs w:val="21"/>
        </w:rPr>
        <w:fldChar w:fldCharType="separate"/>
      </w:r>
      <w:r>
        <w:rPr>
          <w:rFonts w:ascii="Times New Roman" w:hAnsi="Times New Roman" w:eastAsia="宋体"/>
          <w:sz w:val="21"/>
          <w:szCs w:val="21"/>
        </w:rPr>
        <w:t>6  技术支撑建设要求</w:t>
      </w:r>
      <w:r>
        <w:rPr>
          <w:rFonts w:ascii="Times New Roman" w:hAnsi="Times New Roman" w:eastAsia="宋体"/>
          <w:sz w:val="21"/>
          <w:szCs w:val="21"/>
        </w:rPr>
        <w:tab/>
      </w:r>
      <w:r>
        <w:rPr>
          <w:rFonts w:ascii="Times New Roman" w:hAnsi="Times New Roman" w:eastAsia="宋体"/>
          <w:sz w:val="21"/>
          <w:szCs w:val="21"/>
        </w:rPr>
        <w:fldChar w:fldCharType="begin"/>
      </w:r>
      <w:r>
        <w:rPr>
          <w:rFonts w:ascii="Times New Roman" w:hAnsi="Times New Roman" w:eastAsia="宋体"/>
          <w:sz w:val="21"/>
          <w:szCs w:val="21"/>
        </w:rPr>
        <w:instrText xml:space="preserve"> PAGEREF _Toc24540508 \h </w:instrText>
      </w:r>
      <w:r>
        <w:rPr>
          <w:rFonts w:ascii="Times New Roman" w:hAnsi="Times New Roman" w:eastAsia="宋体"/>
          <w:sz w:val="21"/>
          <w:szCs w:val="21"/>
        </w:rPr>
        <w:fldChar w:fldCharType="separate"/>
      </w:r>
      <w:r>
        <w:rPr>
          <w:rFonts w:ascii="Times New Roman" w:hAnsi="Times New Roman" w:eastAsia="宋体"/>
          <w:sz w:val="21"/>
          <w:szCs w:val="21"/>
        </w:rPr>
        <w:t>6</w:t>
      </w:r>
      <w:r>
        <w:rPr>
          <w:rFonts w:ascii="Times New Roman" w:hAnsi="Times New Roman" w:eastAsia="宋体"/>
          <w:sz w:val="21"/>
          <w:szCs w:val="21"/>
        </w:rPr>
        <w:fldChar w:fldCharType="end"/>
      </w:r>
      <w:r>
        <w:rPr>
          <w:rFonts w:ascii="Times New Roman" w:hAnsi="Times New Roman"/>
          <w:sz w:val="21"/>
          <w:szCs w:val="21"/>
        </w:rPr>
        <w:fldChar w:fldCharType="end"/>
      </w:r>
    </w:p>
    <w:p>
      <w:pPr>
        <w:pStyle w:val="15"/>
        <w:tabs>
          <w:tab w:val="right" w:leader="dot" w:pos="8296"/>
        </w:tabs>
        <w:rPr>
          <w:rFonts w:ascii="Times New Roman" w:hAnsi="Times New Roman" w:eastAsia="宋体"/>
          <w:kern w:val="2"/>
          <w:sz w:val="21"/>
          <w:szCs w:val="21"/>
        </w:rPr>
      </w:pPr>
      <w:r>
        <w:rPr>
          <w:rFonts w:ascii="Times New Roman" w:hAnsi="Times New Roman"/>
          <w:sz w:val="21"/>
          <w:szCs w:val="21"/>
        </w:rPr>
        <w:fldChar w:fldCharType="begin"/>
      </w:r>
      <w:r>
        <w:rPr>
          <w:rFonts w:ascii="Times New Roman" w:hAnsi="Times New Roman"/>
          <w:sz w:val="21"/>
          <w:szCs w:val="21"/>
        </w:rPr>
        <w:instrText xml:space="preserve">Hyperlink \l "_Toc24540509"</w:instrText>
      </w:r>
      <w:r>
        <w:rPr>
          <w:rFonts w:ascii="Times New Roman" w:hAnsi="Times New Roman"/>
          <w:sz w:val="21"/>
          <w:szCs w:val="21"/>
        </w:rPr>
        <w:fldChar w:fldCharType="separate"/>
      </w:r>
      <w:r>
        <w:rPr>
          <w:rFonts w:ascii="Times New Roman" w:hAnsi="Times New Roman" w:eastAsia="宋体"/>
          <w:sz w:val="21"/>
          <w:szCs w:val="21"/>
        </w:rPr>
        <w:t>6.1  基本要求</w:t>
      </w:r>
      <w:r>
        <w:rPr>
          <w:rFonts w:ascii="Times New Roman" w:hAnsi="Times New Roman" w:eastAsia="宋体"/>
          <w:sz w:val="21"/>
          <w:szCs w:val="21"/>
        </w:rPr>
        <w:tab/>
      </w:r>
      <w:r>
        <w:rPr>
          <w:rFonts w:ascii="Times New Roman" w:hAnsi="Times New Roman" w:eastAsia="宋体"/>
          <w:sz w:val="21"/>
          <w:szCs w:val="21"/>
        </w:rPr>
        <w:fldChar w:fldCharType="begin"/>
      </w:r>
      <w:r>
        <w:rPr>
          <w:rFonts w:ascii="Times New Roman" w:hAnsi="Times New Roman" w:eastAsia="宋体"/>
          <w:sz w:val="21"/>
          <w:szCs w:val="21"/>
        </w:rPr>
        <w:instrText xml:space="preserve"> PAGEREF _Toc24540509 \h </w:instrText>
      </w:r>
      <w:r>
        <w:rPr>
          <w:rFonts w:ascii="Times New Roman" w:hAnsi="Times New Roman" w:eastAsia="宋体"/>
          <w:sz w:val="21"/>
          <w:szCs w:val="21"/>
        </w:rPr>
        <w:fldChar w:fldCharType="separate"/>
      </w:r>
      <w:r>
        <w:rPr>
          <w:rFonts w:ascii="Times New Roman" w:hAnsi="Times New Roman" w:eastAsia="宋体"/>
          <w:sz w:val="21"/>
          <w:szCs w:val="21"/>
        </w:rPr>
        <w:t>6</w:t>
      </w:r>
      <w:r>
        <w:rPr>
          <w:rFonts w:ascii="Times New Roman" w:hAnsi="Times New Roman" w:eastAsia="宋体"/>
          <w:sz w:val="21"/>
          <w:szCs w:val="21"/>
        </w:rPr>
        <w:fldChar w:fldCharType="end"/>
      </w:r>
      <w:r>
        <w:rPr>
          <w:rFonts w:ascii="Times New Roman" w:hAnsi="Times New Roman"/>
          <w:sz w:val="21"/>
          <w:szCs w:val="21"/>
        </w:rPr>
        <w:fldChar w:fldCharType="end"/>
      </w:r>
    </w:p>
    <w:p>
      <w:pPr>
        <w:pStyle w:val="15"/>
        <w:tabs>
          <w:tab w:val="right" w:leader="dot" w:pos="8296"/>
        </w:tabs>
        <w:rPr>
          <w:rFonts w:ascii="Times New Roman" w:hAnsi="Times New Roman" w:eastAsia="宋体"/>
          <w:kern w:val="2"/>
          <w:sz w:val="21"/>
          <w:szCs w:val="21"/>
        </w:rPr>
      </w:pPr>
      <w:r>
        <w:rPr>
          <w:rFonts w:ascii="Times New Roman" w:hAnsi="Times New Roman"/>
          <w:sz w:val="21"/>
          <w:szCs w:val="21"/>
        </w:rPr>
        <w:fldChar w:fldCharType="begin"/>
      </w:r>
      <w:r>
        <w:rPr>
          <w:rFonts w:ascii="Times New Roman" w:hAnsi="Times New Roman"/>
          <w:sz w:val="21"/>
          <w:szCs w:val="21"/>
        </w:rPr>
        <w:instrText xml:space="preserve">Hyperlink \l "_Toc24540510"</w:instrText>
      </w:r>
      <w:r>
        <w:rPr>
          <w:rFonts w:ascii="Times New Roman" w:hAnsi="Times New Roman"/>
          <w:sz w:val="21"/>
          <w:szCs w:val="21"/>
        </w:rPr>
        <w:fldChar w:fldCharType="separate"/>
      </w:r>
      <w:r>
        <w:rPr>
          <w:rFonts w:ascii="Times New Roman" w:hAnsi="Times New Roman" w:eastAsia="宋体"/>
          <w:sz w:val="21"/>
          <w:szCs w:val="21"/>
        </w:rPr>
        <w:t>6.2  机构建设</w:t>
      </w:r>
      <w:r>
        <w:rPr>
          <w:rFonts w:ascii="Times New Roman" w:hAnsi="Times New Roman" w:eastAsia="宋体"/>
          <w:sz w:val="21"/>
          <w:szCs w:val="21"/>
        </w:rPr>
        <w:tab/>
      </w:r>
      <w:r>
        <w:rPr>
          <w:rFonts w:ascii="Times New Roman" w:hAnsi="Times New Roman" w:eastAsia="宋体"/>
          <w:sz w:val="21"/>
          <w:szCs w:val="21"/>
        </w:rPr>
        <w:fldChar w:fldCharType="begin"/>
      </w:r>
      <w:r>
        <w:rPr>
          <w:rFonts w:ascii="Times New Roman" w:hAnsi="Times New Roman" w:eastAsia="宋体"/>
          <w:sz w:val="21"/>
          <w:szCs w:val="21"/>
        </w:rPr>
        <w:instrText xml:space="preserve"> PAGEREF _Toc24540510 \h </w:instrText>
      </w:r>
      <w:r>
        <w:rPr>
          <w:rFonts w:ascii="Times New Roman" w:hAnsi="Times New Roman" w:eastAsia="宋体"/>
          <w:sz w:val="21"/>
          <w:szCs w:val="21"/>
        </w:rPr>
        <w:fldChar w:fldCharType="separate"/>
      </w:r>
      <w:r>
        <w:rPr>
          <w:rFonts w:ascii="Times New Roman" w:hAnsi="Times New Roman" w:eastAsia="宋体"/>
          <w:sz w:val="21"/>
          <w:szCs w:val="21"/>
        </w:rPr>
        <w:t>6</w:t>
      </w:r>
      <w:r>
        <w:rPr>
          <w:rFonts w:ascii="Times New Roman" w:hAnsi="Times New Roman" w:eastAsia="宋体"/>
          <w:sz w:val="21"/>
          <w:szCs w:val="21"/>
        </w:rPr>
        <w:fldChar w:fldCharType="end"/>
      </w:r>
      <w:r>
        <w:rPr>
          <w:rFonts w:ascii="Times New Roman" w:hAnsi="Times New Roman"/>
          <w:sz w:val="21"/>
          <w:szCs w:val="21"/>
        </w:rPr>
        <w:fldChar w:fldCharType="end"/>
      </w:r>
    </w:p>
    <w:p>
      <w:pPr>
        <w:pStyle w:val="15"/>
        <w:tabs>
          <w:tab w:val="right" w:leader="dot" w:pos="8296"/>
        </w:tabs>
        <w:rPr>
          <w:rFonts w:ascii="Times New Roman" w:hAnsi="Times New Roman" w:eastAsia="宋体"/>
          <w:kern w:val="2"/>
          <w:sz w:val="21"/>
          <w:szCs w:val="21"/>
        </w:rPr>
      </w:pPr>
      <w:r>
        <w:rPr>
          <w:rFonts w:ascii="Times New Roman" w:hAnsi="Times New Roman"/>
          <w:sz w:val="21"/>
          <w:szCs w:val="21"/>
        </w:rPr>
        <w:fldChar w:fldCharType="begin"/>
      </w:r>
      <w:r>
        <w:rPr>
          <w:rFonts w:ascii="Times New Roman" w:hAnsi="Times New Roman"/>
          <w:sz w:val="21"/>
          <w:szCs w:val="21"/>
        </w:rPr>
        <w:instrText xml:space="preserve">Hyperlink \l "_Toc24540511"</w:instrText>
      </w:r>
      <w:r>
        <w:rPr>
          <w:rFonts w:ascii="Times New Roman" w:hAnsi="Times New Roman"/>
          <w:sz w:val="21"/>
          <w:szCs w:val="21"/>
        </w:rPr>
        <w:fldChar w:fldCharType="separate"/>
      </w:r>
      <w:r>
        <w:rPr>
          <w:rFonts w:ascii="Times New Roman" w:hAnsi="Times New Roman" w:eastAsia="宋体"/>
          <w:sz w:val="21"/>
          <w:szCs w:val="21"/>
        </w:rPr>
        <w:t>6.3  装备设施建设</w:t>
      </w:r>
      <w:r>
        <w:rPr>
          <w:rFonts w:ascii="Times New Roman" w:hAnsi="Times New Roman" w:eastAsia="宋体"/>
          <w:sz w:val="21"/>
          <w:szCs w:val="21"/>
        </w:rPr>
        <w:tab/>
      </w:r>
      <w:r>
        <w:rPr>
          <w:rFonts w:ascii="Times New Roman" w:hAnsi="Times New Roman" w:eastAsia="宋体"/>
          <w:sz w:val="21"/>
          <w:szCs w:val="21"/>
        </w:rPr>
        <w:fldChar w:fldCharType="begin"/>
      </w:r>
      <w:r>
        <w:rPr>
          <w:rFonts w:ascii="Times New Roman" w:hAnsi="Times New Roman" w:eastAsia="宋体"/>
          <w:sz w:val="21"/>
          <w:szCs w:val="21"/>
        </w:rPr>
        <w:instrText xml:space="preserve"> PAGEREF _Toc24540511 \h </w:instrText>
      </w:r>
      <w:r>
        <w:rPr>
          <w:rFonts w:ascii="Times New Roman" w:hAnsi="Times New Roman" w:eastAsia="宋体"/>
          <w:sz w:val="21"/>
          <w:szCs w:val="21"/>
        </w:rPr>
        <w:fldChar w:fldCharType="separate"/>
      </w:r>
      <w:r>
        <w:rPr>
          <w:rFonts w:ascii="Times New Roman" w:hAnsi="Times New Roman" w:eastAsia="宋体"/>
          <w:sz w:val="21"/>
          <w:szCs w:val="21"/>
        </w:rPr>
        <w:t>6</w:t>
      </w:r>
      <w:r>
        <w:rPr>
          <w:rFonts w:ascii="Times New Roman" w:hAnsi="Times New Roman" w:eastAsia="宋体"/>
          <w:sz w:val="21"/>
          <w:szCs w:val="21"/>
        </w:rPr>
        <w:fldChar w:fldCharType="end"/>
      </w:r>
      <w:r>
        <w:rPr>
          <w:rFonts w:ascii="Times New Roman" w:hAnsi="Times New Roman"/>
          <w:sz w:val="21"/>
          <w:szCs w:val="21"/>
        </w:rPr>
        <w:fldChar w:fldCharType="end"/>
      </w:r>
    </w:p>
    <w:p>
      <w:pPr>
        <w:pStyle w:val="15"/>
        <w:tabs>
          <w:tab w:val="right" w:leader="dot" w:pos="8296"/>
        </w:tabs>
        <w:rPr>
          <w:rFonts w:ascii="Times New Roman" w:hAnsi="Times New Roman" w:eastAsia="宋体"/>
          <w:kern w:val="2"/>
          <w:sz w:val="21"/>
          <w:szCs w:val="21"/>
        </w:rPr>
      </w:pPr>
      <w:r>
        <w:rPr>
          <w:rFonts w:ascii="Times New Roman" w:hAnsi="Times New Roman"/>
          <w:sz w:val="21"/>
          <w:szCs w:val="21"/>
        </w:rPr>
        <w:fldChar w:fldCharType="begin"/>
      </w:r>
      <w:r>
        <w:rPr>
          <w:rFonts w:ascii="Times New Roman" w:hAnsi="Times New Roman"/>
          <w:sz w:val="21"/>
          <w:szCs w:val="21"/>
        </w:rPr>
        <w:instrText xml:space="preserve">Hyperlink \l "_Toc24540512"</w:instrText>
      </w:r>
      <w:r>
        <w:rPr>
          <w:rFonts w:ascii="Times New Roman" w:hAnsi="Times New Roman"/>
          <w:sz w:val="21"/>
          <w:szCs w:val="21"/>
        </w:rPr>
        <w:fldChar w:fldCharType="separate"/>
      </w:r>
      <w:r>
        <w:rPr>
          <w:rFonts w:ascii="Times New Roman" w:hAnsi="Times New Roman" w:eastAsia="宋体"/>
          <w:sz w:val="21"/>
          <w:szCs w:val="21"/>
        </w:rPr>
        <w:t>6.4  专家管理</w:t>
      </w:r>
      <w:r>
        <w:rPr>
          <w:rFonts w:ascii="Times New Roman" w:hAnsi="Times New Roman" w:eastAsia="宋体"/>
          <w:sz w:val="21"/>
          <w:szCs w:val="21"/>
        </w:rPr>
        <w:tab/>
      </w:r>
      <w:r>
        <w:rPr>
          <w:rFonts w:ascii="Times New Roman" w:hAnsi="Times New Roman" w:eastAsia="宋体"/>
          <w:sz w:val="21"/>
          <w:szCs w:val="21"/>
        </w:rPr>
        <w:fldChar w:fldCharType="begin"/>
      </w:r>
      <w:r>
        <w:rPr>
          <w:rFonts w:ascii="Times New Roman" w:hAnsi="Times New Roman" w:eastAsia="宋体"/>
          <w:sz w:val="21"/>
          <w:szCs w:val="21"/>
        </w:rPr>
        <w:instrText xml:space="preserve"> PAGEREF _Toc24540512 \h </w:instrText>
      </w:r>
      <w:r>
        <w:rPr>
          <w:rFonts w:ascii="Times New Roman" w:hAnsi="Times New Roman" w:eastAsia="宋体"/>
          <w:sz w:val="21"/>
          <w:szCs w:val="21"/>
        </w:rPr>
        <w:fldChar w:fldCharType="separate"/>
      </w:r>
      <w:r>
        <w:rPr>
          <w:rFonts w:ascii="Times New Roman" w:hAnsi="Times New Roman" w:eastAsia="宋体"/>
          <w:sz w:val="21"/>
          <w:szCs w:val="21"/>
        </w:rPr>
        <w:t>7</w:t>
      </w:r>
      <w:r>
        <w:rPr>
          <w:rFonts w:ascii="Times New Roman" w:hAnsi="Times New Roman" w:eastAsia="宋体"/>
          <w:sz w:val="21"/>
          <w:szCs w:val="21"/>
        </w:rPr>
        <w:fldChar w:fldCharType="end"/>
      </w:r>
      <w:r>
        <w:rPr>
          <w:rFonts w:ascii="Times New Roman" w:hAnsi="Times New Roman"/>
          <w:sz w:val="21"/>
          <w:szCs w:val="21"/>
        </w:rPr>
        <w:fldChar w:fldCharType="end"/>
      </w:r>
    </w:p>
    <w:p>
      <w:pPr>
        <w:pStyle w:val="15"/>
        <w:tabs>
          <w:tab w:val="right" w:leader="dot" w:pos="8296"/>
        </w:tabs>
        <w:rPr>
          <w:rFonts w:ascii="Times New Roman" w:hAnsi="Times New Roman" w:eastAsia="宋体"/>
          <w:kern w:val="2"/>
          <w:sz w:val="21"/>
          <w:szCs w:val="21"/>
        </w:rPr>
      </w:pPr>
      <w:r>
        <w:rPr>
          <w:rFonts w:ascii="Times New Roman" w:hAnsi="Times New Roman"/>
          <w:sz w:val="21"/>
          <w:szCs w:val="21"/>
        </w:rPr>
        <w:fldChar w:fldCharType="begin"/>
      </w:r>
      <w:r>
        <w:rPr>
          <w:rFonts w:ascii="Times New Roman" w:hAnsi="Times New Roman"/>
          <w:sz w:val="21"/>
          <w:szCs w:val="21"/>
        </w:rPr>
        <w:instrText xml:space="preserve">Hyperlink \l "_Toc24540513"</w:instrText>
      </w:r>
      <w:r>
        <w:rPr>
          <w:rFonts w:ascii="Times New Roman" w:hAnsi="Times New Roman"/>
          <w:sz w:val="21"/>
          <w:szCs w:val="21"/>
        </w:rPr>
        <w:fldChar w:fldCharType="separate"/>
      </w:r>
      <w:r>
        <w:rPr>
          <w:rFonts w:ascii="Times New Roman" w:hAnsi="Times New Roman" w:eastAsia="宋体"/>
          <w:sz w:val="21"/>
          <w:szCs w:val="21"/>
        </w:rPr>
        <w:t>6.5  社会力量管理</w:t>
      </w:r>
      <w:r>
        <w:rPr>
          <w:rFonts w:ascii="Times New Roman" w:hAnsi="Times New Roman" w:eastAsia="宋体"/>
          <w:sz w:val="21"/>
          <w:szCs w:val="21"/>
        </w:rPr>
        <w:tab/>
      </w:r>
      <w:r>
        <w:rPr>
          <w:rFonts w:ascii="Times New Roman" w:hAnsi="Times New Roman" w:eastAsia="宋体"/>
          <w:sz w:val="21"/>
          <w:szCs w:val="21"/>
        </w:rPr>
        <w:fldChar w:fldCharType="begin"/>
      </w:r>
      <w:r>
        <w:rPr>
          <w:rFonts w:ascii="Times New Roman" w:hAnsi="Times New Roman" w:eastAsia="宋体"/>
          <w:sz w:val="21"/>
          <w:szCs w:val="21"/>
        </w:rPr>
        <w:instrText xml:space="preserve"> PAGEREF _Toc24540513 \h </w:instrText>
      </w:r>
      <w:r>
        <w:rPr>
          <w:rFonts w:ascii="Times New Roman" w:hAnsi="Times New Roman" w:eastAsia="宋体"/>
          <w:sz w:val="21"/>
          <w:szCs w:val="21"/>
        </w:rPr>
        <w:fldChar w:fldCharType="separate"/>
      </w:r>
      <w:r>
        <w:rPr>
          <w:rFonts w:ascii="Times New Roman" w:hAnsi="Times New Roman" w:eastAsia="宋体"/>
          <w:sz w:val="21"/>
          <w:szCs w:val="21"/>
        </w:rPr>
        <w:t>7</w:t>
      </w:r>
      <w:r>
        <w:rPr>
          <w:rFonts w:ascii="Times New Roman" w:hAnsi="Times New Roman" w:eastAsia="宋体"/>
          <w:sz w:val="21"/>
          <w:szCs w:val="21"/>
        </w:rPr>
        <w:fldChar w:fldCharType="end"/>
      </w:r>
      <w:r>
        <w:rPr>
          <w:rFonts w:ascii="Times New Roman" w:hAnsi="Times New Roman"/>
          <w:sz w:val="21"/>
          <w:szCs w:val="21"/>
        </w:rPr>
        <w:fldChar w:fldCharType="end"/>
      </w:r>
    </w:p>
    <w:p>
      <w:pPr>
        <w:pStyle w:val="13"/>
        <w:tabs>
          <w:tab w:val="right" w:leader="dot" w:pos="8296"/>
        </w:tabs>
        <w:rPr>
          <w:rFonts w:ascii="Times New Roman" w:hAnsi="Times New Roman" w:eastAsia="宋体"/>
          <w:kern w:val="2"/>
          <w:sz w:val="21"/>
          <w:szCs w:val="21"/>
        </w:rPr>
      </w:pPr>
      <w:r>
        <w:rPr>
          <w:rFonts w:ascii="Times New Roman" w:hAnsi="Times New Roman"/>
          <w:sz w:val="21"/>
          <w:szCs w:val="21"/>
        </w:rPr>
        <w:fldChar w:fldCharType="begin"/>
      </w:r>
      <w:r>
        <w:rPr>
          <w:rFonts w:ascii="Times New Roman" w:hAnsi="Times New Roman"/>
          <w:sz w:val="21"/>
          <w:szCs w:val="21"/>
        </w:rPr>
        <w:instrText xml:space="preserve">Hyperlink \l "_Toc24540514"</w:instrText>
      </w:r>
      <w:r>
        <w:rPr>
          <w:rFonts w:ascii="Times New Roman" w:hAnsi="Times New Roman"/>
          <w:sz w:val="21"/>
          <w:szCs w:val="21"/>
        </w:rPr>
        <w:fldChar w:fldCharType="separate"/>
      </w:r>
      <w:r>
        <w:rPr>
          <w:rFonts w:ascii="Times New Roman" w:hAnsi="Times New Roman" w:eastAsia="宋体"/>
          <w:sz w:val="21"/>
          <w:szCs w:val="21"/>
        </w:rPr>
        <w:t>7  地质灾害防治“五化”试点建设要求</w:t>
      </w:r>
      <w:r>
        <w:rPr>
          <w:rFonts w:ascii="Times New Roman" w:hAnsi="Times New Roman" w:eastAsia="宋体"/>
          <w:sz w:val="21"/>
          <w:szCs w:val="21"/>
        </w:rPr>
        <w:tab/>
      </w:r>
      <w:r>
        <w:rPr>
          <w:rFonts w:ascii="Times New Roman" w:hAnsi="Times New Roman" w:eastAsia="宋体"/>
          <w:sz w:val="21"/>
          <w:szCs w:val="21"/>
        </w:rPr>
        <w:fldChar w:fldCharType="begin"/>
      </w:r>
      <w:r>
        <w:rPr>
          <w:rFonts w:ascii="Times New Roman" w:hAnsi="Times New Roman" w:eastAsia="宋体"/>
          <w:sz w:val="21"/>
          <w:szCs w:val="21"/>
        </w:rPr>
        <w:instrText xml:space="preserve"> PAGEREF _Toc24540514 \h </w:instrText>
      </w:r>
      <w:r>
        <w:rPr>
          <w:rFonts w:ascii="Times New Roman" w:hAnsi="Times New Roman" w:eastAsia="宋体"/>
          <w:sz w:val="21"/>
          <w:szCs w:val="21"/>
        </w:rPr>
        <w:fldChar w:fldCharType="separate"/>
      </w:r>
      <w:r>
        <w:rPr>
          <w:rFonts w:ascii="Times New Roman" w:hAnsi="Times New Roman" w:eastAsia="宋体"/>
          <w:sz w:val="21"/>
          <w:szCs w:val="21"/>
        </w:rPr>
        <w:t>7</w:t>
      </w:r>
      <w:r>
        <w:rPr>
          <w:rFonts w:ascii="Times New Roman" w:hAnsi="Times New Roman" w:eastAsia="宋体"/>
          <w:sz w:val="21"/>
          <w:szCs w:val="21"/>
        </w:rPr>
        <w:fldChar w:fldCharType="end"/>
      </w:r>
      <w:r>
        <w:rPr>
          <w:rFonts w:ascii="Times New Roman" w:hAnsi="Times New Roman"/>
          <w:sz w:val="21"/>
          <w:szCs w:val="21"/>
        </w:rPr>
        <w:fldChar w:fldCharType="end"/>
      </w:r>
    </w:p>
    <w:p>
      <w:pPr>
        <w:pStyle w:val="15"/>
        <w:tabs>
          <w:tab w:val="right" w:leader="dot" w:pos="8296"/>
        </w:tabs>
        <w:rPr>
          <w:rFonts w:ascii="Times New Roman" w:hAnsi="Times New Roman" w:eastAsia="宋体"/>
          <w:kern w:val="2"/>
          <w:sz w:val="21"/>
          <w:szCs w:val="21"/>
        </w:rPr>
      </w:pPr>
      <w:r>
        <w:rPr>
          <w:rFonts w:ascii="Times New Roman" w:hAnsi="Times New Roman"/>
          <w:sz w:val="21"/>
          <w:szCs w:val="21"/>
        </w:rPr>
        <w:fldChar w:fldCharType="begin"/>
      </w:r>
      <w:r>
        <w:rPr>
          <w:rFonts w:ascii="Times New Roman" w:hAnsi="Times New Roman"/>
          <w:sz w:val="21"/>
          <w:szCs w:val="21"/>
        </w:rPr>
        <w:instrText xml:space="preserve">Hyperlink \l "_Toc24540515"</w:instrText>
      </w:r>
      <w:r>
        <w:rPr>
          <w:rFonts w:ascii="Times New Roman" w:hAnsi="Times New Roman"/>
          <w:sz w:val="21"/>
          <w:szCs w:val="21"/>
        </w:rPr>
        <w:fldChar w:fldCharType="separate"/>
      </w:r>
      <w:r>
        <w:rPr>
          <w:rFonts w:ascii="Times New Roman" w:hAnsi="Times New Roman" w:eastAsia="宋体"/>
          <w:sz w:val="21"/>
          <w:szCs w:val="21"/>
        </w:rPr>
        <w:t>7.1  管理支撑层级化</w:t>
      </w:r>
      <w:r>
        <w:rPr>
          <w:rFonts w:ascii="Times New Roman" w:hAnsi="Times New Roman" w:eastAsia="宋体"/>
          <w:sz w:val="21"/>
          <w:szCs w:val="21"/>
        </w:rPr>
        <w:tab/>
      </w:r>
      <w:r>
        <w:rPr>
          <w:rFonts w:ascii="Times New Roman" w:hAnsi="Times New Roman" w:eastAsia="宋体"/>
          <w:sz w:val="21"/>
          <w:szCs w:val="21"/>
        </w:rPr>
        <w:fldChar w:fldCharType="begin"/>
      </w:r>
      <w:r>
        <w:rPr>
          <w:rFonts w:ascii="Times New Roman" w:hAnsi="Times New Roman" w:eastAsia="宋体"/>
          <w:sz w:val="21"/>
          <w:szCs w:val="21"/>
        </w:rPr>
        <w:instrText xml:space="preserve"> PAGEREF _Toc24540515 \h </w:instrText>
      </w:r>
      <w:r>
        <w:rPr>
          <w:rFonts w:ascii="Times New Roman" w:hAnsi="Times New Roman" w:eastAsia="宋体"/>
          <w:sz w:val="21"/>
          <w:szCs w:val="21"/>
        </w:rPr>
        <w:fldChar w:fldCharType="separate"/>
      </w:r>
      <w:r>
        <w:rPr>
          <w:rFonts w:ascii="Times New Roman" w:hAnsi="Times New Roman" w:eastAsia="宋体"/>
          <w:sz w:val="21"/>
          <w:szCs w:val="21"/>
        </w:rPr>
        <w:t>7</w:t>
      </w:r>
      <w:r>
        <w:rPr>
          <w:rFonts w:ascii="Times New Roman" w:hAnsi="Times New Roman" w:eastAsia="宋体"/>
          <w:sz w:val="21"/>
          <w:szCs w:val="21"/>
        </w:rPr>
        <w:fldChar w:fldCharType="end"/>
      </w:r>
      <w:r>
        <w:rPr>
          <w:rFonts w:ascii="Times New Roman" w:hAnsi="Times New Roman"/>
          <w:sz w:val="21"/>
          <w:szCs w:val="21"/>
        </w:rPr>
        <w:fldChar w:fldCharType="end"/>
      </w:r>
    </w:p>
    <w:p>
      <w:pPr>
        <w:pStyle w:val="15"/>
        <w:tabs>
          <w:tab w:val="right" w:leader="dot" w:pos="8296"/>
        </w:tabs>
        <w:rPr>
          <w:rFonts w:ascii="Times New Roman" w:hAnsi="Times New Roman" w:eastAsia="宋体"/>
          <w:kern w:val="2"/>
          <w:sz w:val="21"/>
          <w:szCs w:val="21"/>
        </w:rPr>
      </w:pPr>
      <w:r>
        <w:rPr>
          <w:rFonts w:ascii="Times New Roman" w:hAnsi="Times New Roman"/>
          <w:sz w:val="21"/>
          <w:szCs w:val="21"/>
        </w:rPr>
        <w:fldChar w:fldCharType="begin"/>
      </w:r>
      <w:r>
        <w:rPr>
          <w:rFonts w:ascii="Times New Roman" w:hAnsi="Times New Roman"/>
          <w:sz w:val="21"/>
          <w:szCs w:val="21"/>
        </w:rPr>
        <w:instrText xml:space="preserve">Hyperlink \l "_Toc24540516"</w:instrText>
      </w:r>
      <w:r>
        <w:rPr>
          <w:rFonts w:ascii="Times New Roman" w:hAnsi="Times New Roman"/>
          <w:sz w:val="21"/>
          <w:szCs w:val="21"/>
        </w:rPr>
        <w:fldChar w:fldCharType="separate"/>
      </w:r>
      <w:r>
        <w:rPr>
          <w:rFonts w:ascii="Times New Roman" w:hAnsi="Times New Roman" w:eastAsia="宋体"/>
          <w:sz w:val="21"/>
          <w:szCs w:val="21"/>
        </w:rPr>
        <w:t>7.2  监测手段多样化</w:t>
      </w:r>
      <w:r>
        <w:rPr>
          <w:rFonts w:ascii="Times New Roman" w:hAnsi="Times New Roman" w:eastAsia="宋体"/>
          <w:sz w:val="21"/>
          <w:szCs w:val="21"/>
        </w:rPr>
        <w:tab/>
      </w:r>
      <w:r>
        <w:rPr>
          <w:rFonts w:ascii="Times New Roman" w:hAnsi="Times New Roman" w:eastAsia="宋体"/>
          <w:sz w:val="21"/>
          <w:szCs w:val="21"/>
        </w:rPr>
        <w:fldChar w:fldCharType="begin"/>
      </w:r>
      <w:r>
        <w:rPr>
          <w:rFonts w:ascii="Times New Roman" w:hAnsi="Times New Roman" w:eastAsia="宋体"/>
          <w:sz w:val="21"/>
          <w:szCs w:val="21"/>
        </w:rPr>
        <w:instrText xml:space="preserve"> PAGEREF _Toc24540516 \h </w:instrText>
      </w:r>
      <w:r>
        <w:rPr>
          <w:rFonts w:ascii="Times New Roman" w:hAnsi="Times New Roman" w:eastAsia="宋体"/>
          <w:sz w:val="21"/>
          <w:szCs w:val="21"/>
        </w:rPr>
        <w:fldChar w:fldCharType="separate"/>
      </w:r>
      <w:r>
        <w:rPr>
          <w:rFonts w:ascii="Times New Roman" w:hAnsi="Times New Roman" w:eastAsia="宋体"/>
          <w:sz w:val="21"/>
          <w:szCs w:val="21"/>
        </w:rPr>
        <w:t>8</w:t>
      </w:r>
      <w:r>
        <w:rPr>
          <w:rFonts w:ascii="Times New Roman" w:hAnsi="Times New Roman" w:eastAsia="宋体"/>
          <w:sz w:val="21"/>
          <w:szCs w:val="21"/>
        </w:rPr>
        <w:fldChar w:fldCharType="end"/>
      </w:r>
      <w:r>
        <w:rPr>
          <w:rFonts w:ascii="Times New Roman" w:hAnsi="Times New Roman"/>
          <w:sz w:val="21"/>
          <w:szCs w:val="21"/>
        </w:rPr>
        <w:fldChar w:fldCharType="end"/>
      </w:r>
    </w:p>
    <w:p>
      <w:pPr>
        <w:pStyle w:val="15"/>
        <w:tabs>
          <w:tab w:val="right" w:leader="dot" w:pos="8296"/>
        </w:tabs>
        <w:rPr>
          <w:rFonts w:ascii="Times New Roman" w:hAnsi="Times New Roman" w:eastAsia="宋体"/>
          <w:kern w:val="2"/>
          <w:sz w:val="21"/>
          <w:szCs w:val="21"/>
        </w:rPr>
      </w:pPr>
      <w:r>
        <w:rPr>
          <w:rFonts w:ascii="Times New Roman" w:hAnsi="Times New Roman"/>
          <w:sz w:val="21"/>
          <w:szCs w:val="21"/>
        </w:rPr>
        <w:fldChar w:fldCharType="begin"/>
      </w:r>
      <w:r>
        <w:rPr>
          <w:rFonts w:ascii="Times New Roman" w:hAnsi="Times New Roman"/>
          <w:sz w:val="21"/>
          <w:szCs w:val="21"/>
        </w:rPr>
        <w:instrText xml:space="preserve">Hyperlink \l "_Toc24540517"</w:instrText>
      </w:r>
      <w:r>
        <w:rPr>
          <w:rFonts w:ascii="Times New Roman" w:hAnsi="Times New Roman"/>
          <w:sz w:val="21"/>
          <w:szCs w:val="21"/>
        </w:rPr>
        <w:fldChar w:fldCharType="separate"/>
      </w:r>
      <w:r>
        <w:rPr>
          <w:rFonts w:ascii="Times New Roman" w:hAnsi="Times New Roman" w:eastAsia="宋体"/>
          <w:sz w:val="21"/>
          <w:szCs w:val="21"/>
        </w:rPr>
        <w:t>7.3  数据采集智能化</w:t>
      </w:r>
      <w:r>
        <w:rPr>
          <w:rFonts w:ascii="Times New Roman" w:hAnsi="Times New Roman" w:eastAsia="宋体"/>
          <w:sz w:val="21"/>
          <w:szCs w:val="21"/>
        </w:rPr>
        <w:tab/>
      </w:r>
      <w:r>
        <w:rPr>
          <w:rFonts w:ascii="Times New Roman" w:hAnsi="Times New Roman" w:eastAsia="宋体"/>
          <w:sz w:val="21"/>
          <w:szCs w:val="21"/>
        </w:rPr>
        <w:fldChar w:fldCharType="begin"/>
      </w:r>
      <w:r>
        <w:rPr>
          <w:rFonts w:ascii="Times New Roman" w:hAnsi="Times New Roman" w:eastAsia="宋体"/>
          <w:sz w:val="21"/>
          <w:szCs w:val="21"/>
        </w:rPr>
        <w:instrText xml:space="preserve"> PAGEREF _Toc24540517 \h </w:instrText>
      </w:r>
      <w:r>
        <w:rPr>
          <w:rFonts w:ascii="Times New Roman" w:hAnsi="Times New Roman" w:eastAsia="宋体"/>
          <w:sz w:val="21"/>
          <w:szCs w:val="21"/>
        </w:rPr>
        <w:fldChar w:fldCharType="separate"/>
      </w:r>
      <w:r>
        <w:rPr>
          <w:rFonts w:ascii="Times New Roman" w:hAnsi="Times New Roman" w:eastAsia="宋体"/>
          <w:sz w:val="21"/>
          <w:szCs w:val="21"/>
        </w:rPr>
        <w:t>8</w:t>
      </w:r>
      <w:r>
        <w:rPr>
          <w:rFonts w:ascii="Times New Roman" w:hAnsi="Times New Roman" w:eastAsia="宋体"/>
          <w:sz w:val="21"/>
          <w:szCs w:val="21"/>
        </w:rPr>
        <w:fldChar w:fldCharType="end"/>
      </w:r>
      <w:r>
        <w:rPr>
          <w:rFonts w:ascii="Times New Roman" w:hAnsi="Times New Roman"/>
          <w:sz w:val="21"/>
          <w:szCs w:val="21"/>
        </w:rPr>
        <w:fldChar w:fldCharType="end"/>
      </w:r>
    </w:p>
    <w:p>
      <w:pPr>
        <w:pStyle w:val="15"/>
        <w:tabs>
          <w:tab w:val="right" w:leader="dot" w:pos="8296"/>
        </w:tabs>
        <w:rPr>
          <w:rFonts w:ascii="Times New Roman" w:hAnsi="Times New Roman" w:eastAsia="宋体"/>
          <w:kern w:val="2"/>
          <w:sz w:val="21"/>
          <w:szCs w:val="21"/>
        </w:rPr>
      </w:pPr>
      <w:r>
        <w:rPr>
          <w:rFonts w:ascii="Times New Roman" w:hAnsi="Times New Roman"/>
          <w:sz w:val="21"/>
          <w:szCs w:val="21"/>
        </w:rPr>
        <w:fldChar w:fldCharType="begin"/>
      </w:r>
      <w:r>
        <w:rPr>
          <w:rFonts w:ascii="Times New Roman" w:hAnsi="Times New Roman"/>
          <w:sz w:val="21"/>
          <w:szCs w:val="21"/>
        </w:rPr>
        <w:instrText xml:space="preserve">Hyperlink \l "_Toc24540518"</w:instrText>
      </w:r>
      <w:r>
        <w:rPr>
          <w:rFonts w:ascii="Times New Roman" w:hAnsi="Times New Roman"/>
          <w:sz w:val="21"/>
          <w:szCs w:val="21"/>
        </w:rPr>
        <w:fldChar w:fldCharType="separate"/>
      </w:r>
      <w:r>
        <w:rPr>
          <w:rFonts w:ascii="Times New Roman" w:hAnsi="Times New Roman" w:eastAsia="宋体"/>
          <w:sz w:val="21"/>
          <w:szCs w:val="21"/>
        </w:rPr>
        <w:t>7.4  预警预报及时化</w:t>
      </w:r>
      <w:r>
        <w:rPr>
          <w:rFonts w:ascii="Times New Roman" w:hAnsi="Times New Roman" w:eastAsia="宋体"/>
          <w:sz w:val="21"/>
          <w:szCs w:val="21"/>
        </w:rPr>
        <w:tab/>
      </w:r>
      <w:r>
        <w:rPr>
          <w:rFonts w:ascii="Times New Roman" w:hAnsi="Times New Roman" w:eastAsia="宋体"/>
          <w:sz w:val="21"/>
          <w:szCs w:val="21"/>
        </w:rPr>
        <w:fldChar w:fldCharType="begin"/>
      </w:r>
      <w:r>
        <w:rPr>
          <w:rFonts w:ascii="Times New Roman" w:hAnsi="Times New Roman" w:eastAsia="宋体"/>
          <w:sz w:val="21"/>
          <w:szCs w:val="21"/>
        </w:rPr>
        <w:instrText xml:space="preserve"> PAGEREF _Toc24540518 \h </w:instrText>
      </w:r>
      <w:r>
        <w:rPr>
          <w:rFonts w:ascii="Times New Roman" w:hAnsi="Times New Roman" w:eastAsia="宋体"/>
          <w:sz w:val="21"/>
          <w:szCs w:val="21"/>
        </w:rPr>
        <w:fldChar w:fldCharType="separate"/>
      </w:r>
      <w:r>
        <w:rPr>
          <w:rFonts w:ascii="Times New Roman" w:hAnsi="Times New Roman" w:eastAsia="宋体"/>
          <w:sz w:val="21"/>
          <w:szCs w:val="21"/>
        </w:rPr>
        <w:t>8</w:t>
      </w:r>
      <w:r>
        <w:rPr>
          <w:rFonts w:ascii="Times New Roman" w:hAnsi="Times New Roman" w:eastAsia="宋体"/>
          <w:sz w:val="21"/>
          <w:szCs w:val="21"/>
        </w:rPr>
        <w:fldChar w:fldCharType="end"/>
      </w:r>
      <w:r>
        <w:rPr>
          <w:rFonts w:ascii="Times New Roman" w:hAnsi="Times New Roman"/>
          <w:sz w:val="21"/>
          <w:szCs w:val="21"/>
        </w:rPr>
        <w:fldChar w:fldCharType="end"/>
      </w:r>
    </w:p>
    <w:p>
      <w:pPr>
        <w:pStyle w:val="15"/>
        <w:tabs>
          <w:tab w:val="right" w:leader="dot" w:pos="8296"/>
        </w:tabs>
        <w:rPr>
          <w:rFonts w:ascii="Times New Roman" w:hAnsi="Times New Roman" w:eastAsia="宋体"/>
          <w:kern w:val="2"/>
          <w:sz w:val="21"/>
          <w:szCs w:val="21"/>
        </w:rPr>
      </w:pPr>
      <w:r>
        <w:rPr>
          <w:rFonts w:ascii="Times New Roman" w:hAnsi="Times New Roman"/>
          <w:sz w:val="21"/>
          <w:szCs w:val="21"/>
        </w:rPr>
        <w:fldChar w:fldCharType="begin"/>
      </w:r>
      <w:r>
        <w:rPr>
          <w:rFonts w:ascii="Times New Roman" w:hAnsi="Times New Roman"/>
          <w:sz w:val="21"/>
          <w:szCs w:val="21"/>
        </w:rPr>
        <w:instrText xml:space="preserve">Hyperlink \l "_Toc24540519"</w:instrText>
      </w:r>
      <w:r>
        <w:rPr>
          <w:rFonts w:ascii="Times New Roman" w:hAnsi="Times New Roman"/>
          <w:sz w:val="21"/>
          <w:szCs w:val="21"/>
        </w:rPr>
        <w:fldChar w:fldCharType="separate"/>
      </w:r>
      <w:r>
        <w:rPr>
          <w:rFonts w:ascii="Times New Roman" w:hAnsi="Times New Roman" w:eastAsia="宋体"/>
          <w:sz w:val="21"/>
          <w:szCs w:val="21"/>
        </w:rPr>
        <w:t>7.5  信息服务一体化</w:t>
      </w:r>
      <w:r>
        <w:rPr>
          <w:rFonts w:ascii="Times New Roman" w:hAnsi="Times New Roman" w:eastAsia="宋体"/>
          <w:sz w:val="21"/>
          <w:szCs w:val="21"/>
        </w:rPr>
        <w:tab/>
      </w:r>
      <w:r>
        <w:rPr>
          <w:rFonts w:ascii="Times New Roman" w:hAnsi="Times New Roman" w:eastAsia="宋体"/>
          <w:sz w:val="21"/>
          <w:szCs w:val="21"/>
        </w:rPr>
        <w:fldChar w:fldCharType="begin"/>
      </w:r>
      <w:r>
        <w:rPr>
          <w:rFonts w:ascii="Times New Roman" w:hAnsi="Times New Roman" w:eastAsia="宋体"/>
          <w:sz w:val="21"/>
          <w:szCs w:val="21"/>
        </w:rPr>
        <w:instrText xml:space="preserve"> PAGEREF _Toc24540519 \h </w:instrText>
      </w:r>
      <w:r>
        <w:rPr>
          <w:rFonts w:ascii="Times New Roman" w:hAnsi="Times New Roman" w:eastAsia="宋体"/>
          <w:sz w:val="21"/>
          <w:szCs w:val="21"/>
        </w:rPr>
        <w:fldChar w:fldCharType="separate"/>
      </w:r>
      <w:r>
        <w:rPr>
          <w:rFonts w:ascii="Times New Roman" w:hAnsi="Times New Roman" w:eastAsia="宋体"/>
          <w:sz w:val="21"/>
          <w:szCs w:val="21"/>
        </w:rPr>
        <w:t>8</w:t>
      </w:r>
      <w:r>
        <w:rPr>
          <w:rFonts w:ascii="Times New Roman" w:hAnsi="Times New Roman" w:eastAsia="宋体"/>
          <w:sz w:val="21"/>
          <w:szCs w:val="21"/>
        </w:rPr>
        <w:fldChar w:fldCharType="end"/>
      </w:r>
      <w:r>
        <w:rPr>
          <w:rFonts w:ascii="Times New Roman" w:hAnsi="Times New Roman"/>
          <w:sz w:val="21"/>
          <w:szCs w:val="21"/>
        </w:rPr>
        <w:fldChar w:fldCharType="end"/>
      </w:r>
    </w:p>
    <w:p>
      <w:pPr>
        <w:pStyle w:val="13"/>
        <w:tabs>
          <w:tab w:val="right" w:leader="dot" w:pos="8296"/>
        </w:tabs>
        <w:rPr>
          <w:rFonts w:ascii="Times New Roman" w:hAnsi="Times New Roman" w:eastAsia="宋体"/>
          <w:kern w:val="2"/>
          <w:sz w:val="21"/>
          <w:szCs w:val="21"/>
        </w:rPr>
      </w:pPr>
      <w:r>
        <w:rPr>
          <w:rFonts w:ascii="Times New Roman" w:hAnsi="Times New Roman"/>
          <w:sz w:val="21"/>
          <w:szCs w:val="21"/>
        </w:rPr>
        <w:fldChar w:fldCharType="begin"/>
      </w:r>
      <w:r>
        <w:rPr>
          <w:rFonts w:ascii="Times New Roman" w:hAnsi="Times New Roman"/>
          <w:sz w:val="21"/>
          <w:szCs w:val="21"/>
        </w:rPr>
        <w:instrText xml:space="preserve">Hyperlink \l "_Toc24540520"</w:instrText>
      </w:r>
      <w:r>
        <w:rPr>
          <w:rFonts w:ascii="Times New Roman" w:hAnsi="Times New Roman"/>
          <w:sz w:val="21"/>
          <w:szCs w:val="21"/>
        </w:rPr>
        <w:fldChar w:fldCharType="separate"/>
      </w:r>
      <w:r>
        <w:rPr>
          <w:rFonts w:ascii="Times New Roman" w:hAnsi="Times New Roman" w:eastAsia="宋体"/>
          <w:sz w:val="21"/>
          <w:szCs w:val="21"/>
        </w:rPr>
        <w:t>8  宣传及演练要求</w:t>
      </w:r>
      <w:r>
        <w:rPr>
          <w:rFonts w:ascii="Times New Roman" w:hAnsi="Times New Roman" w:eastAsia="宋体"/>
          <w:sz w:val="21"/>
          <w:szCs w:val="21"/>
        </w:rPr>
        <w:tab/>
      </w:r>
      <w:r>
        <w:rPr>
          <w:rFonts w:ascii="Times New Roman" w:hAnsi="Times New Roman" w:eastAsia="宋体"/>
          <w:sz w:val="21"/>
          <w:szCs w:val="21"/>
        </w:rPr>
        <w:fldChar w:fldCharType="begin"/>
      </w:r>
      <w:r>
        <w:rPr>
          <w:rFonts w:ascii="Times New Roman" w:hAnsi="Times New Roman" w:eastAsia="宋体"/>
          <w:sz w:val="21"/>
          <w:szCs w:val="21"/>
        </w:rPr>
        <w:instrText xml:space="preserve"> PAGEREF _Toc24540520 \h </w:instrText>
      </w:r>
      <w:r>
        <w:rPr>
          <w:rFonts w:ascii="Times New Roman" w:hAnsi="Times New Roman" w:eastAsia="宋体"/>
          <w:sz w:val="21"/>
          <w:szCs w:val="21"/>
        </w:rPr>
        <w:fldChar w:fldCharType="separate"/>
      </w:r>
      <w:r>
        <w:rPr>
          <w:rFonts w:ascii="Times New Roman" w:hAnsi="Times New Roman" w:eastAsia="宋体"/>
          <w:sz w:val="21"/>
          <w:szCs w:val="21"/>
        </w:rPr>
        <w:t>8</w:t>
      </w:r>
      <w:r>
        <w:rPr>
          <w:rFonts w:ascii="Times New Roman" w:hAnsi="Times New Roman" w:eastAsia="宋体"/>
          <w:sz w:val="21"/>
          <w:szCs w:val="21"/>
        </w:rPr>
        <w:fldChar w:fldCharType="end"/>
      </w:r>
      <w:r>
        <w:rPr>
          <w:rFonts w:ascii="Times New Roman" w:hAnsi="Times New Roman"/>
          <w:sz w:val="21"/>
          <w:szCs w:val="21"/>
        </w:rPr>
        <w:fldChar w:fldCharType="end"/>
      </w:r>
    </w:p>
    <w:p>
      <w:pPr>
        <w:pStyle w:val="15"/>
        <w:tabs>
          <w:tab w:val="right" w:leader="dot" w:pos="8296"/>
        </w:tabs>
        <w:rPr>
          <w:rFonts w:ascii="Times New Roman" w:hAnsi="Times New Roman" w:eastAsia="宋体"/>
          <w:kern w:val="2"/>
          <w:sz w:val="21"/>
          <w:szCs w:val="21"/>
        </w:rPr>
      </w:pPr>
      <w:r>
        <w:rPr>
          <w:rFonts w:ascii="Times New Roman" w:hAnsi="Times New Roman"/>
          <w:sz w:val="21"/>
          <w:szCs w:val="21"/>
        </w:rPr>
        <w:fldChar w:fldCharType="begin"/>
      </w:r>
      <w:r>
        <w:rPr>
          <w:rFonts w:ascii="Times New Roman" w:hAnsi="Times New Roman"/>
          <w:sz w:val="21"/>
          <w:szCs w:val="21"/>
        </w:rPr>
        <w:instrText xml:space="preserve">Hyperlink \l "_Toc24540521"</w:instrText>
      </w:r>
      <w:r>
        <w:rPr>
          <w:rFonts w:ascii="Times New Roman" w:hAnsi="Times New Roman"/>
          <w:sz w:val="21"/>
          <w:szCs w:val="21"/>
        </w:rPr>
        <w:fldChar w:fldCharType="separate"/>
      </w:r>
      <w:r>
        <w:rPr>
          <w:rFonts w:ascii="Times New Roman" w:hAnsi="Times New Roman" w:eastAsia="宋体"/>
          <w:sz w:val="21"/>
          <w:szCs w:val="21"/>
        </w:rPr>
        <w:t>8.1  宣传培训</w:t>
      </w:r>
      <w:r>
        <w:rPr>
          <w:rFonts w:ascii="Times New Roman" w:hAnsi="Times New Roman" w:eastAsia="宋体"/>
          <w:sz w:val="21"/>
          <w:szCs w:val="21"/>
        </w:rPr>
        <w:tab/>
      </w:r>
      <w:r>
        <w:rPr>
          <w:rFonts w:ascii="Times New Roman" w:hAnsi="Times New Roman" w:eastAsia="宋体"/>
          <w:sz w:val="21"/>
          <w:szCs w:val="21"/>
        </w:rPr>
        <w:fldChar w:fldCharType="begin"/>
      </w:r>
      <w:r>
        <w:rPr>
          <w:rFonts w:ascii="Times New Roman" w:hAnsi="Times New Roman" w:eastAsia="宋体"/>
          <w:sz w:val="21"/>
          <w:szCs w:val="21"/>
        </w:rPr>
        <w:instrText xml:space="preserve"> PAGEREF _Toc24540521 \h </w:instrText>
      </w:r>
      <w:r>
        <w:rPr>
          <w:rFonts w:ascii="Times New Roman" w:hAnsi="Times New Roman" w:eastAsia="宋体"/>
          <w:sz w:val="21"/>
          <w:szCs w:val="21"/>
        </w:rPr>
        <w:fldChar w:fldCharType="separate"/>
      </w:r>
      <w:r>
        <w:rPr>
          <w:rFonts w:ascii="Times New Roman" w:hAnsi="Times New Roman" w:eastAsia="宋体"/>
          <w:sz w:val="21"/>
          <w:szCs w:val="21"/>
        </w:rPr>
        <w:t>8</w:t>
      </w:r>
      <w:r>
        <w:rPr>
          <w:rFonts w:ascii="Times New Roman" w:hAnsi="Times New Roman" w:eastAsia="宋体"/>
          <w:sz w:val="21"/>
          <w:szCs w:val="21"/>
        </w:rPr>
        <w:fldChar w:fldCharType="end"/>
      </w:r>
      <w:r>
        <w:rPr>
          <w:rFonts w:ascii="Times New Roman" w:hAnsi="Times New Roman"/>
          <w:sz w:val="21"/>
          <w:szCs w:val="21"/>
        </w:rPr>
        <w:fldChar w:fldCharType="end"/>
      </w:r>
    </w:p>
    <w:p>
      <w:pPr>
        <w:pStyle w:val="15"/>
        <w:tabs>
          <w:tab w:val="right" w:leader="dot" w:pos="8296"/>
        </w:tabs>
        <w:rPr>
          <w:rFonts w:ascii="Times New Roman" w:hAnsi="Times New Roman" w:eastAsia="宋体"/>
          <w:kern w:val="2"/>
          <w:sz w:val="21"/>
          <w:szCs w:val="21"/>
        </w:rPr>
      </w:pPr>
      <w:r>
        <w:rPr>
          <w:rFonts w:ascii="Times New Roman" w:hAnsi="Times New Roman"/>
          <w:sz w:val="21"/>
          <w:szCs w:val="21"/>
        </w:rPr>
        <w:fldChar w:fldCharType="begin"/>
      </w:r>
      <w:r>
        <w:rPr>
          <w:rFonts w:ascii="Times New Roman" w:hAnsi="Times New Roman"/>
          <w:sz w:val="21"/>
          <w:szCs w:val="21"/>
        </w:rPr>
        <w:instrText xml:space="preserve">Hyperlink \l "_Toc24540525"</w:instrText>
      </w:r>
      <w:r>
        <w:rPr>
          <w:rFonts w:ascii="Times New Roman" w:hAnsi="Times New Roman"/>
          <w:sz w:val="21"/>
          <w:szCs w:val="21"/>
        </w:rPr>
        <w:fldChar w:fldCharType="separate"/>
      </w:r>
      <w:r>
        <w:rPr>
          <w:rFonts w:ascii="Times New Roman" w:hAnsi="Times New Roman" w:eastAsia="宋体"/>
          <w:sz w:val="21"/>
          <w:szCs w:val="21"/>
        </w:rPr>
        <w:t>8.2  防灾演练</w:t>
      </w:r>
      <w:r>
        <w:rPr>
          <w:rFonts w:ascii="Times New Roman" w:hAnsi="Times New Roman" w:eastAsia="宋体"/>
          <w:sz w:val="21"/>
          <w:szCs w:val="21"/>
        </w:rPr>
        <w:tab/>
      </w:r>
      <w:r>
        <w:rPr>
          <w:rFonts w:ascii="Times New Roman" w:hAnsi="Times New Roman" w:eastAsia="宋体"/>
          <w:sz w:val="21"/>
          <w:szCs w:val="21"/>
        </w:rPr>
        <w:fldChar w:fldCharType="begin"/>
      </w:r>
      <w:r>
        <w:rPr>
          <w:rFonts w:ascii="Times New Roman" w:hAnsi="Times New Roman" w:eastAsia="宋体"/>
          <w:sz w:val="21"/>
          <w:szCs w:val="21"/>
        </w:rPr>
        <w:instrText xml:space="preserve"> PAGEREF _Toc24540525 \h </w:instrText>
      </w:r>
      <w:r>
        <w:rPr>
          <w:rFonts w:ascii="Times New Roman" w:hAnsi="Times New Roman" w:eastAsia="宋体"/>
          <w:sz w:val="21"/>
          <w:szCs w:val="21"/>
        </w:rPr>
        <w:fldChar w:fldCharType="separate"/>
      </w:r>
      <w:r>
        <w:rPr>
          <w:rFonts w:ascii="Times New Roman" w:hAnsi="Times New Roman" w:eastAsia="宋体"/>
          <w:sz w:val="21"/>
          <w:szCs w:val="21"/>
        </w:rPr>
        <w:t>9</w:t>
      </w:r>
      <w:r>
        <w:rPr>
          <w:rFonts w:ascii="Times New Roman" w:hAnsi="Times New Roman" w:eastAsia="宋体"/>
          <w:sz w:val="21"/>
          <w:szCs w:val="21"/>
        </w:rPr>
        <w:fldChar w:fldCharType="end"/>
      </w:r>
      <w:r>
        <w:rPr>
          <w:rFonts w:ascii="Times New Roman" w:hAnsi="Times New Roman"/>
          <w:sz w:val="21"/>
          <w:szCs w:val="21"/>
        </w:rPr>
        <w:fldChar w:fldCharType="end"/>
      </w:r>
    </w:p>
    <w:p>
      <w:pPr>
        <w:pStyle w:val="13"/>
        <w:tabs>
          <w:tab w:val="right" w:leader="dot" w:pos="8296"/>
        </w:tabs>
        <w:rPr>
          <w:rFonts w:ascii="Times New Roman" w:hAnsi="Times New Roman" w:eastAsia="宋体"/>
          <w:kern w:val="2"/>
          <w:sz w:val="21"/>
          <w:szCs w:val="21"/>
        </w:rPr>
      </w:pPr>
      <w:r>
        <w:rPr>
          <w:rFonts w:ascii="Times New Roman" w:hAnsi="Times New Roman"/>
          <w:sz w:val="21"/>
          <w:szCs w:val="21"/>
        </w:rPr>
        <w:fldChar w:fldCharType="begin"/>
      </w:r>
      <w:r>
        <w:rPr>
          <w:rFonts w:ascii="Times New Roman" w:hAnsi="Times New Roman"/>
          <w:sz w:val="21"/>
          <w:szCs w:val="21"/>
        </w:rPr>
        <w:instrText xml:space="preserve">Hyperlink \l "_Toc24540526"</w:instrText>
      </w:r>
      <w:r>
        <w:rPr>
          <w:rFonts w:ascii="Times New Roman" w:hAnsi="Times New Roman"/>
          <w:sz w:val="21"/>
          <w:szCs w:val="21"/>
        </w:rPr>
        <w:fldChar w:fldCharType="separate"/>
      </w:r>
      <w:r>
        <w:rPr>
          <w:rFonts w:ascii="Times New Roman" w:hAnsi="Times New Roman" w:eastAsia="宋体"/>
          <w:sz w:val="21"/>
          <w:szCs w:val="21"/>
        </w:rPr>
        <w:t>9  预案及制度编制要求</w:t>
      </w:r>
      <w:r>
        <w:rPr>
          <w:rFonts w:ascii="Times New Roman" w:hAnsi="Times New Roman" w:eastAsia="宋体"/>
          <w:sz w:val="21"/>
          <w:szCs w:val="21"/>
        </w:rPr>
        <w:tab/>
      </w:r>
      <w:r>
        <w:rPr>
          <w:rFonts w:ascii="Times New Roman" w:hAnsi="Times New Roman" w:eastAsia="宋体"/>
          <w:sz w:val="21"/>
          <w:szCs w:val="21"/>
        </w:rPr>
        <w:fldChar w:fldCharType="begin"/>
      </w:r>
      <w:r>
        <w:rPr>
          <w:rFonts w:ascii="Times New Roman" w:hAnsi="Times New Roman" w:eastAsia="宋体"/>
          <w:sz w:val="21"/>
          <w:szCs w:val="21"/>
        </w:rPr>
        <w:instrText xml:space="preserve"> PAGEREF _Toc24540526 \h </w:instrText>
      </w:r>
      <w:r>
        <w:rPr>
          <w:rFonts w:ascii="Times New Roman" w:hAnsi="Times New Roman" w:eastAsia="宋体"/>
          <w:sz w:val="21"/>
          <w:szCs w:val="21"/>
        </w:rPr>
        <w:fldChar w:fldCharType="separate"/>
      </w:r>
      <w:r>
        <w:rPr>
          <w:rFonts w:ascii="Times New Roman" w:hAnsi="Times New Roman" w:eastAsia="宋体"/>
          <w:sz w:val="21"/>
          <w:szCs w:val="21"/>
        </w:rPr>
        <w:t>10</w:t>
      </w:r>
      <w:r>
        <w:rPr>
          <w:rFonts w:ascii="Times New Roman" w:hAnsi="Times New Roman" w:eastAsia="宋体"/>
          <w:sz w:val="21"/>
          <w:szCs w:val="21"/>
        </w:rPr>
        <w:fldChar w:fldCharType="end"/>
      </w:r>
      <w:r>
        <w:rPr>
          <w:rFonts w:ascii="Times New Roman" w:hAnsi="Times New Roman"/>
          <w:sz w:val="21"/>
          <w:szCs w:val="21"/>
        </w:rPr>
        <w:fldChar w:fldCharType="end"/>
      </w:r>
    </w:p>
    <w:p>
      <w:pPr>
        <w:pStyle w:val="15"/>
        <w:tabs>
          <w:tab w:val="right" w:leader="dot" w:pos="8296"/>
        </w:tabs>
        <w:rPr>
          <w:rFonts w:ascii="Times New Roman" w:hAnsi="Times New Roman" w:eastAsia="宋体"/>
          <w:kern w:val="2"/>
          <w:sz w:val="21"/>
          <w:szCs w:val="21"/>
        </w:rPr>
      </w:pPr>
      <w:r>
        <w:rPr>
          <w:rFonts w:ascii="Times New Roman" w:hAnsi="Times New Roman"/>
          <w:sz w:val="21"/>
          <w:szCs w:val="21"/>
        </w:rPr>
        <w:fldChar w:fldCharType="begin"/>
      </w:r>
      <w:r>
        <w:rPr>
          <w:rFonts w:ascii="Times New Roman" w:hAnsi="Times New Roman"/>
          <w:sz w:val="21"/>
          <w:szCs w:val="21"/>
        </w:rPr>
        <w:instrText xml:space="preserve">Hyperlink \l "_Toc24540527"</w:instrText>
      </w:r>
      <w:r>
        <w:rPr>
          <w:rFonts w:ascii="Times New Roman" w:hAnsi="Times New Roman"/>
          <w:sz w:val="21"/>
          <w:szCs w:val="21"/>
        </w:rPr>
        <w:fldChar w:fldCharType="separate"/>
      </w:r>
      <w:r>
        <w:rPr>
          <w:rFonts w:ascii="Times New Roman" w:hAnsi="Times New Roman" w:eastAsia="宋体"/>
          <w:sz w:val="21"/>
          <w:szCs w:val="21"/>
        </w:rPr>
        <w:t>9.1  防灾预案编制</w:t>
      </w:r>
      <w:r>
        <w:rPr>
          <w:rFonts w:ascii="Times New Roman" w:hAnsi="Times New Roman" w:eastAsia="宋体"/>
          <w:sz w:val="21"/>
          <w:szCs w:val="21"/>
        </w:rPr>
        <w:tab/>
      </w:r>
      <w:r>
        <w:rPr>
          <w:rFonts w:ascii="Times New Roman" w:hAnsi="Times New Roman" w:eastAsia="宋体"/>
          <w:sz w:val="21"/>
          <w:szCs w:val="21"/>
        </w:rPr>
        <w:fldChar w:fldCharType="begin"/>
      </w:r>
      <w:r>
        <w:rPr>
          <w:rFonts w:ascii="Times New Roman" w:hAnsi="Times New Roman" w:eastAsia="宋体"/>
          <w:sz w:val="21"/>
          <w:szCs w:val="21"/>
        </w:rPr>
        <w:instrText xml:space="preserve"> PAGEREF _Toc24540527 \h </w:instrText>
      </w:r>
      <w:r>
        <w:rPr>
          <w:rFonts w:ascii="Times New Roman" w:hAnsi="Times New Roman" w:eastAsia="宋体"/>
          <w:sz w:val="21"/>
          <w:szCs w:val="21"/>
        </w:rPr>
        <w:fldChar w:fldCharType="separate"/>
      </w:r>
      <w:r>
        <w:rPr>
          <w:rFonts w:ascii="Times New Roman" w:hAnsi="Times New Roman" w:eastAsia="宋体"/>
          <w:sz w:val="21"/>
          <w:szCs w:val="21"/>
        </w:rPr>
        <w:t>10</w:t>
      </w:r>
      <w:r>
        <w:rPr>
          <w:rFonts w:ascii="Times New Roman" w:hAnsi="Times New Roman" w:eastAsia="宋体"/>
          <w:sz w:val="21"/>
          <w:szCs w:val="21"/>
        </w:rPr>
        <w:fldChar w:fldCharType="end"/>
      </w:r>
      <w:r>
        <w:rPr>
          <w:rFonts w:ascii="Times New Roman" w:hAnsi="Times New Roman"/>
          <w:sz w:val="21"/>
          <w:szCs w:val="21"/>
        </w:rPr>
        <w:fldChar w:fldCharType="end"/>
      </w:r>
    </w:p>
    <w:p>
      <w:pPr>
        <w:pStyle w:val="15"/>
        <w:tabs>
          <w:tab w:val="right" w:leader="dot" w:pos="8296"/>
        </w:tabs>
        <w:rPr>
          <w:rFonts w:ascii="Times New Roman" w:hAnsi="Times New Roman" w:eastAsia="宋体"/>
          <w:kern w:val="2"/>
          <w:sz w:val="21"/>
          <w:szCs w:val="21"/>
        </w:rPr>
      </w:pPr>
      <w:r>
        <w:rPr>
          <w:rFonts w:ascii="Times New Roman" w:hAnsi="Times New Roman"/>
          <w:sz w:val="21"/>
          <w:szCs w:val="21"/>
        </w:rPr>
        <w:fldChar w:fldCharType="begin"/>
      </w:r>
      <w:r>
        <w:rPr>
          <w:rFonts w:ascii="Times New Roman" w:hAnsi="Times New Roman"/>
          <w:sz w:val="21"/>
          <w:szCs w:val="21"/>
        </w:rPr>
        <w:instrText xml:space="preserve">Hyperlink \l "_Toc24540528"</w:instrText>
      </w:r>
      <w:r>
        <w:rPr>
          <w:rFonts w:ascii="Times New Roman" w:hAnsi="Times New Roman"/>
          <w:sz w:val="21"/>
          <w:szCs w:val="21"/>
        </w:rPr>
        <w:fldChar w:fldCharType="separate"/>
      </w:r>
      <w:r>
        <w:rPr>
          <w:rFonts w:ascii="Times New Roman" w:hAnsi="Times New Roman" w:eastAsia="宋体"/>
          <w:sz w:val="21"/>
          <w:szCs w:val="21"/>
        </w:rPr>
        <w:t>9.2  防治规划编制</w:t>
      </w:r>
      <w:r>
        <w:rPr>
          <w:rFonts w:ascii="Times New Roman" w:hAnsi="Times New Roman" w:eastAsia="宋体"/>
          <w:sz w:val="21"/>
          <w:szCs w:val="21"/>
        </w:rPr>
        <w:tab/>
      </w:r>
      <w:r>
        <w:rPr>
          <w:rFonts w:ascii="Times New Roman" w:hAnsi="Times New Roman" w:eastAsia="宋体"/>
          <w:sz w:val="21"/>
          <w:szCs w:val="21"/>
        </w:rPr>
        <w:fldChar w:fldCharType="begin"/>
      </w:r>
      <w:r>
        <w:rPr>
          <w:rFonts w:ascii="Times New Roman" w:hAnsi="Times New Roman" w:eastAsia="宋体"/>
          <w:sz w:val="21"/>
          <w:szCs w:val="21"/>
        </w:rPr>
        <w:instrText xml:space="preserve"> PAGEREF _Toc24540528 \h </w:instrText>
      </w:r>
      <w:r>
        <w:rPr>
          <w:rFonts w:ascii="Times New Roman" w:hAnsi="Times New Roman" w:eastAsia="宋体"/>
          <w:sz w:val="21"/>
          <w:szCs w:val="21"/>
        </w:rPr>
        <w:fldChar w:fldCharType="separate"/>
      </w:r>
      <w:r>
        <w:rPr>
          <w:rFonts w:ascii="Times New Roman" w:hAnsi="Times New Roman" w:eastAsia="宋体"/>
          <w:sz w:val="21"/>
          <w:szCs w:val="21"/>
        </w:rPr>
        <w:t>10</w:t>
      </w:r>
      <w:r>
        <w:rPr>
          <w:rFonts w:ascii="Times New Roman" w:hAnsi="Times New Roman" w:eastAsia="宋体"/>
          <w:sz w:val="21"/>
          <w:szCs w:val="21"/>
        </w:rPr>
        <w:fldChar w:fldCharType="end"/>
      </w:r>
      <w:r>
        <w:rPr>
          <w:rFonts w:ascii="Times New Roman" w:hAnsi="Times New Roman"/>
          <w:sz w:val="21"/>
          <w:szCs w:val="21"/>
        </w:rPr>
        <w:fldChar w:fldCharType="end"/>
      </w:r>
    </w:p>
    <w:p>
      <w:pPr>
        <w:pStyle w:val="15"/>
        <w:tabs>
          <w:tab w:val="right" w:leader="dot" w:pos="8296"/>
        </w:tabs>
        <w:rPr>
          <w:rFonts w:ascii="Times New Roman" w:hAnsi="Times New Roman" w:eastAsia="宋体"/>
          <w:kern w:val="2"/>
          <w:sz w:val="21"/>
          <w:szCs w:val="21"/>
        </w:rPr>
      </w:pPr>
      <w:r>
        <w:rPr>
          <w:rFonts w:ascii="Times New Roman" w:hAnsi="Times New Roman"/>
          <w:sz w:val="21"/>
          <w:szCs w:val="21"/>
        </w:rPr>
        <w:fldChar w:fldCharType="begin"/>
      </w:r>
      <w:r>
        <w:rPr>
          <w:rFonts w:ascii="Times New Roman" w:hAnsi="Times New Roman"/>
          <w:sz w:val="21"/>
          <w:szCs w:val="21"/>
        </w:rPr>
        <w:instrText xml:space="preserve">Hyperlink \l "_Toc24540529"</w:instrText>
      </w:r>
      <w:r>
        <w:rPr>
          <w:rFonts w:ascii="Times New Roman" w:hAnsi="Times New Roman"/>
          <w:sz w:val="21"/>
          <w:szCs w:val="21"/>
        </w:rPr>
        <w:fldChar w:fldCharType="separate"/>
      </w:r>
      <w:r>
        <w:rPr>
          <w:rFonts w:ascii="Times New Roman" w:hAnsi="Times New Roman" w:eastAsia="宋体"/>
          <w:sz w:val="21"/>
          <w:szCs w:val="21"/>
        </w:rPr>
        <w:t>9.3  防治方案编制</w:t>
      </w:r>
      <w:r>
        <w:rPr>
          <w:rFonts w:ascii="Times New Roman" w:hAnsi="Times New Roman" w:eastAsia="宋体"/>
          <w:sz w:val="21"/>
          <w:szCs w:val="21"/>
        </w:rPr>
        <w:tab/>
      </w:r>
      <w:r>
        <w:rPr>
          <w:rFonts w:ascii="Times New Roman" w:hAnsi="Times New Roman" w:eastAsia="宋体"/>
          <w:sz w:val="21"/>
          <w:szCs w:val="21"/>
        </w:rPr>
        <w:fldChar w:fldCharType="begin"/>
      </w:r>
      <w:r>
        <w:rPr>
          <w:rFonts w:ascii="Times New Roman" w:hAnsi="Times New Roman" w:eastAsia="宋体"/>
          <w:sz w:val="21"/>
          <w:szCs w:val="21"/>
        </w:rPr>
        <w:instrText xml:space="preserve"> PAGEREF _Toc24540529 \h </w:instrText>
      </w:r>
      <w:r>
        <w:rPr>
          <w:rFonts w:ascii="Times New Roman" w:hAnsi="Times New Roman" w:eastAsia="宋体"/>
          <w:sz w:val="21"/>
          <w:szCs w:val="21"/>
        </w:rPr>
        <w:fldChar w:fldCharType="separate"/>
      </w:r>
      <w:r>
        <w:rPr>
          <w:rFonts w:ascii="Times New Roman" w:hAnsi="Times New Roman" w:eastAsia="宋体"/>
          <w:sz w:val="21"/>
          <w:szCs w:val="21"/>
        </w:rPr>
        <w:t>10</w:t>
      </w:r>
      <w:r>
        <w:rPr>
          <w:rFonts w:ascii="Times New Roman" w:hAnsi="Times New Roman" w:eastAsia="宋体"/>
          <w:sz w:val="21"/>
          <w:szCs w:val="21"/>
        </w:rPr>
        <w:fldChar w:fldCharType="end"/>
      </w:r>
      <w:r>
        <w:rPr>
          <w:rFonts w:ascii="Times New Roman" w:hAnsi="Times New Roman"/>
          <w:sz w:val="21"/>
          <w:szCs w:val="21"/>
        </w:rPr>
        <w:fldChar w:fldCharType="end"/>
      </w:r>
    </w:p>
    <w:p>
      <w:pPr>
        <w:pStyle w:val="15"/>
        <w:tabs>
          <w:tab w:val="right" w:leader="dot" w:pos="8296"/>
        </w:tabs>
        <w:rPr>
          <w:rFonts w:ascii="Times New Roman" w:hAnsi="Times New Roman" w:eastAsia="宋体"/>
          <w:kern w:val="2"/>
          <w:sz w:val="21"/>
          <w:szCs w:val="21"/>
        </w:rPr>
      </w:pPr>
      <w:r>
        <w:rPr>
          <w:rFonts w:ascii="Times New Roman" w:hAnsi="Times New Roman"/>
          <w:sz w:val="21"/>
          <w:szCs w:val="21"/>
        </w:rPr>
        <w:fldChar w:fldCharType="begin"/>
      </w:r>
      <w:r>
        <w:rPr>
          <w:rFonts w:ascii="Times New Roman" w:hAnsi="Times New Roman"/>
          <w:sz w:val="21"/>
          <w:szCs w:val="21"/>
        </w:rPr>
        <w:instrText xml:space="preserve">Hyperlink \l "_Toc24540530"</w:instrText>
      </w:r>
      <w:r>
        <w:rPr>
          <w:rFonts w:ascii="Times New Roman" w:hAnsi="Times New Roman"/>
          <w:sz w:val="21"/>
          <w:szCs w:val="21"/>
        </w:rPr>
        <w:fldChar w:fldCharType="separate"/>
      </w:r>
      <w:r>
        <w:rPr>
          <w:rFonts w:ascii="Times New Roman" w:hAnsi="Times New Roman" w:eastAsia="宋体"/>
          <w:sz w:val="21"/>
          <w:szCs w:val="21"/>
        </w:rPr>
        <w:t>9.4  专项制度编制</w:t>
      </w:r>
      <w:r>
        <w:rPr>
          <w:rFonts w:ascii="Times New Roman" w:hAnsi="Times New Roman" w:eastAsia="宋体"/>
          <w:sz w:val="21"/>
          <w:szCs w:val="21"/>
        </w:rPr>
        <w:tab/>
      </w:r>
      <w:r>
        <w:rPr>
          <w:rFonts w:ascii="Times New Roman" w:hAnsi="Times New Roman" w:eastAsia="宋体"/>
          <w:sz w:val="21"/>
          <w:szCs w:val="21"/>
        </w:rPr>
        <w:fldChar w:fldCharType="begin"/>
      </w:r>
      <w:r>
        <w:rPr>
          <w:rFonts w:ascii="Times New Roman" w:hAnsi="Times New Roman" w:eastAsia="宋体"/>
          <w:sz w:val="21"/>
          <w:szCs w:val="21"/>
        </w:rPr>
        <w:instrText xml:space="preserve"> PAGEREF _Toc24540530 \h </w:instrText>
      </w:r>
      <w:r>
        <w:rPr>
          <w:rFonts w:ascii="Times New Roman" w:hAnsi="Times New Roman" w:eastAsia="宋体"/>
          <w:sz w:val="21"/>
          <w:szCs w:val="21"/>
        </w:rPr>
        <w:fldChar w:fldCharType="separate"/>
      </w:r>
      <w:r>
        <w:rPr>
          <w:rFonts w:ascii="Times New Roman" w:hAnsi="Times New Roman" w:eastAsia="宋体"/>
          <w:sz w:val="21"/>
          <w:szCs w:val="21"/>
        </w:rPr>
        <w:t>10</w:t>
      </w:r>
      <w:r>
        <w:rPr>
          <w:rFonts w:ascii="Times New Roman" w:hAnsi="Times New Roman" w:eastAsia="宋体"/>
          <w:sz w:val="21"/>
          <w:szCs w:val="21"/>
        </w:rPr>
        <w:fldChar w:fldCharType="end"/>
      </w:r>
      <w:r>
        <w:rPr>
          <w:rFonts w:ascii="Times New Roman" w:hAnsi="Times New Roman"/>
          <w:sz w:val="21"/>
          <w:szCs w:val="21"/>
        </w:rPr>
        <w:fldChar w:fldCharType="end"/>
      </w:r>
    </w:p>
    <w:p>
      <w:pPr>
        <w:pStyle w:val="13"/>
        <w:tabs>
          <w:tab w:val="right" w:leader="dot" w:pos="8296"/>
        </w:tabs>
        <w:rPr>
          <w:rFonts w:ascii="Times New Roman" w:hAnsi="Times New Roman" w:eastAsia="宋体"/>
          <w:kern w:val="2"/>
          <w:sz w:val="21"/>
          <w:szCs w:val="21"/>
        </w:rPr>
      </w:pPr>
      <w:r>
        <w:rPr>
          <w:rFonts w:ascii="Times New Roman" w:hAnsi="Times New Roman"/>
          <w:sz w:val="21"/>
          <w:szCs w:val="21"/>
        </w:rPr>
        <w:fldChar w:fldCharType="begin"/>
      </w:r>
      <w:r>
        <w:rPr>
          <w:rFonts w:ascii="Times New Roman" w:hAnsi="Times New Roman"/>
          <w:sz w:val="21"/>
          <w:szCs w:val="21"/>
        </w:rPr>
        <w:instrText xml:space="preserve">Hyperlink \l "_Toc24540531"</w:instrText>
      </w:r>
      <w:r>
        <w:rPr>
          <w:rFonts w:ascii="Times New Roman" w:hAnsi="Times New Roman"/>
          <w:sz w:val="21"/>
          <w:szCs w:val="21"/>
        </w:rPr>
        <w:fldChar w:fldCharType="separate"/>
      </w:r>
      <w:r>
        <w:rPr>
          <w:rFonts w:ascii="Times New Roman" w:hAnsi="Times New Roman" w:eastAsia="宋体"/>
          <w:sz w:val="21"/>
          <w:szCs w:val="21"/>
        </w:rPr>
        <w:t>10  科研及标准制定要求</w:t>
      </w:r>
      <w:r>
        <w:rPr>
          <w:rFonts w:ascii="Times New Roman" w:hAnsi="Times New Roman" w:eastAsia="宋体"/>
          <w:sz w:val="21"/>
          <w:szCs w:val="21"/>
        </w:rPr>
        <w:tab/>
      </w:r>
      <w:r>
        <w:rPr>
          <w:rFonts w:ascii="Times New Roman" w:hAnsi="Times New Roman" w:eastAsia="宋体"/>
          <w:sz w:val="21"/>
          <w:szCs w:val="21"/>
        </w:rPr>
        <w:fldChar w:fldCharType="begin"/>
      </w:r>
      <w:r>
        <w:rPr>
          <w:rFonts w:ascii="Times New Roman" w:hAnsi="Times New Roman" w:eastAsia="宋体"/>
          <w:sz w:val="21"/>
          <w:szCs w:val="21"/>
        </w:rPr>
        <w:instrText xml:space="preserve"> PAGEREF _Toc24540531 \h </w:instrText>
      </w:r>
      <w:r>
        <w:rPr>
          <w:rFonts w:ascii="Times New Roman" w:hAnsi="Times New Roman" w:eastAsia="宋体"/>
          <w:sz w:val="21"/>
          <w:szCs w:val="21"/>
        </w:rPr>
        <w:fldChar w:fldCharType="separate"/>
      </w:r>
      <w:r>
        <w:rPr>
          <w:rFonts w:ascii="Times New Roman" w:hAnsi="Times New Roman" w:eastAsia="宋体"/>
          <w:sz w:val="21"/>
          <w:szCs w:val="21"/>
        </w:rPr>
        <w:t>11</w:t>
      </w:r>
      <w:r>
        <w:rPr>
          <w:rFonts w:ascii="Times New Roman" w:hAnsi="Times New Roman" w:eastAsia="宋体"/>
          <w:sz w:val="21"/>
          <w:szCs w:val="21"/>
        </w:rPr>
        <w:fldChar w:fldCharType="end"/>
      </w:r>
      <w:r>
        <w:rPr>
          <w:rFonts w:ascii="Times New Roman" w:hAnsi="Times New Roman"/>
          <w:sz w:val="21"/>
          <w:szCs w:val="21"/>
        </w:rPr>
        <w:fldChar w:fldCharType="end"/>
      </w:r>
    </w:p>
    <w:p>
      <w:pPr>
        <w:pStyle w:val="15"/>
        <w:tabs>
          <w:tab w:val="right" w:leader="dot" w:pos="8296"/>
        </w:tabs>
        <w:rPr>
          <w:rFonts w:ascii="Times New Roman" w:hAnsi="Times New Roman" w:eastAsia="宋体"/>
          <w:kern w:val="2"/>
          <w:sz w:val="21"/>
          <w:szCs w:val="21"/>
        </w:rPr>
      </w:pPr>
      <w:r>
        <w:rPr>
          <w:rFonts w:ascii="Times New Roman" w:hAnsi="Times New Roman"/>
          <w:sz w:val="21"/>
          <w:szCs w:val="21"/>
        </w:rPr>
        <w:fldChar w:fldCharType="begin"/>
      </w:r>
      <w:r>
        <w:rPr>
          <w:rFonts w:ascii="Times New Roman" w:hAnsi="Times New Roman"/>
          <w:sz w:val="21"/>
          <w:szCs w:val="21"/>
        </w:rPr>
        <w:instrText xml:space="preserve">Hyperlink \l "_Toc24540532"</w:instrText>
      </w:r>
      <w:r>
        <w:rPr>
          <w:rFonts w:ascii="Times New Roman" w:hAnsi="Times New Roman"/>
          <w:sz w:val="21"/>
          <w:szCs w:val="21"/>
        </w:rPr>
        <w:fldChar w:fldCharType="separate"/>
      </w:r>
      <w:r>
        <w:rPr>
          <w:rFonts w:ascii="Times New Roman" w:hAnsi="Times New Roman" w:eastAsia="宋体"/>
          <w:sz w:val="21"/>
          <w:szCs w:val="21"/>
        </w:rPr>
        <w:t>10.1  专题研究</w:t>
      </w:r>
      <w:r>
        <w:rPr>
          <w:rFonts w:ascii="Times New Roman" w:hAnsi="Times New Roman" w:eastAsia="宋体"/>
          <w:sz w:val="21"/>
          <w:szCs w:val="21"/>
        </w:rPr>
        <w:tab/>
      </w:r>
      <w:r>
        <w:rPr>
          <w:rFonts w:ascii="Times New Roman" w:hAnsi="Times New Roman" w:eastAsia="宋体"/>
          <w:sz w:val="21"/>
          <w:szCs w:val="21"/>
        </w:rPr>
        <w:fldChar w:fldCharType="begin"/>
      </w:r>
      <w:r>
        <w:rPr>
          <w:rFonts w:ascii="Times New Roman" w:hAnsi="Times New Roman" w:eastAsia="宋体"/>
          <w:sz w:val="21"/>
          <w:szCs w:val="21"/>
        </w:rPr>
        <w:instrText xml:space="preserve"> PAGEREF _Toc24540532 \h </w:instrText>
      </w:r>
      <w:r>
        <w:rPr>
          <w:rFonts w:ascii="Times New Roman" w:hAnsi="Times New Roman" w:eastAsia="宋体"/>
          <w:sz w:val="21"/>
          <w:szCs w:val="21"/>
        </w:rPr>
        <w:fldChar w:fldCharType="separate"/>
      </w:r>
      <w:r>
        <w:rPr>
          <w:rFonts w:ascii="Times New Roman" w:hAnsi="Times New Roman" w:eastAsia="宋体"/>
          <w:sz w:val="21"/>
          <w:szCs w:val="21"/>
        </w:rPr>
        <w:t>11</w:t>
      </w:r>
      <w:r>
        <w:rPr>
          <w:rFonts w:ascii="Times New Roman" w:hAnsi="Times New Roman" w:eastAsia="宋体"/>
          <w:sz w:val="21"/>
          <w:szCs w:val="21"/>
        </w:rPr>
        <w:fldChar w:fldCharType="end"/>
      </w:r>
      <w:r>
        <w:rPr>
          <w:rFonts w:ascii="Times New Roman" w:hAnsi="Times New Roman"/>
          <w:sz w:val="21"/>
          <w:szCs w:val="21"/>
        </w:rPr>
        <w:fldChar w:fldCharType="end"/>
      </w:r>
    </w:p>
    <w:p>
      <w:pPr>
        <w:pStyle w:val="15"/>
        <w:tabs>
          <w:tab w:val="right" w:leader="dot" w:pos="8296"/>
        </w:tabs>
        <w:rPr>
          <w:rFonts w:ascii="Times New Roman" w:hAnsi="Times New Roman" w:eastAsia="宋体"/>
          <w:kern w:val="2"/>
          <w:sz w:val="21"/>
          <w:szCs w:val="21"/>
        </w:rPr>
      </w:pPr>
      <w:r>
        <w:rPr>
          <w:rFonts w:ascii="Times New Roman" w:hAnsi="Times New Roman"/>
          <w:sz w:val="21"/>
          <w:szCs w:val="21"/>
        </w:rPr>
        <w:fldChar w:fldCharType="begin"/>
      </w:r>
      <w:r>
        <w:rPr>
          <w:rFonts w:ascii="Times New Roman" w:hAnsi="Times New Roman"/>
          <w:sz w:val="21"/>
          <w:szCs w:val="21"/>
        </w:rPr>
        <w:instrText xml:space="preserve">Hyperlink \l "_Toc24540533"</w:instrText>
      </w:r>
      <w:r>
        <w:rPr>
          <w:rFonts w:ascii="Times New Roman" w:hAnsi="Times New Roman"/>
          <w:sz w:val="21"/>
          <w:szCs w:val="21"/>
        </w:rPr>
        <w:fldChar w:fldCharType="separate"/>
      </w:r>
      <w:r>
        <w:rPr>
          <w:rFonts w:ascii="Times New Roman" w:hAnsi="Times New Roman" w:eastAsia="宋体"/>
          <w:sz w:val="21"/>
          <w:szCs w:val="21"/>
        </w:rPr>
        <w:t>10.2  标准制定</w:t>
      </w:r>
      <w:r>
        <w:rPr>
          <w:rFonts w:ascii="Times New Roman" w:hAnsi="Times New Roman" w:eastAsia="宋体"/>
          <w:sz w:val="21"/>
          <w:szCs w:val="21"/>
        </w:rPr>
        <w:tab/>
      </w:r>
      <w:r>
        <w:rPr>
          <w:rFonts w:ascii="Times New Roman" w:hAnsi="Times New Roman" w:eastAsia="宋体"/>
          <w:sz w:val="21"/>
          <w:szCs w:val="21"/>
        </w:rPr>
        <w:fldChar w:fldCharType="begin"/>
      </w:r>
      <w:r>
        <w:rPr>
          <w:rFonts w:ascii="Times New Roman" w:hAnsi="Times New Roman" w:eastAsia="宋体"/>
          <w:sz w:val="21"/>
          <w:szCs w:val="21"/>
        </w:rPr>
        <w:instrText xml:space="preserve"> PAGEREF _Toc24540533 \h </w:instrText>
      </w:r>
      <w:r>
        <w:rPr>
          <w:rFonts w:ascii="Times New Roman" w:hAnsi="Times New Roman" w:eastAsia="宋体"/>
          <w:sz w:val="21"/>
          <w:szCs w:val="21"/>
        </w:rPr>
        <w:fldChar w:fldCharType="separate"/>
      </w:r>
      <w:r>
        <w:rPr>
          <w:rFonts w:ascii="Times New Roman" w:hAnsi="Times New Roman" w:eastAsia="宋体"/>
          <w:sz w:val="21"/>
          <w:szCs w:val="21"/>
        </w:rPr>
        <w:t>11</w:t>
      </w:r>
      <w:r>
        <w:rPr>
          <w:rFonts w:ascii="Times New Roman" w:hAnsi="Times New Roman" w:eastAsia="宋体"/>
          <w:sz w:val="21"/>
          <w:szCs w:val="21"/>
        </w:rPr>
        <w:fldChar w:fldCharType="end"/>
      </w:r>
      <w:r>
        <w:rPr>
          <w:rFonts w:ascii="Times New Roman" w:hAnsi="Times New Roman"/>
          <w:sz w:val="21"/>
          <w:szCs w:val="21"/>
        </w:rPr>
        <w:fldChar w:fldCharType="end"/>
      </w:r>
    </w:p>
    <w:p>
      <w:pPr>
        <w:pStyle w:val="13"/>
        <w:tabs>
          <w:tab w:val="right" w:leader="dot" w:pos="8296"/>
        </w:tabs>
        <w:rPr>
          <w:rFonts w:ascii="Times New Roman" w:hAnsi="Times New Roman" w:eastAsia="宋体"/>
          <w:kern w:val="2"/>
          <w:sz w:val="21"/>
          <w:szCs w:val="21"/>
        </w:rPr>
      </w:pPr>
      <w:r>
        <w:rPr>
          <w:rFonts w:ascii="Times New Roman" w:hAnsi="Times New Roman"/>
          <w:sz w:val="21"/>
          <w:szCs w:val="21"/>
        </w:rPr>
        <w:fldChar w:fldCharType="begin"/>
      </w:r>
      <w:r>
        <w:rPr>
          <w:rFonts w:ascii="Times New Roman" w:hAnsi="Times New Roman"/>
          <w:sz w:val="21"/>
          <w:szCs w:val="21"/>
        </w:rPr>
        <w:instrText xml:space="preserve">Hyperlink \l "_Toc24540534"</w:instrText>
      </w:r>
      <w:r>
        <w:rPr>
          <w:rFonts w:ascii="Times New Roman" w:hAnsi="Times New Roman"/>
          <w:sz w:val="21"/>
          <w:szCs w:val="21"/>
        </w:rPr>
        <w:fldChar w:fldCharType="separate"/>
      </w:r>
      <w:r>
        <w:rPr>
          <w:rFonts w:ascii="Times New Roman" w:hAnsi="Times New Roman" w:eastAsia="宋体"/>
          <w:sz w:val="21"/>
          <w:szCs w:val="21"/>
        </w:rPr>
        <w:t>11  资料整理与报告编写</w:t>
      </w:r>
      <w:r>
        <w:rPr>
          <w:rFonts w:ascii="Times New Roman" w:hAnsi="Times New Roman" w:eastAsia="宋体"/>
          <w:sz w:val="21"/>
          <w:szCs w:val="21"/>
        </w:rPr>
        <w:tab/>
      </w:r>
      <w:r>
        <w:rPr>
          <w:rFonts w:ascii="Times New Roman" w:hAnsi="Times New Roman" w:eastAsia="宋体"/>
          <w:sz w:val="21"/>
          <w:szCs w:val="21"/>
        </w:rPr>
        <w:fldChar w:fldCharType="begin"/>
      </w:r>
      <w:r>
        <w:rPr>
          <w:rFonts w:ascii="Times New Roman" w:hAnsi="Times New Roman" w:eastAsia="宋体"/>
          <w:sz w:val="21"/>
          <w:szCs w:val="21"/>
        </w:rPr>
        <w:instrText xml:space="preserve"> PAGEREF _Toc24540534 \h </w:instrText>
      </w:r>
      <w:r>
        <w:rPr>
          <w:rFonts w:ascii="Times New Roman" w:hAnsi="Times New Roman" w:eastAsia="宋体"/>
          <w:sz w:val="21"/>
          <w:szCs w:val="21"/>
        </w:rPr>
        <w:fldChar w:fldCharType="separate"/>
      </w:r>
      <w:r>
        <w:rPr>
          <w:rFonts w:ascii="Times New Roman" w:hAnsi="Times New Roman" w:eastAsia="宋体"/>
          <w:sz w:val="21"/>
          <w:szCs w:val="21"/>
        </w:rPr>
        <w:t>11</w:t>
      </w:r>
      <w:r>
        <w:rPr>
          <w:rFonts w:ascii="Times New Roman" w:hAnsi="Times New Roman" w:eastAsia="宋体"/>
          <w:sz w:val="21"/>
          <w:szCs w:val="21"/>
        </w:rPr>
        <w:fldChar w:fldCharType="end"/>
      </w:r>
      <w:r>
        <w:rPr>
          <w:rFonts w:ascii="Times New Roman" w:hAnsi="Times New Roman"/>
          <w:sz w:val="21"/>
          <w:szCs w:val="21"/>
        </w:rPr>
        <w:fldChar w:fldCharType="end"/>
      </w:r>
    </w:p>
    <w:p>
      <w:pPr>
        <w:pStyle w:val="15"/>
        <w:tabs>
          <w:tab w:val="right" w:leader="dot" w:pos="8296"/>
        </w:tabs>
        <w:rPr>
          <w:rFonts w:ascii="Times New Roman" w:hAnsi="Times New Roman" w:eastAsia="宋体"/>
          <w:kern w:val="2"/>
          <w:sz w:val="21"/>
          <w:szCs w:val="21"/>
        </w:rPr>
      </w:pPr>
      <w:r>
        <w:rPr>
          <w:rFonts w:ascii="Times New Roman" w:hAnsi="Times New Roman"/>
          <w:sz w:val="21"/>
          <w:szCs w:val="21"/>
        </w:rPr>
        <w:fldChar w:fldCharType="begin"/>
      </w:r>
      <w:r>
        <w:rPr>
          <w:rFonts w:ascii="Times New Roman" w:hAnsi="Times New Roman"/>
          <w:sz w:val="21"/>
          <w:szCs w:val="21"/>
        </w:rPr>
        <w:instrText xml:space="preserve">Hyperlink \l "_Toc24540535"</w:instrText>
      </w:r>
      <w:r>
        <w:rPr>
          <w:rFonts w:ascii="Times New Roman" w:hAnsi="Times New Roman"/>
          <w:sz w:val="21"/>
          <w:szCs w:val="21"/>
        </w:rPr>
        <w:fldChar w:fldCharType="separate"/>
      </w:r>
      <w:r>
        <w:rPr>
          <w:rFonts w:ascii="Times New Roman" w:hAnsi="Times New Roman" w:eastAsia="宋体"/>
          <w:sz w:val="21"/>
          <w:szCs w:val="21"/>
        </w:rPr>
        <w:t>11.1  资料整理</w:t>
      </w:r>
      <w:r>
        <w:rPr>
          <w:rFonts w:ascii="Times New Roman" w:hAnsi="Times New Roman" w:eastAsia="宋体"/>
          <w:sz w:val="21"/>
          <w:szCs w:val="21"/>
        </w:rPr>
        <w:tab/>
      </w:r>
      <w:r>
        <w:rPr>
          <w:rFonts w:ascii="Times New Roman" w:hAnsi="Times New Roman" w:eastAsia="宋体"/>
          <w:sz w:val="21"/>
          <w:szCs w:val="21"/>
        </w:rPr>
        <w:fldChar w:fldCharType="begin"/>
      </w:r>
      <w:r>
        <w:rPr>
          <w:rFonts w:ascii="Times New Roman" w:hAnsi="Times New Roman" w:eastAsia="宋体"/>
          <w:sz w:val="21"/>
          <w:szCs w:val="21"/>
        </w:rPr>
        <w:instrText xml:space="preserve"> PAGEREF _Toc24540535 \h </w:instrText>
      </w:r>
      <w:r>
        <w:rPr>
          <w:rFonts w:ascii="Times New Roman" w:hAnsi="Times New Roman" w:eastAsia="宋体"/>
          <w:sz w:val="21"/>
          <w:szCs w:val="21"/>
        </w:rPr>
        <w:fldChar w:fldCharType="separate"/>
      </w:r>
      <w:r>
        <w:rPr>
          <w:rFonts w:ascii="Times New Roman" w:hAnsi="Times New Roman" w:eastAsia="宋体"/>
          <w:sz w:val="21"/>
          <w:szCs w:val="21"/>
        </w:rPr>
        <w:t>11</w:t>
      </w:r>
      <w:r>
        <w:rPr>
          <w:rFonts w:ascii="Times New Roman" w:hAnsi="Times New Roman" w:eastAsia="宋体"/>
          <w:sz w:val="21"/>
          <w:szCs w:val="21"/>
        </w:rPr>
        <w:fldChar w:fldCharType="end"/>
      </w:r>
      <w:r>
        <w:rPr>
          <w:rFonts w:ascii="Times New Roman" w:hAnsi="Times New Roman"/>
          <w:sz w:val="21"/>
          <w:szCs w:val="21"/>
        </w:rPr>
        <w:fldChar w:fldCharType="end"/>
      </w:r>
    </w:p>
    <w:p>
      <w:pPr>
        <w:pStyle w:val="15"/>
        <w:tabs>
          <w:tab w:val="right" w:leader="dot" w:pos="8296"/>
        </w:tabs>
        <w:rPr>
          <w:rFonts w:ascii="Times New Roman" w:hAnsi="Times New Roman" w:eastAsia="宋体"/>
          <w:kern w:val="2"/>
          <w:sz w:val="21"/>
          <w:szCs w:val="21"/>
        </w:rPr>
      </w:pPr>
      <w:r>
        <w:rPr>
          <w:rFonts w:ascii="Times New Roman" w:hAnsi="Times New Roman"/>
          <w:sz w:val="21"/>
          <w:szCs w:val="21"/>
        </w:rPr>
        <w:fldChar w:fldCharType="begin"/>
      </w:r>
      <w:r>
        <w:rPr>
          <w:rFonts w:ascii="Times New Roman" w:hAnsi="Times New Roman"/>
          <w:sz w:val="21"/>
          <w:szCs w:val="21"/>
        </w:rPr>
        <w:instrText xml:space="preserve">Hyperlink \l "_Toc24540536"</w:instrText>
      </w:r>
      <w:r>
        <w:rPr>
          <w:rFonts w:ascii="Times New Roman" w:hAnsi="Times New Roman"/>
          <w:sz w:val="21"/>
          <w:szCs w:val="21"/>
        </w:rPr>
        <w:fldChar w:fldCharType="separate"/>
      </w:r>
      <w:r>
        <w:rPr>
          <w:rFonts w:ascii="Times New Roman" w:hAnsi="Times New Roman" w:eastAsia="宋体"/>
          <w:sz w:val="21"/>
          <w:szCs w:val="21"/>
        </w:rPr>
        <w:t>11.2  报告编制</w:t>
      </w:r>
      <w:r>
        <w:rPr>
          <w:rFonts w:ascii="Times New Roman" w:hAnsi="Times New Roman" w:eastAsia="宋体"/>
          <w:sz w:val="21"/>
          <w:szCs w:val="21"/>
        </w:rPr>
        <w:tab/>
      </w:r>
      <w:r>
        <w:rPr>
          <w:rFonts w:ascii="Times New Roman" w:hAnsi="Times New Roman" w:eastAsia="宋体"/>
          <w:sz w:val="21"/>
          <w:szCs w:val="21"/>
        </w:rPr>
        <w:fldChar w:fldCharType="begin"/>
      </w:r>
      <w:r>
        <w:rPr>
          <w:rFonts w:ascii="Times New Roman" w:hAnsi="Times New Roman" w:eastAsia="宋体"/>
          <w:sz w:val="21"/>
          <w:szCs w:val="21"/>
        </w:rPr>
        <w:instrText xml:space="preserve"> PAGEREF _Toc24540536 \h </w:instrText>
      </w:r>
      <w:r>
        <w:rPr>
          <w:rFonts w:ascii="Times New Roman" w:hAnsi="Times New Roman" w:eastAsia="宋体"/>
          <w:sz w:val="21"/>
          <w:szCs w:val="21"/>
        </w:rPr>
        <w:fldChar w:fldCharType="separate"/>
      </w:r>
      <w:r>
        <w:rPr>
          <w:rFonts w:ascii="Times New Roman" w:hAnsi="Times New Roman" w:eastAsia="宋体"/>
          <w:sz w:val="21"/>
          <w:szCs w:val="21"/>
        </w:rPr>
        <w:t>12</w:t>
      </w:r>
      <w:r>
        <w:rPr>
          <w:rFonts w:ascii="Times New Roman" w:hAnsi="Times New Roman" w:eastAsia="宋体"/>
          <w:sz w:val="21"/>
          <w:szCs w:val="21"/>
        </w:rPr>
        <w:fldChar w:fldCharType="end"/>
      </w:r>
      <w:r>
        <w:rPr>
          <w:rFonts w:ascii="Times New Roman" w:hAnsi="Times New Roman"/>
          <w:sz w:val="21"/>
          <w:szCs w:val="21"/>
        </w:rPr>
        <w:fldChar w:fldCharType="end"/>
      </w:r>
    </w:p>
    <w:p>
      <w:pPr>
        <w:pStyle w:val="13"/>
        <w:tabs>
          <w:tab w:val="right" w:leader="dot" w:pos="8296"/>
        </w:tabs>
        <w:rPr>
          <w:rFonts w:ascii="Times New Roman" w:hAnsi="Times New Roman" w:eastAsia="宋体"/>
          <w:kern w:val="2"/>
          <w:sz w:val="21"/>
          <w:szCs w:val="21"/>
        </w:rPr>
      </w:pPr>
      <w:r>
        <w:rPr>
          <w:rFonts w:ascii="Times New Roman" w:hAnsi="Times New Roman"/>
          <w:sz w:val="21"/>
          <w:szCs w:val="21"/>
        </w:rPr>
        <w:fldChar w:fldCharType="begin"/>
      </w:r>
      <w:r>
        <w:rPr>
          <w:rFonts w:ascii="Times New Roman" w:hAnsi="Times New Roman"/>
          <w:sz w:val="21"/>
          <w:szCs w:val="21"/>
        </w:rPr>
        <w:instrText xml:space="preserve">Hyperlink \l "_Toc24540537"</w:instrText>
      </w:r>
      <w:r>
        <w:rPr>
          <w:rFonts w:ascii="Times New Roman" w:hAnsi="Times New Roman"/>
          <w:sz w:val="21"/>
          <w:szCs w:val="21"/>
        </w:rPr>
        <w:fldChar w:fldCharType="separate"/>
      </w:r>
      <w:r>
        <w:rPr>
          <w:rFonts w:ascii="Times New Roman" w:hAnsi="Times New Roman" w:eastAsia="宋体"/>
          <w:sz w:val="21"/>
          <w:szCs w:val="21"/>
        </w:rPr>
        <w:t>12  质量检查与成果验收</w:t>
      </w:r>
      <w:r>
        <w:rPr>
          <w:rFonts w:ascii="Times New Roman" w:hAnsi="Times New Roman" w:eastAsia="宋体"/>
          <w:sz w:val="21"/>
          <w:szCs w:val="21"/>
        </w:rPr>
        <w:tab/>
      </w:r>
      <w:r>
        <w:rPr>
          <w:rFonts w:ascii="Times New Roman" w:hAnsi="Times New Roman" w:eastAsia="宋体"/>
          <w:sz w:val="21"/>
          <w:szCs w:val="21"/>
        </w:rPr>
        <w:fldChar w:fldCharType="begin"/>
      </w:r>
      <w:r>
        <w:rPr>
          <w:rFonts w:ascii="Times New Roman" w:hAnsi="Times New Roman" w:eastAsia="宋体"/>
          <w:sz w:val="21"/>
          <w:szCs w:val="21"/>
        </w:rPr>
        <w:instrText xml:space="preserve"> PAGEREF _Toc24540537 \h </w:instrText>
      </w:r>
      <w:r>
        <w:rPr>
          <w:rFonts w:ascii="Times New Roman" w:hAnsi="Times New Roman" w:eastAsia="宋体"/>
          <w:sz w:val="21"/>
          <w:szCs w:val="21"/>
        </w:rPr>
        <w:fldChar w:fldCharType="separate"/>
      </w:r>
      <w:r>
        <w:rPr>
          <w:rFonts w:ascii="Times New Roman" w:hAnsi="Times New Roman" w:eastAsia="宋体"/>
          <w:sz w:val="21"/>
          <w:szCs w:val="21"/>
        </w:rPr>
        <w:t>12</w:t>
      </w:r>
      <w:r>
        <w:rPr>
          <w:rFonts w:ascii="Times New Roman" w:hAnsi="Times New Roman" w:eastAsia="宋体"/>
          <w:sz w:val="21"/>
          <w:szCs w:val="21"/>
        </w:rPr>
        <w:fldChar w:fldCharType="end"/>
      </w:r>
      <w:r>
        <w:rPr>
          <w:rFonts w:ascii="Times New Roman" w:hAnsi="Times New Roman"/>
          <w:sz w:val="21"/>
          <w:szCs w:val="21"/>
        </w:rPr>
        <w:fldChar w:fldCharType="end"/>
      </w:r>
    </w:p>
    <w:p>
      <w:pPr>
        <w:pStyle w:val="15"/>
        <w:tabs>
          <w:tab w:val="right" w:leader="dot" w:pos="8296"/>
        </w:tabs>
        <w:rPr>
          <w:rFonts w:ascii="Times New Roman" w:hAnsi="Times New Roman" w:eastAsia="宋体"/>
          <w:kern w:val="2"/>
          <w:sz w:val="21"/>
          <w:szCs w:val="21"/>
        </w:rPr>
      </w:pPr>
      <w:r>
        <w:rPr>
          <w:rFonts w:ascii="Times New Roman" w:hAnsi="Times New Roman"/>
          <w:sz w:val="21"/>
          <w:szCs w:val="21"/>
        </w:rPr>
        <w:fldChar w:fldCharType="begin"/>
      </w:r>
      <w:r>
        <w:rPr>
          <w:rFonts w:ascii="Times New Roman" w:hAnsi="Times New Roman"/>
          <w:sz w:val="21"/>
          <w:szCs w:val="21"/>
        </w:rPr>
        <w:instrText xml:space="preserve">Hyperlink \l "_Toc24540538"</w:instrText>
      </w:r>
      <w:r>
        <w:rPr>
          <w:rFonts w:ascii="Times New Roman" w:hAnsi="Times New Roman"/>
          <w:sz w:val="21"/>
          <w:szCs w:val="21"/>
        </w:rPr>
        <w:fldChar w:fldCharType="separate"/>
      </w:r>
      <w:r>
        <w:rPr>
          <w:rFonts w:ascii="Times New Roman" w:hAnsi="Times New Roman" w:eastAsia="宋体"/>
          <w:sz w:val="21"/>
          <w:szCs w:val="21"/>
        </w:rPr>
        <w:t>12.1  质量检查</w:t>
      </w:r>
      <w:r>
        <w:rPr>
          <w:rFonts w:ascii="Times New Roman" w:hAnsi="Times New Roman" w:eastAsia="宋体"/>
          <w:sz w:val="21"/>
          <w:szCs w:val="21"/>
        </w:rPr>
        <w:tab/>
      </w:r>
      <w:r>
        <w:rPr>
          <w:rFonts w:ascii="Times New Roman" w:hAnsi="Times New Roman" w:eastAsia="宋体"/>
          <w:sz w:val="21"/>
          <w:szCs w:val="21"/>
        </w:rPr>
        <w:fldChar w:fldCharType="begin"/>
      </w:r>
      <w:r>
        <w:rPr>
          <w:rFonts w:ascii="Times New Roman" w:hAnsi="Times New Roman" w:eastAsia="宋体"/>
          <w:sz w:val="21"/>
          <w:szCs w:val="21"/>
        </w:rPr>
        <w:instrText xml:space="preserve"> PAGEREF _Toc24540538 \h </w:instrText>
      </w:r>
      <w:r>
        <w:rPr>
          <w:rFonts w:ascii="Times New Roman" w:hAnsi="Times New Roman" w:eastAsia="宋体"/>
          <w:sz w:val="21"/>
          <w:szCs w:val="21"/>
        </w:rPr>
        <w:fldChar w:fldCharType="separate"/>
      </w:r>
      <w:r>
        <w:rPr>
          <w:rFonts w:ascii="Times New Roman" w:hAnsi="Times New Roman" w:eastAsia="宋体"/>
          <w:sz w:val="21"/>
          <w:szCs w:val="21"/>
        </w:rPr>
        <w:t>12</w:t>
      </w:r>
      <w:r>
        <w:rPr>
          <w:rFonts w:ascii="Times New Roman" w:hAnsi="Times New Roman" w:eastAsia="宋体"/>
          <w:sz w:val="21"/>
          <w:szCs w:val="21"/>
        </w:rPr>
        <w:fldChar w:fldCharType="end"/>
      </w:r>
      <w:r>
        <w:rPr>
          <w:rFonts w:ascii="Times New Roman" w:hAnsi="Times New Roman"/>
          <w:sz w:val="21"/>
          <w:szCs w:val="21"/>
        </w:rPr>
        <w:fldChar w:fldCharType="end"/>
      </w:r>
    </w:p>
    <w:p>
      <w:pPr>
        <w:pStyle w:val="15"/>
        <w:tabs>
          <w:tab w:val="right" w:leader="dot" w:pos="8296"/>
        </w:tabs>
        <w:rPr>
          <w:rFonts w:ascii="Times New Roman" w:hAnsi="Times New Roman" w:eastAsia="宋体"/>
          <w:kern w:val="2"/>
          <w:sz w:val="21"/>
          <w:szCs w:val="21"/>
        </w:rPr>
      </w:pPr>
      <w:r>
        <w:rPr>
          <w:rFonts w:ascii="Times New Roman" w:hAnsi="Times New Roman"/>
          <w:sz w:val="21"/>
          <w:szCs w:val="21"/>
        </w:rPr>
        <w:fldChar w:fldCharType="begin"/>
      </w:r>
      <w:r>
        <w:rPr>
          <w:rFonts w:ascii="Times New Roman" w:hAnsi="Times New Roman"/>
          <w:sz w:val="21"/>
          <w:szCs w:val="21"/>
        </w:rPr>
        <w:instrText xml:space="preserve">Hyperlink \l "_Toc24540541"</w:instrText>
      </w:r>
      <w:r>
        <w:rPr>
          <w:rFonts w:ascii="Times New Roman" w:hAnsi="Times New Roman"/>
          <w:sz w:val="21"/>
          <w:szCs w:val="21"/>
        </w:rPr>
        <w:fldChar w:fldCharType="separate"/>
      </w:r>
      <w:r>
        <w:rPr>
          <w:rFonts w:ascii="Times New Roman" w:hAnsi="Times New Roman" w:eastAsia="宋体"/>
          <w:sz w:val="21"/>
          <w:szCs w:val="21"/>
        </w:rPr>
        <w:t>12.2  成果验收</w:t>
      </w:r>
      <w:r>
        <w:rPr>
          <w:rFonts w:ascii="Times New Roman" w:hAnsi="Times New Roman" w:eastAsia="宋体"/>
          <w:sz w:val="21"/>
          <w:szCs w:val="21"/>
        </w:rPr>
        <w:tab/>
      </w:r>
      <w:r>
        <w:rPr>
          <w:rFonts w:ascii="Times New Roman" w:hAnsi="Times New Roman" w:eastAsia="宋体"/>
          <w:sz w:val="21"/>
          <w:szCs w:val="21"/>
        </w:rPr>
        <w:fldChar w:fldCharType="begin"/>
      </w:r>
      <w:r>
        <w:rPr>
          <w:rFonts w:ascii="Times New Roman" w:hAnsi="Times New Roman" w:eastAsia="宋体"/>
          <w:sz w:val="21"/>
          <w:szCs w:val="21"/>
        </w:rPr>
        <w:instrText xml:space="preserve"> PAGEREF _Toc24540541 \h </w:instrText>
      </w:r>
      <w:r>
        <w:rPr>
          <w:rFonts w:ascii="Times New Roman" w:hAnsi="Times New Roman" w:eastAsia="宋体"/>
          <w:sz w:val="21"/>
          <w:szCs w:val="21"/>
        </w:rPr>
        <w:fldChar w:fldCharType="separate"/>
      </w:r>
      <w:r>
        <w:rPr>
          <w:rFonts w:ascii="Times New Roman" w:hAnsi="Times New Roman" w:eastAsia="宋体"/>
          <w:sz w:val="21"/>
          <w:szCs w:val="21"/>
        </w:rPr>
        <w:t>13</w:t>
      </w:r>
      <w:r>
        <w:rPr>
          <w:rFonts w:ascii="Times New Roman" w:hAnsi="Times New Roman" w:eastAsia="宋体"/>
          <w:sz w:val="21"/>
          <w:szCs w:val="21"/>
        </w:rPr>
        <w:fldChar w:fldCharType="end"/>
      </w:r>
      <w:r>
        <w:rPr>
          <w:rFonts w:ascii="Times New Roman" w:hAnsi="Times New Roman"/>
          <w:sz w:val="21"/>
          <w:szCs w:val="21"/>
        </w:rPr>
        <w:fldChar w:fldCharType="end"/>
      </w:r>
    </w:p>
    <w:p>
      <w:pPr>
        <w:pStyle w:val="15"/>
        <w:tabs>
          <w:tab w:val="right" w:leader="dot" w:pos="8296"/>
        </w:tabs>
        <w:rPr>
          <w:rFonts w:ascii="Times New Roman" w:hAnsi="Times New Roman" w:eastAsia="宋体"/>
          <w:kern w:val="2"/>
          <w:sz w:val="21"/>
          <w:szCs w:val="21"/>
        </w:rPr>
      </w:pPr>
      <w:r>
        <w:rPr>
          <w:rFonts w:ascii="Times New Roman" w:hAnsi="Times New Roman"/>
          <w:sz w:val="21"/>
          <w:szCs w:val="21"/>
        </w:rPr>
        <w:fldChar w:fldCharType="begin"/>
      </w:r>
      <w:r>
        <w:rPr>
          <w:rFonts w:ascii="Times New Roman" w:hAnsi="Times New Roman"/>
          <w:sz w:val="21"/>
          <w:szCs w:val="21"/>
        </w:rPr>
        <w:instrText xml:space="preserve">Hyperlink \l "_Toc24540544"</w:instrText>
      </w:r>
      <w:r>
        <w:rPr>
          <w:rFonts w:ascii="Times New Roman" w:hAnsi="Times New Roman"/>
          <w:sz w:val="21"/>
          <w:szCs w:val="21"/>
        </w:rPr>
        <w:fldChar w:fldCharType="separate"/>
      </w:r>
      <w:r>
        <w:rPr>
          <w:rFonts w:ascii="Times New Roman" w:hAnsi="Times New Roman" w:eastAsia="宋体"/>
          <w:sz w:val="21"/>
          <w:szCs w:val="21"/>
        </w:rPr>
        <w:t>12.3  资料归档</w:t>
      </w:r>
      <w:r>
        <w:rPr>
          <w:rFonts w:ascii="Times New Roman" w:hAnsi="Times New Roman" w:eastAsia="宋体"/>
          <w:sz w:val="21"/>
          <w:szCs w:val="21"/>
        </w:rPr>
        <w:tab/>
      </w:r>
      <w:r>
        <w:rPr>
          <w:rFonts w:ascii="Times New Roman" w:hAnsi="Times New Roman" w:eastAsia="宋体"/>
          <w:sz w:val="21"/>
          <w:szCs w:val="21"/>
        </w:rPr>
        <w:fldChar w:fldCharType="begin"/>
      </w:r>
      <w:r>
        <w:rPr>
          <w:rFonts w:ascii="Times New Roman" w:hAnsi="Times New Roman" w:eastAsia="宋体"/>
          <w:sz w:val="21"/>
          <w:szCs w:val="21"/>
        </w:rPr>
        <w:instrText xml:space="preserve"> PAGEREF _Toc24540544 \h </w:instrText>
      </w:r>
      <w:r>
        <w:rPr>
          <w:rFonts w:ascii="Times New Roman" w:hAnsi="Times New Roman" w:eastAsia="宋体"/>
          <w:sz w:val="21"/>
          <w:szCs w:val="21"/>
        </w:rPr>
        <w:fldChar w:fldCharType="separate"/>
      </w:r>
      <w:r>
        <w:rPr>
          <w:rFonts w:ascii="Times New Roman" w:hAnsi="Times New Roman" w:eastAsia="宋体"/>
          <w:sz w:val="21"/>
          <w:szCs w:val="21"/>
        </w:rPr>
        <w:t>13</w:t>
      </w:r>
      <w:r>
        <w:rPr>
          <w:rFonts w:ascii="Times New Roman" w:hAnsi="Times New Roman" w:eastAsia="宋体"/>
          <w:sz w:val="21"/>
          <w:szCs w:val="21"/>
        </w:rPr>
        <w:fldChar w:fldCharType="end"/>
      </w:r>
      <w:r>
        <w:rPr>
          <w:rFonts w:ascii="Times New Roman" w:hAnsi="Times New Roman"/>
          <w:sz w:val="21"/>
          <w:szCs w:val="21"/>
        </w:rPr>
        <w:fldChar w:fldCharType="end"/>
      </w:r>
    </w:p>
    <w:p>
      <w:pPr>
        <w:pStyle w:val="13"/>
        <w:tabs>
          <w:tab w:val="right" w:leader="dot" w:pos="8296"/>
        </w:tabs>
        <w:rPr>
          <w:rFonts w:ascii="Times New Roman" w:hAnsi="Times New Roman" w:eastAsia="宋体"/>
          <w:kern w:val="2"/>
          <w:sz w:val="21"/>
          <w:szCs w:val="21"/>
        </w:rPr>
      </w:pPr>
      <w:r>
        <w:rPr>
          <w:rFonts w:ascii="Times New Roman" w:hAnsi="Times New Roman"/>
          <w:sz w:val="21"/>
          <w:szCs w:val="21"/>
        </w:rPr>
        <w:fldChar w:fldCharType="begin"/>
      </w:r>
      <w:r>
        <w:rPr>
          <w:rFonts w:ascii="Times New Roman" w:hAnsi="Times New Roman"/>
          <w:sz w:val="21"/>
          <w:szCs w:val="21"/>
        </w:rPr>
        <w:instrText xml:space="preserve">Hyperlink \l "_Toc24540547"</w:instrText>
      </w:r>
      <w:r>
        <w:rPr>
          <w:rFonts w:ascii="Times New Roman" w:hAnsi="Times New Roman"/>
          <w:sz w:val="21"/>
          <w:szCs w:val="21"/>
        </w:rPr>
        <w:fldChar w:fldCharType="separate"/>
      </w:r>
      <w:r>
        <w:rPr>
          <w:rFonts w:ascii="Times New Roman" w:hAnsi="Times New Roman" w:eastAsia="宋体"/>
          <w:sz w:val="21"/>
          <w:szCs w:val="21"/>
        </w:rPr>
        <w:t>附录A（规范性附录）  基础设施及装备配置参数</w:t>
      </w:r>
      <w:r>
        <w:rPr>
          <w:rFonts w:ascii="Times New Roman" w:hAnsi="Times New Roman" w:eastAsia="宋体"/>
          <w:sz w:val="21"/>
          <w:szCs w:val="21"/>
        </w:rPr>
        <w:tab/>
      </w:r>
      <w:r>
        <w:rPr>
          <w:rFonts w:ascii="Times New Roman" w:hAnsi="Times New Roman" w:eastAsia="宋体"/>
          <w:sz w:val="21"/>
          <w:szCs w:val="21"/>
        </w:rPr>
        <w:fldChar w:fldCharType="begin"/>
      </w:r>
      <w:r>
        <w:rPr>
          <w:rFonts w:ascii="Times New Roman" w:hAnsi="Times New Roman" w:eastAsia="宋体"/>
          <w:sz w:val="21"/>
          <w:szCs w:val="21"/>
        </w:rPr>
        <w:instrText xml:space="preserve"> PAGEREF _Toc24540547 \h </w:instrText>
      </w:r>
      <w:r>
        <w:rPr>
          <w:rFonts w:ascii="Times New Roman" w:hAnsi="Times New Roman" w:eastAsia="宋体"/>
          <w:sz w:val="21"/>
          <w:szCs w:val="21"/>
        </w:rPr>
        <w:fldChar w:fldCharType="separate"/>
      </w:r>
      <w:r>
        <w:rPr>
          <w:rFonts w:ascii="Times New Roman" w:hAnsi="Times New Roman" w:eastAsia="宋体"/>
          <w:sz w:val="21"/>
          <w:szCs w:val="21"/>
        </w:rPr>
        <w:t>15</w:t>
      </w:r>
      <w:r>
        <w:rPr>
          <w:rFonts w:ascii="Times New Roman" w:hAnsi="Times New Roman" w:eastAsia="宋体"/>
          <w:sz w:val="21"/>
          <w:szCs w:val="21"/>
        </w:rPr>
        <w:fldChar w:fldCharType="end"/>
      </w:r>
      <w:r>
        <w:rPr>
          <w:rFonts w:ascii="Times New Roman" w:hAnsi="Times New Roman"/>
          <w:sz w:val="21"/>
          <w:szCs w:val="21"/>
        </w:rPr>
        <w:fldChar w:fldCharType="end"/>
      </w:r>
    </w:p>
    <w:p>
      <w:pPr>
        <w:pStyle w:val="13"/>
        <w:tabs>
          <w:tab w:val="right" w:leader="dot" w:pos="8296"/>
        </w:tabs>
        <w:rPr>
          <w:rFonts w:ascii="Times New Roman" w:hAnsi="Times New Roman" w:eastAsia="宋体"/>
          <w:kern w:val="2"/>
          <w:sz w:val="21"/>
          <w:szCs w:val="21"/>
        </w:rPr>
      </w:pPr>
      <w:r>
        <w:rPr>
          <w:rFonts w:ascii="Times New Roman" w:hAnsi="Times New Roman"/>
          <w:sz w:val="21"/>
          <w:szCs w:val="21"/>
        </w:rPr>
        <w:fldChar w:fldCharType="begin"/>
      </w:r>
      <w:r>
        <w:rPr>
          <w:rFonts w:ascii="Times New Roman" w:hAnsi="Times New Roman"/>
          <w:sz w:val="21"/>
          <w:szCs w:val="21"/>
        </w:rPr>
        <w:instrText xml:space="preserve">Hyperlink \l "_Toc24540548"</w:instrText>
      </w:r>
      <w:r>
        <w:rPr>
          <w:rFonts w:ascii="Times New Roman" w:hAnsi="Times New Roman"/>
          <w:sz w:val="21"/>
          <w:szCs w:val="21"/>
        </w:rPr>
        <w:fldChar w:fldCharType="separate"/>
      </w:r>
      <w:r>
        <w:rPr>
          <w:rFonts w:ascii="Times New Roman" w:hAnsi="Times New Roman" w:eastAsia="宋体"/>
          <w:bCs/>
          <w:sz w:val="21"/>
          <w:szCs w:val="21"/>
        </w:rPr>
        <w:t>附录B</w:t>
      </w:r>
      <w:r>
        <w:rPr>
          <w:rFonts w:ascii="Times New Roman" w:hAnsi="Times New Roman" w:eastAsia="宋体"/>
          <w:sz w:val="21"/>
          <w:szCs w:val="21"/>
        </w:rPr>
        <w:t>（资料性附录）  综合防灾演练示例脚本</w:t>
      </w:r>
      <w:r>
        <w:rPr>
          <w:rFonts w:ascii="Times New Roman" w:hAnsi="Times New Roman" w:eastAsia="宋体"/>
          <w:sz w:val="21"/>
          <w:szCs w:val="21"/>
        </w:rPr>
        <w:tab/>
      </w:r>
      <w:r>
        <w:rPr>
          <w:rFonts w:ascii="Times New Roman" w:hAnsi="Times New Roman" w:eastAsia="宋体"/>
          <w:sz w:val="21"/>
          <w:szCs w:val="21"/>
        </w:rPr>
        <w:fldChar w:fldCharType="begin"/>
      </w:r>
      <w:r>
        <w:rPr>
          <w:rFonts w:ascii="Times New Roman" w:hAnsi="Times New Roman" w:eastAsia="宋体"/>
          <w:sz w:val="21"/>
          <w:szCs w:val="21"/>
        </w:rPr>
        <w:instrText xml:space="preserve"> PAGEREF _Toc24540548 \h </w:instrText>
      </w:r>
      <w:r>
        <w:rPr>
          <w:rFonts w:ascii="Times New Roman" w:hAnsi="Times New Roman" w:eastAsia="宋体"/>
          <w:sz w:val="21"/>
          <w:szCs w:val="21"/>
        </w:rPr>
        <w:fldChar w:fldCharType="separate"/>
      </w:r>
      <w:r>
        <w:rPr>
          <w:rFonts w:ascii="Times New Roman" w:hAnsi="Times New Roman" w:eastAsia="宋体"/>
          <w:sz w:val="21"/>
          <w:szCs w:val="21"/>
        </w:rPr>
        <w:t>19</w:t>
      </w:r>
      <w:r>
        <w:rPr>
          <w:rFonts w:ascii="Times New Roman" w:hAnsi="Times New Roman" w:eastAsia="宋体"/>
          <w:sz w:val="21"/>
          <w:szCs w:val="21"/>
        </w:rPr>
        <w:fldChar w:fldCharType="end"/>
      </w:r>
      <w:r>
        <w:rPr>
          <w:rFonts w:ascii="Times New Roman" w:hAnsi="Times New Roman"/>
          <w:sz w:val="21"/>
          <w:szCs w:val="21"/>
        </w:rPr>
        <w:fldChar w:fldCharType="end"/>
      </w:r>
    </w:p>
    <w:p>
      <w:pPr>
        <w:pStyle w:val="13"/>
        <w:tabs>
          <w:tab w:val="right" w:leader="dot" w:pos="8296"/>
        </w:tabs>
        <w:rPr>
          <w:rFonts w:ascii="Times New Roman" w:hAnsi="Times New Roman" w:eastAsia="宋体"/>
          <w:kern w:val="2"/>
          <w:sz w:val="21"/>
          <w:szCs w:val="21"/>
        </w:rPr>
      </w:pPr>
      <w:r>
        <w:rPr>
          <w:rFonts w:ascii="Times New Roman" w:hAnsi="Times New Roman"/>
          <w:sz w:val="21"/>
          <w:szCs w:val="21"/>
        </w:rPr>
        <w:fldChar w:fldCharType="begin"/>
      </w:r>
      <w:r>
        <w:rPr>
          <w:rFonts w:ascii="Times New Roman" w:hAnsi="Times New Roman"/>
          <w:sz w:val="21"/>
          <w:szCs w:val="21"/>
        </w:rPr>
        <w:instrText xml:space="preserve">Hyperlink \l "_Toc24540549"</w:instrText>
      </w:r>
      <w:r>
        <w:rPr>
          <w:rFonts w:ascii="Times New Roman" w:hAnsi="Times New Roman"/>
          <w:sz w:val="21"/>
          <w:szCs w:val="21"/>
        </w:rPr>
        <w:fldChar w:fldCharType="separate"/>
      </w:r>
      <w:r>
        <w:rPr>
          <w:rFonts w:ascii="Times New Roman" w:hAnsi="Times New Roman" w:eastAsia="宋体"/>
          <w:sz w:val="21"/>
          <w:szCs w:val="21"/>
        </w:rPr>
        <w:t>附录C（资料性附录）  地质灾害防灾预案编写提纲</w:t>
      </w:r>
      <w:r>
        <w:rPr>
          <w:rFonts w:ascii="Times New Roman" w:hAnsi="Times New Roman" w:eastAsia="宋体"/>
          <w:sz w:val="21"/>
          <w:szCs w:val="21"/>
        </w:rPr>
        <w:tab/>
      </w:r>
      <w:r>
        <w:rPr>
          <w:rFonts w:ascii="Times New Roman" w:hAnsi="Times New Roman" w:eastAsia="宋体"/>
          <w:sz w:val="21"/>
          <w:szCs w:val="21"/>
        </w:rPr>
        <w:fldChar w:fldCharType="begin"/>
      </w:r>
      <w:r>
        <w:rPr>
          <w:rFonts w:ascii="Times New Roman" w:hAnsi="Times New Roman" w:eastAsia="宋体"/>
          <w:sz w:val="21"/>
          <w:szCs w:val="21"/>
        </w:rPr>
        <w:instrText xml:space="preserve"> PAGEREF _Toc24540549 \h </w:instrText>
      </w:r>
      <w:r>
        <w:rPr>
          <w:rFonts w:ascii="Times New Roman" w:hAnsi="Times New Roman" w:eastAsia="宋体"/>
          <w:sz w:val="21"/>
          <w:szCs w:val="21"/>
        </w:rPr>
        <w:fldChar w:fldCharType="separate"/>
      </w:r>
      <w:r>
        <w:rPr>
          <w:rFonts w:ascii="Times New Roman" w:hAnsi="Times New Roman" w:eastAsia="宋体"/>
          <w:sz w:val="21"/>
          <w:szCs w:val="21"/>
        </w:rPr>
        <w:t>25</w:t>
      </w:r>
      <w:r>
        <w:rPr>
          <w:rFonts w:ascii="Times New Roman" w:hAnsi="Times New Roman" w:eastAsia="宋体"/>
          <w:sz w:val="21"/>
          <w:szCs w:val="21"/>
        </w:rPr>
        <w:fldChar w:fldCharType="end"/>
      </w:r>
      <w:r>
        <w:rPr>
          <w:rFonts w:ascii="Times New Roman" w:hAnsi="Times New Roman"/>
          <w:sz w:val="21"/>
          <w:szCs w:val="21"/>
        </w:rPr>
        <w:fldChar w:fldCharType="end"/>
      </w:r>
    </w:p>
    <w:p>
      <w:pPr>
        <w:pStyle w:val="13"/>
        <w:tabs>
          <w:tab w:val="right" w:leader="dot" w:pos="8296"/>
        </w:tabs>
        <w:rPr>
          <w:rFonts w:ascii="Times New Roman" w:hAnsi="Times New Roman" w:eastAsia="宋体"/>
          <w:kern w:val="2"/>
          <w:sz w:val="21"/>
          <w:szCs w:val="21"/>
        </w:rPr>
      </w:pPr>
      <w:r>
        <w:rPr>
          <w:rFonts w:ascii="Times New Roman" w:hAnsi="Times New Roman"/>
          <w:sz w:val="21"/>
          <w:szCs w:val="21"/>
        </w:rPr>
        <w:fldChar w:fldCharType="begin"/>
      </w:r>
      <w:r>
        <w:rPr>
          <w:rFonts w:ascii="Times New Roman" w:hAnsi="Times New Roman"/>
          <w:sz w:val="21"/>
          <w:szCs w:val="21"/>
        </w:rPr>
        <w:instrText xml:space="preserve">Hyperlink \l "_Toc24540550"</w:instrText>
      </w:r>
      <w:r>
        <w:rPr>
          <w:rFonts w:ascii="Times New Roman" w:hAnsi="Times New Roman"/>
          <w:sz w:val="21"/>
          <w:szCs w:val="21"/>
        </w:rPr>
        <w:fldChar w:fldCharType="separate"/>
      </w:r>
      <w:r>
        <w:rPr>
          <w:rFonts w:ascii="Times New Roman" w:hAnsi="Times New Roman" w:eastAsia="宋体"/>
          <w:sz w:val="21"/>
          <w:szCs w:val="21"/>
        </w:rPr>
        <w:t>附录D（资料性附录）  地质灾害防治规划编写提纲</w:t>
      </w:r>
      <w:r>
        <w:rPr>
          <w:rFonts w:ascii="Times New Roman" w:hAnsi="Times New Roman" w:eastAsia="宋体"/>
          <w:sz w:val="21"/>
          <w:szCs w:val="21"/>
        </w:rPr>
        <w:tab/>
      </w:r>
      <w:r>
        <w:rPr>
          <w:rFonts w:ascii="Times New Roman" w:hAnsi="Times New Roman" w:eastAsia="宋体"/>
          <w:sz w:val="21"/>
          <w:szCs w:val="21"/>
        </w:rPr>
        <w:fldChar w:fldCharType="begin"/>
      </w:r>
      <w:r>
        <w:rPr>
          <w:rFonts w:ascii="Times New Roman" w:hAnsi="Times New Roman" w:eastAsia="宋体"/>
          <w:sz w:val="21"/>
          <w:szCs w:val="21"/>
        </w:rPr>
        <w:instrText xml:space="preserve"> PAGEREF _Toc24540550 \h </w:instrText>
      </w:r>
      <w:r>
        <w:rPr>
          <w:rFonts w:ascii="Times New Roman" w:hAnsi="Times New Roman" w:eastAsia="宋体"/>
          <w:sz w:val="21"/>
          <w:szCs w:val="21"/>
        </w:rPr>
        <w:fldChar w:fldCharType="separate"/>
      </w:r>
      <w:r>
        <w:rPr>
          <w:rFonts w:ascii="Times New Roman" w:hAnsi="Times New Roman" w:eastAsia="宋体"/>
          <w:sz w:val="21"/>
          <w:szCs w:val="21"/>
        </w:rPr>
        <w:t>27</w:t>
      </w:r>
      <w:r>
        <w:rPr>
          <w:rFonts w:ascii="Times New Roman" w:hAnsi="Times New Roman" w:eastAsia="宋体"/>
          <w:sz w:val="21"/>
          <w:szCs w:val="21"/>
        </w:rPr>
        <w:fldChar w:fldCharType="end"/>
      </w:r>
      <w:r>
        <w:rPr>
          <w:rFonts w:ascii="Times New Roman" w:hAnsi="Times New Roman"/>
          <w:sz w:val="21"/>
          <w:szCs w:val="21"/>
        </w:rPr>
        <w:fldChar w:fldCharType="end"/>
      </w:r>
    </w:p>
    <w:p>
      <w:pPr>
        <w:pStyle w:val="13"/>
        <w:tabs>
          <w:tab w:val="right" w:leader="dot" w:pos="8296"/>
        </w:tabs>
        <w:rPr>
          <w:rFonts w:ascii="Times New Roman" w:hAnsi="Times New Roman" w:eastAsia="宋体"/>
          <w:kern w:val="2"/>
          <w:sz w:val="21"/>
          <w:szCs w:val="21"/>
        </w:rPr>
      </w:pPr>
      <w:r>
        <w:rPr>
          <w:rFonts w:ascii="Times New Roman" w:hAnsi="Times New Roman"/>
          <w:sz w:val="21"/>
          <w:szCs w:val="21"/>
        </w:rPr>
        <w:fldChar w:fldCharType="begin"/>
      </w:r>
      <w:r>
        <w:rPr>
          <w:rFonts w:ascii="Times New Roman" w:hAnsi="Times New Roman"/>
          <w:sz w:val="21"/>
          <w:szCs w:val="21"/>
        </w:rPr>
        <w:instrText xml:space="preserve">Hyperlink \l "_Toc24540551"</w:instrText>
      </w:r>
      <w:r>
        <w:rPr>
          <w:rFonts w:ascii="Times New Roman" w:hAnsi="Times New Roman"/>
          <w:sz w:val="21"/>
          <w:szCs w:val="21"/>
        </w:rPr>
        <w:fldChar w:fldCharType="separate"/>
      </w:r>
      <w:r>
        <w:rPr>
          <w:rFonts w:ascii="Times New Roman" w:hAnsi="Times New Roman" w:eastAsia="宋体"/>
          <w:sz w:val="21"/>
          <w:szCs w:val="21"/>
        </w:rPr>
        <w:t>附录E（资料性附录）  地质灾害防治方案编制提纲</w:t>
      </w:r>
      <w:r>
        <w:rPr>
          <w:rFonts w:ascii="Times New Roman" w:hAnsi="Times New Roman" w:eastAsia="宋体"/>
          <w:sz w:val="21"/>
          <w:szCs w:val="21"/>
        </w:rPr>
        <w:tab/>
      </w:r>
      <w:r>
        <w:rPr>
          <w:rFonts w:ascii="Times New Roman" w:hAnsi="Times New Roman" w:eastAsia="宋体"/>
          <w:sz w:val="21"/>
          <w:szCs w:val="21"/>
        </w:rPr>
        <w:fldChar w:fldCharType="begin"/>
      </w:r>
      <w:r>
        <w:rPr>
          <w:rFonts w:ascii="Times New Roman" w:hAnsi="Times New Roman" w:eastAsia="宋体"/>
          <w:sz w:val="21"/>
          <w:szCs w:val="21"/>
        </w:rPr>
        <w:instrText xml:space="preserve"> PAGEREF _Toc24540551 \h </w:instrText>
      </w:r>
      <w:r>
        <w:rPr>
          <w:rFonts w:ascii="Times New Roman" w:hAnsi="Times New Roman" w:eastAsia="宋体"/>
          <w:sz w:val="21"/>
          <w:szCs w:val="21"/>
        </w:rPr>
        <w:fldChar w:fldCharType="separate"/>
      </w:r>
      <w:r>
        <w:rPr>
          <w:rFonts w:ascii="Times New Roman" w:hAnsi="Times New Roman" w:eastAsia="宋体"/>
          <w:sz w:val="21"/>
          <w:szCs w:val="21"/>
        </w:rPr>
        <w:t>29</w:t>
      </w:r>
      <w:r>
        <w:rPr>
          <w:rFonts w:ascii="Times New Roman" w:hAnsi="Times New Roman" w:eastAsia="宋体"/>
          <w:sz w:val="21"/>
          <w:szCs w:val="21"/>
        </w:rPr>
        <w:fldChar w:fldCharType="end"/>
      </w:r>
      <w:r>
        <w:rPr>
          <w:rFonts w:ascii="Times New Roman" w:hAnsi="Times New Roman"/>
          <w:sz w:val="21"/>
          <w:szCs w:val="21"/>
        </w:rPr>
        <w:fldChar w:fldCharType="end"/>
      </w:r>
    </w:p>
    <w:p>
      <w:pPr>
        <w:pStyle w:val="13"/>
        <w:tabs>
          <w:tab w:val="right" w:leader="dot" w:pos="8296"/>
        </w:tabs>
        <w:rPr>
          <w:rFonts w:ascii="Times New Roman" w:hAnsi="Times New Roman" w:eastAsia="宋体"/>
          <w:kern w:val="2"/>
          <w:sz w:val="21"/>
          <w:szCs w:val="21"/>
        </w:rPr>
      </w:pPr>
      <w:r>
        <w:rPr>
          <w:rFonts w:ascii="Times New Roman" w:hAnsi="Times New Roman"/>
          <w:sz w:val="21"/>
          <w:szCs w:val="21"/>
        </w:rPr>
        <w:fldChar w:fldCharType="begin"/>
      </w:r>
      <w:r>
        <w:rPr>
          <w:rFonts w:ascii="Times New Roman" w:hAnsi="Times New Roman"/>
          <w:sz w:val="21"/>
          <w:szCs w:val="21"/>
        </w:rPr>
        <w:instrText xml:space="preserve">Hyperlink \l "_Toc24540552"</w:instrText>
      </w:r>
      <w:r>
        <w:rPr>
          <w:rFonts w:ascii="Times New Roman" w:hAnsi="Times New Roman"/>
          <w:sz w:val="21"/>
          <w:szCs w:val="21"/>
        </w:rPr>
        <w:fldChar w:fldCharType="separate"/>
      </w:r>
      <w:r>
        <w:rPr>
          <w:rFonts w:ascii="Times New Roman" w:hAnsi="Times New Roman" w:eastAsia="宋体"/>
          <w:sz w:val="21"/>
          <w:szCs w:val="21"/>
        </w:rPr>
        <w:t>附录F（规范性附录）  地质灾害防治政策及制度清单</w:t>
      </w:r>
      <w:r>
        <w:rPr>
          <w:rFonts w:ascii="Times New Roman" w:hAnsi="Times New Roman" w:eastAsia="宋体"/>
          <w:sz w:val="21"/>
          <w:szCs w:val="21"/>
        </w:rPr>
        <w:tab/>
      </w:r>
      <w:r>
        <w:rPr>
          <w:rFonts w:ascii="Times New Roman" w:hAnsi="Times New Roman" w:eastAsia="宋体"/>
          <w:sz w:val="21"/>
          <w:szCs w:val="21"/>
        </w:rPr>
        <w:fldChar w:fldCharType="begin"/>
      </w:r>
      <w:r>
        <w:rPr>
          <w:rFonts w:ascii="Times New Roman" w:hAnsi="Times New Roman" w:eastAsia="宋体"/>
          <w:sz w:val="21"/>
          <w:szCs w:val="21"/>
        </w:rPr>
        <w:instrText xml:space="preserve"> PAGEREF _Toc24540552 \h </w:instrText>
      </w:r>
      <w:r>
        <w:rPr>
          <w:rFonts w:ascii="Times New Roman" w:hAnsi="Times New Roman" w:eastAsia="宋体"/>
          <w:sz w:val="21"/>
          <w:szCs w:val="21"/>
        </w:rPr>
        <w:fldChar w:fldCharType="separate"/>
      </w:r>
      <w:r>
        <w:rPr>
          <w:rFonts w:ascii="Times New Roman" w:hAnsi="Times New Roman" w:eastAsia="宋体"/>
          <w:sz w:val="21"/>
          <w:szCs w:val="21"/>
        </w:rPr>
        <w:t>30</w:t>
      </w:r>
      <w:r>
        <w:rPr>
          <w:rFonts w:ascii="Times New Roman" w:hAnsi="Times New Roman" w:eastAsia="宋体"/>
          <w:sz w:val="21"/>
          <w:szCs w:val="21"/>
        </w:rPr>
        <w:fldChar w:fldCharType="end"/>
      </w:r>
      <w:r>
        <w:rPr>
          <w:rFonts w:ascii="Times New Roman" w:hAnsi="Times New Roman"/>
          <w:sz w:val="21"/>
          <w:szCs w:val="21"/>
        </w:rPr>
        <w:fldChar w:fldCharType="end"/>
      </w:r>
    </w:p>
    <w:p>
      <w:pPr>
        <w:pStyle w:val="13"/>
        <w:tabs>
          <w:tab w:val="right" w:leader="dot" w:pos="8296"/>
        </w:tabs>
        <w:rPr>
          <w:rFonts w:ascii="Times New Roman" w:hAnsi="Times New Roman" w:eastAsia="宋体"/>
          <w:kern w:val="2"/>
          <w:sz w:val="21"/>
          <w:szCs w:val="21"/>
        </w:rPr>
      </w:pPr>
      <w:r>
        <w:rPr>
          <w:rFonts w:ascii="Times New Roman" w:hAnsi="Times New Roman"/>
          <w:sz w:val="21"/>
          <w:szCs w:val="21"/>
        </w:rPr>
        <w:fldChar w:fldCharType="begin"/>
      </w:r>
      <w:r>
        <w:rPr>
          <w:rFonts w:ascii="Times New Roman" w:hAnsi="Times New Roman"/>
          <w:sz w:val="21"/>
          <w:szCs w:val="21"/>
        </w:rPr>
        <w:instrText xml:space="preserve">Hyperlink \l "_Toc24540553"</w:instrText>
      </w:r>
      <w:r>
        <w:rPr>
          <w:rFonts w:ascii="Times New Roman" w:hAnsi="Times New Roman"/>
          <w:sz w:val="21"/>
          <w:szCs w:val="21"/>
        </w:rPr>
        <w:fldChar w:fldCharType="separate"/>
      </w:r>
      <w:r>
        <w:rPr>
          <w:rFonts w:ascii="Times New Roman" w:hAnsi="Times New Roman" w:eastAsia="宋体"/>
          <w:sz w:val="21"/>
          <w:szCs w:val="21"/>
        </w:rPr>
        <w:t>附录G（资料性附录）  设计报告编写提纲</w:t>
      </w:r>
      <w:r>
        <w:rPr>
          <w:rFonts w:ascii="Times New Roman" w:hAnsi="Times New Roman" w:eastAsia="宋体"/>
          <w:sz w:val="21"/>
          <w:szCs w:val="21"/>
        </w:rPr>
        <w:tab/>
      </w:r>
      <w:r>
        <w:rPr>
          <w:rFonts w:ascii="Times New Roman" w:hAnsi="Times New Roman" w:eastAsia="宋体"/>
          <w:sz w:val="21"/>
          <w:szCs w:val="21"/>
        </w:rPr>
        <w:fldChar w:fldCharType="begin"/>
      </w:r>
      <w:r>
        <w:rPr>
          <w:rFonts w:ascii="Times New Roman" w:hAnsi="Times New Roman" w:eastAsia="宋体"/>
          <w:sz w:val="21"/>
          <w:szCs w:val="21"/>
        </w:rPr>
        <w:instrText xml:space="preserve"> PAGEREF _Toc24540553 \h </w:instrText>
      </w:r>
      <w:r>
        <w:rPr>
          <w:rFonts w:ascii="Times New Roman" w:hAnsi="Times New Roman" w:eastAsia="宋体"/>
          <w:sz w:val="21"/>
          <w:szCs w:val="21"/>
        </w:rPr>
        <w:fldChar w:fldCharType="separate"/>
      </w:r>
      <w:r>
        <w:rPr>
          <w:rFonts w:ascii="Times New Roman" w:hAnsi="Times New Roman" w:eastAsia="宋体"/>
          <w:sz w:val="21"/>
          <w:szCs w:val="21"/>
        </w:rPr>
        <w:t>32</w:t>
      </w:r>
      <w:r>
        <w:rPr>
          <w:rFonts w:ascii="Times New Roman" w:hAnsi="Times New Roman" w:eastAsia="宋体"/>
          <w:sz w:val="21"/>
          <w:szCs w:val="21"/>
        </w:rPr>
        <w:fldChar w:fldCharType="end"/>
      </w:r>
      <w:r>
        <w:rPr>
          <w:rFonts w:ascii="Times New Roman" w:hAnsi="Times New Roman"/>
          <w:sz w:val="21"/>
          <w:szCs w:val="21"/>
        </w:rPr>
        <w:fldChar w:fldCharType="end"/>
      </w:r>
    </w:p>
    <w:p>
      <w:pPr>
        <w:jc w:val="left"/>
        <w:sectPr>
          <w:headerReference r:id="rId6" w:type="default"/>
          <w:footerReference r:id="rId7" w:type="default"/>
          <w:footerReference r:id="rId8" w:type="even"/>
          <w:pgSz w:w="11906" w:h="16838"/>
          <w:pgMar w:top="1440" w:right="1800" w:bottom="1440" w:left="1800" w:header="851" w:footer="992" w:gutter="0"/>
          <w:pgNumType w:fmt="upperRoman" w:start="1"/>
          <w:cols w:space="720" w:num="1"/>
          <w:docGrid w:type="lines" w:linePitch="312" w:charSpace="0"/>
        </w:sectPr>
      </w:pPr>
      <w:r>
        <w:rPr>
          <w:rFonts w:ascii="Times New Roman" w:hAnsi="Times New Roman" w:eastAsia="宋体"/>
          <w:szCs w:val="21"/>
        </w:rPr>
        <w:fldChar w:fldCharType="end"/>
      </w:r>
      <w:r>
        <w:tab/>
      </w:r>
    </w:p>
    <w:p>
      <w:pPr>
        <w:keepNext/>
        <w:pageBreakBefore/>
        <w:widowControl w:val="0"/>
        <w:shd w:val="clear" w:color="FFFFFF" w:fill="FFFFFF"/>
        <w:spacing w:before="851" w:after="680"/>
        <w:jc w:val="center"/>
        <w:outlineLvl w:val="0"/>
        <w:rPr>
          <w:rFonts w:ascii="黑体" w:eastAsia="黑体"/>
          <w:kern w:val="0"/>
          <w:sz w:val="32"/>
          <w:szCs w:val="32"/>
        </w:rPr>
      </w:pPr>
      <w:bookmarkStart w:id="0" w:name="_Toc24540495"/>
      <w:r>
        <w:rPr>
          <w:rFonts w:hint="eastAsia" w:ascii="黑体" w:eastAsia="黑体"/>
          <w:kern w:val="0"/>
          <w:sz w:val="32"/>
          <w:szCs w:val="32"/>
        </w:rPr>
        <w:t>前  言</w:t>
      </w:r>
      <w:bookmarkEnd w:id="0"/>
    </w:p>
    <w:p>
      <w:pPr>
        <w:spacing w:line="360" w:lineRule="auto"/>
        <w:ind w:firstLine="420" w:firstLineChars="200"/>
        <w:rPr>
          <w:rFonts w:ascii="Times New Roman" w:hAnsi="Times New Roman"/>
          <w:szCs w:val="21"/>
        </w:rPr>
      </w:pPr>
      <w:r>
        <w:rPr>
          <w:rFonts w:ascii="Times New Roman" w:hAnsi="Times New Roman"/>
          <w:szCs w:val="21"/>
        </w:rPr>
        <w:t>本技术要求按照GB/T 1.1</w:t>
      </w:r>
      <w:r>
        <w:rPr>
          <w:rFonts w:hint="eastAsia" w:ascii="宋体"/>
          <w:szCs w:val="21"/>
        </w:rPr>
        <w:t>―</w:t>
      </w:r>
      <w:r>
        <w:rPr>
          <w:rFonts w:ascii="Times New Roman" w:hAnsi="Times New Roman"/>
          <w:szCs w:val="21"/>
        </w:rPr>
        <w:t>2009《标准化工作导则 第1部分：标准的结构和编写》给出的规则起草。</w:t>
      </w:r>
    </w:p>
    <w:p>
      <w:pPr>
        <w:spacing w:line="360" w:lineRule="auto"/>
        <w:ind w:firstLine="420" w:firstLineChars="200"/>
        <w:rPr>
          <w:rFonts w:ascii="Times New Roman" w:hAnsi="Times New Roman"/>
          <w:szCs w:val="21"/>
        </w:rPr>
      </w:pPr>
      <w:r>
        <w:rPr>
          <w:rFonts w:ascii="Times New Roman" w:hAnsi="Times New Roman"/>
          <w:szCs w:val="21"/>
        </w:rPr>
        <w:t>本技术要求由湖北省自然资源厅提出和归口管理。</w:t>
      </w:r>
    </w:p>
    <w:p>
      <w:pPr>
        <w:spacing w:line="360" w:lineRule="auto"/>
        <w:ind w:firstLine="420" w:firstLineChars="200"/>
        <w:rPr>
          <w:rFonts w:ascii="Times New Roman" w:hAnsi="Times New Roman"/>
          <w:szCs w:val="21"/>
        </w:rPr>
      </w:pPr>
      <w:r>
        <w:rPr>
          <w:rFonts w:ascii="Times New Roman" w:hAnsi="Times New Roman"/>
          <w:szCs w:val="21"/>
        </w:rPr>
        <w:t>本技术要求起草单位：湖北省地质环境总站</w:t>
      </w:r>
      <w:r>
        <w:rPr>
          <w:rFonts w:hint="eastAsia" w:ascii="Times New Roman" w:hAnsi="Times New Roman"/>
          <w:szCs w:val="21"/>
        </w:rPr>
        <w:t>。</w:t>
      </w:r>
    </w:p>
    <w:p>
      <w:pPr>
        <w:spacing w:line="360" w:lineRule="auto"/>
        <w:ind w:firstLine="420" w:firstLineChars="200"/>
        <w:rPr>
          <w:rFonts w:ascii="Times New Roman" w:hAnsi="Times New Roman"/>
          <w:szCs w:val="21"/>
        </w:rPr>
      </w:pPr>
      <w:r>
        <w:rPr>
          <w:rFonts w:ascii="Times New Roman" w:hAnsi="Times New Roman"/>
          <w:szCs w:val="21"/>
        </w:rPr>
        <w:t>本技术要求由湖北省自然资源厅负责解释。</w:t>
      </w:r>
    </w:p>
    <w:p>
      <w:pPr>
        <w:widowControl/>
        <w:spacing w:before="851" w:after="680"/>
        <w:jc w:val="center"/>
        <w:outlineLvl w:val="0"/>
        <w:rPr>
          <w:rFonts w:hint="eastAsia" w:ascii="黑体" w:eastAsia="黑体"/>
          <w:kern w:val="0"/>
          <w:sz w:val="32"/>
          <w:szCs w:val="32"/>
        </w:rPr>
      </w:pPr>
      <w:r>
        <w:rPr>
          <w:rFonts w:ascii="Times New Roman" w:hAnsi="Times New Roman"/>
        </w:rPr>
        <w:br w:type="page"/>
      </w:r>
      <w:bookmarkStart w:id="1" w:name="_Toc24540496"/>
      <w:r>
        <w:rPr>
          <w:rFonts w:hint="eastAsia" w:ascii="黑体" w:eastAsia="黑体"/>
          <w:kern w:val="0"/>
          <w:sz w:val="32"/>
          <w:szCs w:val="32"/>
        </w:rPr>
        <w:t>引  言</w:t>
      </w:r>
      <w:bookmarkEnd w:id="1"/>
    </w:p>
    <w:p>
      <w:pPr>
        <w:spacing w:line="360" w:lineRule="auto"/>
        <w:ind w:firstLine="420" w:firstLineChars="200"/>
        <w:rPr>
          <w:rFonts w:ascii="Times New Roman" w:hAnsi="Times New Roman"/>
        </w:rPr>
      </w:pPr>
      <w:r>
        <w:rPr>
          <w:rFonts w:ascii="Times New Roman" w:hAnsi="Times New Roman"/>
        </w:rPr>
        <w:t>为规范和指导湖北省地质灾害综合防治体系能力建设工作，制定本技术要求。</w:t>
      </w:r>
    </w:p>
    <w:p>
      <w:pPr>
        <w:spacing w:line="360" w:lineRule="auto"/>
        <w:ind w:firstLine="420" w:firstLineChars="200"/>
        <w:rPr>
          <w:rFonts w:ascii="宋体" w:cs="宋体"/>
        </w:rPr>
      </w:pPr>
      <w:r>
        <w:rPr>
          <w:rFonts w:hint="eastAsia" w:ascii="宋体" w:cs="宋体"/>
        </w:rPr>
        <w:t>湖北省近年来在地质灾害防治</w:t>
      </w:r>
      <w:r>
        <w:rPr>
          <w:rFonts w:ascii="宋体" w:cs="宋体"/>
        </w:rPr>
        <w:t>上从</w:t>
      </w:r>
      <w:r>
        <w:rPr>
          <w:rFonts w:hint="eastAsia" w:ascii="宋体" w:cs="宋体"/>
        </w:rPr>
        <w:t>人防、物防、技防等方面给予了很大投入，在地质</w:t>
      </w:r>
      <w:r>
        <w:rPr>
          <w:rFonts w:ascii="宋体" w:cs="宋体"/>
        </w:rPr>
        <w:t>灾害防治</w:t>
      </w:r>
      <w:r>
        <w:rPr>
          <w:rFonts w:hint="eastAsia" w:ascii="宋体" w:cs="宋体"/>
        </w:rPr>
        <w:t>“四位一体”网格化管理和地质环境信息化建设上取得了一定成绩。通过制定本技术要求，规范</w:t>
      </w:r>
      <w:r>
        <w:rPr>
          <w:rFonts w:hint="eastAsia"/>
        </w:rPr>
        <w:t>湖北省地质灾害综合防治体系能力建设工作相关</w:t>
      </w:r>
      <w:r>
        <w:t>内容</w:t>
      </w:r>
      <w:r>
        <w:rPr>
          <w:rFonts w:hint="eastAsia"/>
        </w:rPr>
        <w:t>，将进一步提升湖北省在</w:t>
      </w:r>
      <w:r>
        <w:rPr>
          <w:rFonts w:hint="eastAsia" w:ascii="宋体" w:cs="宋体"/>
        </w:rPr>
        <w:t>地质灾害应急技术支撑、网格化管理、地质灾害防治“五化”试点等方面的建设工作，持续推进在</w:t>
      </w:r>
      <w:r>
        <w:rPr>
          <w:rFonts w:hint="eastAsia"/>
        </w:rPr>
        <w:t>湖北省</w:t>
      </w:r>
      <w:r>
        <w:rPr>
          <w:rFonts w:hint="eastAsia" w:ascii="宋体" w:cs="宋体"/>
        </w:rPr>
        <w:t>地质灾害综合防治体系中队伍建设、装备更新、新技术应用、科学研究等方面的能力提升。</w:t>
      </w:r>
    </w:p>
    <w:p/>
    <w:p>
      <w:pPr>
        <w:sectPr>
          <w:footerReference r:id="rId9" w:type="default"/>
          <w:pgSz w:w="11906" w:h="16838"/>
          <w:pgMar w:top="1418" w:right="1134" w:bottom="1134" w:left="1418" w:header="851" w:footer="992" w:gutter="0"/>
          <w:pgNumType w:fmt="upperRoman"/>
          <w:cols w:space="720" w:num="1"/>
          <w:docGrid w:type="lines" w:linePitch="312" w:charSpace="0"/>
        </w:sectPr>
      </w:pPr>
    </w:p>
    <w:p>
      <w:pPr>
        <w:spacing w:before="312" w:beforeLines="100" w:after="312" w:afterLines="100"/>
        <w:outlineLvl w:val="0"/>
        <w:rPr>
          <w:rFonts w:hint="eastAsia" w:ascii="黑体" w:eastAsia="黑体"/>
        </w:rPr>
      </w:pPr>
      <w:bookmarkStart w:id="2" w:name="_Toc24540497"/>
      <w:r>
        <w:rPr>
          <w:rFonts w:hint="eastAsia" w:ascii="黑体" w:eastAsia="黑体"/>
        </w:rPr>
        <w:t>1  范围</w:t>
      </w:r>
      <w:bookmarkEnd w:id="2"/>
    </w:p>
    <w:p>
      <w:pPr>
        <w:spacing w:line="360" w:lineRule="auto"/>
        <w:ind w:firstLine="420" w:firstLineChars="200"/>
        <w:rPr>
          <w:rFonts w:ascii="宋体" w:cs="宋体"/>
          <w:szCs w:val="21"/>
        </w:rPr>
      </w:pPr>
      <w:r>
        <w:rPr>
          <w:rFonts w:hint="eastAsia" w:ascii="宋体" w:cs="宋体"/>
          <w:szCs w:val="21"/>
        </w:rPr>
        <w:t>本技术要求规定了湖北省地质灾害综合防治体系能力建设中机构建设、装备建设、试点建设、宣传及演练、预案及制度、科研及标准等内容的基本要求。</w:t>
      </w:r>
    </w:p>
    <w:p>
      <w:pPr>
        <w:spacing w:line="360" w:lineRule="auto"/>
        <w:ind w:firstLine="420" w:firstLineChars="200"/>
        <w:rPr>
          <w:rFonts w:ascii="宋体" w:cs="宋体"/>
          <w:szCs w:val="21"/>
        </w:rPr>
      </w:pPr>
      <w:r>
        <w:rPr>
          <w:rFonts w:hint="eastAsia" w:ascii="宋体" w:cs="宋体"/>
          <w:szCs w:val="21"/>
        </w:rPr>
        <w:t>本技术要求适用于湖北省地质灾害综合防治体系能力建设工作，其他同类工作可参考执行。</w:t>
      </w:r>
    </w:p>
    <w:p>
      <w:pPr>
        <w:spacing w:before="312" w:beforeLines="100" w:after="312" w:afterLines="100"/>
        <w:outlineLvl w:val="0"/>
        <w:rPr>
          <w:rFonts w:hint="eastAsia" w:ascii="黑体" w:eastAsia="黑体"/>
        </w:rPr>
      </w:pPr>
      <w:bookmarkStart w:id="3" w:name="_Toc24540498"/>
      <w:r>
        <w:rPr>
          <w:rFonts w:hint="eastAsia" w:ascii="黑体" w:eastAsia="黑体"/>
        </w:rPr>
        <w:t>2  规范性引用文件</w:t>
      </w:r>
      <w:bookmarkEnd w:id="3"/>
    </w:p>
    <w:p>
      <w:pPr>
        <w:spacing w:line="360" w:lineRule="auto"/>
        <w:ind w:firstLine="420" w:firstLineChars="200"/>
        <w:rPr>
          <w:rFonts w:ascii="Times New Roman" w:hAnsi="Times New Roman"/>
          <w:szCs w:val="21"/>
        </w:rPr>
      </w:pPr>
      <w:r>
        <w:rPr>
          <w:rFonts w:ascii="Times New Roman" w:hAnsi="Times New Roman"/>
          <w:szCs w:val="21"/>
        </w:rPr>
        <w:t>下列引用文件对本技术要求的应用是必不可少的。引用文件</w:t>
      </w:r>
      <w:r>
        <w:rPr>
          <w:rFonts w:hint="eastAsia" w:ascii="Times New Roman" w:hAnsi="Times New Roman"/>
          <w:szCs w:val="21"/>
        </w:rPr>
        <w:t>中</w:t>
      </w:r>
      <w:r>
        <w:rPr>
          <w:rFonts w:ascii="Times New Roman" w:hAnsi="Times New Roman"/>
          <w:szCs w:val="21"/>
        </w:rPr>
        <w:t>凡是注日期的，仅注日期的版本适用于本技术要求</w:t>
      </w:r>
      <w:r>
        <w:rPr>
          <w:rFonts w:hint="eastAsia" w:ascii="Times New Roman" w:hAnsi="Times New Roman"/>
          <w:szCs w:val="21"/>
        </w:rPr>
        <w:t>；未</w:t>
      </w:r>
      <w:r>
        <w:rPr>
          <w:rFonts w:ascii="Times New Roman" w:hAnsi="Times New Roman"/>
          <w:szCs w:val="21"/>
        </w:rPr>
        <w:t>注日期的，</w:t>
      </w:r>
      <w:r>
        <w:rPr>
          <w:rFonts w:hint="eastAsia" w:ascii="Times New Roman" w:hAnsi="Times New Roman"/>
          <w:szCs w:val="21"/>
        </w:rPr>
        <w:t>则以</w:t>
      </w:r>
      <w:r>
        <w:rPr>
          <w:rFonts w:ascii="Times New Roman" w:hAnsi="Times New Roman"/>
          <w:szCs w:val="21"/>
        </w:rPr>
        <w:t>最新版本</w:t>
      </w:r>
      <w:r>
        <w:rPr>
          <w:rFonts w:hint="eastAsia" w:ascii="Times New Roman" w:hAnsi="Times New Roman"/>
          <w:szCs w:val="21"/>
        </w:rPr>
        <w:t>（包括修改版</w:t>
      </w:r>
      <w:r>
        <w:rPr>
          <w:rFonts w:ascii="Times New Roman" w:hAnsi="Times New Roman"/>
          <w:szCs w:val="21"/>
        </w:rPr>
        <w:t>）适用于本技术要求。</w:t>
      </w:r>
    </w:p>
    <w:p>
      <w:pPr>
        <w:spacing w:line="360" w:lineRule="auto"/>
        <w:ind w:firstLine="420" w:firstLineChars="200"/>
        <w:rPr>
          <w:rFonts w:ascii="Times New Roman" w:hAnsi="Times New Roman"/>
          <w:szCs w:val="21"/>
        </w:rPr>
      </w:pPr>
      <w:r>
        <w:rPr>
          <w:rFonts w:ascii="Times New Roman" w:hAnsi="Times New Roman"/>
          <w:szCs w:val="21"/>
        </w:rPr>
        <w:t>T/CAGHP 002</w:t>
      </w:r>
      <w:r>
        <w:rPr>
          <w:rFonts w:hint="eastAsia" w:ascii="宋体"/>
          <w:szCs w:val="21"/>
        </w:rPr>
        <w:t>―</w:t>
      </w:r>
      <w:r>
        <w:rPr>
          <w:rFonts w:ascii="Times New Roman" w:hAnsi="Times New Roman"/>
          <w:szCs w:val="21"/>
        </w:rPr>
        <w:t>2018 地质灾害防治基本术语（试行）</w:t>
      </w:r>
    </w:p>
    <w:p>
      <w:pPr>
        <w:spacing w:line="360" w:lineRule="auto"/>
        <w:ind w:firstLine="420" w:firstLineChars="200"/>
        <w:rPr>
          <w:rFonts w:ascii="Times New Roman" w:hAnsi="Times New Roman"/>
          <w:szCs w:val="21"/>
        </w:rPr>
      </w:pPr>
      <w:r>
        <w:rPr>
          <w:rFonts w:ascii="Times New Roman" w:hAnsi="Times New Roman"/>
          <w:szCs w:val="21"/>
        </w:rPr>
        <w:t>T/CAGHP 010</w:t>
      </w:r>
      <w:r>
        <w:rPr>
          <w:rFonts w:hint="eastAsia" w:ascii="宋体"/>
          <w:szCs w:val="21"/>
        </w:rPr>
        <w:t>―</w:t>
      </w:r>
      <w:r>
        <w:rPr>
          <w:rFonts w:ascii="Times New Roman" w:hAnsi="Times New Roman"/>
          <w:szCs w:val="21"/>
        </w:rPr>
        <w:t>2018 地质灾害应急演练指南（试行）</w:t>
      </w:r>
    </w:p>
    <w:p>
      <w:pPr>
        <w:spacing w:line="360" w:lineRule="auto"/>
        <w:ind w:firstLine="420" w:firstLineChars="200"/>
        <w:rPr>
          <w:rFonts w:ascii="Times New Roman" w:hAnsi="Times New Roman"/>
          <w:szCs w:val="21"/>
        </w:rPr>
      </w:pPr>
      <w:r>
        <w:rPr>
          <w:rFonts w:ascii="Times New Roman" w:hAnsi="Times New Roman"/>
          <w:szCs w:val="21"/>
        </w:rPr>
        <w:t>国务院办公厅《关于政府向社会力量购买服务的指导意见》（国办发〔2013〕96号）</w:t>
      </w:r>
    </w:p>
    <w:p>
      <w:pPr>
        <w:spacing w:line="360" w:lineRule="auto"/>
        <w:ind w:firstLine="420" w:firstLineChars="200"/>
        <w:rPr>
          <w:rFonts w:ascii="Times New Roman" w:hAnsi="Times New Roman"/>
          <w:szCs w:val="21"/>
        </w:rPr>
      </w:pPr>
      <w:r>
        <w:rPr>
          <w:rFonts w:ascii="Times New Roman" w:hAnsi="Times New Roman"/>
          <w:szCs w:val="21"/>
        </w:rPr>
        <w:t>湖北省地质环境治理项目文件归档整理实施细则（试行）</w:t>
      </w:r>
      <w:r>
        <w:rPr>
          <w:rFonts w:hint="eastAsia" w:ascii="Times New Roman" w:hAnsi="Times New Roman"/>
          <w:szCs w:val="21"/>
        </w:rPr>
        <w:t>（鄂土资发〔</w:t>
      </w:r>
      <w:r>
        <w:rPr>
          <w:rFonts w:ascii="Times New Roman" w:hAnsi="Times New Roman"/>
          <w:szCs w:val="21"/>
        </w:rPr>
        <w:t>2011</w:t>
      </w:r>
      <w:r>
        <w:rPr>
          <w:rFonts w:hint="eastAsia" w:ascii="Times New Roman" w:hAnsi="Times New Roman"/>
          <w:szCs w:val="21"/>
        </w:rPr>
        <w:t>〕</w:t>
      </w:r>
      <w:r>
        <w:rPr>
          <w:rFonts w:ascii="Times New Roman" w:hAnsi="Times New Roman"/>
          <w:szCs w:val="21"/>
        </w:rPr>
        <w:t>137</w:t>
      </w:r>
      <w:r>
        <w:rPr>
          <w:rFonts w:hint="eastAsia" w:ascii="Times New Roman" w:hAnsi="Times New Roman"/>
          <w:szCs w:val="21"/>
        </w:rPr>
        <w:t>号）</w:t>
      </w:r>
    </w:p>
    <w:p>
      <w:pPr>
        <w:wordWrap w:val="0"/>
        <w:topLinePunct/>
        <w:spacing w:line="360" w:lineRule="auto"/>
        <w:ind w:firstLine="420" w:firstLineChars="200"/>
        <w:rPr>
          <w:rFonts w:ascii="Times New Roman" w:hAnsi="Times New Roman"/>
          <w:szCs w:val="21"/>
        </w:rPr>
      </w:pPr>
      <w:r>
        <w:rPr>
          <w:rFonts w:ascii="Times New Roman" w:hAnsi="Times New Roman"/>
          <w:szCs w:val="21"/>
        </w:rPr>
        <w:t>湖北省国土资源厅、地质局《关于开展地质灾害防治网格化管理工作的通知》（鄂土资发〔2016〕12号）</w:t>
      </w:r>
    </w:p>
    <w:p>
      <w:pPr>
        <w:spacing w:line="360" w:lineRule="auto"/>
        <w:ind w:firstLine="420" w:firstLineChars="200"/>
        <w:rPr>
          <w:rFonts w:ascii="Times New Roman" w:hAnsi="Times New Roman"/>
          <w:szCs w:val="21"/>
        </w:rPr>
      </w:pPr>
      <w:r>
        <w:rPr>
          <w:rFonts w:hint="eastAsia" w:ascii="Times New Roman" w:hAnsi="Times New Roman"/>
          <w:szCs w:val="21"/>
        </w:rPr>
        <w:t>湖北省地质灾害综合防治体系建设项目管理办法（试行）（鄂自然资发〔</w:t>
      </w:r>
      <w:r>
        <w:rPr>
          <w:rFonts w:ascii="Times New Roman" w:hAnsi="Times New Roman"/>
          <w:szCs w:val="21"/>
        </w:rPr>
        <w:t>2019</w:t>
      </w:r>
      <w:r>
        <w:rPr>
          <w:rFonts w:hint="eastAsia" w:ascii="Times New Roman" w:hAnsi="Times New Roman"/>
          <w:szCs w:val="21"/>
        </w:rPr>
        <w:t>〕</w:t>
      </w:r>
      <w:r>
        <w:rPr>
          <w:rFonts w:ascii="Times New Roman" w:hAnsi="Times New Roman"/>
          <w:szCs w:val="21"/>
        </w:rPr>
        <w:t>6</w:t>
      </w:r>
      <w:r>
        <w:rPr>
          <w:rFonts w:hint="eastAsia" w:ascii="Times New Roman" w:hAnsi="Times New Roman"/>
          <w:szCs w:val="21"/>
        </w:rPr>
        <w:t>号）</w:t>
      </w:r>
    </w:p>
    <w:p>
      <w:pPr>
        <w:spacing w:line="360" w:lineRule="auto"/>
        <w:ind w:firstLine="420" w:firstLineChars="200"/>
        <w:rPr>
          <w:rFonts w:ascii="Times New Roman" w:hAnsi="Times New Roman"/>
          <w:szCs w:val="21"/>
        </w:rPr>
      </w:pPr>
      <w:r>
        <w:rPr>
          <w:rFonts w:hint="eastAsia" w:ascii="Times New Roman" w:hAnsi="Times New Roman"/>
          <w:szCs w:val="21"/>
        </w:rPr>
        <w:t>湖北省地质灾害综合防治体系建设项目申报指南（试行</w:t>
      </w:r>
      <w:r>
        <w:rPr>
          <w:rFonts w:ascii="Times New Roman" w:hAnsi="Times New Roman"/>
          <w:szCs w:val="21"/>
        </w:rPr>
        <w:t>）</w:t>
      </w:r>
      <w:r>
        <w:rPr>
          <w:rFonts w:hint="eastAsia" w:ascii="Times New Roman" w:hAnsi="Times New Roman"/>
          <w:szCs w:val="21"/>
        </w:rPr>
        <w:t>（鄂自然资函〔</w:t>
      </w:r>
      <w:r>
        <w:rPr>
          <w:rFonts w:ascii="Times New Roman" w:hAnsi="Times New Roman"/>
          <w:szCs w:val="21"/>
        </w:rPr>
        <w:t>2019</w:t>
      </w:r>
      <w:r>
        <w:rPr>
          <w:rFonts w:hint="eastAsia" w:ascii="Times New Roman" w:hAnsi="Times New Roman"/>
          <w:szCs w:val="21"/>
        </w:rPr>
        <w:t>〕</w:t>
      </w:r>
      <w:r>
        <w:rPr>
          <w:rFonts w:ascii="Times New Roman" w:hAnsi="Times New Roman"/>
          <w:szCs w:val="21"/>
        </w:rPr>
        <w:t>165</w:t>
      </w:r>
      <w:r>
        <w:rPr>
          <w:rFonts w:hint="eastAsia" w:ascii="Times New Roman" w:hAnsi="Times New Roman"/>
          <w:szCs w:val="21"/>
        </w:rPr>
        <w:t>号）</w:t>
      </w:r>
    </w:p>
    <w:p>
      <w:pPr>
        <w:spacing w:line="360" w:lineRule="auto"/>
        <w:ind w:firstLine="420" w:firstLineChars="200"/>
        <w:rPr>
          <w:rFonts w:ascii="Times New Roman" w:hAnsi="Times New Roman"/>
          <w:szCs w:val="21"/>
        </w:rPr>
      </w:pPr>
      <w:r>
        <w:rPr>
          <w:rFonts w:ascii="Times New Roman" w:hAnsi="Times New Roman"/>
          <w:szCs w:val="21"/>
        </w:rPr>
        <w:t>湖北省地质专家管理办法（试行）（2019）</w:t>
      </w:r>
    </w:p>
    <w:p>
      <w:pPr>
        <w:spacing w:before="312" w:beforeLines="100" w:after="312" w:afterLines="100"/>
        <w:outlineLvl w:val="0"/>
        <w:rPr>
          <w:rFonts w:hint="eastAsia" w:ascii="黑体" w:eastAsia="黑体"/>
        </w:rPr>
      </w:pPr>
      <w:bookmarkStart w:id="4" w:name="_Toc24540499"/>
      <w:r>
        <w:rPr>
          <w:rFonts w:hint="eastAsia" w:ascii="黑体" w:eastAsia="黑体"/>
        </w:rPr>
        <w:t>3  术语和定义</w:t>
      </w:r>
      <w:bookmarkEnd w:id="4"/>
    </w:p>
    <w:p>
      <w:pPr>
        <w:spacing w:line="360" w:lineRule="auto"/>
        <w:ind w:firstLine="420"/>
        <w:rPr>
          <w:rFonts w:ascii="宋体"/>
          <w:szCs w:val="21"/>
        </w:rPr>
      </w:pPr>
      <w:r>
        <w:rPr>
          <w:rFonts w:hint="eastAsia" w:ascii="宋体"/>
          <w:szCs w:val="21"/>
        </w:rPr>
        <w:t>下列术语和定义仅适用于本技术</w:t>
      </w:r>
      <w:r>
        <w:rPr>
          <w:rFonts w:ascii="宋体"/>
          <w:szCs w:val="21"/>
        </w:rPr>
        <w:t>要求</w:t>
      </w:r>
      <w:r>
        <w:rPr>
          <w:rFonts w:hint="eastAsia" w:ascii="宋体"/>
          <w:szCs w:val="21"/>
        </w:rPr>
        <w:t>。</w:t>
      </w:r>
    </w:p>
    <w:p>
      <w:pPr>
        <w:autoSpaceDE w:val="0"/>
        <w:autoSpaceDN w:val="0"/>
        <w:adjustRightInd w:val="0"/>
        <w:spacing w:before="156" w:beforeLines="50" w:after="156" w:afterLines="50"/>
        <w:jc w:val="left"/>
        <w:outlineLvl w:val="1"/>
        <w:rPr>
          <w:rFonts w:hint="eastAsia" w:ascii="黑体" w:eastAsia="黑体" w:cs="黑体"/>
          <w:kern w:val="0"/>
          <w:szCs w:val="21"/>
        </w:rPr>
      </w:pPr>
      <w:r>
        <w:rPr>
          <w:rFonts w:hint="eastAsia" w:ascii="黑体" w:eastAsia="黑体" w:cs="黑体"/>
          <w:kern w:val="0"/>
          <w:szCs w:val="21"/>
        </w:rPr>
        <w:t>3.1</w:t>
      </w:r>
    </w:p>
    <w:p>
      <w:pPr>
        <w:autoSpaceDE w:val="0"/>
        <w:autoSpaceDN w:val="0"/>
        <w:adjustRightInd w:val="0"/>
        <w:spacing w:line="360" w:lineRule="auto"/>
        <w:ind w:firstLine="420" w:firstLineChars="200"/>
        <w:jc w:val="left"/>
        <w:rPr>
          <w:rFonts w:hint="eastAsia" w:ascii="黑体" w:eastAsia="黑体" w:cs="黑体"/>
          <w:kern w:val="0"/>
          <w:szCs w:val="21"/>
        </w:rPr>
      </w:pPr>
      <w:r>
        <w:rPr>
          <w:rFonts w:hint="eastAsia" w:ascii="黑体" w:eastAsia="黑体" w:cs="黑体"/>
          <w:kern w:val="0"/>
          <w:szCs w:val="21"/>
        </w:rPr>
        <w:t>地质灾害隐患</w:t>
      </w:r>
      <w:r>
        <w:rPr>
          <w:rFonts w:hint="eastAsia" w:ascii="黑体" w:eastAsia="黑体"/>
          <w:sz w:val="21"/>
          <w:szCs w:val="21"/>
        </w:rPr>
        <w:t xml:space="preserve"> </w:t>
      </w:r>
      <w:r>
        <w:rPr>
          <w:rFonts w:hint="eastAsia" w:ascii="黑体" w:eastAsia="黑体"/>
          <w:color w:val="333333"/>
          <w:sz w:val="21"/>
          <w:szCs w:val="21"/>
          <w:shd w:val="clear" w:color="auto" w:fill="FFFFFF"/>
        </w:rPr>
        <w:t>geological hazard</w:t>
      </w:r>
    </w:p>
    <w:p>
      <w:pPr>
        <w:spacing w:line="360" w:lineRule="auto"/>
        <w:ind w:firstLine="420" w:firstLineChars="200"/>
        <w:jc w:val="left"/>
        <w:rPr>
          <w:rFonts w:ascii="宋体"/>
          <w:szCs w:val="21"/>
        </w:rPr>
      </w:pPr>
      <w:r>
        <w:rPr>
          <w:rFonts w:hint="eastAsia"/>
        </w:rPr>
        <w:t>可能危害人民生命和财产安全的潜在滑坡、潜在崩塌、潜在泥石流和潜在地面塌陷，以及已经发生但目前还不稳定的滑坡、崩塌、泥石流、地面塌陷、地裂缝、地面沉降等。</w:t>
      </w:r>
    </w:p>
    <w:p>
      <w:pPr>
        <w:autoSpaceDE w:val="0"/>
        <w:autoSpaceDN w:val="0"/>
        <w:adjustRightInd w:val="0"/>
        <w:spacing w:before="156" w:beforeLines="50" w:after="156" w:afterLines="50"/>
        <w:jc w:val="left"/>
        <w:outlineLvl w:val="1"/>
        <w:rPr>
          <w:rFonts w:hint="eastAsia" w:ascii="黑体" w:eastAsia="黑体" w:cs="黑体"/>
          <w:kern w:val="0"/>
          <w:szCs w:val="21"/>
        </w:rPr>
      </w:pPr>
      <w:r>
        <w:rPr>
          <w:rFonts w:hint="eastAsia" w:ascii="黑体" w:eastAsia="黑体" w:cs="黑体"/>
          <w:kern w:val="0"/>
          <w:szCs w:val="21"/>
        </w:rPr>
        <w:t>3.2</w:t>
      </w:r>
    </w:p>
    <w:p>
      <w:pPr>
        <w:autoSpaceDE w:val="0"/>
        <w:autoSpaceDN w:val="0"/>
        <w:adjustRightInd w:val="0"/>
        <w:spacing w:line="360" w:lineRule="auto"/>
        <w:ind w:firstLine="420" w:firstLineChars="200"/>
        <w:jc w:val="left"/>
        <w:rPr>
          <w:rFonts w:ascii="黑体" w:eastAsia="黑体" w:cs="黑体"/>
          <w:kern w:val="0"/>
          <w:szCs w:val="21"/>
        </w:rPr>
      </w:pPr>
      <w:r>
        <w:rPr>
          <w:rFonts w:hint="eastAsia" w:ascii="黑体" w:eastAsia="黑体" w:cs="黑体"/>
          <w:kern w:val="0"/>
          <w:szCs w:val="21"/>
        </w:rPr>
        <w:t>地质灾害防治</w:t>
      </w:r>
      <w:r>
        <w:rPr>
          <w:rFonts w:ascii="黑体" w:eastAsia="黑体" w:cs="黑体"/>
          <w:kern w:val="0"/>
          <w:szCs w:val="21"/>
        </w:rPr>
        <w:t xml:space="preserve"> geological hazards prevention and control</w:t>
      </w:r>
    </w:p>
    <w:p>
      <w:pPr>
        <w:spacing w:line="360" w:lineRule="auto"/>
        <w:ind w:firstLine="420" w:firstLineChars="200"/>
        <w:jc w:val="left"/>
        <w:rPr>
          <w:rFonts w:ascii="宋体" w:cs="宋体"/>
          <w:szCs w:val="21"/>
        </w:rPr>
      </w:pPr>
      <w:r>
        <w:rPr>
          <w:rFonts w:hint="eastAsia" w:ascii="宋体" w:cs="宋体"/>
          <w:szCs w:val="21"/>
        </w:rPr>
        <w:t>对不良地质现象进行评估，通过有效的地质工程技术手段，以达到防止或减轻灾害发生的目的，尽可能地减少生命财产的损失。</w:t>
      </w:r>
    </w:p>
    <w:p>
      <w:pPr>
        <w:autoSpaceDE w:val="0"/>
        <w:autoSpaceDN w:val="0"/>
        <w:adjustRightInd w:val="0"/>
        <w:spacing w:before="156" w:beforeLines="50" w:after="156" w:afterLines="50"/>
        <w:jc w:val="left"/>
        <w:outlineLvl w:val="1"/>
        <w:rPr>
          <w:rFonts w:hint="eastAsia" w:ascii="黑体" w:eastAsia="黑体" w:cs="黑体"/>
          <w:kern w:val="0"/>
          <w:szCs w:val="21"/>
        </w:rPr>
      </w:pPr>
      <w:r>
        <w:rPr>
          <w:rFonts w:hint="eastAsia" w:ascii="黑体" w:eastAsia="黑体" w:cs="黑体"/>
          <w:kern w:val="0"/>
          <w:szCs w:val="21"/>
        </w:rPr>
        <w:t>3.3</w:t>
      </w:r>
    </w:p>
    <w:p>
      <w:pPr>
        <w:autoSpaceDE w:val="0"/>
        <w:autoSpaceDN w:val="0"/>
        <w:adjustRightInd w:val="0"/>
        <w:spacing w:line="360" w:lineRule="auto"/>
        <w:ind w:firstLine="420" w:firstLineChars="200"/>
        <w:jc w:val="left"/>
        <w:rPr>
          <w:rFonts w:ascii="黑体" w:eastAsia="黑体" w:cs="黑体"/>
          <w:kern w:val="0"/>
          <w:szCs w:val="21"/>
        </w:rPr>
      </w:pPr>
      <w:r>
        <w:rPr>
          <w:rFonts w:hint="eastAsia" w:ascii="黑体" w:eastAsia="黑体" w:cs="黑体"/>
          <w:kern w:val="0"/>
          <w:szCs w:val="21"/>
        </w:rPr>
        <w:t>地质灾害防治机构</w:t>
      </w:r>
      <w:r>
        <w:rPr>
          <w:rFonts w:ascii="黑体" w:eastAsia="黑体" w:cs="黑体"/>
          <w:kern w:val="0"/>
          <w:szCs w:val="21"/>
        </w:rPr>
        <w:t xml:space="preserve"> geological disaster prevention and control organization</w:t>
      </w:r>
    </w:p>
    <w:p>
      <w:pPr>
        <w:autoSpaceDE w:val="0"/>
        <w:autoSpaceDN w:val="0"/>
        <w:adjustRightInd w:val="0"/>
        <w:spacing w:line="360" w:lineRule="auto"/>
        <w:ind w:firstLine="420" w:firstLineChars="200"/>
        <w:jc w:val="left"/>
        <w:rPr>
          <w:rFonts w:ascii="宋体" w:cs="宋体"/>
          <w:color w:val="FF0000"/>
          <w:szCs w:val="21"/>
        </w:rPr>
      </w:pPr>
      <w:r>
        <w:rPr>
          <w:rFonts w:hint="eastAsia" w:ascii="宋体" w:cs="宋体"/>
          <w:szCs w:val="21"/>
        </w:rPr>
        <w:t>为地质灾害防治工作出台制度规范和指导性文件，</w:t>
      </w:r>
      <w:r>
        <w:rPr>
          <w:rFonts w:hint="eastAsia"/>
        </w:rPr>
        <w:t>组织编制本级地质灾害防治的总体规划和实施方案，组织开展项目招标，做好项目监督检查，参与项目验收</w:t>
      </w:r>
      <w:r>
        <w:rPr>
          <w:rFonts w:hint="eastAsia" w:ascii="宋体" w:cs="宋体"/>
          <w:szCs w:val="21"/>
        </w:rPr>
        <w:t>等工作的机构。</w:t>
      </w:r>
    </w:p>
    <w:p>
      <w:pPr>
        <w:autoSpaceDE w:val="0"/>
        <w:autoSpaceDN w:val="0"/>
        <w:adjustRightInd w:val="0"/>
        <w:spacing w:before="156" w:beforeLines="50" w:after="156" w:afterLines="50"/>
        <w:jc w:val="left"/>
        <w:outlineLvl w:val="1"/>
        <w:rPr>
          <w:rFonts w:hint="eastAsia" w:ascii="黑体" w:eastAsia="黑体" w:cs="黑体"/>
          <w:kern w:val="0"/>
          <w:szCs w:val="21"/>
        </w:rPr>
      </w:pPr>
      <w:r>
        <w:rPr>
          <w:rFonts w:hint="eastAsia" w:ascii="黑体" w:eastAsia="黑体" w:cs="黑体"/>
          <w:kern w:val="0"/>
          <w:szCs w:val="21"/>
        </w:rPr>
        <w:t>3.4</w:t>
      </w:r>
    </w:p>
    <w:p>
      <w:pPr>
        <w:autoSpaceDE w:val="0"/>
        <w:autoSpaceDN w:val="0"/>
        <w:adjustRightInd w:val="0"/>
        <w:spacing w:line="360" w:lineRule="auto"/>
        <w:ind w:firstLine="420" w:firstLineChars="200"/>
        <w:jc w:val="left"/>
        <w:rPr>
          <w:rFonts w:ascii="黑体" w:eastAsia="黑体" w:cs="黑体"/>
          <w:kern w:val="0"/>
          <w:szCs w:val="21"/>
        </w:rPr>
      </w:pPr>
      <w:r>
        <w:rPr>
          <w:rFonts w:hint="eastAsia" w:ascii="黑体" w:eastAsia="黑体" w:cs="黑体"/>
          <w:kern w:val="0"/>
          <w:szCs w:val="21"/>
        </w:rPr>
        <w:t>地质灾害技术支撑机构</w:t>
      </w:r>
      <w:r>
        <w:rPr>
          <w:rFonts w:ascii="黑体" w:eastAsia="黑体" w:cs="黑体"/>
          <w:kern w:val="0"/>
          <w:szCs w:val="21"/>
        </w:rPr>
        <w:t xml:space="preserve"> geological disaster technical support mechanism</w:t>
      </w:r>
    </w:p>
    <w:p>
      <w:pPr>
        <w:autoSpaceDE w:val="0"/>
        <w:autoSpaceDN w:val="0"/>
        <w:adjustRightInd w:val="0"/>
        <w:spacing w:line="360" w:lineRule="auto"/>
        <w:ind w:firstLine="420" w:firstLineChars="200"/>
        <w:jc w:val="left"/>
        <w:rPr>
          <w:rFonts w:ascii="宋体" w:cs="宋体"/>
          <w:szCs w:val="21"/>
        </w:rPr>
      </w:pPr>
      <w:r>
        <w:rPr>
          <w:rFonts w:hint="eastAsia" w:ascii="宋体" w:cs="宋体"/>
          <w:szCs w:val="21"/>
        </w:rPr>
        <w:t>为地质灾害防治工作提供技术手段和人员队伍，</w:t>
      </w:r>
      <w:r>
        <w:rPr>
          <w:rFonts w:hint="eastAsia"/>
        </w:rPr>
        <w:t>开展具体的项目工作，配合防治机构做好本地区地质灾害防治的各项工作，开展相关技术研究，编制各项技术要求和规程规范</w:t>
      </w:r>
      <w:r>
        <w:rPr>
          <w:rFonts w:hint="eastAsia" w:ascii="宋体" w:cs="宋体"/>
          <w:szCs w:val="21"/>
        </w:rPr>
        <w:t>等工作的机构。</w:t>
      </w:r>
    </w:p>
    <w:p>
      <w:pPr>
        <w:autoSpaceDE w:val="0"/>
        <w:autoSpaceDN w:val="0"/>
        <w:adjustRightInd w:val="0"/>
        <w:spacing w:before="156" w:beforeLines="50" w:after="156" w:afterLines="50"/>
        <w:jc w:val="left"/>
        <w:outlineLvl w:val="1"/>
        <w:rPr>
          <w:rFonts w:hint="eastAsia" w:ascii="黑体" w:eastAsia="黑体" w:cs="黑体"/>
          <w:kern w:val="0"/>
          <w:szCs w:val="21"/>
        </w:rPr>
      </w:pPr>
      <w:r>
        <w:rPr>
          <w:rFonts w:hint="eastAsia" w:ascii="黑体" w:eastAsia="黑体" w:cs="黑体"/>
          <w:kern w:val="0"/>
          <w:szCs w:val="21"/>
        </w:rPr>
        <w:t>3.5</w:t>
      </w:r>
    </w:p>
    <w:p>
      <w:pPr>
        <w:autoSpaceDE w:val="0"/>
        <w:autoSpaceDN w:val="0"/>
        <w:adjustRightInd w:val="0"/>
        <w:spacing w:line="360" w:lineRule="auto"/>
        <w:ind w:firstLine="420" w:firstLineChars="200"/>
        <w:jc w:val="left"/>
        <w:rPr>
          <w:rFonts w:ascii="黑体" w:eastAsia="黑体" w:cs="黑体"/>
          <w:kern w:val="0"/>
          <w:szCs w:val="21"/>
        </w:rPr>
      </w:pPr>
      <w:r>
        <w:rPr>
          <w:rFonts w:hint="eastAsia" w:ascii="黑体" w:eastAsia="黑体" w:cs="黑体"/>
          <w:kern w:val="0"/>
          <w:szCs w:val="21"/>
        </w:rPr>
        <w:t>地质灾害防治网格化管理</w:t>
      </w:r>
      <w:r>
        <w:rPr>
          <w:rFonts w:ascii="黑体" w:eastAsia="黑体" w:cs="黑体"/>
          <w:kern w:val="0"/>
          <w:szCs w:val="21"/>
        </w:rPr>
        <w:t xml:space="preserve"> geological disaster grid management</w:t>
      </w:r>
    </w:p>
    <w:p>
      <w:pPr>
        <w:autoSpaceDE w:val="0"/>
        <w:autoSpaceDN w:val="0"/>
        <w:adjustRightInd w:val="0"/>
        <w:spacing w:line="360" w:lineRule="auto"/>
        <w:ind w:firstLine="420" w:firstLineChars="200"/>
        <w:jc w:val="left"/>
        <w:rPr>
          <w:rFonts w:ascii="宋体" w:cs="宋体"/>
          <w:szCs w:val="21"/>
        </w:rPr>
      </w:pPr>
      <w:r>
        <w:rPr>
          <w:rFonts w:hint="eastAsia" w:ascii="宋体" w:cs="宋体"/>
          <w:szCs w:val="21"/>
        </w:rPr>
        <w:t>指乡（镇）、村、国土资源所、地质环境监测保护站协同管理地质灾害防治工作的一体化模式；通过划定行政网格，落实责任</w:t>
      </w:r>
      <w:r>
        <w:rPr>
          <w:rFonts w:ascii="宋体" w:cs="宋体"/>
          <w:szCs w:val="21"/>
        </w:rPr>
        <w:t>人、管理员、协管员</w:t>
      </w:r>
      <w:r>
        <w:rPr>
          <w:rFonts w:hint="eastAsia" w:ascii="宋体" w:cs="宋体"/>
          <w:szCs w:val="21"/>
        </w:rPr>
        <w:t>、</w:t>
      </w:r>
      <w:r>
        <w:rPr>
          <w:rFonts w:ascii="宋体" w:cs="宋体"/>
          <w:szCs w:val="21"/>
        </w:rPr>
        <w:t>专管员</w:t>
      </w:r>
      <w:r>
        <w:rPr>
          <w:rFonts w:hint="eastAsia" w:ascii="宋体" w:cs="宋体"/>
          <w:szCs w:val="21"/>
        </w:rPr>
        <w:t>等人员，明确职责和任务，实行分片包干的管理方式。</w:t>
      </w:r>
    </w:p>
    <w:p>
      <w:pPr>
        <w:autoSpaceDE w:val="0"/>
        <w:autoSpaceDN w:val="0"/>
        <w:adjustRightInd w:val="0"/>
        <w:spacing w:before="156" w:beforeLines="50" w:after="156" w:afterLines="50"/>
        <w:jc w:val="left"/>
        <w:outlineLvl w:val="1"/>
        <w:rPr>
          <w:rFonts w:hint="eastAsia" w:ascii="黑体" w:eastAsia="黑体" w:cs="黑体"/>
          <w:kern w:val="0"/>
          <w:szCs w:val="21"/>
        </w:rPr>
      </w:pPr>
      <w:r>
        <w:rPr>
          <w:rFonts w:hint="eastAsia" w:ascii="黑体" w:eastAsia="黑体" w:cs="黑体"/>
          <w:kern w:val="0"/>
          <w:szCs w:val="21"/>
        </w:rPr>
        <w:t>3.6</w:t>
      </w:r>
    </w:p>
    <w:p>
      <w:pPr>
        <w:autoSpaceDE w:val="0"/>
        <w:autoSpaceDN w:val="0"/>
        <w:adjustRightInd w:val="0"/>
        <w:spacing w:line="360" w:lineRule="auto"/>
        <w:ind w:firstLine="420" w:firstLineChars="200"/>
        <w:jc w:val="left"/>
        <w:rPr>
          <w:rFonts w:ascii="黑体" w:eastAsia="黑体" w:cs="黑体"/>
          <w:kern w:val="0"/>
          <w:szCs w:val="21"/>
        </w:rPr>
      </w:pPr>
      <w:r>
        <w:rPr>
          <w:rFonts w:hint="eastAsia" w:ascii="黑体" w:eastAsia="黑体" w:cs="黑体"/>
          <w:kern w:val="0"/>
          <w:szCs w:val="21"/>
        </w:rPr>
        <w:t>防灾预案</w:t>
      </w:r>
      <w:r>
        <w:rPr>
          <w:rFonts w:ascii="黑体" w:eastAsia="黑体" w:cs="黑体"/>
          <w:kern w:val="0"/>
          <w:szCs w:val="21"/>
        </w:rPr>
        <w:t xml:space="preserve"> disaster prevention plan</w:t>
      </w:r>
    </w:p>
    <w:p>
      <w:pPr>
        <w:autoSpaceDE w:val="0"/>
        <w:autoSpaceDN w:val="0"/>
        <w:adjustRightInd w:val="0"/>
        <w:spacing w:line="360" w:lineRule="auto"/>
        <w:ind w:firstLine="420" w:firstLineChars="200"/>
        <w:jc w:val="left"/>
        <w:rPr>
          <w:rFonts w:ascii="宋体" w:cs="宋体"/>
          <w:kern w:val="0"/>
          <w:szCs w:val="21"/>
        </w:rPr>
      </w:pPr>
      <w:r>
        <w:rPr>
          <w:rFonts w:hint="eastAsia" w:ascii="宋体" w:cs="宋体"/>
          <w:kern w:val="0"/>
          <w:szCs w:val="21"/>
        </w:rPr>
        <w:t>指针对发生和可能发生的突发地质灾害，事先研究制订的应对计划和方案。一般包括国家和各行政区域的地质灾害防灾预案，以及单体地质灾害防灾预案。</w:t>
      </w:r>
    </w:p>
    <w:p>
      <w:pPr>
        <w:autoSpaceDE w:val="0"/>
        <w:autoSpaceDN w:val="0"/>
        <w:adjustRightInd w:val="0"/>
        <w:spacing w:before="156" w:beforeLines="50" w:after="156" w:afterLines="50"/>
        <w:jc w:val="left"/>
        <w:outlineLvl w:val="1"/>
        <w:rPr>
          <w:rFonts w:hint="eastAsia" w:ascii="黑体" w:eastAsia="黑体" w:cs="黑体"/>
          <w:kern w:val="0"/>
          <w:szCs w:val="21"/>
        </w:rPr>
      </w:pPr>
      <w:r>
        <w:rPr>
          <w:rFonts w:hint="eastAsia" w:ascii="黑体" w:eastAsia="黑体" w:cs="黑体"/>
          <w:kern w:val="0"/>
          <w:szCs w:val="21"/>
        </w:rPr>
        <w:t>3.7</w:t>
      </w:r>
    </w:p>
    <w:p>
      <w:pPr>
        <w:autoSpaceDE w:val="0"/>
        <w:autoSpaceDN w:val="0"/>
        <w:adjustRightInd w:val="0"/>
        <w:spacing w:line="360" w:lineRule="auto"/>
        <w:ind w:firstLine="420" w:firstLineChars="200"/>
        <w:jc w:val="left"/>
        <w:rPr>
          <w:rFonts w:ascii="黑体" w:eastAsia="黑体" w:cs="黑体"/>
          <w:kern w:val="0"/>
          <w:szCs w:val="21"/>
        </w:rPr>
      </w:pPr>
      <w:r>
        <w:rPr>
          <w:rFonts w:hint="eastAsia" w:ascii="黑体" w:eastAsia="黑体" w:cs="黑体"/>
          <w:kern w:val="0"/>
          <w:szCs w:val="21"/>
        </w:rPr>
        <w:t>防灾演练</w:t>
      </w:r>
      <w:r>
        <w:rPr>
          <w:rFonts w:ascii="黑体" w:eastAsia="黑体" w:cs="黑体"/>
          <w:kern w:val="0"/>
          <w:szCs w:val="21"/>
        </w:rPr>
        <w:t xml:space="preserve"> disaster prevention drill</w:t>
      </w:r>
    </w:p>
    <w:p>
      <w:pPr>
        <w:autoSpaceDE w:val="0"/>
        <w:autoSpaceDN w:val="0"/>
        <w:adjustRightInd w:val="0"/>
        <w:spacing w:line="360" w:lineRule="auto"/>
        <w:ind w:firstLine="420" w:firstLineChars="200"/>
        <w:jc w:val="left"/>
        <w:rPr>
          <w:rFonts w:ascii="宋体" w:cs="宋体"/>
          <w:kern w:val="0"/>
          <w:szCs w:val="21"/>
        </w:rPr>
      </w:pPr>
      <w:r>
        <w:rPr>
          <w:rFonts w:hint="eastAsia" w:ascii="宋体" w:cs="宋体"/>
          <w:kern w:val="0"/>
          <w:szCs w:val="21"/>
        </w:rPr>
        <w:t>指各级人民政府及其部门、企事业单位、社会团体等组织相关单位及人员，依据有关防灾预案，模拟应对突发地质灾害应急处置过程的活动。</w:t>
      </w:r>
    </w:p>
    <w:p>
      <w:pPr>
        <w:autoSpaceDE w:val="0"/>
        <w:autoSpaceDN w:val="0"/>
        <w:adjustRightInd w:val="0"/>
        <w:spacing w:before="156" w:beforeLines="50" w:after="156" w:afterLines="50"/>
        <w:jc w:val="left"/>
        <w:outlineLvl w:val="1"/>
        <w:rPr>
          <w:rFonts w:hint="eastAsia" w:ascii="黑体" w:eastAsia="黑体" w:cs="黑体"/>
          <w:kern w:val="0"/>
          <w:szCs w:val="21"/>
        </w:rPr>
      </w:pPr>
      <w:r>
        <w:rPr>
          <w:rFonts w:hint="eastAsia" w:ascii="黑体" w:eastAsia="黑体" w:cs="黑体"/>
          <w:kern w:val="0"/>
          <w:szCs w:val="21"/>
        </w:rPr>
        <w:t>3.8</w:t>
      </w:r>
    </w:p>
    <w:p>
      <w:pPr>
        <w:autoSpaceDE w:val="0"/>
        <w:autoSpaceDN w:val="0"/>
        <w:adjustRightInd w:val="0"/>
        <w:spacing w:line="360" w:lineRule="auto"/>
        <w:ind w:firstLine="420" w:firstLineChars="200"/>
        <w:jc w:val="left"/>
        <w:rPr>
          <w:rFonts w:ascii="Arial" w:hAnsi="Arial" w:cs="Arial"/>
          <w:szCs w:val="21"/>
          <w:shd w:val="clear" w:color="auto" w:fill="FFFFFF"/>
        </w:rPr>
      </w:pPr>
      <w:r>
        <w:rPr>
          <w:rFonts w:ascii="黑体" w:eastAsia="黑体" w:cs="黑体"/>
          <w:kern w:val="0"/>
          <w:szCs w:val="21"/>
        </w:rPr>
        <w:t>社会力量 social forces</w:t>
      </w:r>
    </w:p>
    <w:p>
      <w:pPr>
        <w:autoSpaceDE w:val="0"/>
        <w:autoSpaceDN w:val="0"/>
        <w:adjustRightInd w:val="0"/>
        <w:spacing w:line="360" w:lineRule="auto"/>
        <w:ind w:firstLine="420" w:firstLineChars="200"/>
        <w:jc w:val="left"/>
        <w:rPr>
          <w:rFonts w:ascii="宋体" w:cs="宋体"/>
          <w:kern w:val="0"/>
          <w:szCs w:val="21"/>
        </w:rPr>
      </w:pPr>
      <w:r>
        <w:rPr>
          <w:rFonts w:ascii="宋体" w:cs="宋体"/>
          <w:kern w:val="0"/>
          <w:szCs w:val="21"/>
        </w:rPr>
        <w:t>指能够参与、作用于社会发展的基本单元，包括自然人、法人</w:t>
      </w:r>
      <w:r>
        <w:rPr>
          <w:rFonts w:hint="eastAsia" w:ascii="宋体" w:cs="宋体"/>
          <w:kern w:val="0"/>
          <w:szCs w:val="21"/>
        </w:rPr>
        <w:t>（</w:t>
      </w:r>
      <w:r>
        <w:rPr>
          <w:rFonts w:ascii="宋体" w:cs="宋体"/>
          <w:kern w:val="0"/>
          <w:szCs w:val="21"/>
        </w:rPr>
        <w:t>企业、党政机关事业单位、社会组织</w:t>
      </w:r>
      <w:r>
        <w:rPr>
          <w:rFonts w:hint="eastAsia" w:ascii="宋体" w:cs="宋体"/>
          <w:kern w:val="0"/>
          <w:szCs w:val="21"/>
        </w:rPr>
        <w:t>、</w:t>
      </w:r>
      <w:r>
        <w:rPr>
          <w:rFonts w:ascii="宋体" w:cs="宋体"/>
          <w:kern w:val="0"/>
          <w:szCs w:val="21"/>
        </w:rPr>
        <w:t>非政府组织、非营利机构、社团</w:t>
      </w:r>
      <w:r>
        <w:rPr>
          <w:rFonts w:hint="eastAsia" w:ascii="宋体" w:cs="宋体"/>
          <w:kern w:val="0"/>
          <w:szCs w:val="21"/>
        </w:rPr>
        <w:t>）</w:t>
      </w:r>
      <w:r>
        <w:rPr>
          <w:rFonts w:ascii="宋体" w:cs="宋体"/>
          <w:kern w:val="0"/>
          <w:szCs w:val="21"/>
        </w:rPr>
        <w:t>等</w:t>
      </w:r>
      <w:r>
        <w:rPr>
          <w:rFonts w:hint="eastAsia" w:ascii="宋体" w:cs="宋体"/>
          <w:kern w:val="0"/>
          <w:szCs w:val="21"/>
        </w:rPr>
        <w:t>。</w:t>
      </w:r>
    </w:p>
    <w:p>
      <w:pPr>
        <w:autoSpaceDE w:val="0"/>
        <w:autoSpaceDN w:val="0"/>
        <w:adjustRightInd w:val="0"/>
        <w:spacing w:before="156" w:beforeLines="50" w:after="156" w:afterLines="50"/>
        <w:jc w:val="left"/>
        <w:outlineLvl w:val="1"/>
        <w:rPr>
          <w:rFonts w:hint="eastAsia" w:ascii="黑体" w:eastAsia="黑体" w:cs="黑体"/>
          <w:kern w:val="0"/>
          <w:szCs w:val="21"/>
        </w:rPr>
      </w:pPr>
      <w:r>
        <w:rPr>
          <w:rFonts w:hint="eastAsia" w:ascii="黑体" w:eastAsia="黑体" w:cs="黑体"/>
          <w:kern w:val="0"/>
          <w:szCs w:val="21"/>
        </w:rPr>
        <w:t>3.9</w:t>
      </w:r>
    </w:p>
    <w:p>
      <w:pPr>
        <w:autoSpaceDE w:val="0"/>
        <w:autoSpaceDN w:val="0"/>
        <w:adjustRightInd w:val="0"/>
        <w:spacing w:line="360" w:lineRule="auto"/>
        <w:ind w:firstLine="420" w:firstLineChars="200"/>
        <w:jc w:val="left"/>
        <w:rPr>
          <w:rFonts w:ascii="黑体" w:eastAsia="黑体" w:cs="黑体"/>
          <w:kern w:val="0"/>
          <w:szCs w:val="21"/>
        </w:rPr>
      </w:pPr>
      <w:r>
        <w:rPr>
          <w:rFonts w:hint="eastAsia" w:ascii="黑体" w:eastAsia="黑体" w:cs="黑体"/>
          <w:kern w:val="0"/>
          <w:szCs w:val="21"/>
        </w:rPr>
        <w:t>地质</w:t>
      </w:r>
      <w:r>
        <w:rPr>
          <w:rFonts w:ascii="黑体" w:eastAsia="黑体" w:cs="黑体"/>
          <w:kern w:val="0"/>
          <w:szCs w:val="21"/>
        </w:rPr>
        <w:t>灾害防治</w:t>
      </w:r>
      <w:r>
        <w:rPr>
          <w:rFonts w:hint="eastAsia" w:ascii="黑体" w:eastAsia="黑体" w:cs="黑体"/>
          <w:kern w:val="0"/>
          <w:szCs w:val="21"/>
        </w:rPr>
        <w:t>“五化”模式</w:t>
      </w:r>
      <w:r>
        <w:rPr>
          <w:rFonts w:ascii="黑体" w:eastAsia="黑体" w:cs="黑体"/>
          <w:kern w:val="0"/>
          <w:szCs w:val="21"/>
        </w:rPr>
        <w:t xml:space="preserve"> Geological disaster prevention and control "FIVE" mode</w:t>
      </w:r>
    </w:p>
    <w:p>
      <w:pPr>
        <w:autoSpaceDE w:val="0"/>
        <w:autoSpaceDN w:val="0"/>
        <w:adjustRightInd w:val="0"/>
        <w:spacing w:line="360" w:lineRule="auto"/>
        <w:ind w:firstLine="420" w:firstLineChars="200"/>
        <w:jc w:val="left"/>
        <w:rPr>
          <w:rFonts w:ascii="宋体" w:cs="宋体"/>
          <w:kern w:val="0"/>
          <w:szCs w:val="21"/>
        </w:rPr>
      </w:pPr>
      <w:r>
        <w:rPr>
          <w:rFonts w:hint="eastAsia" w:ascii="宋体" w:cs="宋体"/>
          <w:kern w:val="0"/>
          <w:szCs w:val="21"/>
        </w:rPr>
        <w:t>是指在</w:t>
      </w:r>
      <w:r>
        <w:rPr>
          <w:rFonts w:ascii="宋体" w:cs="宋体"/>
          <w:kern w:val="0"/>
          <w:szCs w:val="21"/>
        </w:rPr>
        <w:t>地质灾害防治</w:t>
      </w:r>
      <w:r>
        <w:rPr>
          <w:rFonts w:hint="eastAsia" w:ascii="宋体" w:cs="宋体"/>
          <w:kern w:val="0"/>
          <w:szCs w:val="21"/>
        </w:rPr>
        <w:t>工作中</w:t>
      </w:r>
      <w:r>
        <w:rPr>
          <w:rFonts w:ascii="宋体" w:cs="宋体"/>
          <w:kern w:val="0"/>
          <w:szCs w:val="21"/>
        </w:rPr>
        <w:t>开展</w:t>
      </w:r>
      <w:r>
        <w:rPr>
          <w:rFonts w:hint="eastAsia" w:ascii="宋体" w:cs="宋体"/>
          <w:kern w:val="0"/>
          <w:szCs w:val="21"/>
        </w:rPr>
        <w:t>“</w:t>
      </w:r>
      <w:r>
        <w:rPr>
          <w:rFonts w:ascii="宋体" w:cs="宋体"/>
          <w:kern w:val="0"/>
          <w:szCs w:val="21"/>
        </w:rPr>
        <w:t>管理支撑层级化</w:t>
      </w:r>
      <w:r>
        <w:rPr>
          <w:rFonts w:hint="eastAsia" w:ascii="宋体" w:cs="宋体"/>
          <w:kern w:val="0"/>
          <w:szCs w:val="21"/>
        </w:rPr>
        <w:t>、</w:t>
      </w:r>
      <w:r>
        <w:rPr>
          <w:rFonts w:ascii="宋体" w:cs="宋体"/>
          <w:kern w:val="0"/>
          <w:szCs w:val="21"/>
        </w:rPr>
        <w:t>监测手段多样化</w:t>
      </w:r>
      <w:r>
        <w:rPr>
          <w:rFonts w:hint="eastAsia" w:ascii="宋体" w:cs="宋体"/>
          <w:kern w:val="0"/>
          <w:szCs w:val="21"/>
        </w:rPr>
        <w:t>、</w:t>
      </w:r>
      <w:r>
        <w:rPr>
          <w:rFonts w:ascii="宋体" w:cs="宋体"/>
          <w:kern w:val="0"/>
          <w:szCs w:val="21"/>
        </w:rPr>
        <w:t>数据采集智能化</w:t>
      </w:r>
      <w:r>
        <w:rPr>
          <w:rFonts w:hint="eastAsia" w:ascii="宋体" w:cs="宋体"/>
          <w:kern w:val="0"/>
          <w:szCs w:val="21"/>
        </w:rPr>
        <w:t>、</w:t>
      </w:r>
      <w:r>
        <w:rPr>
          <w:rFonts w:ascii="宋体" w:cs="宋体"/>
          <w:kern w:val="0"/>
          <w:szCs w:val="21"/>
        </w:rPr>
        <w:t>预警预报及时化</w:t>
      </w:r>
      <w:r>
        <w:rPr>
          <w:rFonts w:hint="eastAsia" w:ascii="宋体" w:cs="宋体"/>
          <w:kern w:val="0"/>
          <w:szCs w:val="21"/>
        </w:rPr>
        <w:t>、</w:t>
      </w:r>
      <w:r>
        <w:rPr>
          <w:rFonts w:ascii="宋体" w:cs="宋体"/>
          <w:kern w:val="0"/>
          <w:szCs w:val="21"/>
        </w:rPr>
        <w:t>防灾减灾信息发布服务一体化</w:t>
      </w:r>
      <w:r>
        <w:rPr>
          <w:rFonts w:hint="eastAsia" w:ascii="宋体" w:cs="宋体"/>
          <w:kern w:val="0"/>
          <w:szCs w:val="21"/>
        </w:rPr>
        <w:t>”的五种工作模式</w:t>
      </w:r>
      <w:r>
        <w:rPr>
          <w:rFonts w:ascii="宋体" w:cs="宋体"/>
          <w:kern w:val="0"/>
          <w:szCs w:val="21"/>
        </w:rPr>
        <w:t>。</w:t>
      </w:r>
    </w:p>
    <w:p>
      <w:pPr>
        <w:autoSpaceDE w:val="0"/>
        <w:autoSpaceDN w:val="0"/>
        <w:adjustRightInd w:val="0"/>
        <w:spacing w:before="156" w:beforeLines="50" w:after="156" w:afterLines="50"/>
        <w:jc w:val="left"/>
        <w:outlineLvl w:val="1"/>
        <w:rPr>
          <w:rFonts w:hint="eastAsia" w:ascii="黑体" w:eastAsia="黑体" w:cs="黑体"/>
          <w:kern w:val="0"/>
          <w:szCs w:val="21"/>
        </w:rPr>
      </w:pPr>
      <w:r>
        <w:rPr>
          <w:rFonts w:hint="eastAsia" w:ascii="黑体" w:eastAsia="黑体" w:cs="黑体"/>
          <w:kern w:val="0"/>
          <w:szCs w:val="21"/>
        </w:rPr>
        <w:t>3.10</w:t>
      </w:r>
    </w:p>
    <w:p>
      <w:pPr>
        <w:autoSpaceDE w:val="0"/>
        <w:autoSpaceDN w:val="0"/>
        <w:adjustRightInd w:val="0"/>
        <w:spacing w:line="360" w:lineRule="auto"/>
        <w:ind w:firstLine="420" w:firstLineChars="200"/>
        <w:jc w:val="left"/>
        <w:rPr>
          <w:rFonts w:ascii="黑体" w:eastAsia="黑体" w:cs="黑体"/>
          <w:kern w:val="0"/>
          <w:szCs w:val="21"/>
        </w:rPr>
      </w:pPr>
      <w:r>
        <w:rPr>
          <w:rFonts w:hint="eastAsia" w:ascii="黑体" w:eastAsia="黑体" w:cs="黑体"/>
          <w:kern w:val="0"/>
          <w:szCs w:val="21"/>
        </w:rPr>
        <w:t>四应知</w:t>
      </w:r>
      <w:r>
        <w:rPr>
          <w:rFonts w:ascii="黑体" w:eastAsia="黑体" w:cs="黑体"/>
          <w:kern w:val="0"/>
          <w:szCs w:val="21"/>
        </w:rPr>
        <w:t>、四应会 double four should know</w:t>
      </w:r>
    </w:p>
    <w:p>
      <w:pPr>
        <w:autoSpaceDE w:val="0"/>
        <w:autoSpaceDN w:val="0"/>
        <w:adjustRightInd w:val="0"/>
        <w:spacing w:line="360" w:lineRule="auto"/>
        <w:ind w:firstLine="420" w:firstLineChars="200"/>
        <w:jc w:val="left"/>
        <w:rPr>
          <w:rFonts w:ascii="宋体" w:cs="宋体"/>
          <w:kern w:val="0"/>
          <w:szCs w:val="21"/>
        </w:rPr>
      </w:pPr>
      <w:r>
        <w:rPr>
          <w:rFonts w:hint="eastAsia" w:ascii="宋体" w:cs="宋体"/>
          <w:kern w:val="0"/>
          <w:szCs w:val="21"/>
        </w:rPr>
        <w:t>“四</w:t>
      </w:r>
      <w:r>
        <w:rPr>
          <w:rFonts w:ascii="宋体" w:cs="宋体"/>
          <w:kern w:val="0"/>
          <w:szCs w:val="21"/>
        </w:rPr>
        <w:t>应知</w:t>
      </w:r>
      <w:r>
        <w:rPr>
          <w:rFonts w:hint="eastAsia" w:ascii="宋体" w:cs="宋体"/>
          <w:kern w:val="0"/>
          <w:szCs w:val="21"/>
        </w:rPr>
        <w:t>”是</w:t>
      </w:r>
      <w:r>
        <w:rPr>
          <w:rFonts w:ascii="宋体" w:cs="宋体"/>
          <w:kern w:val="0"/>
          <w:szCs w:val="21"/>
        </w:rPr>
        <w:t>指</w:t>
      </w:r>
      <w:r>
        <w:rPr>
          <w:rFonts w:hint="eastAsia" w:ascii="宋体" w:cs="宋体"/>
          <w:kern w:val="0"/>
          <w:szCs w:val="21"/>
        </w:rPr>
        <w:t>应知隐患点情况和威胁范围、应知群众避险场所和转移路线、应知险情报告程序和办法、应知灾点监测时间和次数；“四应会”是指应会识别地质灾害发生前兆、应会使用简易监测方法、应会对监测数据记录分析和初步判断、应会指导防灾和应急处置。</w:t>
      </w:r>
    </w:p>
    <w:p>
      <w:pPr>
        <w:autoSpaceDE w:val="0"/>
        <w:autoSpaceDN w:val="0"/>
        <w:adjustRightInd w:val="0"/>
        <w:spacing w:before="156" w:beforeLines="50" w:after="156" w:afterLines="50"/>
        <w:jc w:val="left"/>
        <w:outlineLvl w:val="1"/>
        <w:rPr>
          <w:rFonts w:ascii="黑体" w:eastAsia="黑体" w:cs="黑体"/>
          <w:kern w:val="0"/>
          <w:szCs w:val="21"/>
        </w:rPr>
      </w:pPr>
      <w:r>
        <w:rPr>
          <w:rFonts w:hint="eastAsia" w:ascii="黑体" w:eastAsia="黑体" w:cs="黑体"/>
          <w:kern w:val="0"/>
          <w:szCs w:val="21"/>
        </w:rPr>
        <w:t>3.11</w:t>
      </w:r>
    </w:p>
    <w:p>
      <w:pPr>
        <w:autoSpaceDE w:val="0"/>
        <w:autoSpaceDN w:val="0"/>
        <w:adjustRightInd w:val="0"/>
        <w:spacing w:line="360" w:lineRule="auto"/>
        <w:ind w:firstLine="420" w:firstLineChars="200"/>
        <w:jc w:val="left"/>
        <w:rPr>
          <w:rFonts w:ascii="黑体" w:eastAsia="黑体" w:cs="黑体"/>
          <w:kern w:val="0"/>
          <w:szCs w:val="21"/>
        </w:rPr>
      </w:pPr>
      <w:r>
        <w:rPr>
          <w:rFonts w:hint="eastAsia" w:ascii="黑体" w:eastAsia="黑体" w:cs="黑体"/>
          <w:kern w:val="0"/>
          <w:szCs w:val="21"/>
        </w:rPr>
        <w:t>地质</w:t>
      </w:r>
      <w:r>
        <w:rPr>
          <w:rFonts w:ascii="黑体" w:eastAsia="黑体" w:cs="黑体"/>
          <w:kern w:val="0"/>
          <w:szCs w:val="21"/>
        </w:rPr>
        <w:t>灾害防治能力 geological disaster prevention and control ability</w:t>
      </w:r>
    </w:p>
    <w:p>
      <w:pPr>
        <w:autoSpaceDE w:val="0"/>
        <w:autoSpaceDN w:val="0"/>
        <w:adjustRightInd w:val="0"/>
        <w:spacing w:line="360" w:lineRule="auto"/>
        <w:ind w:firstLine="420" w:firstLineChars="200"/>
        <w:jc w:val="left"/>
        <w:rPr>
          <w:rFonts w:ascii="宋体" w:cs="宋体"/>
          <w:kern w:val="0"/>
          <w:szCs w:val="21"/>
        </w:rPr>
      </w:pPr>
      <w:r>
        <w:rPr>
          <w:rFonts w:hint="eastAsia" w:ascii="宋体" w:cs="宋体"/>
          <w:kern w:val="0"/>
          <w:szCs w:val="21"/>
        </w:rPr>
        <w:t>是指</w:t>
      </w:r>
      <w:r>
        <w:rPr>
          <w:rFonts w:ascii="宋体" w:cs="宋体"/>
          <w:kern w:val="0"/>
          <w:szCs w:val="21"/>
        </w:rPr>
        <w:t>政府、事业单位</w:t>
      </w:r>
      <w:r>
        <w:rPr>
          <w:rFonts w:hint="eastAsia" w:ascii="宋体" w:cs="宋体"/>
          <w:kern w:val="0"/>
          <w:szCs w:val="21"/>
        </w:rPr>
        <w:t>和</w:t>
      </w:r>
      <w:r>
        <w:rPr>
          <w:rFonts w:ascii="宋体" w:cs="宋体"/>
          <w:kern w:val="0"/>
          <w:szCs w:val="21"/>
        </w:rPr>
        <w:t>社会组织</w:t>
      </w:r>
      <w:r>
        <w:rPr>
          <w:rFonts w:hint="eastAsia" w:ascii="宋体" w:cs="宋体"/>
          <w:kern w:val="0"/>
          <w:szCs w:val="21"/>
        </w:rPr>
        <w:t>等单位机构相互</w:t>
      </w:r>
      <w:r>
        <w:rPr>
          <w:rFonts w:ascii="宋体" w:cs="宋体"/>
          <w:kern w:val="0"/>
          <w:szCs w:val="21"/>
        </w:rPr>
        <w:t>支撑协作形成</w:t>
      </w:r>
      <w:r>
        <w:rPr>
          <w:rFonts w:hint="eastAsia" w:ascii="宋体" w:cs="宋体"/>
          <w:kern w:val="0"/>
          <w:szCs w:val="21"/>
        </w:rPr>
        <w:t>地质灾害综合防治体系应</w:t>
      </w:r>
      <w:r>
        <w:rPr>
          <w:rFonts w:ascii="宋体" w:cs="宋体"/>
          <w:kern w:val="0"/>
          <w:szCs w:val="21"/>
        </w:rPr>
        <w:t>对</w:t>
      </w:r>
      <w:r>
        <w:rPr>
          <w:rFonts w:hint="eastAsia" w:ascii="宋体" w:cs="宋体"/>
          <w:kern w:val="0"/>
          <w:szCs w:val="21"/>
        </w:rPr>
        <w:t>地质</w:t>
      </w:r>
      <w:r>
        <w:rPr>
          <w:rFonts w:ascii="宋体" w:cs="宋体"/>
          <w:kern w:val="0"/>
          <w:szCs w:val="21"/>
        </w:rPr>
        <w:t>灾害的综合能力</w:t>
      </w:r>
      <w:r>
        <w:rPr>
          <w:rFonts w:hint="eastAsia" w:ascii="宋体" w:cs="宋体"/>
          <w:kern w:val="0"/>
          <w:szCs w:val="21"/>
        </w:rPr>
        <w:t>。</w:t>
      </w:r>
    </w:p>
    <w:p>
      <w:pPr>
        <w:spacing w:before="312" w:beforeLines="100" w:after="312" w:afterLines="100"/>
        <w:outlineLvl w:val="0"/>
        <w:rPr>
          <w:rFonts w:hint="eastAsia" w:ascii="黑体" w:eastAsia="黑体"/>
        </w:rPr>
      </w:pPr>
      <w:bookmarkStart w:id="5" w:name="_Toc24540500"/>
      <w:r>
        <w:rPr>
          <w:rFonts w:hint="eastAsia" w:ascii="黑体" w:eastAsia="黑体"/>
        </w:rPr>
        <w:t>4  总则</w:t>
      </w:r>
      <w:bookmarkEnd w:id="5"/>
    </w:p>
    <w:p>
      <w:pPr>
        <w:pStyle w:val="3"/>
      </w:pPr>
      <w:bookmarkStart w:id="6" w:name="_Toc24540501"/>
      <w:r>
        <w:t xml:space="preserve">4.1  </w:t>
      </w:r>
      <w:r>
        <w:rPr>
          <w:rFonts w:hint="eastAsia"/>
        </w:rPr>
        <w:t>目的</w:t>
      </w:r>
      <w:bookmarkEnd w:id="6"/>
    </w:p>
    <w:p>
      <w:pPr>
        <w:spacing w:line="360" w:lineRule="auto"/>
        <w:ind w:firstLine="420" w:firstLineChars="200"/>
        <w:jc w:val="left"/>
        <w:rPr>
          <w:rFonts w:ascii="宋体" w:cs="宋体"/>
          <w:szCs w:val="21"/>
        </w:rPr>
      </w:pPr>
      <w:r>
        <w:rPr>
          <w:rFonts w:hint="eastAsia" w:ascii="宋体" w:cs="宋体"/>
          <w:szCs w:val="21"/>
        </w:rPr>
        <w:t>以“建中心、强支撑、抓试点、重科技、广宣传”为工作重点，指导湖北省各级自然资源管理部门从防治机构、技术支撑、地质</w:t>
      </w:r>
      <w:r>
        <w:rPr>
          <w:rFonts w:ascii="宋体" w:cs="宋体"/>
          <w:szCs w:val="21"/>
        </w:rPr>
        <w:t>灾害</w:t>
      </w:r>
      <w:r>
        <w:rPr>
          <w:rFonts w:hint="eastAsia" w:ascii="宋体" w:cs="宋体"/>
          <w:szCs w:val="21"/>
        </w:rPr>
        <w:t>防治“五化”试点、宣传及演练、预案及制度编制、科研及标准制定等方面开展地质灾害综合防治能力建设工作，全面提升湖北省地质灾害防治能力水平。</w:t>
      </w:r>
    </w:p>
    <w:p>
      <w:pPr>
        <w:pStyle w:val="3"/>
      </w:pPr>
      <w:bookmarkStart w:id="7" w:name="_Toc24540502"/>
      <w:r>
        <w:t xml:space="preserve">4.2  </w:t>
      </w:r>
      <w:r>
        <w:rPr>
          <w:rFonts w:hint="eastAsia"/>
        </w:rPr>
        <w:t>任务</w:t>
      </w:r>
      <w:bookmarkEnd w:id="7"/>
    </w:p>
    <w:p>
      <w:pPr>
        <w:spacing w:line="360" w:lineRule="auto"/>
        <w:jc w:val="left"/>
        <w:rPr>
          <w:rFonts w:ascii="宋体"/>
          <w:szCs w:val="21"/>
        </w:rPr>
      </w:pPr>
      <w:r>
        <w:rPr>
          <w:rFonts w:ascii="黑体" w:eastAsia="黑体"/>
          <w:szCs w:val="21"/>
        </w:rPr>
        <w:t>4.2.1</w:t>
      </w:r>
      <w:r>
        <w:rPr>
          <w:rFonts w:hint="eastAsia" w:ascii="黑体" w:eastAsia="黑体"/>
          <w:szCs w:val="21"/>
        </w:rPr>
        <w:t xml:space="preserve">  </w:t>
      </w:r>
      <w:r>
        <w:rPr>
          <w:rFonts w:hint="eastAsia" w:ascii="宋体"/>
          <w:szCs w:val="21"/>
        </w:rPr>
        <w:t>防治机构建设。以各级自然资源管理部门为主体，开展省、市、县三级地质灾害防治机构建设，配备相应</w:t>
      </w:r>
      <w:r>
        <w:rPr>
          <w:rFonts w:ascii="宋体"/>
          <w:szCs w:val="21"/>
        </w:rPr>
        <w:t>的装备设施</w:t>
      </w:r>
      <w:r>
        <w:rPr>
          <w:rFonts w:hint="eastAsia" w:ascii="宋体"/>
          <w:szCs w:val="21"/>
        </w:rPr>
        <w:t>，强化地质</w:t>
      </w:r>
      <w:r>
        <w:rPr>
          <w:rFonts w:ascii="宋体"/>
          <w:szCs w:val="21"/>
        </w:rPr>
        <w:t>灾害防治</w:t>
      </w:r>
      <w:r>
        <w:rPr>
          <w:rFonts w:hint="eastAsia" w:ascii="宋体"/>
          <w:szCs w:val="21"/>
        </w:rPr>
        <w:t>“四位一体”网格化管理体系，统筹各级地质灾害防治建设工作。</w:t>
      </w:r>
    </w:p>
    <w:p>
      <w:pPr>
        <w:spacing w:line="360" w:lineRule="auto"/>
        <w:jc w:val="left"/>
        <w:rPr>
          <w:rFonts w:ascii="宋体"/>
          <w:szCs w:val="21"/>
        </w:rPr>
      </w:pPr>
      <w:r>
        <w:rPr>
          <w:rFonts w:ascii="黑体" w:eastAsia="黑体"/>
          <w:szCs w:val="21"/>
        </w:rPr>
        <w:t xml:space="preserve">4.2.2  </w:t>
      </w:r>
      <w:r>
        <w:rPr>
          <w:rFonts w:hint="eastAsia" w:ascii="宋体" w:cs="宋体"/>
          <w:szCs w:val="21"/>
        </w:rPr>
        <w:t>技术支撑</w:t>
      </w:r>
      <w:r>
        <w:rPr>
          <w:rFonts w:hint="eastAsia" w:ascii="宋体"/>
          <w:szCs w:val="21"/>
        </w:rPr>
        <w:t>建设。以各级</w:t>
      </w:r>
      <w:r>
        <w:rPr>
          <w:rFonts w:ascii="宋体"/>
          <w:szCs w:val="21"/>
        </w:rPr>
        <w:t>从</w:t>
      </w:r>
      <w:r>
        <w:rPr>
          <w:rFonts w:hint="eastAsia" w:ascii="宋体"/>
          <w:szCs w:val="21"/>
        </w:rPr>
        <w:t>事地质灾害防治的事业单位和</w:t>
      </w:r>
      <w:r>
        <w:rPr>
          <w:rFonts w:ascii="宋体"/>
          <w:szCs w:val="21"/>
        </w:rPr>
        <w:t>地质环境监测</w:t>
      </w:r>
      <w:r>
        <w:rPr>
          <w:rFonts w:hint="eastAsia" w:ascii="宋体"/>
          <w:szCs w:val="21"/>
        </w:rPr>
        <w:t>保护站为</w:t>
      </w:r>
      <w:r>
        <w:rPr>
          <w:rFonts w:ascii="宋体"/>
          <w:szCs w:val="21"/>
        </w:rPr>
        <w:t>主</w:t>
      </w:r>
      <w:r>
        <w:rPr>
          <w:rFonts w:hint="eastAsia" w:ascii="宋体"/>
          <w:szCs w:val="21"/>
        </w:rPr>
        <w:t>体</w:t>
      </w:r>
      <w:r>
        <w:rPr>
          <w:rFonts w:ascii="宋体"/>
          <w:szCs w:val="21"/>
        </w:rPr>
        <w:t>，</w:t>
      </w:r>
      <w:r>
        <w:rPr>
          <w:rFonts w:hint="eastAsia" w:ascii="宋体"/>
          <w:szCs w:val="21"/>
        </w:rPr>
        <w:t>引导</w:t>
      </w:r>
      <w:r>
        <w:rPr>
          <w:rFonts w:ascii="宋体"/>
          <w:szCs w:val="21"/>
        </w:rPr>
        <w:t>社会力量</w:t>
      </w:r>
      <w:r>
        <w:rPr>
          <w:rFonts w:hint="eastAsia" w:ascii="宋体"/>
          <w:szCs w:val="21"/>
        </w:rPr>
        <w:t>参与防治</w:t>
      </w:r>
      <w:r>
        <w:rPr>
          <w:rFonts w:ascii="宋体"/>
          <w:szCs w:val="21"/>
        </w:rPr>
        <w:t>工作</w:t>
      </w:r>
      <w:r>
        <w:rPr>
          <w:rFonts w:hint="eastAsia" w:ascii="宋体"/>
          <w:szCs w:val="21"/>
        </w:rPr>
        <w:t>，</w:t>
      </w:r>
      <w:r>
        <w:rPr>
          <w:rFonts w:ascii="宋体"/>
          <w:szCs w:val="21"/>
        </w:rPr>
        <w:t>建立防治专家库</w:t>
      </w:r>
      <w:r>
        <w:rPr>
          <w:rFonts w:hint="eastAsia" w:ascii="宋体"/>
          <w:szCs w:val="21"/>
        </w:rPr>
        <w:t>指导</w:t>
      </w:r>
      <w:r>
        <w:rPr>
          <w:rFonts w:ascii="宋体"/>
          <w:szCs w:val="21"/>
        </w:rPr>
        <w:t>防治工作，</w:t>
      </w:r>
      <w:r>
        <w:rPr>
          <w:rFonts w:hint="eastAsia" w:ascii="宋体"/>
          <w:szCs w:val="21"/>
        </w:rPr>
        <w:t>配备便捷</w:t>
      </w:r>
      <w:r>
        <w:rPr>
          <w:rFonts w:ascii="宋体"/>
          <w:szCs w:val="21"/>
        </w:rPr>
        <w:t>的</w:t>
      </w:r>
      <w:r>
        <w:rPr>
          <w:rFonts w:hint="eastAsia" w:ascii="宋体"/>
          <w:szCs w:val="21"/>
        </w:rPr>
        <w:t>自动化技术装备</w:t>
      </w:r>
      <w:r>
        <w:rPr>
          <w:rFonts w:ascii="宋体"/>
          <w:szCs w:val="21"/>
        </w:rPr>
        <w:t>，</w:t>
      </w:r>
      <w:r>
        <w:rPr>
          <w:rFonts w:hint="eastAsia" w:ascii="宋体"/>
          <w:szCs w:val="21"/>
        </w:rPr>
        <w:t>不断提升省、市、县、</w:t>
      </w:r>
      <w:r>
        <w:rPr>
          <w:rFonts w:ascii="宋体"/>
          <w:szCs w:val="21"/>
        </w:rPr>
        <w:t>灾害现场</w:t>
      </w:r>
      <w:r>
        <w:rPr>
          <w:rFonts w:hint="eastAsia" w:ascii="宋体"/>
          <w:szCs w:val="21"/>
        </w:rPr>
        <w:t>以及群测群防等防治</w:t>
      </w:r>
      <w:r>
        <w:rPr>
          <w:rFonts w:ascii="宋体"/>
          <w:szCs w:val="21"/>
        </w:rPr>
        <w:t>工作</w:t>
      </w:r>
      <w:r>
        <w:rPr>
          <w:rFonts w:hint="eastAsia" w:ascii="宋体"/>
          <w:szCs w:val="21"/>
        </w:rPr>
        <w:t>中技术支撑能力。</w:t>
      </w:r>
    </w:p>
    <w:p>
      <w:pPr>
        <w:spacing w:line="360" w:lineRule="auto"/>
        <w:jc w:val="left"/>
        <w:rPr>
          <w:rFonts w:ascii="宋体"/>
          <w:szCs w:val="21"/>
        </w:rPr>
      </w:pPr>
      <w:r>
        <w:rPr>
          <w:rFonts w:ascii="黑体" w:eastAsia="黑体"/>
          <w:szCs w:val="21"/>
        </w:rPr>
        <w:t xml:space="preserve">4.2.3 </w:t>
      </w:r>
      <w:r>
        <w:rPr>
          <w:rFonts w:hint="eastAsia" w:ascii="黑体" w:eastAsia="黑体"/>
          <w:szCs w:val="21"/>
        </w:rPr>
        <w:t xml:space="preserve"> </w:t>
      </w:r>
      <w:r>
        <w:rPr>
          <w:rFonts w:hint="eastAsia" w:ascii="宋体"/>
          <w:szCs w:val="21"/>
        </w:rPr>
        <w:t>防治“五化”试点建设。各市</w:t>
      </w:r>
      <w:r>
        <w:rPr>
          <w:rFonts w:ascii="宋体"/>
          <w:szCs w:val="21"/>
        </w:rPr>
        <w:t>级</w:t>
      </w:r>
      <w:r>
        <w:rPr>
          <w:rFonts w:hint="eastAsia" w:ascii="宋体"/>
          <w:szCs w:val="21"/>
        </w:rPr>
        <w:t>以“试点</w:t>
      </w:r>
      <w:r>
        <w:rPr>
          <w:rFonts w:ascii="宋体"/>
          <w:szCs w:val="21"/>
        </w:rPr>
        <w:t>县</w:t>
      </w:r>
      <w:r>
        <w:rPr>
          <w:rFonts w:hint="eastAsia" w:ascii="宋体"/>
          <w:szCs w:val="21"/>
        </w:rPr>
        <w:t>”为</w:t>
      </w:r>
      <w:r>
        <w:rPr>
          <w:rFonts w:ascii="宋体"/>
          <w:szCs w:val="21"/>
        </w:rPr>
        <w:t>单位</w:t>
      </w:r>
      <w:r>
        <w:rPr>
          <w:rFonts w:hint="eastAsia" w:ascii="宋体"/>
          <w:szCs w:val="21"/>
        </w:rPr>
        <w:t>开展防治“五化”的试点建设工作，提升试点区域的组织管理、监测手段、数据采集、预警预报和信息服务等方面地质灾害防治能力，为全省推进地质灾害防治“五化”工作提供示范。</w:t>
      </w:r>
    </w:p>
    <w:p>
      <w:pPr>
        <w:spacing w:line="360" w:lineRule="auto"/>
        <w:jc w:val="left"/>
        <w:rPr>
          <w:rFonts w:ascii="宋体"/>
          <w:szCs w:val="21"/>
        </w:rPr>
      </w:pPr>
      <w:r>
        <w:rPr>
          <w:rFonts w:ascii="黑体" w:eastAsia="黑体"/>
          <w:szCs w:val="21"/>
        </w:rPr>
        <w:t xml:space="preserve">4.2.4  </w:t>
      </w:r>
      <w:r>
        <w:rPr>
          <w:rFonts w:hint="eastAsia" w:ascii="宋体"/>
          <w:szCs w:val="21"/>
        </w:rPr>
        <w:t>宣传及演练。各级防治</w:t>
      </w:r>
      <w:r>
        <w:rPr>
          <w:rFonts w:ascii="宋体"/>
          <w:szCs w:val="21"/>
        </w:rPr>
        <w:t>机构</w:t>
      </w:r>
      <w:r>
        <w:rPr>
          <w:rFonts w:hint="eastAsia" w:ascii="宋体"/>
          <w:szCs w:val="21"/>
        </w:rPr>
        <w:t>通过组织</w:t>
      </w:r>
      <w:r>
        <w:rPr>
          <w:rFonts w:ascii="宋体"/>
          <w:szCs w:val="21"/>
        </w:rPr>
        <w:t>多形式的</w:t>
      </w:r>
      <w:r>
        <w:rPr>
          <w:rFonts w:hint="eastAsia" w:ascii="宋体"/>
          <w:szCs w:val="21"/>
        </w:rPr>
        <w:t>宣传培训，</w:t>
      </w:r>
      <w:r>
        <w:rPr>
          <w:rFonts w:ascii="宋体"/>
          <w:szCs w:val="21"/>
        </w:rPr>
        <w:t>定期开展</w:t>
      </w:r>
      <w:r>
        <w:rPr>
          <w:rFonts w:hint="eastAsia" w:ascii="宋体"/>
          <w:szCs w:val="21"/>
        </w:rPr>
        <w:t>技术支撑</w:t>
      </w:r>
      <w:r>
        <w:rPr>
          <w:rFonts w:ascii="宋体"/>
          <w:szCs w:val="21"/>
        </w:rPr>
        <w:t>机构和政府</w:t>
      </w:r>
      <w:r>
        <w:rPr>
          <w:rFonts w:hint="eastAsia" w:ascii="宋体"/>
          <w:szCs w:val="21"/>
        </w:rPr>
        <w:t>部门</w:t>
      </w:r>
      <w:r>
        <w:rPr>
          <w:rFonts w:ascii="宋体"/>
          <w:szCs w:val="21"/>
        </w:rPr>
        <w:t>参与的</w:t>
      </w:r>
      <w:r>
        <w:rPr>
          <w:rFonts w:hint="eastAsia" w:ascii="宋体"/>
          <w:szCs w:val="21"/>
        </w:rPr>
        <w:t>综合</w:t>
      </w:r>
      <w:r>
        <w:rPr>
          <w:rFonts w:ascii="宋体"/>
          <w:szCs w:val="21"/>
        </w:rPr>
        <w:t>性</w:t>
      </w:r>
      <w:r>
        <w:rPr>
          <w:rFonts w:hint="eastAsia" w:ascii="宋体"/>
          <w:szCs w:val="21"/>
        </w:rPr>
        <w:t>演练，提升区域内防治管理人员、专业技术人员、群测群防人员的组织协调、技术支撑和识灾防灾能力，加强民众的防灾自救意识。</w:t>
      </w:r>
    </w:p>
    <w:p>
      <w:pPr>
        <w:spacing w:line="360" w:lineRule="auto"/>
        <w:jc w:val="left"/>
        <w:rPr>
          <w:rFonts w:ascii="宋体"/>
          <w:szCs w:val="21"/>
        </w:rPr>
      </w:pPr>
      <w:r>
        <w:rPr>
          <w:rFonts w:ascii="黑体" w:eastAsia="黑体"/>
          <w:szCs w:val="21"/>
        </w:rPr>
        <w:t xml:space="preserve">4.2.5  </w:t>
      </w:r>
      <w:r>
        <w:rPr>
          <w:rFonts w:hint="eastAsia" w:ascii="宋体"/>
          <w:szCs w:val="21"/>
        </w:rPr>
        <w:t>预案及制度编制。根据开展地质灾害防治工作现状，各级</w:t>
      </w:r>
      <w:r>
        <w:rPr>
          <w:rFonts w:ascii="宋体"/>
          <w:szCs w:val="21"/>
        </w:rPr>
        <w:t>防治</w:t>
      </w:r>
      <w:r>
        <w:rPr>
          <w:rFonts w:hint="eastAsia" w:ascii="宋体"/>
          <w:szCs w:val="21"/>
        </w:rPr>
        <w:t>机构组织</w:t>
      </w:r>
      <w:r>
        <w:rPr>
          <w:rFonts w:ascii="宋体"/>
          <w:szCs w:val="21"/>
        </w:rPr>
        <w:t>技术支撑机构</w:t>
      </w:r>
      <w:r>
        <w:rPr>
          <w:rFonts w:hint="eastAsia" w:ascii="宋体"/>
          <w:szCs w:val="21"/>
        </w:rPr>
        <w:t>做好防治规划</w:t>
      </w:r>
      <w:r>
        <w:rPr>
          <w:rFonts w:ascii="宋体"/>
          <w:szCs w:val="21"/>
        </w:rPr>
        <w:t>、防灾</w:t>
      </w:r>
      <w:r>
        <w:rPr>
          <w:rFonts w:hint="eastAsia" w:ascii="宋体"/>
          <w:szCs w:val="21"/>
        </w:rPr>
        <w:t>预案的编制和</w:t>
      </w:r>
      <w:r>
        <w:rPr>
          <w:rFonts w:ascii="宋体"/>
          <w:szCs w:val="21"/>
        </w:rPr>
        <w:t>执行</w:t>
      </w:r>
      <w:r>
        <w:rPr>
          <w:rFonts w:hint="eastAsia" w:ascii="宋体"/>
          <w:szCs w:val="21"/>
        </w:rPr>
        <w:t>工作，同时结合本地区地质灾害以往</w:t>
      </w:r>
      <w:r>
        <w:rPr>
          <w:rFonts w:ascii="宋体"/>
          <w:szCs w:val="21"/>
        </w:rPr>
        <w:t>发生实际情况和</w:t>
      </w:r>
      <w:r>
        <w:rPr>
          <w:rFonts w:hint="eastAsia"/>
        </w:rPr>
        <w:t>趋势</w:t>
      </w:r>
      <w:r>
        <w:rPr>
          <w:rFonts w:ascii="宋体"/>
          <w:szCs w:val="21"/>
        </w:rPr>
        <w:t>预测</w:t>
      </w:r>
      <w:r>
        <w:rPr>
          <w:rFonts w:hint="eastAsia" w:ascii="宋体"/>
          <w:szCs w:val="21"/>
        </w:rPr>
        <w:t>分析，制定区域和</w:t>
      </w:r>
      <w:r>
        <w:rPr>
          <w:rFonts w:ascii="宋体"/>
          <w:szCs w:val="21"/>
        </w:rPr>
        <w:t>单点防治预案</w:t>
      </w:r>
      <w:r>
        <w:rPr>
          <w:rFonts w:hint="eastAsia" w:ascii="宋体"/>
          <w:szCs w:val="21"/>
        </w:rPr>
        <w:t>，并不断</w:t>
      </w:r>
      <w:r>
        <w:rPr>
          <w:rFonts w:ascii="宋体"/>
          <w:szCs w:val="21"/>
        </w:rPr>
        <w:t>完善</w:t>
      </w:r>
      <w:r>
        <w:rPr>
          <w:rFonts w:hint="eastAsia" w:ascii="宋体"/>
          <w:szCs w:val="21"/>
        </w:rPr>
        <w:t>、充实</w:t>
      </w:r>
      <w:r>
        <w:rPr>
          <w:rFonts w:ascii="宋体"/>
          <w:szCs w:val="21"/>
        </w:rPr>
        <w:t>现有的</w:t>
      </w:r>
      <w:r>
        <w:rPr>
          <w:rFonts w:hint="eastAsia" w:ascii="宋体"/>
          <w:szCs w:val="21"/>
        </w:rPr>
        <w:t>地质</w:t>
      </w:r>
      <w:r>
        <w:rPr>
          <w:rFonts w:ascii="宋体"/>
          <w:szCs w:val="21"/>
        </w:rPr>
        <w:t>灾害</w:t>
      </w:r>
      <w:r>
        <w:rPr>
          <w:rFonts w:hint="eastAsia" w:ascii="宋体"/>
          <w:szCs w:val="21"/>
        </w:rPr>
        <w:t>综合防治体系</w:t>
      </w:r>
      <w:r>
        <w:rPr>
          <w:rFonts w:ascii="宋体"/>
          <w:szCs w:val="21"/>
        </w:rPr>
        <w:t>专项制度</w:t>
      </w:r>
      <w:r>
        <w:rPr>
          <w:rFonts w:hint="eastAsia" w:ascii="宋体"/>
          <w:szCs w:val="21"/>
        </w:rPr>
        <w:t>。</w:t>
      </w:r>
    </w:p>
    <w:p>
      <w:pPr>
        <w:spacing w:line="360" w:lineRule="auto"/>
        <w:jc w:val="left"/>
        <w:rPr>
          <w:rFonts w:ascii="宋体"/>
          <w:szCs w:val="21"/>
        </w:rPr>
      </w:pPr>
      <w:r>
        <w:rPr>
          <w:rFonts w:ascii="黑体" w:eastAsia="黑体"/>
          <w:szCs w:val="21"/>
        </w:rPr>
        <w:t xml:space="preserve">4.2.6  </w:t>
      </w:r>
      <w:r>
        <w:rPr>
          <w:rFonts w:hint="eastAsia" w:ascii="宋体"/>
          <w:szCs w:val="21"/>
        </w:rPr>
        <w:t>科研及标准制定。根据地质灾害防治工作的需要，针对急、</w:t>
      </w:r>
      <w:r>
        <w:rPr>
          <w:rFonts w:ascii="宋体"/>
          <w:szCs w:val="21"/>
        </w:rPr>
        <w:t>难、险、重等</w:t>
      </w:r>
      <w:r>
        <w:rPr>
          <w:rFonts w:hint="eastAsia" w:ascii="宋体"/>
          <w:szCs w:val="21"/>
        </w:rPr>
        <w:t>专题内容</w:t>
      </w:r>
      <w:r>
        <w:rPr>
          <w:rFonts w:ascii="宋体"/>
          <w:szCs w:val="21"/>
        </w:rPr>
        <w:t>开展</w:t>
      </w:r>
      <w:r>
        <w:rPr>
          <w:rFonts w:hint="eastAsia" w:ascii="宋体"/>
          <w:szCs w:val="21"/>
        </w:rPr>
        <w:t>研究工作，制定具有</w:t>
      </w:r>
      <w:r>
        <w:rPr>
          <w:rFonts w:ascii="宋体"/>
          <w:szCs w:val="21"/>
        </w:rPr>
        <w:t>指导性和可操作性的</w:t>
      </w:r>
      <w:r>
        <w:rPr>
          <w:rFonts w:hint="eastAsia" w:ascii="宋体"/>
          <w:szCs w:val="21"/>
        </w:rPr>
        <w:t>专业技术标准和规范，支撑</w:t>
      </w:r>
      <w:r>
        <w:rPr>
          <w:rFonts w:ascii="宋体"/>
          <w:szCs w:val="21"/>
        </w:rPr>
        <w:t>地质灾害综合防治工作</w:t>
      </w:r>
      <w:r>
        <w:rPr>
          <w:rFonts w:hint="eastAsia" w:ascii="宋体"/>
          <w:szCs w:val="21"/>
        </w:rPr>
        <w:t>，并根据实际工作情况进行修订完善。</w:t>
      </w:r>
    </w:p>
    <w:p>
      <w:pPr>
        <w:pStyle w:val="3"/>
      </w:pPr>
      <w:bookmarkStart w:id="8" w:name="_Toc24540503"/>
      <w:r>
        <w:t xml:space="preserve">4.3  </w:t>
      </w:r>
      <w:r>
        <w:rPr>
          <w:rFonts w:hint="eastAsia"/>
        </w:rPr>
        <w:t>原则</w:t>
      </w:r>
      <w:bookmarkEnd w:id="8"/>
    </w:p>
    <w:p>
      <w:pPr>
        <w:spacing w:line="360" w:lineRule="auto"/>
        <w:jc w:val="left"/>
        <w:rPr>
          <w:rFonts w:hint="eastAsia" w:ascii="宋体" w:eastAsia="宋体"/>
          <w:szCs w:val="21"/>
          <w:lang w:eastAsia="zh-CN"/>
        </w:rPr>
      </w:pPr>
      <w:r>
        <w:rPr>
          <w:rFonts w:ascii="黑体" w:eastAsia="黑体"/>
          <w:szCs w:val="21"/>
        </w:rPr>
        <w:t xml:space="preserve">4.3.1  </w:t>
      </w:r>
      <w:r>
        <w:rPr>
          <w:rFonts w:hint="eastAsia" w:ascii="宋体"/>
          <w:szCs w:val="21"/>
        </w:rPr>
        <w:t>规范性。地质灾害防治能力建设对防治机构、技术支撑</w:t>
      </w:r>
      <w:r>
        <w:rPr>
          <w:rFonts w:ascii="宋体"/>
          <w:szCs w:val="21"/>
        </w:rPr>
        <w:t>能力</w:t>
      </w:r>
      <w:r>
        <w:rPr>
          <w:rFonts w:hint="eastAsia" w:ascii="宋体"/>
          <w:szCs w:val="21"/>
        </w:rPr>
        <w:t>、防治</w:t>
      </w:r>
      <w:r>
        <w:rPr>
          <w:rFonts w:ascii="宋体"/>
          <w:szCs w:val="21"/>
        </w:rPr>
        <w:t>“</w:t>
      </w:r>
      <w:r>
        <w:rPr>
          <w:rFonts w:hint="eastAsia" w:ascii="宋体"/>
          <w:szCs w:val="21"/>
        </w:rPr>
        <w:t>五化</w:t>
      </w:r>
      <w:r>
        <w:rPr>
          <w:rFonts w:ascii="宋体"/>
          <w:szCs w:val="21"/>
        </w:rPr>
        <w:t>”</w:t>
      </w:r>
      <w:r>
        <w:rPr>
          <w:rFonts w:hint="eastAsia" w:ascii="宋体"/>
          <w:szCs w:val="21"/>
        </w:rPr>
        <w:t>试点、宣传及培训、预案及制度和科研及标准的</w:t>
      </w:r>
      <w:r>
        <w:rPr>
          <w:rFonts w:ascii="宋体"/>
          <w:szCs w:val="21"/>
        </w:rPr>
        <w:t>工作内容和建设效果</w:t>
      </w:r>
      <w:r>
        <w:rPr>
          <w:rFonts w:hint="eastAsia" w:ascii="宋体"/>
          <w:szCs w:val="21"/>
        </w:rPr>
        <w:t>上均提出规范性要求。</w:t>
      </w:r>
    </w:p>
    <w:p>
      <w:pPr>
        <w:spacing w:line="360" w:lineRule="auto"/>
        <w:jc w:val="left"/>
        <w:rPr>
          <w:rFonts w:hint="eastAsia" w:ascii="宋体" w:eastAsia="宋体"/>
          <w:szCs w:val="21"/>
          <w:lang w:eastAsia="zh-CN"/>
        </w:rPr>
      </w:pPr>
      <w:r>
        <w:rPr>
          <w:rFonts w:ascii="黑体" w:eastAsia="黑体"/>
          <w:szCs w:val="21"/>
        </w:rPr>
        <w:t xml:space="preserve">4.3.2  </w:t>
      </w:r>
      <w:r>
        <w:rPr>
          <w:rFonts w:hint="eastAsia" w:ascii="宋体"/>
          <w:szCs w:val="21"/>
        </w:rPr>
        <w:t>安全性。地质灾害防治能力建设在基础设施建设上提出消防安全和消音降噪方面的要求；在装备选型上满足便携性、长待机、防水、防尘和耐高温等性能指标；在</w:t>
      </w:r>
      <w:r>
        <w:rPr>
          <w:rFonts w:ascii="宋体"/>
          <w:szCs w:val="21"/>
        </w:rPr>
        <w:t>数据传输上</w:t>
      </w:r>
      <w:r>
        <w:rPr>
          <w:rFonts w:hint="eastAsia" w:ascii="宋体"/>
          <w:szCs w:val="21"/>
        </w:rPr>
        <w:t>运用加密</w:t>
      </w:r>
      <w:r>
        <w:rPr>
          <w:rFonts w:ascii="宋体"/>
          <w:szCs w:val="21"/>
        </w:rPr>
        <w:t>算法</w:t>
      </w:r>
      <w:r>
        <w:rPr>
          <w:rFonts w:hint="eastAsia" w:ascii="宋体"/>
          <w:szCs w:val="21"/>
        </w:rPr>
        <w:t>等数据</w:t>
      </w:r>
      <w:r>
        <w:rPr>
          <w:rFonts w:ascii="宋体"/>
          <w:szCs w:val="21"/>
        </w:rPr>
        <w:t>安全</w:t>
      </w:r>
      <w:r>
        <w:rPr>
          <w:rFonts w:hint="eastAsia" w:ascii="宋体"/>
          <w:szCs w:val="21"/>
        </w:rPr>
        <w:t>保障措施</w:t>
      </w:r>
      <w:r>
        <w:rPr>
          <w:rFonts w:ascii="宋体"/>
          <w:szCs w:val="21"/>
        </w:rPr>
        <w:t>，</w:t>
      </w:r>
      <w:r>
        <w:rPr>
          <w:rFonts w:hint="eastAsia" w:ascii="宋体"/>
          <w:szCs w:val="21"/>
        </w:rPr>
        <w:t>要求在建设内容上的满足</w:t>
      </w:r>
      <w:r>
        <w:rPr>
          <w:rFonts w:ascii="宋体"/>
          <w:szCs w:val="21"/>
        </w:rPr>
        <w:t>必要的</w:t>
      </w:r>
      <w:r>
        <w:rPr>
          <w:rFonts w:hint="eastAsia" w:ascii="宋体"/>
          <w:szCs w:val="21"/>
        </w:rPr>
        <w:t>安全性。</w:t>
      </w:r>
    </w:p>
    <w:p>
      <w:pPr>
        <w:spacing w:line="360" w:lineRule="auto"/>
        <w:jc w:val="left"/>
        <w:rPr>
          <w:rFonts w:ascii="宋体"/>
          <w:szCs w:val="21"/>
        </w:rPr>
      </w:pPr>
      <w:r>
        <w:rPr>
          <w:rFonts w:ascii="黑体" w:eastAsia="黑体"/>
          <w:szCs w:val="21"/>
        </w:rPr>
        <w:t xml:space="preserve">4.3.3  </w:t>
      </w:r>
      <w:r>
        <w:rPr>
          <w:rFonts w:hint="eastAsia" w:ascii="宋体"/>
          <w:szCs w:val="21"/>
        </w:rPr>
        <w:t>先进性。地质灾害防治能力建设要立足当前地质灾害防治工作的实际需求和重难点，着眼未来发展趋势，采用国内成熟技术、装备和材料，适度保持</w:t>
      </w:r>
      <w:r>
        <w:rPr>
          <w:rFonts w:ascii="宋体"/>
          <w:szCs w:val="21"/>
        </w:rPr>
        <w:t>建设内容的</w:t>
      </w:r>
      <w:r>
        <w:rPr>
          <w:rFonts w:hint="eastAsia" w:ascii="宋体"/>
          <w:szCs w:val="21"/>
        </w:rPr>
        <w:t>先进</w:t>
      </w:r>
      <w:r>
        <w:rPr>
          <w:rFonts w:ascii="宋体"/>
          <w:szCs w:val="21"/>
        </w:rPr>
        <w:t>性</w:t>
      </w:r>
      <w:r>
        <w:rPr>
          <w:rFonts w:hint="eastAsia" w:ascii="宋体"/>
          <w:szCs w:val="21"/>
        </w:rPr>
        <w:t>。</w:t>
      </w:r>
    </w:p>
    <w:p>
      <w:pPr>
        <w:spacing w:line="360" w:lineRule="auto"/>
        <w:jc w:val="left"/>
        <w:rPr>
          <w:rFonts w:ascii="宋体"/>
          <w:szCs w:val="21"/>
        </w:rPr>
      </w:pPr>
      <w:r>
        <w:rPr>
          <w:rFonts w:ascii="黑体" w:eastAsia="黑体"/>
          <w:szCs w:val="21"/>
        </w:rPr>
        <w:t xml:space="preserve">4.3.4  </w:t>
      </w:r>
      <w:r>
        <w:rPr>
          <w:rFonts w:hint="eastAsia" w:ascii="宋体"/>
          <w:szCs w:val="21"/>
        </w:rPr>
        <w:t>共享性。地质灾害防治能力建设要求充分利用湖北省已建成</w:t>
      </w:r>
      <w:r>
        <w:rPr>
          <w:rFonts w:ascii="宋体"/>
          <w:szCs w:val="21"/>
        </w:rPr>
        <w:t>的</w:t>
      </w:r>
      <w:r>
        <w:rPr>
          <w:rFonts w:hint="eastAsia" w:ascii="宋体"/>
          <w:szCs w:val="21"/>
        </w:rPr>
        <w:t>自然资源主干网、互联网等网络环境和资源，优化升级现有的自然资源会议会商系统，全面对接</w:t>
      </w:r>
      <w:r>
        <w:rPr>
          <w:rFonts w:ascii="宋体"/>
          <w:szCs w:val="21"/>
        </w:rPr>
        <w:t>省级地质</w:t>
      </w:r>
      <w:r>
        <w:rPr>
          <w:rFonts w:hint="eastAsia" w:ascii="宋体"/>
          <w:szCs w:val="21"/>
        </w:rPr>
        <w:t>环境</w:t>
      </w:r>
      <w:r>
        <w:rPr>
          <w:rFonts w:ascii="宋体"/>
          <w:szCs w:val="21"/>
        </w:rPr>
        <w:t>信息化</w:t>
      </w:r>
      <w:r>
        <w:rPr>
          <w:rFonts w:hint="eastAsia" w:ascii="宋体"/>
          <w:szCs w:val="21"/>
        </w:rPr>
        <w:t>平台和</w:t>
      </w:r>
      <w:r>
        <w:rPr>
          <w:rFonts w:ascii="宋体"/>
          <w:szCs w:val="21"/>
        </w:rPr>
        <w:t>各级</w:t>
      </w:r>
      <w:r>
        <w:rPr>
          <w:rFonts w:hint="eastAsia" w:ascii="宋体"/>
          <w:szCs w:val="21"/>
        </w:rPr>
        <w:t>政务</w:t>
      </w:r>
      <w:r>
        <w:rPr>
          <w:rFonts w:ascii="宋体"/>
          <w:szCs w:val="21"/>
        </w:rPr>
        <w:t>系统，</w:t>
      </w:r>
      <w:r>
        <w:rPr>
          <w:rFonts w:hint="eastAsia" w:ascii="宋体"/>
          <w:szCs w:val="21"/>
        </w:rPr>
        <w:t>同时建立</w:t>
      </w:r>
      <w:r>
        <w:rPr>
          <w:rFonts w:ascii="宋体"/>
          <w:szCs w:val="21"/>
        </w:rPr>
        <w:t>与气象、水利、交通等行业的基础数据共享</w:t>
      </w:r>
      <w:r>
        <w:rPr>
          <w:rFonts w:hint="eastAsia" w:ascii="宋体"/>
          <w:szCs w:val="21"/>
        </w:rPr>
        <w:t>性</w:t>
      </w:r>
      <w:r>
        <w:rPr>
          <w:rFonts w:ascii="宋体"/>
          <w:szCs w:val="21"/>
        </w:rPr>
        <w:t>专线</w:t>
      </w:r>
      <w:r>
        <w:rPr>
          <w:rFonts w:hint="eastAsia" w:ascii="宋体"/>
          <w:szCs w:val="21"/>
        </w:rPr>
        <w:t>。</w:t>
      </w:r>
    </w:p>
    <w:p>
      <w:pPr>
        <w:spacing w:line="360" w:lineRule="auto"/>
        <w:jc w:val="left"/>
        <w:rPr>
          <w:rFonts w:ascii="宋体"/>
          <w:szCs w:val="21"/>
        </w:rPr>
      </w:pPr>
      <w:r>
        <w:rPr>
          <w:rFonts w:ascii="黑体" w:eastAsia="黑体"/>
          <w:szCs w:val="21"/>
        </w:rPr>
        <w:t xml:space="preserve">4.3.5  </w:t>
      </w:r>
      <w:r>
        <w:rPr>
          <w:rFonts w:hint="eastAsia" w:ascii="宋体"/>
          <w:szCs w:val="21"/>
        </w:rPr>
        <w:t>实用性。地质灾害防治能力建设以满足日常值守、会商、预警和地质环境信息查询、</w:t>
      </w:r>
      <w:r>
        <w:rPr>
          <w:rFonts w:ascii="宋体"/>
          <w:szCs w:val="21"/>
        </w:rPr>
        <w:t>统计、</w:t>
      </w:r>
      <w:r>
        <w:rPr>
          <w:rFonts w:hint="eastAsia" w:ascii="宋体"/>
          <w:szCs w:val="21"/>
        </w:rPr>
        <w:t>分析等工作为原则，进行合理化建设，做到设备物尽其用，逐步替换更新，保证建设过程实用性。</w:t>
      </w:r>
    </w:p>
    <w:p>
      <w:pPr>
        <w:pStyle w:val="2"/>
        <w:spacing w:before="312" w:beforeLines="100" w:after="312" w:afterLines="100"/>
      </w:pPr>
      <w:bookmarkStart w:id="9" w:name="_Toc24540504"/>
      <w:r>
        <w:t xml:space="preserve">5  </w:t>
      </w:r>
      <w:r>
        <w:rPr>
          <w:rFonts w:hint="eastAsia"/>
        </w:rPr>
        <w:t>防治机构建设要求</w:t>
      </w:r>
      <w:bookmarkEnd w:id="9"/>
    </w:p>
    <w:p>
      <w:pPr>
        <w:pStyle w:val="3"/>
      </w:pPr>
      <w:bookmarkStart w:id="10" w:name="_Toc24540505"/>
      <w:r>
        <w:t xml:space="preserve">5.1  </w:t>
      </w:r>
      <w:r>
        <w:rPr>
          <w:rFonts w:hint="eastAsia"/>
        </w:rPr>
        <w:t>基本要求</w:t>
      </w:r>
      <w:bookmarkEnd w:id="10"/>
    </w:p>
    <w:p>
      <w:pPr>
        <w:spacing w:line="360" w:lineRule="auto"/>
        <w:jc w:val="left"/>
        <w:rPr>
          <w:rFonts w:ascii="黑体" w:eastAsia="黑体"/>
          <w:bCs/>
          <w:szCs w:val="21"/>
        </w:rPr>
      </w:pPr>
      <w:r>
        <w:rPr>
          <w:rFonts w:hint="eastAsia" w:ascii="黑体" w:eastAsia="黑体"/>
          <w:bCs/>
          <w:szCs w:val="21"/>
        </w:rPr>
        <w:t>5.1.</w:t>
      </w:r>
      <w:r>
        <w:rPr>
          <w:rFonts w:ascii="黑体" w:eastAsia="黑体"/>
          <w:bCs/>
          <w:szCs w:val="21"/>
        </w:rPr>
        <w:t>1</w:t>
      </w:r>
      <w:r>
        <w:rPr>
          <w:rFonts w:hint="eastAsia" w:ascii="黑体" w:eastAsia="黑体"/>
          <w:bCs/>
          <w:szCs w:val="21"/>
        </w:rPr>
        <w:t xml:space="preserve">  </w:t>
      </w:r>
      <w:r>
        <w:rPr>
          <w:rFonts w:hint="eastAsia" w:ascii="宋体" w:cs="宋体"/>
          <w:szCs w:val="21"/>
        </w:rPr>
        <w:t>防治机构建设，分别以省、市、县三级自然资源管理部门为主体开展。主要负责地质灾害预防和治理工作，编制地质灾害防治规划和防护标准并指导实施，指导协调和监督地质灾害调查评价及隐患的普查、详查、排查，指导开展群测群防、专业监测、预报预警和地质灾害工程治理等工作。</w:t>
      </w:r>
    </w:p>
    <w:p>
      <w:pPr>
        <w:spacing w:line="360" w:lineRule="auto"/>
        <w:rPr>
          <w:rFonts w:ascii="宋体" w:cs="宋体"/>
          <w:szCs w:val="21"/>
        </w:rPr>
      </w:pPr>
      <w:r>
        <w:rPr>
          <w:rFonts w:hint="eastAsia" w:ascii="黑体" w:eastAsia="黑体"/>
          <w:bCs/>
          <w:szCs w:val="21"/>
        </w:rPr>
        <w:t>5.1.</w:t>
      </w:r>
      <w:r>
        <w:rPr>
          <w:rFonts w:ascii="黑体" w:eastAsia="黑体"/>
          <w:bCs/>
          <w:szCs w:val="21"/>
        </w:rPr>
        <w:t>2</w:t>
      </w:r>
      <w:r>
        <w:rPr>
          <w:rFonts w:hint="eastAsia" w:ascii="黑体" w:eastAsia="黑体"/>
          <w:bCs/>
          <w:szCs w:val="21"/>
        </w:rPr>
        <w:t xml:space="preserve">  </w:t>
      </w:r>
      <w:r>
        <w:rPr>
          <w:rFonts w:hint="eastAsia" w:ascii="宋体" w:cs="宋体"/>
          <w:szCs w:val="21"/>
        </w:rPr>
        <w:t>防治机构在专业人员数量</w:t>
      </w:r>
      <w:r>
        <w:rPr>
          <w:rFonts w:ascii="宋体" w:cs="宋体"/>
          <w:szCs w:val="21"/>
        </w:rPr>
        <w:t>上，</w:t>
      </w:r>
      <w:r>
        <w:rPr>
          <w:rFonts w:hint="eastAsia" w:ascii="宋体" w:cs="宋体"/>
          <w:szCs w:val="21"/>
        </w:rPr>
        <w:t>按《</w:t>
      </w:r>
      <w:r>
        <w:rPr>
          <w:rFonts w:hint="eastAsia" w:ascii="宋体"/>
          <w:szCs w:val="21"/>
        </w:rPr>
        <w:t>湖北省地质灾害综合防治体系建设方案</w:t>
      </w:r>
      <w:r>
        <w:rPr>
          <w:rFonts w:ascii="宋体" w:cs="宋体"/>
          <w:szCs w:val="21"/>
        </w:rPr>
        <w:t>》要求</w:t>
      </w:r>
      <w:r>
        <w:rPr>
          <w:rFonts w:hint="eastAsia" w:ascii="宋体" w:cs="宋体"/>
          <w:szCs w:val="21"/>
        </w:rPr>
        <w:t>进行</w:t>
      </w:r>
      <w:r>
        <w:rPr>
          <w:rFonts w:ascii="宋体" w:cs="宋体"/>
          <w:szCs w:val="21"/>
        </w:rPr>
        <w:t>配备</w:t>
      </w:r>
      <w:r>
        <w:rPr>
          <w:rFonts w:hint="eastAsia" w:ascii="宋体" w:cs="宋体"/>
          <w:szCs w:val="21"/>
        </w:rPr>
        <w:t>。</w:t>
      </w:r>
    </w:p>
    <w:p>
      <w:pPr>
        <w:spacing w:line="360" w:lineRule="auto"/>
        <w:rPr>
          <w:rFonts w:ascii="宋体" w:cs="宋体"/>
          <w:szCs w:val="21"/>
        </w:rPr>
      </w:pPr>
      <w:r>
        <w:rPr>
          <w:rFonts w:hint="eastAsia" w:ascii="黑体" w:eastAsia="黑体"/>
          <w:bCs/>
          <w:szCs w:val="21"/>
        </w:rPr>
        <w:t>5.1.</w:t>
      </w:r>
      <w:r>
        <w:rPr>
          <w:rFonts w:ascii="黑体" w:eastAsia="黑体"/>
          <w:bCs/>
          <w:szCs w:val="21"/>
        </w:rPr>
        <w:t>3</w:t>
      </w:r>
      <w:r>
        <w:rPr>
          <w:rFonts w:ascii="宋体" w:cs="宋体"/>
          <w:szCs w:val="21"/>
        </w:rPr>
        <w:t xml:space="preserve">  防治机构</w:t>
      </w:r>
      <w:r>
        <w:rPr>
          <w:rFonts w:hint="eastAsia" w:ascii="宋体" w:cs="宋体"/>
          <w:szCs w:val="21"/>
        </w:rPr>
        <w:t>装备</w:t>
      </w:r>
      <w:r>
        <w:rPr>
          <w:rFonts w:ascii="宋体" w:cs="宋体"/>
          <w:szCs w:val="21"/>
        </w:rPr>
        <w:t>设施</w:t>
      </w:r>
      <w:r>
        <w:rPr>
          <w:rFonts w:hint="eastAsia" w:ascii="宋体" w:cs="宋体"/>
          <w:szCs w:val="21"/>
        </w:rPr>
        <w:t>建设按省、市、县三个层级，以值班室、会商（指挥）室、灾害现场等为工作场景，开展装备设施建设工作</w:t>
      </w:r>
      <w:r>
        <w:rPr>
          <w:rFonts w:ascii="宋体" w:cs="宋体"/>
          <w:szCs w:val="21"/>
        </w:rPr>
        <w:t>（</w:t>
      </w:r>
      <w:r>
        <w:rPr>
          <w:rFonts w:hint="eastAsia" w:ascii="宋体" w:cs="宋体"/>
          <w:szCs w:val="21"/>
        </w:rPr>
        <w:t>防治机构装备</w:t>
      </w:r>
      <w:r>
        <w:rPr>
          <w:rFonts w:ascii="宋体" w:cs="宋体"/>
          <w:szCs w:val="21"/>
        </w:rPr>
        <w:t>设施</w:t>
      </w:r>
      <w:r>
        <w:rPr>
          <w:rFonts w:hint="eastAsia" w:ascii="宋体" w:cs="宋体"/>
          <w:szCs w:val="21"/>
        </w:rPr>
        <w:t>清单见附录表</w:t>
      </w:r>
      <w:r>
        <w:rPr>
          <w:rFonts w:ascii="Times New Roman" w:hAnsi="Times New Roman"/>
          <w:szCs w:val="21"/>
        </w:rPr>
        <w:t>A.1</w:t>
      </w:r>
      <w:r>
        <w:rPr>
          <w:rFonts w:ascii="宋体" w:cs="宋体"/>
          <w:szCs w:val="21"/>
        </w:rPr>
        <w:t>）</w:t>
      </w:r>
      <w:r>
        <w:rPr>
          <w:rFonts w:hint="eastAsia" w:ascii="宋体" w:cs="宋体"/>
          <w:szCs w:val="21"/>
        </w:rPr>
        <w:t>。</w:t>
      </w:r>
    </w:p>
    <w:p>
      <w:pPr>
        <w:pStyle w:val="3"/>
        <w:rPr>
          <w:rFonts w:cs="宋体"/>
        </w:rPr>
      </w:pPr>
      <w:bookmarkStart w:id="11" w:name="_Toc24540506"/>
      <w:r>
        <w:rPr>
          <w:rFonts w:hint="eastAsia"/>
          <w:bCs w:val="0"/>
        </w:rPr>
        <w:t>5.</w:t>
      </w:r>
      <w:r>
        <w:rPr>
          <w:bCs w:val="0"/>
        </w:rPr>
        <w:t>2</w:t>
      </w:r>
      <w:r>
        <w:rPr>
          <w:rFonts w:hint="eastAsia"/>
          <w:bCs w:val="0"/>
        </w:rPr>
        <w:t xml:space="preserve">  机构</w:t>
      </w:r>
      <w:r>
        <w:rPr>
          <w:bCs w:val="0"/>
        </w:rPr>
        <w:t>建设</w:t>
      </w:r>
      <w:bookmarkEnd w:id="11"/>
    </w:p>
    <w:p>
      <w:pPr>
        <w:spacing w:line="360" w:lineRule="auto"/>
        <w:rPr>
          <w:rFonts w:ascii="宋体" w:cs="宋体"/>
          <w:szCs w:val="21"/>
        </w:rPr>
      </w:pPr>
      <w:r>
        <w:rPr>
          <w:rFonts w:ascii="黑体" w:eastAsia="黑体"/>
          <w:szCs w:val="21"/>
        </w:rPr>
        <w:t>5.</w:t>
      </w:r>
      <w:r>
        <w:rPr>
          <w:rFonts w:hint="eastAsia" w:ascii="黑体" w:eastAsia="黑体"/>
          <w:szCs w:val="21"/>
        </w:rPr>
        <w:t>2</w:t>
      </w:r>
      <w:r>
        <w:rPr>
          <w:rFonts w:ascii="黑体" w:eastAsia="黑体"/>
          <w:szCs w:val="21"/>
        </w:rPr>
        <w:t>.</w:t>
      </w:r>
      <w:r>
        <w:rPr>
          <w:rFonts w:hint="eastAsia" w:ascii="黑体" w:eastAsia="黑体"/>
          <w:szCs w:val="21"/>
        </w:rPr>
        <w:t xml:space="preserve">1  </w:t>
      </w:r>
      <w:r>
        <w:rPr>
          <w:rFonts w:hint="eastAsia" w:ascii="宋体" w:cs="宋体"/>
          <w:szCs w:val="21"/>
        </w:rPr>
        <w:t>以省级自然资源管理部门为主体，开展</w:t>
      </w:r>
      <w:r>
        <w:rPr>
          <w:rFonts w:ascii="宋体" w:cs="宋体"/>
          <w:szCs w:val="21"/>
        </w:rPr>
        <w:t>省级防治机构建设工作</w:t>
      </w:r>
      <w:r>
        <w:rPr>
          <w:rFonts w:hint="eastAsia" w:ascii="宋体" w:cs="宋体"/>
          <w:szCs w:val="21"/>
        </w:rPr>
        <w:t>，负责编制全省地质灾害防治规划和指导地质灾害调查评价工作，指导协调市、县开展隐患普查、详查、专业监测、预报预警和地质灾害工程治理等工作。</w:t>
      </w:r>
    </w:p>
    <w:p>
      <w:pPr>
        <w:spacing w:line="360" w:lineRule="auto"/>
        <w:rPr>
          <w:rFonts w:ascii="宋体" w:cs="宋体"/>
          <w:szCs w:val="21"/>
        </w:rPr>
      </w:pPr>
      <w:r>
        <w:rPr>
          <w:rFonts w:ascii="黑体" w:eastAsia="黑体"/>
          <w:bCs/>
          <w:szCs w:val="21"/>
        </w:rPr>
        <w:t>5.</w:t>
      </w:r>
      <w:r>
        <w:rPr>
          <w:rFonts w:hint="eastAsia" w:ascii="黑体" w:eastAsia="黑体"/>
          <w:bCs/>
          <w:szCs w:val="21"/>
        </w:rPr>
        <w:t>2</w:t>
      </w:r>
      <w:r>
        <w:rPr>
          <w:rFonts w:ascii="黑体" w:eastAsia="黑体"/>
          <w:bCs/>
          <w:szCs w:val="21"/>
        </w:rPr>
        <w:t>.</w:t>
      </w:r>
      <w:r>
        <w:rPr>
          <w:rFonts w:hint="eastAsia" w:ascii="黑体" w:eastAsia="黑体"/>
          <w:bCs/>
          <w:szCs w:val="21"/>
        </w:rPr>
        <w:t xml:space="preserve">2  </w:t>
      </w:r>
      <w:r>
        <w:rPr>
          <w:rFonts w:hint="eastAsia" w:ascii="宋体" w:cs="宋体"/>
          <w:szCs w:val="21"/>
        </w:rPr>
        <w:t>以市级自然资源和规划局为主体，开展市级防治机构建设，负责编制市级地质灾害防治规划和指导地质灾害调查评价工作，指导协调县级开展隐患详查、核查、专业监测、预报预警和地质灾害工程治理等工作。</w:t>
      </w:r>
    </w:p>
    <w:p>
      <w:pPr>
        <w:spacing w:line="360" w:lineRule="auto"/>
        <w:rPr>
          <w:rFonts w:ascii="宋体" w:cs="宋体"/>
          <w:szCs w:val="21"/>
        </w:rPr>
      </w:pPr>
      <w:r>
        <w:rPr>
          <w:rFonts w:ascii="黑体" w:eastAsia="黑体"/>
          <w:bCs/>
          <w:szCs w:val="21"/>
        </w:rPr>
        <w:t>5.</w:t>
      </w:r>
      <w:r>
        <w:rPr>
          <w:rFonts w:hint="eastAsia" w:ascii="黑体" w:eastAsia="黑体"/>
          <w:bCs/>
          <w:szCs w:val="21"/>
        </w:rPr>
        <w:t>2</w:t>
      </w:r>
      <w:r>
        <w:rPr>
          <w:rFonts w:ascii="黑体" w:eastAsia="黑体"/>
          <w:bCs/>
          <w:szCs w:val="21"/>
        </w:rPr>
        <w:t>.</w:t>
      </w:r>
      <w:r>
        <w:rPr>
          <w:rFonts w:hint="eastAsia" w:ascii="黑体" w:eastAsia="黑体"/>
          <w:bCs/>
          <w:szCs w:val="21"/>
        </w:rPr>
        <w:t xml:space="preserve">3  </w:t>
      </w:r>
      <w:r>
        <w:rPr>
          <w:rFonts w:hint="eastAsia" w:ascii="宋体" w:cs="宋体"/>
          <w:szCs w:val="21"/>
        </w:rPr>
        <w:t>以县级自然资源和规划局为主体，</w:t>
      </w:r>
      <w:r>
        <w:rPr>
          <w:rFonts w:ascii="宋体" w:cs="宋体"/>
          <w:szCs w:val="21"/>
        </w:rPr>
        <w:t>开展</w:t>
      </w:r>
      <w:r>
        <w:rPr>
          <w:rFonts w:hint="eastAsia" w:ascii="宋体" w:cs="宋体"/>
          <w:szCs w:val="21"/>
        </w:rPr>
        <w:t>县级防治机构建设，负责指导协调和检查“四位一体”网格化管理和群测群防等工作。</w:t>
      </w:r>
    </w:p>
    <w:p>
      <w:pPr>
        <w:spacing w:line="360" w:lineRule="auto"/>
        <w:rPr>
          <w:rFonts w:ascii="宋体" w:cs="宋体"/>
          <w:szCs w:val="21"/>
        </w:rPr>
      </w:pPr>
      <w:r>
        <w:rPr>
          <w:rFonts w:ascii="黑体" w:eastAsia="黑体"/>
          <w:bCs/>
          <w:szCs w:val="21"/>
        </w:rPr>
        <w:t>5.</w:t>
      </w:r>
      <w:r>
        <w:rPr>
          <w:rFonts w:hint="eastAsia" w:ascii="黑体" w:eastAsia="黑体"/>
          <w:bCs/>
          <w:szCs w:val="21"/>
        </w:rPr>
        <w:t>2</w:t>
      </w:r>
      <w:r>
        <w:rPr>
          <w:rFonts w:ascii="黑体" w:eastAsia="黑体"/>
          <w:bCs/>
          <w:szCs w:val="21"/>
        </w:rPr>
        <w:t>.</w:t>
      </w:r>
      <w:r>
        <w:rPr>
          <w:rFonts w:hint="eastAsia" w:ascii="黑体" w:eastAsia="黑体"/>
          <w:bCs/>
          <w:szCs w:val="21"/>
        </w:rPr>
        <w:t xml:space="preserve">4  </w:t>
      </w:r>
      <w:r>
        <w:rPr>
          <w:rFonts w:hint="eastAsia" w:ascii="宋体" w:cs="宋体"/>
          <w:szCs w:val="21"/>
        </w:rPr>
        <w:t>以“四位一体”网格化管理工作中“三员”（责任人、管理员、专管员）为基础，按照《地质灾害防治网格化管理工作方案》开展</w:t>
      </w:r>
      <w:r>
        <w:rPr>
          <w:rFonts w:ascii="宋体" w:cs="宋体"/>
          <w:szCs w:val="21"/>
        </w:rPr>
        <w:t>建设</w:t>
      </w:r>
      <w:r>
        <w:rPr>
          <w:rFonts w:hint="eastAsia" w:ascii="宋体" w:cs="宋体"/>
          <w:szCs w:val="21"/>
        </w:rPr>
        <w:t xml:space="preserve">工作。 </w:t>
      </w:r>
    </w:p>
    <w:p>
      <w:pPr>
        <w:pStyle w:val="3"/>
      </w:pPr>
      <w:bookmarkStart w:id="12" w:name="_Toc24540507"/>
      <w:r>
        <w:rPr>
          <w:rFonts w:hint="eastAsia"/>
        </w:rPr>
        <w:t>5.3  装备设施建设</w:t>
      </w:r>
      <w:bookmarkEnd w:id="12"/>
    </w:p>
    <w:p>
      <w:pPr>
        <w:spacing w:line="360" w:lineRule="auto"/>
        <w:rPr>
          <w:rFonts w:ascii="宋体" w:cs="宋体"/>
          <w:szCs w:val="21"/>
        </w:rPr>
      </w:pPr>
      <w:r>
        <w:rPr>
          <w:rFonts w:ascii="黑体" w:eastAsia="黑体"/>
          <w:bCs/>
          <w:szCs w:val="21"/>
        </w:rPr>
        <w:t>5.</w:t>
      </w:r>
      <w:r>
        <w:rPr>
          <w:rFonts w:hint="eastAsia" w:ascii="黑体" w:eastAsia="黑体"/>
          <w:bCs/>
          <w:szCs w:val="21"/>
        </w:rPr>
        <w:t>3</w:t>
      </w:r>
      <w:r>
        <w:rPr>
          <w:rFonts w:ascii="黑体" w:eastAsia="黑体"/>
          <w:bCs/>
          <w:szCs w:val="21"/>
        </w:rPr>
        <w:t>.1</w:t>
      </w:r>
      <w:r>
        <w:rPr>
          <w:rFonts w:hint="eastAsia" w:ascii="黑体" w:eastAsia="黑体"/>
          <w:bCs/>
          <w:szCs w:val="21"/>
        </w:rPr>
        <w:t xml:space="preserve">  </w:t>
      </w:r>
      <w:r>
        <w:rPr>
          <w:rFonts w:hint="eastAsia" w:ascii="宋体" w:cs="宋体"/>
          <w:szCs w:val="21"/>
        </w:rPr>
        <w:t>省级防治机构的基础设施建设，要求网络方面实现部、省、市、县、乡、灾害现场六级互联互通；数据</w:t>
      </w:r>
      <w:r>
        <w:rPr>
          <w:rFonts w:ascii="宋体" w:cs="宋体"/>
          <w:szCs w:val="21"/>
        </w:rPr>
        <w:t>共享</w:t>
      </w:r>
      <w:r>
        <w:rPr>
          <w:rFonts w:hint="eastAsia" w:ascii="宋体" w:cs="宋体"/>
          <w:szCs w:val="21"/>
        </w:rPr>
        <w:t>方面与省级应急、气象、水利、交通、旅游、地震、民政、住建等行业建立基础数据专线；系统</w:t>
      </w:r>
      <w:r>
        <w:rPr>
          <w:rFonts w:ascii="宋体" w:cs="宋体"/>
          <w:szCs w:val="21"/>
        </w:rPr>
        <w:t>建设</w:t>
      </w:r>
      <w:r>
        <w:rPr>
          <w:rFonts w:hint="eastAsia" w:ascii="宋体" w:cs="宋体"/>
          <w:szCs w:val="21"/>
        </w:rPr>
        <w:t>方面完成“湖北省地质环境综合信息平台”和</w:t>
      </w:r>
      <w:r>
        <w:rPr>
          <w:rFonts w:ascii="宋体" w:cs="宋体"/>
          <w:szCs w:val="21"/>
        </w:rPr>
        <w:t>“</w:t>
      </w:r>
      <w:r>
        <w:rPr>
          <w:rFonts w:hint="eastAsia" w:ascii="宋体" w:cs="宋体"/>
          <w:szCs w:val="21"/>
        </w:rPr>
        <w:t>湖北省自然</w:t>
      </w:r>
      <w:r>
        <w:rPr>
          <w:rFonts w:ascii="宋体" w:cs="宋体"/>
          <w:szCs w:val="21"/>
        </w:rPr>
        <w:t>资源政务</w:t>
      </w:r>
      <w:r>
        <w:rPr>
          <w:rFonts w:hint="eastAsia" w:ascii="宋体" w:cs="宋体"/>
          <w:szCs w:val="21"/>
        </w:rPr>
        <w:t>云</w:t>
      </w:r>
      <w:r>
        <w:rPr>
          <w:rFonts w:ascii="宋体" w:cs="宋体"/>
          <w:szCs w:val="21"/>
        </w:rPr>
        <w:t>平台”</w:t>
      </w:r>
      <w:r>
        <w:rPr>
          <w:rFonts w:hint="eastAsia" w:ascii="宋体" w:cs="宋体"/>
          <w:szCs w:val="21"/>
        </w:rPr>
        <w:t>等省级信息化系统接入</w:t>
      </w:r>
      <w:r>
        <w:rPr>
          <w:rFonts w:ascii="宋体" w:cs="宋体"/>
          <w:szCs w:val="21"/>
        </w:rPr>
        <w:t>工作</w:t>
      </w:r>
      <w:r>
        <w:rPr>
          <w:rFonts w:hint="eastAsia" w:ascii="宋体" w:cs="宋体"/>
          <w:szCs w:val="21"/>
        </w:rPr>
        <w:t>。</w:t>
      </w:r>
    </w:p>
    <w:p>
      <w:pPr>
        <w:spacing w:line="360" w:lineRule="auto"/>
        <w:rPr>
          <w:rFonts w:ascii="宋体" w:cs="宋体"/>
          <w:szCs w:val="21"/>
        </w:rPr>
      </w:pPr>
      <w:r>
        <w:rPr>
          <w:rFonts w:ascii="黑体" w:eastAsia="黑体"/>
          <w:bCs/>
          <w:szCs w:val="21"/>
        </w:rPr>
        <w:t>5.</w:t>
      </w:r>
      <w:r>
        <w:rPr>
          <w:rFonts w:hint="eastAsia" w:ascii="黑体" w:eastAsia="黑体"/>
          <w:bCs/>
          <w:szCs w:val="21"/>
        </w:rPr>
        <w:t>3</w:t>
      </w:r>
      <w:r>
        <w:rPr>
          <w:rFonts w:ascii="黑体" w:eastAsia="黑体"/>
          <w:bCs/>
          <w:szCs w:val="21"/>
        </w:rPr>
        <w:t xml:space="preserve">.2  </w:t>
      </w:r>
      <w:r>
        <w:rPr>
          <w:rFonts w:hint="eastAsia" w:ascii="宋体" w:cs="宋体"/>
          <w:szCs w:val="21"/>
        </w:rPr>
        <w:t>市级防治机构的基础设施建设</w:t>
      </w:r>
      <w:r>
        <w:rPr>
          <w:rFonts w:ascii="宋体" w:cs="宋体"/>
          <w:szCs w:val="21"/>
        </w:rPr>
        <w:t>，</w:t>
      </w:r>
      <w:r>
        <w:rPr>
          <w:rFonts w:hint="eastAsia" w:ascii="宋体" w:cs="宋体"/>
          <w:szCs w:val="21"/>
        </w:rPr>
        <w:t>要求网络方面实现省、市、县、乡和灾害现场五级互联互通；数据</w:t>
      </w:r>
      <w:r>
        <w:rPr>
          <w:rFonts w:ascii="宋体" w:cs="宋体"/>
          <w:szCs w:val="21"/>
        </w:rPr>
        <w:t>共享</w:t>
      </w:r>
      <w:r>
        <w:rPr>
          <w:rFonts w:hint="eastAsia" w:ascii="宋体" w:cs="宋体"/>
          <w:szCs w:val="21"/>
        </w:rPr>
        <w:t>方面与市级应急、气象、水利、交通等行业建立基础数据专线；系统</w:t>
      </w:r>
      <w:r>
        <w:rPr>
          <w:rFonts w:ascii="宋体" w:cs="宋体"/>
          <w:szCs w:val="21"/>
        </w:rPr>
        <w:t>建设</w:t>
      </w:r>
      <w:r>
        <w:rPr>
          <w:rFonts w:hint="eastAsia" w:ascii="宋体" w:cs="宋体"/>
          <w:szCs w:val="21"/>
        </w:rPr>
        <w:t>方面完成“湖北省地质环境综合信息平台”和</w:t>
      </w:r>
      <w:r>
        <w:rPr>
          <w:rFonts w:ascii="宋体" w:cs="宋体"/>
          <w:szCs w:val="21"/>
        </w:rPr>
        <w:t>市级政务</w:t>
      </w:r>
      <w:r>
        <w:rPr>
          <w:rFonts w:hint="eastAsia" w:ascii="宋体" w:cs="宋体"/>
          <w:szCs w:val="21"/>
        </w:rPr>
        <w:t>系统等省、</w:t>
      </w:r>
      <w:r>
        <w:rPr>
          <w:rFonts w:ascii="宋体" w:cs="宋体"/>
          <w:szCs w:val="21"/>
        </w:rPr>
        <w:t>市</w:t>
      </w:r>
      <w:r>
        <w:rPr>
          <w:rFonts w:hint="eastAsia" w:ascii="宋体" w:cs="宋体"/>
          <w:szCs w:val="21"/>
        </w:rPr>
        <w:t>级信息化系统接入</w:t>
      </w:r>
      <w:r>
        <w:rPr>
          <w:rFonts w:ascii="宋体" w:cs="宋体"/>
          <w:szCs w:val="21"/>
        </w:rPr>
        <w:t>工作</w:t>
      </w:r>
      <w:r>
        <w:rPr>
          <w:rFonts w:hint="eastAsia" w:ascii="宋体" w:cs="宋体"/>
          <w:szCs w:val="21"/>
        </w:rPr>
        <w:t>。</w:t>
      </w:r>
    </w:p>
    <w:p>
      <w:pPr>
        <w:spacing w:line="360" w:lineRule="auto"/>
        <w:rPr>
          <w:rFonts w:ascii="宋体" w:cs="宋体"/>
          <w:szCs w:val="21"/>
        </w:rPr>
      </w:pPr>
      <w:r>
        <w:rPr>
          <w:rFonts w:ascii="黑体" w:eastAsia="黑体"/>
          <w:bCs/>
          <w:szCs w:val="21"/>
        </w:rPr>
        <w:t>5.</w:t>
      </w:r>
      <w:r>
        <w:rPr>
          <w:rFonts w:hint="eastAsia" w:ascii="黑体" w:eastAsia="黑体"/>
          <w:bCs/>
          <w:szCs w:val="21"/>
        </w:rPr>
        <w:t>3</w:t>
      </w:r>
      <w:r>
        <w:rPr>
          <w:rFonts w:ascii="黑体" w:eastAsia="黑体"/>
          <w:bCs/>
          <w:szCs w:val="21"/>
        </w:rPr>
        <w:t xml:space="preserve">.3  </w:t>
      </w:r>
      <w:r>
        <w:rPr>
          <w:rFonts w:hint="eastAsia" w:ascii="宋体" w:cs="宋体"/>
          <w:szCs w:val="21"/>
        </w:rPr>
        <w:t>县级防治机构的基础设施建设，要求网络方面实现省、市、县、乡和灾害现场五级互联互通，在系统</w:t>
      </w:r>
      <w:r>
        <w:rPr>
          <w:rFonts w:ascii="宋体" w:cs="宋体"/>
          <w:szCs w:val="21"/>
        </w:rPr>
        <w:t>对接上</w:t>
      </w:r>
      <w:r>
        <w:rPr>
          <w:rFonts w:hint="eastAsia" w:ascii="宋体" w:cs="宋体"/>
          <w:szCs w:val="21"/>
        </w:rPr>
        <w:t>要求可访问使用“湖北省地质环境综合信息平台”开展地质</w:t>
      </w:r>
      <w:r>
        <w:rPr>
          <w:rFonts w:ascii="宋体" w:cs="宋体"/>
          <w:szCs w:val="21"/>
        </w:rPr>
        <w:t>灾害</w:t>
      </w:r>
      <w:r>
        <w:rPr>
          <w:rFonts w:hint="eastAsia" w:ascii="宋体" w:cs="宋体"/>
          <w:szCs w:val="21"/>
        </w:rPr>
        <w:t>防治</w:t>
      </w:r>
      <w:r>
        <w:rPr>
          <w:rFonts w:ascii="宋体" w:cs="宋体"/>
          <w:szCs w:val="21"/>
        </w:rPr>
        <w:t>工作</w:t>
      </w:r>
      <w:r>
        <w:rPr>
          <w:rFonts w:hint="eastAsia" w:ascii="宋体" w:cs="宋体"/>
          <w:szCs w:val="21"/>
        </w:rPr>
        <w:t>。</w:t>
      </w:r>
    </w:p>
    <w:p>
      <w:pPr>
        <w:spacing w:line="360" w:lineRule="auto"/>
        <w:rPr>
          <w:rFonts w:ascii="宋体" w:cs="宋体"/>
          <w:szCs w:val="21"/>
        </w:rPr>
      </w:pPr>
      <w:r>
        <w:rPr>
          <w:rFonts w:ascii="黑体" w:eastAsia="黑体"/>
          <w:bCs/>
          <w:szCs w:val="21"/>
        </w:rPr>
        <w:t>5.3.4</w:t>
      </w:r>
      <w:r>
        <w:rPr>
          <w:rFonts w:hint="eastAsia" w:ascii="黑体" w:eastAsia="黑体"/>
          <w:bCs/>
          <w:szCs w:val="21"/>
        </w:rPr>
        <w:t xml:space="preserve">  </w:t>
      </w:r>
      <w:r>
        <w:rPr>
          <w:rFonts w:hint="eastAsia" w:ascii="宋体" w:cs="宋体"/>
          <w:szCs w:val="21"/>
        </w:rPr>
        <w:t>省级防治机构的装备建设，通过值班室配备传真打印、</w:t>
      </w:r>
      <w:r>
        <w:rPr>
          <w:rFonts w:ascii="宋体" w:cs="宋体"/>
          <w:szCs w:val="21"/>
        </w:rPr>
        <w:t>电话</w:t>
      </w:r>
      <w:r>
        <w:rPr>
          <w:rFonts w:hint="eastAsia" w:ascii="宋体" w:cs="宋体"/>
          <w:szCs w:val="21"/>
        </w:rPr>
        <w:t>和电脑等设备，满足开展灾险情速报要求；会商（指挥）室建有</w:t>
      </w:r>
      <w:r>
        <w:rPr>
          <w:rFonts w:ascii="Times New Roman" w:hAnsi="Times New Roman"/>
          <w:szCs w:val="21"/>
        </w:rPr>
        <w:t>LED</w:t>
      </w:r>
      <w:r>
        <w:rPr>
          <w:rFonts w:hint="eastAsia" w:ascii="宋体" w:cs="宋体"/>
          <w:szCs w:val="21"/>
        </w:rPr>
        <w:t>大屏显示系统、矩阵系统、视频会议系统和卫星地面站，具备</w:t>
      </w:r>
      <w:r>
        <w:rPr>
          <w:rFonts w:ascii="宋体" w:cs="宋体"/>
          <w:szCs w:val="21"/>
        </w:rPr>
        <w:t>与</w:t>
      </w:r>
      <w:r>
        <w:rPr>
          <w:rFonts w:hint="eastAsia" w:ascii="宋体" w:cs="宋体"/>
          <w:szCs w:val="21"/>
        </w:rPr>
        <w:t>部</w:t>
      </w:r>
      <w:r>
        <w:rPr>
          <w:rFonts w:ascii="宋体" w:cs="宋体"/>
          <w:szCs w:val="21"/>
        </w:rPr>
        <w:t>、</w:t>
      </w:r>
      <w:r>
        <w:rPr>
          <w:rFonts w:hint="eastAsia" w:ascii="宋体" w:cs="宋体"/>
          <w:szCs w:val="21"/>
        </w:rPr>
        <w:t>市、县、</w:t>
      </w:r>
      <w:r>
        <w:rPr>
          <w:rFonts w:ascii="宋体" w:cs="宋体"/>
          <w:szCs w:val="21"/>
        </w:rPr>
        <w:t>乡</w:t>
      </w:r>
      <w:r>
        <w:rPr>
          <w:rFonts w:hint="eastAsia" w:ascii="宋体" w:cs="宋体"/>
          <w:szCs w:val="21"/>
        </w:rPr>
        <w:t>和灾害现场进行远程会商的能力，以满足省级开展地质灾害防治工作。</w:t>
      </w:r>
    </w:p>
    <w:p>
      <w:pPr>
        <w:spacing w:line="360" w:lineRule="auto"/>
        <w:rPr>
          <w:rFonts w:ascii="宋体" w:cs="宋体"/>
          <w:szCs w:val="21"/>
        </w:rPr>
      </w:pPr>
      <w:r>
        <w:rPr>
          <w:rFonts w:hint="eastAsia" w:ascii="黑体" w:eastAsia="黑体"/>
          <w:bCs/>
          <w:szCs w:val="21"/>
        </w:rPr>
        <w:t xml:space="preserve">5.3.5  </w:t>
      </w:r>
      <w:r>
        <w:rPr>
          <w:rFonts w:hint="eastAsia" w:ascii="宋体" w:cs="宋体"/>
          <w:szCs w:val="21"/>
        </w:rPr>
        <w:t>市级防治机构的装备建设，在</w:t>
      </w:r>
      <w:r>
        <w:rPr>
          <w:rFonts w:ascii="宋体" w:cs="宋体"/>
          <w:szCs w:val="21"/>
        </w:rPr>
        <w:t>值班室</w:t>
      </w:r>
      <w:r>
        <w:rPr>
          <w:rFonts w:hint="eastAsia" w:ascii="宋体" w:cs="宋体"/>
          <w:szCs w:val="21"/>
        </w:rPr>
        <w:t>和</w:t>
      </w:r>
      <w:r>
        <w:rPr>
          <w:rFonts w:ascii="宋体" w:cs="宋体"/>
          <w:szCs w:val="21"/>
        </w:rPr>
        <w:t>会商</w:t>
      </w:r>
      <w:r>
        <w:rPr>
          <w:rFonts w:hint="eastAsia" w:ascii="宋体" w:cs="宋体"/>
          <w:szCs w:val="21"/>
        </w:rPr>
        <w:t>（指挥</w:t>
      </w:r>
      <w:r>
        <w:rPr>
          <w:rFonts w:ascii="宋体" w:cs="宋体"/>
          <w:szCs w:val="21"/>
        </w:rPr>
        <w:t>）室建设</w:t>
      </w:r>
      <w:r>
        <w:rPr>
          <w:rFonts w:hint="eastAsia" w:ascii="宋体" w:cs="宋体"/>
          <w:szCs w:val="21"/>
        </w:rPr>
        <w:t>内容</w:t>
      </w:r>
      <w:r>
        <w:rPr>
          <w:rFonts w:ascii="宋体" w:cs="宋体"/>
          <w:szCs w:val="21"/>
        </w:rPr>
        <w:t>上</w:t>
      </w:r>
      <w:r>
        <w:rPr>
          <w:rFonts w:hint="eastAsia" w:ascii="宋体" w:cs="宋体"/>
          <w:szCs w:val="21"/>
        </w:rPr>
        <w:t>，</w:t>
      </w:r>
      <w:r>
        <w:rPr>
          <w:rFonts w:ascii="宋体" w:cs="宋体"/>
          <w:szCs w:val="21"/>
        </w:rPr>
        <w:t>除卫星地面站</w:t>
      </w:r>
      <w:r>
        <w:rPr>
          <w:rFonts w:hint="eastAsia" w:ascii="宋体" w:cs="宋体"/>
          <w:szCs w:val="21"/>
        </w:rPr>
        <w:t>不做</w:t>
      </w:r>
      <w:r>
        <w:rPr>
          <w:rFonts w:ascii="宋体" w:cs="宋体"/>
          <w:szCs w:val="21"/>
        </w:rPr>
        <w:t>要求</w:t>
      </w:r>
      <w:r>
        <w:rPr>
          <w:rFonts w:hint="eastAsia" w:ascii="宋体" w:cs="宋体"/>
          <w:szCs w:val="21"/>
        </w:rPr>
        <w:t>外，其他应</w:t>
      </w:r>
      <w:r>
        <w:rPr>
          <w:rFonts w:ascii="宋体" w:cs="宋体"/>
          <w:szCs w:val="21"/>
        </w:rPr>
        <w:t>与省级</w:t>
      </w:r>
      <w:r>
        <w:rPr>
          <w:rFonts w:hint="eastAsia" w:ascii="宋体" w:cs="宋体"/>
          <w:szCs w:val="21"/>
        </w:rPr>
        <w:t>一致</w:t>
      </w:r>
      <w:r>
        <w:rPr>
          <w:rFonts w:ascii="宋体" w:cs="宋体"/>
          <w:szCs w:val="21"/>
        </w:rPr>
        <w:t>，</w:t>
      </w:r>
      <w:r>
        <w:rPr>
          <w:rFonts w:hint="eastAsia" w:ascii="宋体" w:cs="宋体"/>
          <w:szCs w:val="21"/>
        </w:rPr>
        <w:t>以满足市级地质灾害防治工作。</w:t>
      </w:r>
    </w:p>
    <w:p>
      <w:pPr>
        <w:spacing w:line="360" w:lineRule="auto"/>
        <w:rPr>
          <w:rFonts w:ascii="宋体" w:cs="宋体"/>
          <w:szCs w:val="21"/>
        </w:rPr>
      </w:pPr>
      <w:r>
        <w:rPr>
          <w:rFonts w:ascii="黑体" w:eastAsia="黑体"/>
          <w:bCs/>
          <w:szCs w:val="21"/>
        </w:rPr>
        <w:t>5.</w:t>
      </w:r>
      <w:r>
        <w:rPr>
          <w:rFonts w:hint="eastAsia" w:ascii="黑体" w:eastAsia="黑体"/>
          <w:bCs/>
          <w:szCs w:val="21"/>
        </w:rPr>
        <w:t>3</w:t>
      </w:r>
      <w:r>
        <w:rPr>
          <w:rFonts w:ascii="黑体" w:eastAsia="黑体"/>
          <w:bCs/>
          <w:szCs w:val="21"/>
        </w:rPr>
        <w:t xml:space="preserve">.6  </w:t>
      </w:r>
      <w:r>
        <w:rPr>
          <w:rFonts w:hint="eastAsia" w:ascii="宋体" w:cs="宋体"/>
          <w:szCs w:val="21"/>
        </w:rPr>
        <w:t>县级</w:t>
      </w:r>
      <w:r>
        <w:rPr>
          <w:rFonts w:ascii="宋体" w:cs="宋体"/>
          <w:szCs w:val="21"/>
        </w:rPr>
        <w:t>防治机构</w:t>
      </w:r>
      <w:r>
        <w:rPr>
          <w:rFonts w:hint="eastAsia" w:ascii="宋体" w:cs="宋体"/>
          <w:szCs w:val="21"/>
        </w:rPr>
        <w:t>的</w:t>
      </w:r>
      <w:r>
        <w:rPr>
          <w:rFonts w:ascii="宋体" w:cs="宋体"/>
          <w:szCs w:val="21"/>
        </w:rPr>
        <w:t>装备建设</w:t>
      </w:r>
      <w:r>
        <w:rPr>
          <w:rFonts w:hint="eastAsia" w:ascii="宋体" w:cs="宋体"/>
          <w:szCs w:val="21"/>
        </w:rPr>
        <w:t>，在</w:t>
      </w:r>
      <w:r>
        <w:rPr>
          <w:rFonts w:ascii="宋体" w:cs="宋体"/>
          <w:szCs w:val="21"/>
        </w:rPr>
        <w:t>值班室</w:t>
      </w:r>
      <w:r>
        <w:rPr>
          <w:rFonts w:hint="eastAsia" w:ascii="宋体" w:cs="宋体"/>
          <w:szCs w:val="21"/>
        </w:rPr>
        <w:t>和</w:t>
      </w:r>
      <w:r>
        <w:rPr>
          <w:rFonts w:ascii="宋体" w:cs="宋体"/>
          <w:szCs w:val="21"/>
        </w:rPr>
        <w:t>会商</w:t>
      </w:r>
      <w:r>
        <w:rPr>
          <w:rFonts w:hint="eastAsia" w:ascii="宋体" w:cs="宋体"/>
          <w:szCs w:val="21"/>
        </w:rPr>
        <w:t>（指挥</w:t>
      </w:r>
      <w:r>
        <w:rPr>
          <w:rFonts w:ascii="宋体" w:cs="宋体"/>
          <w:szCs w:val="21"/>
        </w:rPr>
        <w:t>）室建设</w:t>
      </w:r>
      <w:r>
        <w:rPr>
          <w:rFonts w:hint="eastAsia" w:ascii="宋体" w:cs="宋体"/>
          <w:szCs w:val="21"/>
        </w:rPr>
        <w:t>内容上要求</w:t>
      </w:r>
      <w:r>
        <w:rPr>
          <w:rFonts w:ascii="宋体" w:cs="宋体"/>
          <w:szCs w:val="21"/>
        </w:rPr>
        <w:t>与市级一致，</w:t>
      </w:r>
      <w:r>
        <w:rPr>
          <w:rFonts w:hint="eastAsia" w:ascii="宋体" w:cs="宋体"/>
          <w:szCs w:val="21"/>
        </w:rPr>
        <w:t>以满足县级开展地质灾害防治工作。</w:t>
      </w:r>
    </w:p>
    <w:p>
      <w:pPr>
        <w:pStyle w:val="2"/>
        <w:spacing w:before="312" w:beforeLines="100" w:after="312" w:afterLines="100"/>
      </w:pPr>
      <w:bookmarkStart w:id="13" w:name="_Toc24540508"/>
      <w:r>
        <w:t xml:space="preserve">6  </w:t>
      </w:r>
      <w:r>
        <w:rPr>
          <w:rFonts w:hint="eastAsia"/>
        </w:rPr>
        <w:t>技术支撑建设要求</w:t>
      </w:r>
      <w:bookmarkEnd w:id="13"/>
    </w:p>
    <w:p>
      <w:pPr>
        <w:pStyle w:val="3"/>
      </w:pPr>
      <w:bookmarkStart w:id="14" w:name="_Toc24540509"/>
      <w:r>
        <w:t xml:space="preserve">6.1  </w:t>
      </w:r>
      <w:r>
        <w:rPr>
          <w:rFonts w:hint="eastAsia"/>
        </w:rPr>
        <w:t>基本</w:t>
      </w:r>
      <w:r>
        <w:t>要求</w:t>
      </w:r>
      <w:bookmarkEnd w:id="14"/>
    </w:p>
    <w:p>
      <w:pPr>
        <w:spacing w:line="360" w:lineRule="auto"/>
        <w:rPr>
          <w:rFonts w:ascii="宋体" w:cs="宋体"/>
          <w:szCs w:val="21"/>
        </w:rPr>
      </w:pPr>
      <w:r>
        <w:rPr>
          <w:rFonts w:ascii="黑体" w:eastAsia="黑体"/>
          <w:bCs/>
          <w:szCs w:val="21"/>
        </w:rPr>
        <w:t xml:space="preserve">6.1.1 </w:t>
      </w:r>
      <w:r>
        <w:rPr>
          <w:rFonts w:hint="eastAsia" w:ascii="黑体" w:eastAsia="黑体"/>
          <w:bCs/>
          <w:szCs w:val="21"/>
        </w:rPr>
        <w:t xml:space="preserve"> </w:t>
      </w:r>
      <w:r>
        <w:rPr>
          <w:rFonts w:hint="eastAsia" w:ascii="宋体" w:cs="宋体"/>
          <w:szCs w:val="21"/>
        </w:rPr>
        <w:t>技术支撑机构建设，以各级</w:t>
      </w:r>
      <w:r>
        <w:rPr>
          <w:rFonts w:ascii="宋体" w:cs="宋体"/>
          <w:szCs w:val="21"/>
        </w:rPr>
        <w:t>地质灾害防治事业单位</w:t>
      </w:r>
      <w:r>
        <w:rPr>
          <w:rFonts w:hint="eastAsia" w:ascii="宋体" w:cs="宋体"/>
          <w:szCs w:val="21"/>
        </w:rPr>
        <w:t>和地质环境监测保护站为主体，提供技术支撑</w:t>
      </w:r>
      <w:r>
        <w:rPr>
          <w:rFonts w:ascii="宋体" w:cs="宋体"/>
          <w:szCs w:val="21"/>
        </w:rPr>
        <w:t>能力保障</w:t>
      </w:r>
      <w:r>
        <w:rPr>
          <w:rFonts w:hint="eastAsia" w:ascii="宋体" w:cs="宋体"/>
          <w:szCs w:val="21"/>
        </w:rPr>
        <w:t>。负责开展地质</w:t>
      </w:r>
      <w:r>
        <w:rPr>
          <w:rFonts w:hint="eastAsia" w:ascii="宋体" w:cs="宋体"/>
          <w:szCs w:val="21"/>
        </w:rPr>
        <w:fldChar w:fldCharType="begin"/>
      </w:r>
      <w:r>
        <w:instrText xml:space="preserve">HYPERLINK "https://baike.so.com/doc/287445-304314.html"</w:instrText>
      </w:r>
      <w:r>
        <w:rPr>
          <w:rFonts w:hint="eastAsia" w:ascii="宋体" w:cs="宋体"/>
          <w:szCs w:val="21"/>
        </w:rPr>
        <w:fldChar w:fldCharType="separate"/>
      </w:r>
      <w:r>
        <w:rPr>
          <w:rFonts w:hint="eastAsia" w:ascii="宋体" w:cs="宋体"/>
          <w:szCs w:val="21"/>
        </w:rPr>
        <w:t>灾害</w:t>
      </w:r>
      <w:r>
        <w:rPr>
          <w:rFonts w:hint="eastAsia" w:ascii="宋体" w:cs="宋体"/>
          <w:szCs w:val="21"/>
        </w:rPr>
        <w:fldChar w:fldCharType="end"/>
      </w:r>
      <w:r>
        <w:rPr>
          <w:rFonts w:hint="eastAsia" w:ascii="宋体" w:cs="宋体"/>
          <w:szCs w:val="21"/>
        </w:rPr>
        <w:t>防治领域的调查评价、监测预警、综合治理、应急响应及科学研究等方面的技术工作。</w:t>
      </w:r>
    </w:p>
    <w:p>
      <w:pPr>
        <w:spacing w:line="360" w:lineRule="auto"/>
        <w:rPr>
          <w:rFonts w:ascii="宋体" w:cs="宋体"/>
          <w:szCs w:val="21"/>
        </w:rPr>
      </w:pPr>
      <w:r>
        <w:rPr>
          <w:rFonts w:ascii="黑体" w:eastAsia="黑体"/>
          <w:bCs/>
          <w:szCs w:val="21"/>
        </w:rPr>
        <w:t>6.1.2</w:t>
      </w:r>
      <w:r>
        <w:rPr>
          <w:rFonts w:hint="eastAsia" w:ascii="黑体" w:eastAsia="黑体"/>
          <w:bCs/>
          <w:szCs w:val="21"/>
        </w:rPr>
        <w:t xml:space="preserve">  </w:t>
      </w:r>
      <w:r>
        <w:rPr>
          <w:rFonts w:hint="eastAsia" w:ascii="宋体" w:cs="宋体"/>
          <w:szCs w:val="21"/>
        </w:rPr>
        <w:t>技术支撑</w:t>
      </w:r>
      <w:r>
        <w:rPr>
          <w:rFonts w:ascii="宋体" w:cs="宋体"/>
          <w:szCs w:val="21"/>
        </w:rPr>
        <w:t>队伍</w:t>
      </w:r>
      <w:r>
        <w:rPr>
          <w:rFonts w:hint="eastAsia" w:ascii="宋体" w:cs="宋体"/>
          <w:szCs w:val="21"/>
        </w:rPr>
        <w:t>在专业技术人员数量</w:t>
      </w:r>
      <w:r>
        <w:rPr>
          <w:rFonts w:ascii="宋体" w:cs="宋体"/>
          <w:szCs w:val="21"/>
        </w:rPr>
        <w:t>上</w:t>
      </w:r>
      <w:r>
        <w:rPr>
          <w:rFonts w:hint="eastAsia" w:ascii="宋体" w:cs="宋体"/>
          <w:szCs w:val="21"/>
        </w:rPr>
        <w:t>，按《</w:t>
      </w:r>
      <w:r>
        <w:rPr>
          <w:rFonts w:hint="eastAsia" w:ascii="宋体"/>
          <w:szCs w:val="21"/>
        </w:rPr>
        <w:t>湖北省地质灾害综合防治体系建设方案</w:t>
      </w:r>
      <w:r>
        <w:rPr>
          <w:rFonts w:ascii="宋体" w:cs="宋体"/>
          <w:szCs w:val="21"/>
        </w:rPr>
        <w:t>》要求</w:t>
      </w:r>
      <w:r>
        <w:rPr>
          <w:rFonts w:hint="eastAsia" w:ascii="宋体" w:cs="宋体"/>
          <w:szCs w:val="21"/>
        </w:rPr>
        <w:t>进行</w:t>
      </w:r>
      <w:r>
        <w:rPr>
          <w:rFonts w:ascii="宋体" w:cs="宋体"/>
          <w:szCs w:val="21"/>
        </w:rPr>
        <w:t>配备</w:t>
      </w:r>
      <w:r>
        <w:rPr>
          <w:rFonts w:hint="eastAsia" w:ascii="宋体" w:cs="宋体"/>
          <w:szCs w:val="21"/>
        </w:rPr>
        <w:t>。</w:t>
      </w:r>
    </w:p>
    <w:p>
      <w:pPr>
        <w:spacing w:line="360" w:lineRule="auto"/>
        <w:rPr>
          <w:rFonts w:ascii="宋体" w:cs="宋体"/>
          <w:szCs w:val="21"/>
        </w:rPr>
      </w:pPr>
      <w:r>
        <w:rPr>
          <w:rFonts w:hint="eastAsia" w:ascii="黑体" w:eastAsia="黑体"/>
          <w:bCs/>
          <w:szCs w:val="21"/>
        </w:rPr>
        <w:t xml:space="preserve">6.1.3  </w:t>
      </w:r>
      <w:r>
        <w:rPr>
          <w:rFonts w:hint="eastAsia" w:ascii="宋体" w:cs="宋体"/>
          <w:szCs w:val="21"/>
        </w:rPr>
        <w:t>技术</w:t>
      </w:r>
      <w:r>
        <w:rPr>
          <w:rFonts w:ascii="宋体" w:cs="宋体"/>
          <w:szCs w:val="21"/>
        </w:rPr>
        <w:t>支撑</w:t>
      </w:r>
      <w:r>
        <w:rPr>
          <w:rFonts w:hint="eastAsia" w:ascii="宋体" w:cs="宋体"/>
          <w:szCs w:val="21"/>
        </w:rPr>
        <w:t>机构的</w:t>
      </w:r>
      <w:r>
        <w:rPr>
          <w:rFonts w:ascii="宋体" w:cs="宋体"/>
          <w:szCs w:val="21"/>
        </w:rPr>
        <w:t>装备设施</w:t>
      </w:r>
      <w:r>
        <w:rPr>
          <w:rFonts w:hint="eastAsia" w:ascii="宋体" w:cs="宋体"/>
          <w:szCs w:val="21"/>
        </w:rPr>
        <w:t>建设按省、市两个层级，以会商（指挥）室和灾害现场为工作场景，开展网络通讯、信息</w:t>
      </w:r>
      <w:r>
        <w:rPr>
          <w:rFonts w:ascii="宋体" w:cs="宋体"/>
          <w:szCs w:val="21"/>
        </w:rPr>
        <w:t>化</w:t>
      </w:r>
      <w:r>
        <w:rPr>
          <w:rFonts w:hint="eastAsia" w:ascii="宋体" w:cs="宋体"/>
          <w:szCs w:val="21"/>
        </w:rPr>
        <w:t>调查、自动化监测等技术装</w:t>
      </w:r>
      <w:r>
        <w:rPr>
          <w:rFonts w:ascii="Times New Roman" w:hAnsi="Times New Roman"/>
          <w:szCs w:val="21"/>
        </w:rPr>
        <w:t>备建设工作（技术支撑机构装备设施清单见附录表A.2）。</w:t>
      </w:r>
    </w:p>
    <w:p>
      <w:pPr>
        <w:spacing w:line="360" w:lineRule="auto"/>
        <w:rPr>
          <w:rFonts w:ascii="宋体" w:cs="宋体"/>
          <w:szCs w:val="21"/>
        </w:rPr>
      </w:pPr>
      <w:r>
        <w:rPr>
          <w:rFonts w:ascii="黑体" w:eastAsia="黑体"/>
          <w:bCs/>
          <w:szCs w:val="21"/>
        </w:rPr>
        <w:t>6.1.4</w:t>
      </w:r>
      <w:r>
        <w:rPr>
          <w:rFonts w:hint="eastAsia" w:ascii="黑体" w:eastAsia="黑体"/>
          <w:bCs/>
          <w:szCs w:val="21"/>
        </w:rPr>
        <w:t xml:space="preserve"> </w:t>
      </w:r>
      <w:r>
        <w:rPr>
          <w:rFonts w:ascii="黑体" w:eastAsia="黑体"/>
          <w:bCs/>
          <w:szCs w:val="21"/>
        </w:rPr>
        <w:t xml:space="preserve"> </w:t>
      </w:r>
      <w:r>
        <w:rPr>
          <w:rFonts w:hint="eastAsia" w:ascii="宋体" w:cs="宋体"/>
          <w:szCs w:val="21"/>
        </w:rPr>
        <w:t>个人装备建设上，按</w:t>
      </w:r>
      <w:r>
        <w:rPr>
          <w:rFonts w:ascii="宋体" w:cs="宋体"/>
          <w:szCs w:val="21"/>
        </w:rPr>
        <w:t>防治人员和群测群防两类</w:t>
      </w:r>
      <w:r>
        <w:rPr>
          <w:rFonts w:hint="eastAsia" w:ascii="宋体" w:cs="宋体"/>
          <w:szCs w:val="21"/>
        </w:rPr>
        <w:t>，主要以灾害现场巡查为工作场景，从通讯、测量、记录、</w:t>
      </w:r>
      <w:r>
        <w:rPr>
          <w:rFonts w:ascii="宋体" w:cs="宋体"/>
          <w:szCs w:val="21"/>
        </w:rPr>
        <w:t>告警</w:t>
      </w:r>
      <w:r>
        <w:rPr>
          <w:rFonts w:hint="eastAsia" w:ascii="宋体" w:cs="宋体"/>
          <w:szCs w:val="21"/>
        </w:rPr>
        <w:t>等方面配备相应</w:t>
      </w:r>
      <w:r>
        <w:rPr>
          <w:rFonts w:ascii="宋体" w:cs="宋体"/>
          <w:szCs w:val="21"/>
        </w:rPr>
        <w:t>的</w:t>
      </w:r>
      <w:r>
        <w:rPr>
          <w:rFonts w:hint="eastAsia" w:ascii="宋体" w:cs="宋体"/>
          <w:szCs w:val="21"/>
        </w:rPr>
        <w:t>技术装备（防治</w:t>
      </w:r>
      <w:r>
        <w:rPr>
          <w:rFonts w:ascii="宋体" w:cs="宋体"/>
          <w:szCs w:val="21"/>
        </w:rPr>
        <w:t>人员和</w:t>
      </w:r>
      <w:r>
        <w:rPr>
          <w:rFonts w:hint="eastAsia" w:ascii="宋体" w:cs="宋体"/>
          <w:szCs w:val="21"/>
        </w:rPr>
        <w:t>群测群防人员个人装备清单见附录</w:t>
      </w:r>
      <w:r>
        <w:rPr>
          <w:rFonts w:ascii="Times New Roman" w:hAnsi="Times New Roman"/>
          <w:szCs w:val="21"/>
        </w:rPr>
        <w:t>表A.4～A.5</w:t>
      </w:r>
      <w:r>
        <w:rPr>
          <w:rFonts w:hint="eastAsia" w:ascii="宋体" w:cs="宋体"/>
          <w:szCs w:val="21"/>
        </w:rPr>
        <w:t>）。</w:t>
      </w:r>
    </w:p>
    <w:p>
      <w:pPr>
        <w:spacing w:line="360" w:lineRule="auto"/>
        <w:rPr>
          <w:rFonts w:ascii="宋体" w:cs="宋体"/>
          <w:szCs w:val="21"/>
        </w:rPr>
      </w:pPr>
      <w:r>
        <w:rPr>
          <w:rFonts w:hint="eastAsia" w:ascii="黑体" w:eastAsia="黑体"/>
          <w:bCs/>
          <w:szCs w:val="21"/>
        </w:rPr>
        <w:t>6.1.</w:t>
      </w:r>
      <w:r>
        <w:rPr>
          <w:rFonts w:ascii="黑体" w:eastAsia="黑体"/>
          <w:bCs/>
          <w:szCs w:val="21"/>
        </w:rPr>
        <w:t>5</w:t>
      </w:r>
      <w:r>
        <w:rPr>
          <w:rFonts w:hint="eastAsia" w:ascii="宋体" w:cs="宋体"/>
          <w:szCs w:val="21"/>
        </w:rPr>
        <w:t xml:space="preserve">  在地质</w:t>
      </w:r>
      <w:r>
        <w:rPr>
          <w:rFonts w:ascii="宋体" w:cs="宋体"/>
          <w:szCs w:val="21"/>
        </w:rPr>
        <w:t>灾害防治</w:t>
      </w:r>
      <w:r>
        <w:rPr>
          <w:rFonts w:hint="eastAsia" w:ascii="宋体" w:cs="宋体"/>
          <w:szCs w:val="21"/>
        </w:rPr>
        <w:t>专家库建设上</w:t>
      </w:r>
      <w:r>
        <w:rPr>
          <w:rFonts w:ascii="宋体" w:cs="宋体"/>
          <w:szCs w:val="21"/>
        </w:rPr>
        <w:t>，要</w:t>
      </w:r>
      <w:r>
        <w:rPr>
          <w:rFonts w:hint="eastAsia" w:ascii="宋体" w:cs="宋体"/>
          <w:szCs w:val="21"/>
        </w:rPr>
        <w:t>积极</w:t>
      </w:r>
      <w:r>
        <w:rPr>
          <w:rFonts w:ascii="宋体" w:cs="宋体"/>
          <w:szCs w:val="21"/>
        </w:rPr>
        <w:t>与</w:t>
      </w:r>
      <w:r>
        <w:rPr>
          <w:rFonts w:hint="eastAsia" w:ascii="宋体" w:cs="宋体"/>
          <w:szCs w:val="21"/>
        </w:rPr>
        <w:t>各级地方</w:t>
      </w:r>
      <w:r>
        <w:rPr>
          <w:rFonts w:ascii="宋体" w:cs="宋体"/>
          <w:szCs w:val="21"/>
        </w:rPr>
        <w:t>企事业单位和高</w:t>
      </w:r>
      <w:r>
        <w:rPr>
          <w:rFonts w:hint="eastAsia" w:ascii="宋体" w:cs="宋体"/>
          <w:szCs w:val="21"/>
        </w:rPr>
        <w:t>等</w:t>
      </w:r>
      <w:r>
        <w:rPr>
          <w:rFonts w:ascii="宋体" w:cs="宋体"/>
          <w:szCs w:val="21"/>
        </w:rPr>
        <w:t>院校联合，</w:t>
      </w:r>
      <w:r>
        <w:rPr>
          <w:rFonts w:hint="eastAsia" w:ascii="宋体" w:cs="宋体"/>
          <w:szCs w:val="21"/>
        </w:rPr>
        <w:t>不断</w:t>
      </w:r>
      <w:r>
        <w:rPr>
          <w:rFonts w:ascii="宋体" w:cs="宋体"/>
          <w:szCs w:val="21"/>
        </w:rPr>
        <w:t>充实</w:t>
      </w:r>
      <w:r>
        <w:rPr>
          <w:rFonts w:hint="eastAsia" w:ascii="宋体" w:cs="宋体"/>
          <w:szCs w:val="21"/>
        </w:rPr>
        <w:t>各</w:t>
      </w:r>
      <w:r>
        <w:rPr>
          <w:rFonts w:ascii="宋体" w:cs="宋体"/>
          <w:szCs w:val="21"/>
        </w:rPr>
        <w:t>专业领域</w:t>
      </w:r>
      <w:r>
        <w:rPr>
          <w:rFonts w:hint="eastAsia" w:ascii="宋体" w:cs="宋体"/>
          <w:szCs w:val="21"/>
        </w:rPr>
        <w:t>的</w:t>
      </w:r>
      <w:r>
        <w:rPr>
          <w:rFonts w:ascii="宋体" w:cs="宋体"/>
          <w:szCs w:val="21"/>
        </w:rPr>
        <w:t>专家</w:t>
      </w:r>
      <w:r>
        <w:rPr>
          <w:rFonts w:hint="eastAsia" w:ascii="宋体" w:cs="宋体"/>
          <w:szCs w:val="21"/>
        </w:rPr>
        <w:t>人员</w:t>
      </w:r>
      <w:r>
        <w:rPr>
          <w:rFonts w:ascii="宋体" w:cs="宋体"/>
          <w:szCs w:val="21"/>
        </w:rPr>
        <w:t>，为</w:t>
      </w:r>
      <w:r>
        <w:rPr>
          <w:rFonts w:hint="eastAsia" w:ascii="宋体" w:cs="宋体"/>
          <w:szCs w:val="21"/>
        </w:rPr>
        <w:t>指导开展</w:t>
      </w:r>
      <w:r>
        <w:rPr>
          <w:rFonts w:ascii="宋体" w:cs="宋体"/>
          <w:szCs w:val="21"/>
        </w:rPr>
        <w:t>地质灾害防治体系工作提供</w:t>
      </w:r>
      <w:r>
        <w:rPr>
          <w:rFonts w:hint="eastAsia" w:ascii="宋体" w:cs="宋体"/>
          <w:szCs w:val="21"/>
        </w:rPr>
        <w:t>有力支撑</w:t>
      </w:r>
      <w:r>
        <w:rPr>
          <w:rFonts w:ascii="宋体" w:cs="宋体"/>
          <w:szCs w:val="21"/>
        </w:rPr>
        <w:t>。</w:t>
      </w:r>
    </w:p>
    <w:p>
      <w:pPr>
        <w:spacing w:line="360" w:lineRule="auto"/>
        <w:rPr>
          <w:rFonts w:ascii="宋体" w:cs="宋体"/>
          <w:szCs w:val="21"/>
        </w:rPr>
      </w:pPr>
      <w:r>
        <w:rPr>
          <w:rFonts w:ascii="黑体" w:eastAsia="黑体"/>
          <w:bCs/>
          <w:szCs w:val="21"/>
        </w:rPr>
        <w:t xml:space="preserve">6.1.6  </w:t>
      </w:r>
      <w:r>
        <w:rPr>
          <w:rFonts w:hint="eastAsia" w:ascii="宋体" w:cs="宋体"/>
          <w:szCs w:val="21"/>
        </w:rPr>
        <w:t>在引导</w:t>
      </w:r>
      <w:r>
        <w:rPr>
          <w:rFonts w:ascii="宋体" w:cs="宋体"/>
          <w:szCs w:val="21"/>
        </w:rPr>
        <w:t>社会</w:t>
      </w:r>
      <w:r>
        <w:rPr>
          <w:rFonts w:hint="eastAsia" w:ascii="宋体" w:cs="宋体"/>
          <w:szCs w:val="21"/>
        </w:rPr>
        <w:t>力量和购买专业</w:t>
      </w:r>
      <w:r>
        <w:rPr>
          <w:rFonts w:ascii="宋体" w:cs="宋体"/>
          <w:szCs w:val="21"/>
        </w:rPr>
        <w:t>技术服务</w:t>
      </w:r>
      <w:r>
        <w:rPr>
          <w:rFonts w:hint="eastAsia" w:ascii="宋体" w:cs="宋体"/>
          <w:szCs w:val="21"/>
        </w:rPr>
        <w:t>参与</w:t>
      </w:r>
      <w:r>
        <w:rPr>
          <w:rFonts w:ascii="宋体" w:cs="宋体"/>
          <w:szCs w:val="21"/>
        </w:rPr>
        <w:t>地质灾害防治</w:t>
      </w:r>
      <w:r>
        <w:rPr>
          <w:rFonts w:hint="eastAsia" w:ascii="宋体" w:cs="宋体"/>
          <w:szCs w:val="21"/>
        </w:rPr>
        <w:t>工作上，要求对</w:t>
      </w:r>
      <w:r>
        <w:rPr>
          <w:rFonts w:ascii="宋体" w:cs="宋体"/>
          <w:szCs w:val="21"/>
        </w:rPr>
        <w:t>相关</w:t>
      </w:r>
      <w:r>
        <w:rPr>
          <w:rFonts w:hint="eastAsia" w:ascii="宋体" w:cs="宋体"/>
          <w:szCs w:val="21"/>
        </w:rPr>
        <w:t>社会</w:t>
      </w:r>
      <w:r>
        <w:rPr>
          <w:rFonts w:ascii="宋体" w:cs="宋体"/>
          <w:szCs w:val="21"/>
        </w:rPr>
        <w:t>团体和</w:t>
      </w:r>
      <w:r>
        <w:rPr>
          <w:rFonts w:hint="eastAsia" w:ascii="宋体" w:cs="宋体"/>
          <w:szCs w:val="21"/>
        </w:rPr>
        <w:t>企业法人、</w:t>
      </w:r>
      <w:r>
        <w:rPr>
          <w:rFonts w:ascii="宋体" w:cs="宋体"/>
          <w:szCs w:val="21"/>
        </w:rPr>
        <w:t>资质</w:t>
      </w:r>
      <w:r>
        <w:rPr>
          <w:rFonts w:hint="eastAsia" w:ascii="宋体" w:cs="宋体"/>
          <w:szCs w:val="21"/>
        </w:rPr>
        <w:t>和</w:t>
      </w:r>
      <w:r>
        <w:rPr>
          <w:rFonts w:ascii="宋体" w:cs="宋体"/>
          <w:szCs w:val="21"/>
        </w:rPr>
        <w:t>征信</w:t>
      </w:r>
      <w:r>
        <w:rPr>
          <w:rFonts w:hint="eastAsia" w:ascii="宋体" w:cs="宋体"/>
          <w:szCs w:val="21"/>
        </w:rPr>
        <w:t>等</w:t>
      </w:r>
      <w:r>
        <w:rPr>
          <w:rFonts w:ascii="宋体" w:cs="宋体"/>
          <w:szCs w:val="21"/>
        </w:rPr>
        <w:t>方面</w:t>
      </w:r>
      <w:r>
        <w:rPr>
          <w:rFonts w:hint="eastAsia" w:ascii="宋体" w:cs="宋体"/>
          <w:szCs w:val="21"/>
        </w:rPr>
        <w:t>信息进行</w:t>
      </w:r>
      <w:r>
        <w:rPr>
          <w:rFonts w:ascii="宋体" w:cs="宋体"/>
          <w:szCs w:val="21"/>
        </w:rPr>
        <w:t>统一登记管理</w:t>
      </w:r>
      <w:r>
        <w:rPr>
          <w:rFonts w:hint="eastAsia" w:ascii="宋体" w:cs="宋体"/>
          <w:szCs w:val="21"/>
        </w:rPr>
        <w:t>，并出台</w:t>
      </w:r>
      <w:r>
        <w:rPr>
          <w:rFonts w:ascii="宋体" w:cs="宋体"/>
          <w:szCs w:val="21"/>
        </w:rPr>
        <w:t>相应的管理办法</w:t>
      </w:r>
      <w:r>
        <w:rPr>
          <w:rFonts w:hint="eastAsia" w:ascii="宋体" w:cs="宋体"/>
          <w:szCs w:val="21"/>
        </w:rPr>
        <w:t>。</w:t>
      </w:r>
    </w:p>
    <w:p>
      <w:pPr>
        <w:pStyle w:val="3"/>
      </w:pPr>
      <w:bookmarkStart w:id="15" w:name="_Toc24540510"/>
      <w:r>
        <w:rPr>
          <w:rFonts w:hint="eastAsia"/>
        </w:rPr>
        <w:t>6.2  机构</w:t>
      </w:r>
      <w:r>
        <w:t>建设</w:t>
      </w:r>
      <w:bookmarkEnd w:id="15"/>
    </w:p>
    <w:p>
      <w:pPr>
        <w:spacing w:line="360" w:lineRule="auto"/>
        <w:rPr>
          <w:rFonts w:ascii="宋体" w:cs="宋体"/>
          <w:szCs w:val="21"/>
        </w:rPr>
      </w:pPr>
      <w:r>
        <w:rPr>
          <w:rFonts w:ascii="黑体" w:eastAsia="黑体"/>
          <w:bCs/>
          <w:szCs w:val="21"/>
        </w:rPr>
        <w:t>6.2.1</w:t>
      </w:r>
      <w:r>
        <w:rPr>
          <w:rFonts w:hint="eastAsia" w:ascii="黑体" w:eastAsia="黑体"/>
          <w:bCs/>
          <w:szCs w:val="21"/>
        </w:rPr>
        <w:t xml:space="preserve"> </w:t>
      </w:r>
      <w:r>
        <w:rPr>
          <w:rFonts w:ascii="黑体" w:eastAsia="黑体"/>
          <w:bCs/>
          <w:szCs w:val="21"/>
        </w:rPr>
        <w:t xml:space="preserve"> </w:t>
      </w:r>
      <w:r>
        <w:rPr>
          <w:rFonts w:hint="eastAsia" w:ascii="宋体" w:cs="宋体"/>
          <w:szCs w:val="21"/>
        </w:rPr>
        <w:t>以省级</w:t>
      </w:r>
      <w:r>
        <w:rPr>
          <w:rFonts w:ascii="宋体" w:cs="宋体"/>
          <w:szCs w:val="21"/>
        </w:rPr>
        <w:t>地质灾害防治事业单位</w:t>
      </w:r>
      <w:r>
        <w:rPr>
          <w:rFonts w:hint="eastAsia" w:ascii="宋体" w:cs="宋体"/>
          <w:szCs w:val="21"/>
        </w:rPr>
        <w:t>为主体，</w:t>
      </w:r>
      <w:bookmarkStart w:id="16" w:name="_Hlk22157474"/>
      <w:r>
        <w:rPr>
          <w:rFonts w:hint="eastAsia" w:ascii="宋体" w:cs="宋体"/>
          <w:szCs w:val="21"/>
        </w:rPr>
        <w:t>开展省级技术支撑机构建设，承担全省调查评价、监测预警、趋势分析、决策支撑等技术工作。</w:t>
      </w:r>
      <w:bookmarkEnd w:id="16"/>
    </w:p>
    <w:p>
      <w:pPr>
        <w:spacing w:line="360" w:lineRule="auto"/>
        <w:rPr>
          <w:rFonts w:ascii="宋体" w:cs="宋体"/>
          <w:szCs w:val="21"/>
        </w:rPr>
      </w:pPr>
      <w:r>
        <w:rPr>
          <w:rFonts w:ascii="黑体" w:eastAsia="黑体"/>
          <w:bCs/>
          <w:szCs w:val="21"/>
        </w:rPr>
        <w:t>6.2.2</w:t>
      </w:r>
      <w:r>
        <w:rPr>
          <w:rFonts w:hint="eastAsia" w:ascii="黑体" w:eastAsia="黑体"/>
          <w:bCs/>
          <w:szCs w:val="21"/>
        </w:rPr>
        <w:t xml:space="preserve">  </w:t>
      </w:r>
      <w:r>
        <w:rPr>
          <w:rFonts w:hint="eastAsia" w:ascii="宋体" w:cs="宋体"/>
          <w:szCs w:val="21"/>
        </w:rPr>
        <w:t>以各地质环境监测保护站为主体，开展市级技术支撑机构建设，承担各市巡排核查、专业监测、预警响应、工程治理等技术工作。</w:t>
      </w:r>
    </w:p>
    <w:p>
      <w:pPr>
        <w:spacing w:line="360" w:lineRule="auto"/>
        <w:rPr>
          <w:rFonts w:ascii="宋体" w:cs="宋体"/>
          <w:szCs w:val="21"/>
        </w:rPr>
      </w:pPr>
      <w:r>
        <w:rPr>
          <w:rFonts w:ascii="黑体" w:eastAsia="黑体"/>
          <w:bCs/>
          <w:szCs w:val="21"/>
        </w:rPr>
        <w:t>6.2.3</w:t>
      </w:r>
      <w:r>
        <w:rPr>
          <w:rFonts w:hint="eastAsia" w:ascii="黑体" w:eastAsia="黑体"/>
          <w:bCs/>
          <w:szCs w:val="21"/>
        </w:rPr>
        <w:t xml:space="preserve">  </w:t>
      </w:r>
      <w:r>
        <w:rPr>
          <w:rFonts w:hint="eastAsia" w:ascii="宋体" w:cs="宋体"/>
          <w:szCs w:val="21"/>
        </w:rPr>
        <w:t>以各县（乡）派驻的协管员为主体，开展县级技术支撑能力建设，承担隐患点的“四位一体”网格化管理工作，按照《地质灾害防治网格化管理工作方案》内容提供技术支撑。</w:t>
      </w:r>
    </w:p>
    <w:p>
      <w:pPr>
        <w:pStyle w:val="3"/>
      </w:pPr>
      <w:bookmarkStart w:id="17" w:name="_Toc24540511"/>
      <w:r>
        <w:t xml:space="preserve">6.3  </w:t>
      </w:r>
      <w:r>
        <w:rPr>
          <w:rFonts w:hint="eastAsia"/>
        </w:rPr>
        <w:t>装备设施建设</w:t>
      </w:r>
      <w:bookmarkEnd w:id="17"/>
    </w:p>
    <w:p>
      <w:pPr>
        <w:spacing w:line="360" w:lineRule="auto"/>
        <w:rPr>
          <w:rFonts w:ascii="宋体" w:cs="宋体"/>
          <w:szCs w:val="21"/>
        </w:rPr>
      </w:pPr>
      <w:r>
        <w:rPr>
          <w:rFonts w:ascii="黑体" w:eastAsia="黑体"/>
          <w:bCs/>
          <w:szCs w:val="21"/>
        </w:rPr>
        <w:t>6.3.1</w:t>
      </w:r>
      <w:r>
        <w:rPr>
          <w:rFonts w:hint="eastAsia" w:ascii="黑体" w:eastAsia="黑体"/>
          <w:bCs/>
          <w:szCs w:val="21"/>
        </w:rPr>
        <w:t xml:space="preserve">  </w:t>
      </w:r>
      <w:r>
        <w:rPr>
          <w:rFonts w:hint="eastAsia" w:ascii="宋体" w:cs="宋体"/>
          <w:szCs w:val="21"/>
        </w:rPr>
        <w:t>省级技术支撑机构</w:t>
      </w:r>
      <w:bookmarkStart w:id="18" w:name="_Hlk22160130"/>
      <w:r>
        <w:rPr>
          <w:rFonts w:hint="eastAsia" w:ascii="宋体" w:cs="宋体"/>
          <w:szCs w:val="21"/>
        </w:rPr>
        <w:t>建设的会商（指挥）室，要求与省级防治机构互联互通，能够通过卫星地面站和通讯指挥车开展灾害现场远程视频会商工作，以保障部、省、市、县、乡、灾害现场六级指挥会商工作。</w:t>
      </w:r>
      <w:bookmarkEnd w:id="18"/>
      <w:bookmarkStart w:id="19" w:name="_Hlk22160202"/>
      <w:r>
        <w:rPr>
          <w:rFonts w:hint="eastAsia" w:ascii="宋体" w:cs="宋体"/>
          <w:szCs w:val="21"/>
        </w:rPr>
        <w:t>利用配备的调查平板、无人机、三维激光扫描、背包</w:t>
      </w:r>
      <w:r>
        <w:rPr>
          <w:rFonts w:ascii="宋体" w:cs="宋体"/>
          <w:szCs w:val="21"/>
        </w:rPr>
        <w:t>式钻机和</w:t>
      </w:r>
      <w:r>
        <w:rPr>
          <w:rFonts w:hint="eastAsia" w:ascii="宋体" w:cs="宋体"/>
          <w:szCs w:val="21"/>
        </w:rPr>
        <w:t>探地雷达等多种类型的技术装备</w:t>
      </w:r>
      <w:bookmarkEnd w:id="19"/>
      <w:r>
        <w:rPr>
          <w:rFonts w:hint="eastAsia" w:ascii="宋体" w:cs="宋体"/>
          <w:szCs w:val="21"/>
        </w:rPr>
        <w:t>，迅速有效</w:t>
      </w:r>
      <w:r>
        <w:rPr>
          <w:rFonts w:ascii="宋体" w:cs="宋体"/>
          <w:szCs w:val="21"/>
        </w:rPr>
        <w:t>的开展</w:t>
      </w:r>
      <w:r>
        <w:rPr>
          <w:rFonts w:hint="eastAsia" w:ascii="宋体" w:cs="宋体"/>
          <w:szCs w:val="21"/>
        </w:rPr>
        <w:t>应急调查和</w:t>
      </w:r>
      <w:r>
        <w:rPr>
          <w:rFonts w:ascii="宋体" w:cs="宋体"/>
          <w:szCs w:val="21"/>
        </w:rPr>
        <w:t>数据采集</w:t>
      </w:r>
      <w:r>
        <w:rPr>
          <w:rFonts w:hint="eastAsia" w:ascii="宋体" w:cs="宋体"/>
          <w:szCs w:val="21"/>
        </w:rPr>
        <w:t>工作，布设的自动化全站仪、雨量站和位移计对能够准确</w:t>
      </w:r>
      <w:r>
        <w:rPr>
          <w:rFonts w:ascii="宋体" w:cs="宋体"/>
          <w:szCs w:val="21"/>
        </w:rPr>
        <w:t>的</w:t>
      </w:r>
      <w:r>
        <w:rPr>
          <w:rFonts w:hint="eastAsia" w:ascii="宋体" w:cs="宋体"/>
          <w:szCs w:val="21"/>
        </w:rPr>
        <w:t>监测灾害变化趋势，为开展监测预警提供支撑。</w:t>
      </w:r>
    </w:p>
    <w:p>
      <w:pPr>
        <w:spacing w:line="360" w:lineRule="auto"/>
        <w:rPr>
          <w:rFonts w:ascii="宋体" w:cs="宋体"/>
          <w:szCs w:val="21"/>
        </w:rPr>
      </w:pPr>
      <w:r>
        <w:rPr>
          <w:rFonts w:ascii="黑体" w:eastAsia="黑体"/>
          <w:bCs/>
          <w:szCs w:val="21"/>
        </w:rPr>
        <w:t>6.3.2</w:t>
      </w:r>
      <w:r>
        <w:rPr>
          <w:rFonts w:hint="eastAsia" w:ascii="黑体" w:eastAsia="黑体"/>
          <w:bCs/>
          <w:szCs w:val="21"/>
        </w:rPr>
        <w:t xml:space="preserve">  </w:t>
      </w:r>
      <w:r>
        <w:rPr>
          <w:rFonts w:hint="eastAsia" w:ascii="宋体" w:cs="宋体"/>
          <w:szCs w:val="21"/>
        </w:rPr>
        <w:t>市级技术支撑机构建设的会商（指挥）室要求与省级技术支撑</w:t>
      </w:r>
      <w:r>
        <w:rPr>
          <w:rFonts w:ascii="宋体" w:cs="宋体"/>
          <w:szCs w:val="21"/>
        </w:rPr>
        <w:t>机构</w:t>
      </w:r>
      <w:r>
        <w:rPr>
          <w:rFonts w:hint="eastAsia" w:ascii="宋体" w:cs="宋体"/>
          <w:szCs w:val="21"/>
        </w:rPr>
        <w:t>互联互通，通过可视化终端开展省、市、县三级会商（指挥）工作。在调查</w:t>
      </w:r>
      <w:r>
        <w:rPr>
          <w:rFonts w:ascii="宋体" w:cs="宋体"/>
          <w:szCs w:val="21"/>
        </w:rPr>
        <w:t>和监测装备</w:t>
      </w:r>
      <w:r>
        <w:rPr>
          <w:rFonts w:hint="eastAsia" w:ascii="宋体" w:cs="宋体"/>
          <w:szCs w:val="21"/>
        </w:rPr>
        <w:t>建设</w:t>
      </w:r>
      <w:r>
        <w:rPr>
          <w:rFonts w:ascii="宋体" w:cs="宋体"/>
          <w:szCs w:val="21"/>
        </w:rPr>
        <w:t>上</w:t>
      </w:r>
      <w:r>
        <w:rPr>
          <w:rFonts w:hint="eastAsia" w:ascii="宋体" w:cs="宋体"/>
          <w:szCs w:val="21"/>
        </w:rPr>
        <w:t>可根据实际情况，选配自动化全站仪、三维激光扫描仪和探地雷达等大型装备。</w:t>
      </w:r>
    </w:p>
    <w:p>
      <w:pPr>
        <w:spacing w:line="360" w:lineRule="auto"/>
        <w:rPr>
          <w:rFonts w:ascii="宋体" w:cs="宋体"/>
          <w:szCs w:val="21"/>
        </w:rPr>
      </w:pPr>
      <w:r>
        <w:rPr>
          <w:rFonts w:ascii="黑体" w:eastAsia="黑体"/>
          <w:bCs/>
          <w:szCs w:val="21"/>
        </w:rPr>
        <w:t>6.3.3</w:t>
      </w:r>
      <w:r>
        <w:rPr>
          <w:rFonts w:hint="eastAsia" w:ascii="黑体" w:eastAsia="黑体"/>
          <w:bCs/>
          <w:szCs w:val="21"/>
        </w:rPr>
        <w:t xml:space="preserve">  </w:t>
      </w:r>
      <w:r>
        <w:rPr>
          <w:rFonts w:hint="eastAsia" w:ascii="宋体" w:cs="宋体"/>
          <w:szCs w:val="21"/>
        </w:rPr>
        <w:t>为县级</w:t>
      </w:r>
      <w:r>
        <w:rPr>
          <w:rFonts w:ascii="宋体" w:cs="宋体"/>
          <w:szCs w:val="21"/>
        </w:rPr>
        <w:t>派驻的</w:t>
      </w:r>
      <w:r>
        <w:rPr>
          <w:rFonts w:hint="eastAsia" w:ascii="宋体" w:cs="宋体"/>
          <w:szCs w:val="21"/>
        </w:rPr>
        <w:t>“四位一体”网格化协管员配备调查平板、</w:t>
      </w:r>
      <w:r>
        <w:rPr>
          <w:rFonts w:ascii="Times New Roman" w:hAnsi="Times New Roman"/>
          <w:szCs w:val="21"/>
        </w:rPr>
        <w:t>GPS、</w:t>
      </w:r>
      <w:r>
        <w:rPr>
          <w:rFonts w:hint="eastAsia" w:ascii="宋体" w:cs="宋体"/>
          <w:szCs w:val="21"/>
        </w:rPr>
        <w:t>对讲机等装备，为开展巡、排、核查工作提供装备支撑。</w:t>
      </w:r>
    </w:p>
    <w:p>
      <w:pPr>
        <w:spacing w:line="360" w:lineRule="auto"/>
        <w:rPr>
          <w:rFonts w:ascii="宋体" w:cs="宋体"/>
          <w:szCs w:val="21"/>
        </w:rPr>
      </w:pPr>
      <w:r>
        <w:rPr>
          <w:rFonts w:ascii="黑体" w:eastAsia="黑体"/>
          <w:bCs/>
          <w:szCs w:val="21"/>
        </w:rPr>
        <w:t>6.3.4</w:t>
      </w:r>
      <w:r>
        <w:rPr>
          <w:rFonts w:hint="eastAsia" w:ascii="黑体" w:eastAsia="黑体"/>
          <w:bCs/>
          <w:szCs w:val="21"/>
        </w:rPr>
        <w:t xml:space="preserve">  </w:t>
      </w:r>
      <w:r>
        <w:rPr>
          <w:rFonts w:hint="eastAsia" w:ascii="宋体" w:cs="宋体"/>
          <w:szCs w:val="21"/>
        </w:rPr>
        <w:t>为防治人员</w:t>
      </w:r>
      <w:r>
        <w:rPr>
          <w:rFonts w:ascii="宋体" w:cs="宋体"/>
          <w:szCs w:val="21"/>
        </w:rPr>
        <w:t>和</w:t>
      </w:r>
      <w:r>
        <w:rPr>
          <w:rFonts w:hint="eastAsia" w:ascii="宋体" w:cs="宋体"/>
          <w:szCs w:val="21"/>
        </w:rPr>
        <w:t>群测群防人员，配备手机</w:t>
      </w:r>
      <w:r>
        <w:rPr>
          <w:rFonts w:ascii="Times New Roman" w:hAnsi="Times New Roman"/>
          <w:szCs w:val="21"/>
        </w:rPr>
        <w:t>、GPS</w:t>
      </w:r>
      <w:r>
        <w:rPr>
          <w:rFonts w:hint="eastAsia" w:ascii="宋体" w:cs="宋体"/>
          <w:szCs w:val="21"/>
        </w:rPr>
        <w:t>、手电</w:t>
      </w:r>
      <w:r>
        <w:rPr>
          <w:rFonts w:ascii="宋体" w:cs="宋体"/>
          <w:szCs w:val="21"/>
        </w:rPr>
        <w:t>、雨衣雨鞋、</w:t>
      </w:r>
      <w:r>
        <w:rPr>
          <w:rFonts w:hint="eastAsia" w:ascii="宋体" w:cs="宋体"/>
          <w:szCs w:val="21"/>
        </w:rPr>
        <w:t>笔记本</w:t>
      </w:r>
      <w:r>
        <w:rPr>
          <w:rFonts w:ascii="宋体" w:cs="宋体"/>
          <w:szCs w:val="21"/>
        </w:rPr>
        <w:t>电脑、</w:t>
      </w:r>
      <w:r>
        <w:rPr>
          <w:rFonts w:hint="eastAsia" w:ascii="宋体" w:cs="宋体"/>
          <w:szCs w:val="21"/>
        </w:rPr>
        <w:t>铜锣等</w:t>
      </w:r>
      <w:r>
        <w:rPr>
          <w:rFonts w:ascii="宋体" w:cs="宋体"/>
          <w:szCs w:val="21"/>
        </w:rPr>
        <w:t>相关的装备</w:t>
      </w:r>
      <w:r>
        <w:rPr>
          <w:rFonts w:hint="eastAsia" w:ascii="宋体" w:cs="宋体"/>
          <w:szCs w:val="21"/>
        </w:rPr>
        <w:t>。</w:t>
      </w:r>
    </w:p>
    <w:p>
      <w:pPr>
        <w:pStyle w:val="3"/>
      </w:pPr>
      <w:bookmarkStart w:id="20" w:name="_Toc24540512"/>
      <w:r>
        <w:t xml:space="preserve">6.4  </w:t>
      </w:r>
      <w:r>
        <w:rPr>
          <w:rFonts w:hint="eastAsia"/>
        </w:rPr>
        <w:t>专家管理</w:t>
      </w:r>
      <w:bookmarkEnd w:id="20"/>
    </w:p>
    <w:p>
      <w:pPr>
        <w:spacing w:line="360" w:lineRule="auto"/>
        <w:rPr>
          <w:rFonts w:ascii="宋体" w:cs="宋体"/>
          <w:szCs w:val="21"/>
        </w:rPr>
      </w:pPr>
      <w:r>
        <w:rPr>
          <w:rFonts w:ascii="黑体" w:eastAsia="黑体"/>
          <w:bCs/>
          <w:szCs w:val="21"/>
        </w:rPr>
        <w:t>6.4.1</w:t>
      </w:r>
      <w:r>
        <w:rPr>
          <w:rFonts w:hint="eastAsia" w:ascii="黑体" w:eastAsia="黑体"/>
          <w:bCs/>
          <w:szCs w:val="21"/>
        </w:rPr>
        <w:t xml:space="preserve">  </w:t>
      </w:r>
      <w:r>
        <w:rPr>
          <w:rFonts w:hint="eastAsia" w:ascii="宋体" w:cs="宋体"/>
          <w:szCs w:val="21"/>
        </w:rPr>
        <w:t>按照《湖北省地质专家管理办法（试行）》相关内容，开展</w:t>
      </w:r>
      <w:r>
        <w:rPr>
          <w:rFonts w:ascii="宋体" w:cs="宋体"/>
          <w:szCs w:val="21"/>
        </w:rPr>
        <w:t>专家库的人员资质</w:t>
      </w:r>
      <w:r>
        <w:rPr>
          <w:rFonts w:hint="eastAsia" w:ascii="宋体" w:cs="宋体"/>
          <w:szCs w:val="21"/>
        </w:rPr>
        <w:t>审核，并通过“湖北省地质灾害综合防治管理平台”对人员</w:t>
      </w:r>
      <w:r>
        <w:rPr>
          <w:rFonts w:ascii="宋体" w:cs="宋体"/>
          <w:szCs w:val="21"/>
        </w:rPr>
        <w:t>的</w:t>
      </w:r>
      <w:r>
        <w:rPr>
          <w:rFonts w:hint="eastAsia" w:ascii="宋体" w:cs="宋体"/>
          <w:szCs w:val="21"/>
        </w:rPr>
        <w:t>基本信息、专业方向等内容进行登记备案。</w:t>
      </w:r>
    </w:p>
    <w:p>
      <w:pPr>
        <w:spacing w:line="360" w:lineRule="auto"/>
        <w:rPr>
          <w:rFonts w:ascii="宋体" w:cs="宋体"/>
          <w:szCs w:val="21"/>
        </w:rPr>
      </w:pPr>
      <w:r>
        <w:rPr>
          <w:rFonts w:ascii="黑体" w:eastAsia="黑体"/>
          <w:bCs/>
          <w:szCs w:val="21"/>
        </w:rPr>
        <w:t>6.4.2</w:t>
      </w:r>
      <w:r>
        <w:rPr>
          <w:rFonts w:hint="eastAsia" w:ascii="黑体" w:eastAsia="黑体"/>
          <w:bCs/>
          <w:szCs w:val="21"/>
        </w:rPr>
        <w:t xml:space="preserve">  </w:t>
      </w:r>
      <w:r>
        <w:rPr>
          <w:rFonts w:hint="eastAsia" w:ascii="宋体" w:cs="宋体"/>
          <w:szCs w:val="21"/>
        </w:rPr>
        <w:t>地质</w:t>
      </w:r>
      <w:r>
        <w:rPr>
          <w:rFonts w:ascii="宋体" w:cs="宋体"/>
          <w:szCs w:val="21"/>
        </w:rPr>
        <w:t>灾害防治</w:t>
      </w:r>
      <w:r>
        <w:rPr>
          <w:rFonts w:hint="eastAsia" w:ascii="宋体" w:cs="宋体"/>
          <w:szCs w:val="21"/>
        </w:rPr>
        <w:t>专家库建立</w:t>
      </w:r>
      <w:r>
        <w:rPr>
          <w:rFonts w:ascii="宋体" w:cs="宋体"/>
          <w:szCs w:val="21"/>
        </w:rPr>
        <w:t>要</w:t>
      </w:r>
      <w:r>
        <w:rPr>
          <w:rFonts w:hint="eastAsia" w:ascii="宋体" w:cs="宋体"/>
          <w:szCs w:val="21"/>
        </w:rPr>
        <w:t>发挥湖北</w:t>
      </w:r>
      <w:r>
        <w:rPr>
          <w:rFonts w:ascii="宋体" w:cs="宋体"/>
          <w:szCs w:val="21"/>
        </w:rPr>
        <w:t>省地质灾害防治公益性事业单位和</w:t>
      </w:r>
      <w:r>
        <w:rPr>
          <w:rFonts w:hint="eastAsia" w:ascii="宋体" w:cs="宋体"/>
          <w:szCs w:val="21"/>
        </w:rPr>
        <w:t>本地区</w:t>
      </w:r>
      <w:r>
        <w:rPr>
          <w:rFonts w:ascii="宋体" w:cs="宋体"/>
          <w:szCs w:val="21"/>
        </w:rPr>
        <w:t>各高等院校的积极作用</w:t>
      </w:r>
      <w:r>
        <w:rPr>
          <w:rFonts w:hint="eastAsia" w:ascii="宋体" w:cs="宋体"/>
          <w:szCs w:val="21"/>
        </w:rPr>
        <w:t>，</w:t>
      </w:r>
      <w:r>
        <w:rPr>
          <w:rFonts w:ascii="宋体" w:cs="宋体"/>
          <w:szCs w:val="21"/>
        </w:rPr>
        <w:t>不断引入各</w:t>
      </w:r>
      <w:r>
        <w:rPr>
          <w:rFonts w:hint="eastAsia" w:ascii="宋体" w:cs="宋体"/>
          <w:szCs w:val="21"/>
        </w:rPr>
        <w:t>行业</w:t>
      </w:r>
      <w:r>
        <w:rPr>
          <w:rFonts w:ascii="宋体" w:cs="宋体"/>
          <w:szCs w:val="21"/>
        </w:rPr>
        <w:t>专家。</w:t>
      </w:r>
    </w:p>
    <w:p>
      <w:pPr>
        <w:spacing w:line="360" w:lineRule="auto"/>
        <w:rPr>
          <w:rFonts w:ascii="宋体" w:cs="宋体"/>
          <w:szCs w:val="21"/>
        </w:rPr>
      </w:pPr>
      <w:r>
        <w:rPr>
          <w:rFonts w:ascii="黑体" w:eastAsia="黑体"/>
          <w:bCs/>
          <w:szCs w:val="21"/>
        </w:rPr>
        <w:t>6.4.3</w:t>
      </w:r>
      <w:r>
        <w:rPr>
          <w:rFonts w:hint="eastAsia" w:ascii="黑体" w:eastAsia="黑体"/>
          <w:bCs/>
          <w:szCs w:val="21"/>
        </w:rPr>
        <w:t xml:space="preserve">  </w:t>
      </w:r>
      <w:r>
        <w:rPr>
          <w:rFonts w:hint="eastAsia" w:ascii="宋体" w:cs="宋体"/>
          <w:szCs w:val="21"/>
        </w:rPr>
        <w:t>专家库的</w:t>
      </w:r>
      <w:r>
        <w:rPr>
          <w:rFonts w:ascii="宋体" w:cs="宋体"/>
          <w:szCs w:val="21"/>
        </w:rPr>
        <w:t>人员</w:t>
      </w:r>
      <w:r>
        <w:rPr>
          <w:rFonts w:hint="eastAsia" w:ascii="宋体" w:cs="宋体"/>
          <w:szCs w:val="21"/>
        </w:rPr>
        <w:t>涵盖水文地质、工程地质、环境地质、遥感测绘、信息化等多种技术专业，以</w:t>
      </w:r>
      <w:r>
        <w:rPr>
          <w:rFonts w:ascii="宋体" w:cs="宋体"/>
          <w:szCs w:val="21"/>
        </w:rPr>
        <w:t>保</w:t>
      </w:r>
      <w:r>
        <w:rPr>
          <w:rFonts w:hint="eastAsia" w:ascii="宋体" w:cs="宋体"/>
          <w:szCs w:val="21"/>
        </w:rPr>
        <w:t>证</w:t>
      </w:r>
      <w:r>
        <w:rPr>
          <w:rFonts w:ascii="宋体" w:cs="宋体"/>
          <w:szCs w:val="21"/>
        </w:rPr>
        <w:t>专家库的</w:t>
      </w:r>
      <w:r>
        <w:rPr>
          <w:rFonts w:hint="eastAsia" w:ascii="宋体" w:cs="宋体"/>
          <w:szCs w:val="21"/>
        </w:rPr>
        <w:t>全面</w:t>
      </w:r>
      <w:r>
        <w:rPr>
          <w:rFonts w:ascii="宋体" w:cs="宋体"/>
          <w:szCs w:val="21"/>
        </w:rPr>
        <w:t>性和权威性。</w:t>
      </w:r>
    </w:p>
    <w:p>
      <w:pPr>
        <w:pStyle w:val="3"/>
      </w:pPr>
      <w:bookmarkStart w:id="21" w:name="_Toc24540513"/>
      <w:r>
        <w:t xml:space="preserve">6.5  </w:t>
      </w:r>
      <w:r>
        <w:rPr>
          <w:rFonts w:hint="eastAsia"/>
        </w:rPr>
        <w:t>社会力量管理</w:t>
      </w:r>
      <w:bookmarkEnd w:id="21"/>
    </w:p>
    <w:p>
      <w:pPr>
        <w:spacing w:line="360" w:lineRule="auto"/>
        <w:rPr>
          <w:rFonts w:ascii="宋体" w:cs="宋体"/>
          <w:szCs w:val="21"/>
        </w:rPr>
      </w:pPr>
      <w:r>
        <w:rPr>
          <w:rFonts w:ascii="黑体" w:eastAsia="黑体"/>
          <w:bCs/>
          <w:szCs w:val="21"/>
        </w:rPr>
        <w:t>6.5.1</w:t>
      </w:r>
      <w:r>
        <w:rPr>
          <w:rFonts w:hint="eastAsia" w:ascii="黑体" w:eastAsia="黑体"/>
          <w:bCs/>
          <w:szCs w:val="21"/>
        </w:rPr>
        <w:t xml:space="preserve">  </w:t>
      </w:r>
      <w:r>
        <w:rPr>
          <w:rFonts w:hint="eastAsia" w:ascii="宋体" w:cs="宋体"/>
          <w:szCs w:val="21"/>
        </w:rPr>
        <w:t>由各级自然资源管理部门制定社会力量管理办法，以规范本地区的社会力量参与地质灾害防治建设工作。</w:t>
      </w:r>
    </w:p>
    <w:p>
      <w:pPr>
        <w:spacing w:line="360" w:lineRule="auto"/>
        <w:rPr>
          <w:rFonts w:ascii="宋体" w:cs="宋体"/>
          <w:szCs w:val="21"/>
        </w:rPr>
      </w:pPr>
      <w:r>
        <w:rPr>
          <w:rFonts w:ascii="黑体" w:eastAsia="黑体"/>
          <w:bCs/>
          <w:szCs w:val="21"/>
        </w:rPr>
        <w:t>6.5.2</w:t>
      </w:r>
      <w:r>
        <w:rPr>
          <w:rFonts w:hint="eastAsia" w:ascii="黑体" w:eastAsia="黑体"/>
          <w:bCs/>
          <w:szCs w:val="21"/>
        </w:rPr>
        <w:t xml:space="preserve">  </w:t>
      </w:r>
      <w:r>
        <w:rPr>
          <w:rFonts w:hint="eastAsia" w:ascii="宋体" w:cs="宋体"/>
          <w:szCs w:val="21"/>
        </w:rPr>
        <w:t>社会力量作为参与地质灾害防治工作的企事业单位和</w:t>
      </w:r>
      <w:r>
        <w:rPr>
          <w:rFonts w:ascii="宋体" w:cs="宋体"/>
          <w:szCs w:val="21"/>
        </w:rPr>
        <w:t>社会团体</w:t>
      </w:r>
      <w:r>
        <w:rPr>
          <w:rFonts w:hint="eastAsia" w:ascii="宋体" w:cs="宋体"/>
          <w:szCs w:val="21"/>
        </w:rPr>
        <w:t>，必须具备独立法人资格或获得国家</w:t>
      </w:r>
      <w:r>
        <w:rPr>
          <w:rFonts w:ascii="宋体" w:cs="宋体"/>
          <w:szCs w:val="21"/>
        </w:rPr>
        <w:t>认证的</w:t>
      </w:r>
      <w:r>
        <w:rPr>
          <w:rFonts w:hint="eastAsia" w:ascii="宋体" w:cs="宋体"/>
          <w:szCs w:val="21"/>
        </w:rPr>
        <w:t>勘察、设计、评估等建设资质。</w:t>
      </w:r>
    </w:p>
    <w:p>
      <w:pPr>
        <w:tabs>
          <w:tab w:val="left" w:pos="3265"/>
        </w:tabs>
        <w:spacing w:line="360" w:lineRule="auto"/>
        <w:rPr>
          <w:rFonts w:ascii="宋体" w:cs="宋体"/>
          <w:szCs w:val="21"/>
        </w:rPr>
      </w:pPr>
      <w:r>
        <w:rPr>
          <w:rFonts w:ascii="黑体" w:eastAsia="黑体"/>
          <w:bCs/>
          <w:szCs w:val="21"/>
        </w:rPr>
        <w:t>6.5.3</w:t>
      </w:r>
      <w:r>
        <w:rPr>
          <w:rFonts w:hint="eastAsia" w:ascii="黑体" w:eastAsia="黑体"/>
          <w:bCs/>
          <w:szCs w:val="21"/>
        </w:rPr>
        <w:t xml:space="preserve">  </w:t>
      </w:r>
      <w:r>
        <w:rPr>
          <w:rFonts w:hint="eastAsia" w:ascii="宋体" w:cs="宋体"/>
          <w:szCs w:val="21"/>
        </w:rPr>
        <w:t>社会</w:t>
      </w:r>
      <w:r>
        <w:rPr>
          <w:rFonts w:ascii="宋体" w:cs="宋体"/>
          <w:szCs w:val="21"/>
        </w:rPr>
        <w:t>力量</w:t>
      </w:r>
      <w:r>
        <w:rPr>
          <w:rFonts w:hint="eastAsia" w:ascii="宋体" w:cs="宋体"/>
          <w:szCs w:val="21"/>
        </w:rPr>
        <w:t>要求通过“湖北省地质灾害综合防治管理平台”对其法人信息</w:t>
      </w:r>
      <w:r>
        <w:rPr>
          <w:rFonts w:ascii="宋体" w:cs="宋体"/>
          <w:szCs w:val="21"/>
        </w:rPr>
        <w:t>、</w:t>
      </w:r>
      <w:r>
        <w:rPr>
          <w:rFonts w:hint="eastAsia" w:ascii="宋体" w:cs="宋体"/>
          <w:szCs w:val="21"/>
        </w:rPr>
        <w:t>组织结构、人员装备数量和</w:t>
      </w:r>
      <w:r>
        <w:rPr>
          <w:rFonts w:ascii="宋体" w:cs="宋体"/>
          <w:szCs w:val="21"/>
        </w:rPr>
        <w:t>种类</w:t>
      </w:r>
      <w:r>
        <w:rPr>
          <w:rFonts w:hint="eastAsia" w:ascii="宋体" w:cs="宋体"/>
          <w:szCs w:val="21"/>
        </w:rPr>
        <w:t>、</w:t>
      </w:r>
      <w:r>
        <w:rPr>
          <w:rFonts w:ascii="宋体" w:cs="宋体"/>
          <w:szCs w:val="21"/>
        </w:rPr>
        <w:t>服务内容等信息</w:t>
      </w:r>
      <w:r>
        <w:rPr>
          <w:rFonts w:hint="eastAsia" w:ascii="宋体" w:cs="宋体"/>
          <w:szCs w:val="21"/>
        </w:rPr>
        <w:t>进行</w:t>
      </w:r>
      <w:r>
        <w:rPr>
          <w:rFonts w:ascii="宋体" w:cs="宋体"/>
          <w:szCs w:val="21"/>
        </w:rPr>
        <w:t>登记</w:t>
      </w:r>
      <w:r>
        <w:rPr>
          <w:rFonts w:hint="eastAsia" w:ascii="宋体" w:cs="宋体"/>
          <w:szCs w:val="21"/>
        </w:rPr>
        <w:t>备案。</w:t>
      </w:r>
    </w:p>
    <w:p>
      <w:pPr>
        <w:pStyle w:val="2"/>
        <w:spacing w:before="312" w:beforeLines="100" w:after="312" w:afterLines="100"/>
      </w:pPr>
      <w:bookmarkStart w:id="22" w:name="_Toc24540514"/>
      <w:r>
        <w:t xml:space="preserve">7  </w:t>
      </w:r>
      <w:r>
        <w:rPr>
          <w:rFonts w:hint="eastAsia"/>
        </w:rPr>
        <w:t>地质灾害防治“五化”试点建设要求</w:t>
      </w:r>
      <w:bookmarkEnd w:id="22"/>
    </w:p>
    <w:p>
      <w:pPr>
        <w:pStyle w:val="3"/>
      </w:pPr>
      <w:bookmarkStart w:id="23" w:name="_Toc24540515"/>
      <w:r>
        <w:t xml:space="preserve">7.1  </w:t>
      </w:r>
      <w:r>
        <w:rPr>
          <w:rFonts w:hint="eastAsia"/>
        </w:rPr>
        <w:t>管理支撑层级化</w:t>
      </w:r>
      <w:bookmarkEnd w:id="23"/>
    </w:p>
    <w:p>
      <w:pPr>
        <w:spacing w:line="360" w:lineRule="auto"/>
        <w:ind w:firstLine="420" w:firstLineChars="200"/>
        <w:rPr>
          <w:rFonts w:ascii="Times New Roman" w:hAnsi="Times New Roman"/>
          <w:szCs w:val="32"/>
        </w:rPr>
      </w:pPr>
      <w:r>
        <w:rPr>
          <w:rFonts w:hint="eastAsia" w:ascii="Times New Roman" w:hAnsi="Times New Roman"/>
          <w:szCs w:val="32"/>
        </w:rPr>
        <w:t>各</w:t>
      </w:r>
      <w:r>
        <w:rPr>
          <w:rFonts w:ascii="Times New Roman" w:hAnsi="Times New Roman"/>
          <w:szCs w:val="32"/>
        </w:rPr>
        <w:t>试点区</w:t>
      </w:r>
      <w:r>
        <w:rPr>
          <w:rFonts w:hint="eastAsia" w:ascii="Times New Roman" w:hAnsi="Times New Roman"/>
          <w:szCs w:val="32"/>
        </w:rPr>
        <w:t>全面落实地质</w:t>
      </w:r>
      <w:r>
        <w:rPr>
          <w:rFonts w:ascii="Times New Roman" w:hAnsi="Times New Roman"/>
          <w:szCs w:val="32"/>
        </w:rPr>
        <w:t>灾害防治</w:t>
      </w:r>
      <w:r>
        <w:rPr>
          <w:rFonts w:hint="eastAsia" w:ascii="Times New Roman" w:hAnsi="Times New Roman"/>
          <w:szCs w:val="32"/>
        </w:rPr>
        <w:t>“四位一体”</w:t>
      </w:r>
      <w:r>
        <w:rPr>
          <w:rFonts w:ascii="Times New Roman" w:hAnsi="Times New Roman"/>
          <w:szCs w:val="32"/>
        </w:rPr>
        <w:t>网格化</w:t>
      </w:r>
      <w:r>
        <w:rPr>
          <w:rFonts w:hint="eastAsia" w:ascii="Times New Roman" w:hAnsi="Times New Roman"/>
          <w:szCs w:val="32"/>
        </w:rPr>
        <w:t>管理</w:t>
      </w:r>
      <w:r>
        <w:rPr>
          <w:rFonts w:ascii="Times New Roman" w:hAnsi="Times New Roman"/>
          <w:szCs w:val="32"/>
        </w:rPr>
        <w:t>体系，</w:t>
      </w:r>
      <w:r>
        <w:rPr>
          <w:rFonts w:hint="eastAsia" w:ascii="Times New Roman" w:hAnsi="Times New Roman"/>
          <w:szCs w:val="32"/>
        </w:rPr>
        <w:t>建立以县为</w:t>
      </w:r>
      <w:r>
        <w:rPr>
          <w:rFonts w:ascii="Times New Roman" w:hAnsi="Times New Roman"/>
          <w:szCs w:val="32"/>
        </w:rPr>
        <w:t>单位、乡</w:t>
      </w:r>
      <w:r>
        <w:rPr>
          <w:rFonts w:hint="eastAsia" w:ascii="Times New Roman" w:hAnsi="Times New Roman"/>
          <w:szCs w:val="32"/>
        </w:rPr>
        <w:t>为</w:t>
      </w:r>
      <w:r>
        <w:rPr>
          <w:rFonts w:ascii="Times New Roman" w:hAnsi="Times New Roman"/>
          <w:szCs w:val="32"/>
        </w:rPr>
        <w:t>区域</w:t>
      </w:r>
      <w:r>
        <w:rPr>
          <w:rFonts w:hint="eastAsia" w:ascii="Times New Roman" w:hAnsi="Times New Roman"/>
          <w:szCs w:val="32"/>
        </w:rPr>
        <w:t>、</w:t>
      </w:r>
      <w:r>
        <w:rPr>
          <w:rFonts w:ascii="Times New Roman" w:hAnsi="Times New Roman"/>
          <w:szCs w:val="32"/>
        </w:rPr>
        <w:t>村为网格的</w:t>
      </w:r>
      <w:r>
        <w:rPr>
          <w:rFonts w:hint="eastAsia" w:ascii="Times New Roman" w:hAnsi="Times New Roman"/>
          <w:szCs w:val="32"/>
        </w:rPr>
        <w:t>地质灾害防治网格化管理体系，促进县级行政管理与地方</w:t>
      </w:r>
      <w:r>
        <w:rPr>
          <w:rFonts w:ascii="Times New Roman" w:hAnsi="Times New Roman"/>
          <w:szCs w:val="32"/>
        </w:rPr>
        <w:t>地质环境保护站的</w:t>
      </w:r>
      <w:r>
        <w:rPr>
          <w:rFonts w:hint="eastAsia" w:ascii="Times New Roman" w:hAnsi="Times New Roman"/>
          <w:szCs w:val="32"/>
        </w:rPr>
        <w:t>技术支撑相融合，充分发挥责任人</w:t>
      </w:r>
      <w:r>
        <w:rPr>
          <w:rFonts w:ascii="Times New Roman" w:hAnsi="Times New Roman"/>
          <w:szCs w:val="32"/>
        </w:rPr>
        <w:t>、管理员、</w:t>
      </w:r>
      <w:r>
        <w:rPr>
          <w:rFonts w:hint="eastAsia" w:ascii="Times New Roman" w:hAnsi="Times New Roman"/>
          <w:szCs w:val="32"/>
        </w:rPr>
        <w:t>专管员、</w:t>
      </w:r>
      <w:r>
        <w:rPr>
          <w:rFonts w:ascii="Times New Roman" w:hAnsi="Times New Roman"/>
          <w:szCs w:val="32"/>
        </w:rPr>
        <w:t>群测群防员</w:t>
      </w:r>
      <w:r>
        <w:rPr>
          <w:rFonts w:hint="eastAsia" w:ascii="Times New Roman" w:hAnsi="Times New Roman"/>
          <w:szCs w:val="32"/>
        </w:rPr>
        <w:t>的</w:t>
      </w:r>
      <w:r>
        <w:rPr>
          <w:rFonts w:ascii="Times New Roman" w:hAnsi="Times New Roman"/>
          <w:szCs w:val="32"/>
        </w:rPr>
        <w:t>管理职责和协管员</w:t>
      </w:r>
      <w:r>
        <w:rPr>
          <w:rFonts w:hint="eastAsia" w:ascii="Times New Roman" w:hAnsi="Times New Roman"/>
          <w:szCs w:val="32"/>
        </w:rPr>
        <w:t>的</w:t>
      </w:r>
      <w:r>
        <w:rPr>
          <w:rFonts w:ascii="Times New Roman" w:hAnsi="Times New Roman"/>
          <w:szCs w:val="32"/>
        </w:rPr>
        <w:t>技术支撑作用。</w:t>
      </w:r>
    </w:p>
    <w:p>
      <w:pPr>
        <w:pStyle w:val="3"/>
      </w:pPr>
      <w:bookmarkStart w:id="24" w:name="_Toc24540516"/>
      <w:r>
        <w:t xml:space="preserve">7.2  </w:t>
      </w:r>
      <w:r>
        <w:rPr>
          <w:rFonts w:hint="eastAsia"/>
        </w:rPr>
        <w:t>监测手段多样化</w:t>
      </w:r>
      <w:bookmarkEnd w:id="24"/>
    </w:p>
    <w:p>
      <w:pPr>
        <w:spacing w:line="360" w:lineRule="auto"/>
        <w:ind w:firstLine="420" w:firstLineChars="200"/>
        <w:rPr>
          <w:rFonts w:ascii="Times New Roman" w:hAnsi="Times New Roman"/>
          <w:szCs w:val="32"/>
        </w:rPr>
      </w:pPr>
      <w:r>
        <w:rPr>
          <w:rFonts w:hint="eastAsia" w:ascii="Times New Roman" w:hAnsi="Times New Roman"/>
          <w:szCs w:val="32"/>
        </w:rPr>
        <w:t>各</w:t>
      </w:r>
      <w:r>
        <w:rPr>
          <w:rFonts w:ascii="Times New Roman" w:hAnsi="Times New Roman"/>
          <w:szCs w:val="32"/>
        </w:rPr>
        <w:t>试点区</w:t>
      </w:r>
      <w:r>
        <w:rPr>
          <w:rFonts w:hint="eastAsia" w:ascii="Times New Roman" w:hAnsi="Times New Roman"/>
          <w:szCs w:val="32"/>
        </w:rPr>
        <w:t>布设倾角计</w:t>
      </w:r>
      <w:r>
        <w:rPr>
          <w:rFonts w:ascii="Times New Roman" w:hAnsi="Times New Roman"/>
          <w:szCs w:val="32"/>
        </w:rPr>
        <w:t>、</w:t>
      </w:r>
      <w:r>
        <w:rPr>
          <w:rFonts w:hint="eastAsia" w:ascii="Times New Roman" w:hAnsi="Times New Roman"/>
          <w:szCs w:val="32"/>
        </w:rPr>
        <w:t>加速度计、微芯桩等普适性监测设备，同时采用激光测距监测法、裂缝报警器法、上漆法等简易监测手段开展监测预警。以普适性监测为主配合简易手段，首先实现“动与不动”定性监测预警，后续配合应急或专业监测达到定量监测预警。</w:t>
      </w:r>
    </w:p>
    <w:p>
      <w:pPr>
        <w:pStyle w:val="3"/>
      </w:pPr>
      <w:bookmarkStart w:id="25" w:name="_Toc24540517"/>
      <w:r>
        <w:t xml:space="preserve">7.3  </w:t>
      </w:r>
      <w:r>
        <w:rPr>
          <w:rFonts w:hint="eastAsia"/>
        </w:rPr>
        <w:t>数据采集智能化</w:t>
      </w:r>
      <w:bookmarkEnd w:id="25"/>
    </w:p>
    <w:p>
      <w:pPr>
        <w:spacing w:line="360" w:lineRule="auto"/>
        <w:ind w:firstLine="420" w:firstLineChars="200"/>
        <w:rPr>
          <w:rFonts w:ascii="Times New Roman" w:hAnsi="Times New Roman"/>
          <w:szCs w:val="32"/>
        </w:rPr>
      </w:pPr>
      <w:r>
        <w:rPr>
          <w:rFonts w:hint="eastAsia" w:ascii="Times New Roman" w:hAnsi="Times New Roman"/>
          <w:szCs w:val="32"/>
        </w:rPr>
        <w:t>各</w:t>
      </w:r>
      <w:r>
        <w:rPr>
          <w:rFonts w:ascii="Times New Roman" w:hAnsi="Times New Roman"/>
          <w:szCs w:val="32"/>
        </w:rPr>
        <w:t>试点区</w:t>
      </w:r>
      <w:r>
        <w:rPr>
          <w:rFonts w:hint="eastAsia" w:ascii="宋体" w:cs="宋体"/>
          <w:bCs/>
          <w:szCs w:val="21"/>
        </w:rPr>
        <w:t>依托</w:t>
      </w:r>
      <w:r>
        <w:rPr>
          <w:rFonts w:hint="eastAsia" w:ascii="宋体" w:eastAsia="宋体"/>
          <w:szCs w:val="32"/>
        </w:rPr>
        <w:t>“智慧防灾”</w:t>
      </w:r>
      <w:r>
        <w:rPr>
          <w:rFonts w:hint="eastAsia" w:ascii="Times New Roman" w:hAnsi="Times New Roman"/>
          <w:szCs w:val="32"/>
        </w:rPr>
        <w:t>微信公众号相关</w:t>
      </w:r>
      <w:r>
        <w:rPr>
          <w:rFonts w:ascii="Times New Roman" w:hAnsi="Times New Roman"/>
          <w:szCs w:val="32"/>
        </w:rPr>
        <w:t>功能</w:t>
      </w:r>
      <w:r>
        <w:rPr>
          <w:rFonts w:hint="eastAsia" w:ascii="Times New Roman" w:hAnsi="Times New Roman"/>
          <w:szCs w:val="32"/>
        </w:rPr>
        <w:t>，实现群测群防监测数据和灾情险情信息采集上报，以及野外工作调查表填写、拍照记录等功能，有力支撑地质灾害排查和群测群防“一表两卡”等信息野外采集与管理；充分利用无人机飞行控制系统和数据处理云平台，快速获取区内地质灾害隐患点正射、全景和三维倾斜摄影等遥感</w:t>
      </w:r>
      <w:r>
        <w:rPr>
          <w:rFonts w:ascii="Times New Roman" w:hAnsi="Times New Roman"/>
          <w:szCs w:val="32"/>
        </w:rPr>
        <w:t>影像</w:t>
      </w:r>
      <w:r>
        <w:rPr>
          <w:rFonts w:hint="eastAsia" w:ascii="Times New Roman" w:hAnsi="Times New Roman"/>
          <w:szCs w:val="32"/>
        </w:rPr>
        <w:t>信息，上传</w:t>
      </w:r>
      <w:r>
        <w:rPr>
          <w:rFonts w:ascii="Times New Roman" w:hAnsi="Times New Roman"/>
          <w:szCs w:val="32"/>
        </w:rPr>
        <w:t>云平台后</w:t>
      </w:r>
      <w:r>
        <w:rPr>
          <w:rFonts w:hint="eastAsia" w:ascii="Times New Roman" w:hAnsi="Times New Roman"/>
          <w:szCs w:val="32"/>
        </w:rPr>
        <w:t>自动处理发布；利用“湖北省地质环境综合信息平台”将地质灾害隐患点边界范围、变形部位、受威胁对象等信息进行采集入库。</w:t>
      </w:r>
    </w:p>
    <w:p>
      <w:pPr>
        <w:pStyle w:val="3"/>
      </w:pPr>
      <w:bookmarkStart w:id="26" w:name="_Toc24540518"/>
      <w:r>
        <w:t xml:space="preserve">7.4  </w:t>
      </w:r>
      <w:r>
        <w:rPr>
          <w:rFonts w:hint="eastAsia"/>
        </w:rPr>
        <w:t>预警预报及时化</w:t>
      </w:r>
      <w:bookmarkEnd w:id="26"/>
    </w:p>
    <w:p>
      <w:pPr>
        <w:pStyle w:val="26"/>
        <w:spacing w:line="360" w:lineRule="auto"/>
        <w:ind w:firstLine="424" w:firstLineChars="202"/>
      </w:pPr>
      <w:r>
        <w:rPr>
          <w:rFonts w:hint="eastAsia" w:ascii="Times New Roman" w:hAnsi="Times New Roman"/>
          <w:szCs w:val="32"/>
        </w:rPr>
        <w:t>各</w:t>
      </w:r>
      <w:r>
        <w:rPr>
          <w:rFonts w:ascii="Times New Roman" w:hAnsi="Times New Roman"/>
          <w:szCs w:val="32"/>
        </w:rPr>
        <w:t>试点区</w:t>
      </w:r>
      <w:r>
        <w:rPr>
          <w:rFonts w:hint="eastAsia"/>
        </w:rPr>
        <w:t>通过“湖北省地质环境综合信息平台”实现与气象、水利等相关行业的自动化雨量站监测数据共享，结合气象部门提供的降雨预测信息，及时制作地质灾害气象风险预警产品，通过</w:t>
      </w:r>
      <w:r>
        <w:t>短信</w:t>
      </w:r>
      <w:r>
        <w:rPr>
          <w:rFonts w:hint="eastAsia"/>
        </w:rPr>
        <w:t>平台根据预警范围向区内群测群防员及网格人员定向发送预警信息，并在电视或网络面向社会公众发布预警</w:t>
      </w:r>
      <w:r>
        <w:t>信息</w:t>
      </w:r>
      <w:r>
        <w:rPr>
          <w:rFonts w:hint="eastAsia"/>
        </w:rPr>
        <w:t>。</w:t>
      </w:r>
    </w:p>
    <w:p>
      <w:pPr>
        <w:pStyle w:val="3"/>
      </w:pPr>
      <w:bookmarkStart w:id="27" w:name="_Toc24540519"/>
      <w:r>
        <w:t xml:space="preserve">7.5  </w:t>
      </w:r>
      <w:r>
        <w:rPr>
          <w:rFonts w:hint="eastAsia"/>
        </w:rPr>
        <w:t>信息服务一体化</w:t>
      </w:r>
      <w:bookmarkEnd w:id="27"/>
    </w:p>
    <w:p>
      <w:pPr>
        <w:spacing w:line="360" w:lineRule="auto"/>
        <w:ind w:firstLine="424" w:firstLineChars="202"/>
        <w:jc w:val="left"/>
      </w:pPr>
      <w:r>
        <w:rPr>
          <w:rFonts w:hint="eastAsia" w:ascii="Times New Roman" w:hAnsi="Times New Roman"/>
          <w:szCs w:val="32"/>
        </w:rPr>
        <w:t>各</w:t>
      </w:r>
      <w:r>
        <w:rPr>
          <w:rFonts w:ascii="Times New Roman" w:hAnsi="Times New Roman"/>
          <w:szCs w:val="32"/>
        </w:rPr>
        <w:t>试点区</w:t>
      </w:r>
      <w:r>
        <w:rPr>
          <w:rFonts w:hint="eastAsia"/>
        </w:rPr>
        <w:t>使用“湖北省地质环境综合信息平台”中地质灾害数据采集、信息管理和地图联动等功能，实现地质灾害防治数据采集管理、数据挖掘分析和发布服务全流程信息化；形成了整合地质灾害调查评价、监测预警、综合治理等综合防治信息“一张图”；通过引入二维码技术，落实隐患点身份证制度，建立带有二维码的地质灾害隐患点标识牌；规范建立“部、省、市、县”四级地质灾害数据更新机制。</w:t>
      </w:r>
    </w:p>
    <w:p>
      <w:pPr>
        <w:pStyle w:val="2"/>
        <w:spacing w:before="312" w:beforeLines="100" w:after="312" w:afterLines="100"/>
      </w:pPr>
      <w:bookmarkStart w:id="28" w:name="_Toc24540520"/>
      <w:r>
        <w:t xml:space="preserve">8  </w:t>
      </w:r>
      <w:r>
        <w:rPr>
          <w:rFonts w:hint="eastAsia"/>
        </w:rPr>
        <w:t>宣传及演练要求</w:t>
      </w:r>
      <w:bookmarkEnd w:id="28"/>
    </w:p>
    <w:p>
      <w:pPr>
        <w:pStyle w:val="3"/>
      </w:pPr>
      <w:bookmarkStart w:id="29" w:name="_Toc24540521"/>
      <w:r>
        <w:t xml:space="preserve">8.1  </w:t>
      </w:r>
      <w:r>
        <w:rPr>
          <w:rFonts w:hint="eastAsia"/>
        </w:rPr>
        <w:t>宣传培训</w:t>
      </w:r>
      <w:bookmarkEnd w:id="29"/>
    </w:p>
    <w:p>
      <w:pPr>
        <w:pStyle w:val="4"/>
        <w:rPr>
          <w:rFonts w:ascii="黑体"/>
          <w:kern w:val="32"/>
          <w:lang w:eastAsia="zh-CN"/>
        </w:rPr>
      </w:pPr>
      <w:bookmarkStart w:id="30" w:name="_Toc24540522"/>
      <w:r>
        <w:rPr>
          <w:rFonts w:ascii="黑体"/>
          <w:kern w:val="32"/>
          <w:lang w:eastAsia="zh-CN"/>
        </w:rPr>
        <w:t xml:space="preserve">8.1.1  </w:t>
      </w:r>
      <w:r>
        <w:rPr>
          <w:rFonts w:hint="eastAsia" w:ascii="黑体"/>
          <w:kern w:val="32"/>
          <w:lang w:eastAsia="zh-CN"/>
        </w:rPr>
        <w:t>科普基地宣传</w:t>
      </w:r>
      <w:bookmarkEnd w:id="30"/>
    </w:p>
    <w:p>
      <w:pPr>
        <w:spacing w:line="360" w:lineRule="auto"/>
      </w:pPr>
      <w:r>
        <w:rPr>
          <w:rFonts w:ascii="黑体" w:eastAsia="黑体" w:cs="黑体"/>
          <w:bCs/>
          <w:szCs w:val="21"/>
        </w:rPr>
        <w:t>8.1.1.1</w:t>
      </w:r>
      <w:r>
        <w:rPr>
          <w:rFonts w:hint="eastAsia" w:ascii="黑体" w:eastAsia="黑体" w:cs="黑体"/>
          <w:bCs/>
          <w:szCs w:val="21"/>
        </w:rPr>
        <w:t xml:space="preserve">  </w:t>
      </w:r>
      <w:r>
        <w:rPr>
          <w:rFonts w:hint="eastAsia"/>
        </w:rPr>
        <w:t>按照</w:t>
      </w:r>
      <w:r>
        <w:t>《</w:t>
      </w:r>
      <w:r>
        <w:rPr>
          <w:rFonts w:hint="eastAsia"/>
        </w:rPr>
        <w:t>国土资源科普基地推荐及命名暂行办法》的要求，各地可建立有区域代表性的地质灾害防治科普基地，面向公众开展科普宣传、教育培训等工作，普及地质灾害基本知识和地质灾害防治措施。</w:t>
      </w:r>
    </w:p>
    <w:p>
      <w:pPr>
        <w:spacing w:line="360" w:lineRule="auto"/>
        <w:rPr>
          <w:rFonts w:ascii="宋体" w:cs="宋体"/>
          <w:szCs w:val="21"/>
        </w:rPr>
      </w:pPr>
      <w:r>
        <w:rPr>
          <w:rFonts w:ascii="黑体" w:eastAsia="黑体" w:cs="黑体"/>
          <w:bCs/>
          <w:szCs w:val="21"/>
        </w:rPr>
        <w:t>8.1.1.2</w:t>
      </w:r>
      <w:r>
        <w:rPr>
          <w:rFonts w:hint="eastAsia" w:ascii="黑体" w:eastAsia="黑体" w:cs="黑体"/>
          <w:bCs/>
          <w:szCs w:val="21"/>
        </w:rPr>
        <w:t xml:space="preserve">  </w:t>
      </w:r>
      <w:r>
        <w:rPr>
          <w:rFonts w:hint="eastAsia"/>
        </w:rPr>
        <w:t>科普基地要求从以下</w:t>
      </w:r>
      <w:r>
        <w:t>三</w:t>
      </w:r>
      <w:r>
        <w:rPr>
          <w:rFonts w:hint="eastAsia"/>
        </w:rPr>
        <w:t>个方面开展建设</w:t>
      </w:r>
      <w:r>
        <w:t>：</w:t>
      </w:r>
      <w:r>
        <w:rPr>
          <w:rFonts w:hint="eastAsia"/>
        </w:rPr>
        <w:t>地质灾害展示功能，展示地质灾害类型、规模、地质条件、成因机理、诱发因素等，普及基本知识；警示教育功能，展示地质灾害的危害和造成的损失，起到警示教育的作用；安全教育功能，宣讲地质灾害识别和判断的基本常识，普及安全逃生技巧。</w:t>
      </w:r>
    </w:p>
    <w:p>
      <w:pPr>
        <w:pStyle w:val="4"/>
        <w:rPr>
          <w:rFonts w:ascii="黑体"/>
          <w:kern w:val="32"/>
          <w:lang w:eastAsia="zh-CN"/>
        </w:rPr>
      </w:pPr>
      <w:bookmarkStart w:id="31" w:name="_Toc24540523"/>
      <w:r>
        <w:rPr>
          <w:rFonts w:ascii="黑体"/>
          <w:kern w:val="32"/>
          <w:lang w:eastAsia="zh-CN"/>
        </w:rPr>
        <w:t xml:space="preserve">8.1.2  </w:t>
      </w:r>
      <w:r>
        <w:rPr>
          <w:rFonts w:hint="eastAsia" w:ascii="黑体"/>
          <w:kern w:val="32"/>
          <w:lang w:eastAsia="zh-CN"/>
        </w:rPr>
        <w:t>防治机构宣传</w:t>
      </w:r>
      <w:bookmarkEnd w:id="31"/>
    </w:p>
    <w:p>
      <w:pPr>
        <w:spacing w:line="360" w:lineRule="auto"/>
      </w:pPr>
      <w:r>
        <w:rPr>
          <w:rFonts w:ascii="黑体" w:eastAsia="黑体" w:cs="黑体"/>
          <w:bCs/>
          <w:szCs w:val="21"/>
        </w:rPr>
        <w:t>8.1.2.1</w:t>
      </w:r>
      <w:r>
        <w:rPr>
          <w:rFonts w:hint="eastAsia" w:ascii="黑体" w:eastAsia="黑体" w:cs="黑体"/>
          <w:bCs/>
          <w:szCs w:val="21"/>
        </w:rPr>
        <w:t xml:space="preserve">  </w:t>
      </w:r>
      <w:r>
        <w:rPr>
          <w:rFonts w:hint="eastAsia" w:ascii="宋体" w:cs="宋体"/>
          <w:szCs w:val="21"/>
        </w:rPr>
        <w:t>开展地质</w:t>
      </w:r>
      <w:r>
        <w:rPr>
          <w:rFonts w:ascii="宋体" w:cs="宋体"/>
          <w:szCs w:val="21"/>
        </w:rPr>
        <w:t>灾害</w:t>
      </w:r>
      <w:r>
        <w:rPr>
          <w:rFonts w:hint="eastAsia" w:ascii="宋体" w:cs="宋体"/>
          <w:szCs w:val="21"/>
        </w:rPr>
        <w:t>防治</w:t>
      </w:r>
      <w:r>
        <w:rPr>
          <w:rFonts w:ascii="宋体" w:cs="宋体"/>
          <w:szCs w:val="21"/>
        </w:rPr>
        <w:t>宣传工作</w:t>
      </w:r>
      <w:r>
        <w:rPr>
          <w:rFonts w:hint="eastAsia" w:ascii="宋体" w:cs="宋体"/>
          <w:szCs w:val="21"/>
        </w:rPr>
        <w:t>时</w:t>
      </w:r>
      <w:r>
        <w:rPr>
          <w:rFonts w:ascii="宋体" w:cs="宋体"/>
          <w:szCs w:val="21"/>
        </w:rPr>
        <w:t>，</w:t>
      </w:r>
      <w:r>
        <w:rPr>
          <w:rFonts w:hint="eastAsia" w:ascii="宋体" w:cs="宋体"/>
          <w:szCs w:val="21"/>
        </w:rPr>
        <w:t>各地区要</w:t>
      </w:r>
      <w:r>
        <w:t>充分利用</w:t>
      </w:r>
      <w:r>
        <w:rPr>
          <w:rFonts w:hint="eastAsia"/>
        </w:rPr>
        <w:t>“</w:t>
      </w:r>
      <w:r>
        <w:rPr>
          <w:rFonts w:ascii="Times New Roman" w:hAnsi="Times New Roman"/>
        </w:rPr>
        <w:t>4.22</w:t>
      </w:r>
      <w:r>
        <w:rPr>
          <w:rFonts w:hint="eastAsia"/>
        </w:rPr>
        <w:t>”</w:t>
      </w:r>
      <w:r>
        <w:t>、</w:t>
      </w:r>
      <w:r>
        <w:rPr>
          <w:rFonts w:hint="eastAsia"/>
        </w:rPr>
        <w:t>“</w:t>
      </w:r>
      <w:r>
        <w:rPr>
          <w:rFonts w:ascii="Times New Roman" w:hAnsi="Times New Roman"/>
        </w:rPr>
        <w:t>5.12</w:t>
      </w:r>
      <w:r>
        <w:rPr>
          <w:rFonts w:hint="eastAsia"/>
        </w:rPr>
        <w:t>”</w:t>
      </w:r>
      <w:r>
        <w:t>、</w:t>
      </w:r>
      <w:r>
        <w:rPr>
          <w:rFonts w:hint="eastAsia"/>
        </w:rPr>
        <w:t>“</w:t>
      </w:r>
      <w:r>
        <w:rPr>
          <w:rFonts w:ascii="Times New Roman" w:hAnsi="Times New Roman"/>
        </w:rPr>
        <w:t>6.25</w:t>
      </w:r>
      <w:r>
        <w:rPr>
          <w:rFonts w:hint="eastAsia"/>
        </w:rPr>
        <w:t>”</w:t>
      </w:r>
      <w:r>
        <w:t>等时间节点，</w:t>
      </w:r>
      <w:r>
        <w:rPr>
          <w:rFonts w:hint="eastAsia"/>
        </w:rPr>
        <w:t>通过多形式</w:t>
      </w:r>
      <w:r>
        <w:t>、多渠道、多层级宣传教育与培训，普及地质灾害预防、辨别、避险、自救等知识。</w:t>
      </w:r>
    </w:p>
    <w:p>
      <w:pPr>
        <w:spacing w:line="360" w:lineRule="auto"/>
        <w:rPr>
          <w:rFonts w:ascii="宋体" w:cs="宋体"/>
          <w:szCs w:val="21"/>
        </w:rPr>
      </w:pPr>
      <w:r>
        <w:rPr>
          <w:rFonts w:ascii="黑体" w:eastAsia="黑体" w:cs="黑体"/>
          <w:bCs/>
          <w:szCs w:val="21"/>
        </w:rPr>
        <w:t>8.1.2.2</w:t>
      </w:r>
      <w:r>
        <w:rPr>
          <w:rFonts w:hint="eastAsia" w:ascii="黑体" w:eastAsia="黑体" w:cs="黑体"/>
          <w:bCs/>
          <w:szCs w:val="21"/>
        </w:rPr>
        <w:t xml:space="preserve">  </w:t>
      </w:r>
      <w:r>
        <w:rPr>
          <w:rFonts w:hint="eastAsia" w:ascii="宋体" w:cs="宋体"/>
          <w:szCs w:val="21"/>
        </w:rPr>
        <w:t>县</w:t>
      </w:r>
      <w:r>
        <w:rPr>
          <w:rFonts w:ascii="宋体" w:cs="宋体"/>
          <w:szCs w:val="21"/>
        </w:rPr>
        <w:t>级及以上地区开展</w:t>
      </w:r>
      <w:r>
        <w:rPr>
          <w:rFonts w:hint="eastAsia"/>
        </w:rPr>
        <w:t>防治宣传</w:t>
      </w:r>
      <w:r>
        <w:t>工作</w:t>
      </w:r>
      <w:r>
        <w:rPr>
          <w:rFonts w:hint="eastAsia"/>
        </w:rPr>
        <w:t>，</w:t>
      </w:r>
      <w:r>
        <w:t>可</w:t>
      </w:r>
      <w:r>
        <w:rPr>
          <w:rFonts w:hint="eastAsia"/>
        </w:rPr>
        <w:t>组织</w:t>
      </w:r>
      <w:r>
        <w:t>人员以</w:t>
      </w:r>
      <w:r>
        <w:rPr>
          <w:rFonts w:hint="eastAsia"/>
        </w:rPr>
        <w:t>现场制作横幅展板、设立咨询台、发放地质灾害科普知识宣传品及宣传材料等形式，向广大群众宣传地质灾害的类别、成因，地质</w:t>
      </w:r>
      <w:r>
        <w:t>灾害</w:t>
      </w:r>
      <w:r>
        <w:rPr>
          <w:rFonts w:hint="eastAsia"/>
        </w:rPr>
        <w:t>造成</w:t>
      </w:r>
      <w:r>
        <w:t>的损失和</w:t>
      </w:r>
      <w:r>
        <w:rPr>
          <w:rFonts w:hint="eastAsia"/>
        </w:rPr>
        <w:t>成功避险案例；也可通过与企事</w:t>
      </w:r>
      <w:r>
        <w:rPr>
          <w:rFonts w:hint="eastAsia" w:ascii="宋体" w:cs="宋体"/>
          <w:szCs w:val="21"/>
        </w:rPr>
        <w:t>业单位和学校合作，开展防灾知识进企业、进校园活动，进行防灾减灾知识宣传。</w:t>
      </w:r>
    </w:p>
    <w:p>
      <w:pPr>
        <w:spacing w:line="360" w:lineRule="auto"/>
        <w:rPr>
          <w:rFonts w:ascii="宋体" w:cs="宋体"/>
          <w:szCs w:val="21"/>
        </w:rPr>
      </w:pPr>
      <w:r>
        <w:rPr>
          <w:rFonts w:ascii="黑体" w:eastAsia="黑体" w:cs="黑体"/>
          <w:bCs/>
          <w:szCs w:val="21"/>
        </w:rPr>
        <w:t>8.1.2.3</w:t>
      </w:r>
      <w:r>
        <w:rPr>
          <w:rFonts w:hint="eastAsia" w:ascii="黑体" w:eastAsia="黑体" w:cs="黑体"/>
          <w:bCs/>
          <w:szCs w:val="21"/>
        </w:rPr>
        <w:t xml:space="preserve">  </w:t>
      </w:r>
      <w:r>
        <w:rPr>
          <w:rFonts w:hint="eastAsia" w:ascii="宋体" w:cs="宋体"/>
          <w:szCs w:val="21"/>
        </w:rPr>
        <w:t>县级及以下</w:t>
      </w:r>
      <w:r>
        <w:rPr>
          <w:rFonts w:ascii="宋体" w:cs="宋体"/>
          <w:szCs w:val="21"/>
        </w:rPr>
        <w:t>地区</w:t>
      </w:r>
      <w:r>
        <w:rPr>
          <w:rFonts w:hint="eastAsia" w:ascii="宋体" w:cs="宋体"/>
          <w:szCs w:val="21"/>
        </w:rPr>
        <w:t>开展地质灾害防治宣传时，要求将地质灾害防治宣传手册发放到户，并向辖区</w:t>
      </w:r>
      <w:r>
        <w:rPr>
          <w:rFonts w:ascii="宋体" w:cs="宋体"/>
          <w:szCs w:val="21"/>
        </w:rPr>
        <w:t>内</w:t>
      </w:r>
      <w:r>
        <w:rPr>
          <w:rFonts w:hint="eastAsia" w:ascii="宋体" w:cs="宋体"/>
          <w:szCs w:val="21"/>
        </w:rPr>
        <w:t>群众普及“四应知、四应会”等相关识灾避灾知识。</w:t>
      </w:r>
    </w:p>
    <w:p>
      <w:pPr>
        <w:spacing w:line="360" w:lineRule="auto"/>
        <w:rPr>
          <w:rFonts w:ascii="宋体" w:cs="宋体"/>
          <w:szCs w:val="21"/>
        </w:rPr>
      </w:pPr>
      <w:r>
        <w:rPr>
          <w:rFonts w:hint="eastAsia" w:ascii="黑体" w:eastAsia="黑体" w:cs="黑体"/>
          <w:bCs/>
          <w:szCs w:val="21"/>
        </w:rPr>
        <w:t>8.1.2.4</w:t>
      </w:r>
      <w:r>
        <w:rPr>
          <w:rFonts w:hint="eastAsia" w:ascii="宋体" w:cs="宋体"/>
          <w:szCs w:val="21"/>
        </w:rPr>
        <w:t xml:space="preserve">  当在</w:t>
      </w:r>
      <w:r>
        <w:rPr>
          <w:rFonts w:ascii="宋体" w:cs="宋体"/>
          <w:szCs w:val="21"/>
        </w:rPr>
        <w:t>汛期和极端天气发生时，</w:t>
      </w:r>
      <w:r>
        <w:rPr>
          <w:rFonts w:hint="eastAsia" w:ascii="宋体" w:cs="宋体"/>
          <w:szCs w:val="21"/>
        </w:rPr>
        <w:t>各级机构要</w:t>
      </w:r>
      <w:r>
        <w:rPr>
          <w:rFonts w:ascii="宋体" w:cs="宋体"/>
          <w:szCs w:val="21"/>
        </w:rPr>
        <w:t>及时</w:t>
      </w:r>
      <w:r>
        <w:rPr>
          <w:rFonts w:hint="eastAsia" w:ascii="宋体" w:cs="宋体"/>
          <w:szCs w:val="21"/>
        </w:rPr>
        <w:t>通过手机</w:t>
      </w:r>
      <w:r>
        <w:rPr>
          <w:rFonts w:ascii="宋体" w:cs="宋体"/>
          <w:szCs w:val="21"/>
        </w:rPr>
        <w:t>短信、网络媒体和电视栏目</w:t>
      </w:r>
      <w:r>
        <w:rPr>
          <w:rFonts w:hint="eastAsia" w:ascii="宋体" w:cs="宋体"/>
          <w:szCs w:val="21"/>
        </w:rPr>
        <w:t>向</w:t>
      </w:r>
      <w:r>
        <w:rPr>
          <w:rFonts w:ascii="宋体" w:cs="宋体"/>
          <w:szCs w:val="21"/>
        </w:rPr>
        <w:t>广大群众推送地质灾害预警预报</w:t>
      </w:r>
      <w:r>
        <w:rPr>
          <w:rFonts w:hint="eastAsia" w:ascii="宋体" w:cs="宋体"/>
          <w:szCs w:val="21"/>
        </w:rPr>
        <w:t>、</w:t>
      </w:r>
      <w:r>
        <w:rPr>
          <w:rFonts w:ascii="宋体" w:cs="宋体"/>
          <w:szCs w:val="21"/>
        </w:rPr>
        <w:t>防灾避险常识</w:t>
      </w:r>
      <w:r>
        <w:rPr>
          <w:rFonts w:hint="eastAsia" w:ascii="宋体" w:cs="宋体"/>
          <w:szCs w:val="21"/>
        </w:rPr>
        <w:t>等</w:t>
      </w:r>
      <w:r>
        <w:rPr>
          <w:rFonts w:ascii="宋体" w:cs="宋体"/>
          <w:szCs w:val="21"/>
        </w:rPr>
        <w:t>消息。</w:t>
      </w:r>
    </w:p>
    <w:p>
      <w:pPr>
        <w:pStyle w:val="4"/>
        <w:rPr>
          <w:rFonts w:ascii="黑体"/>
          <w:kern w:val="32"/>
          <w:lang w:eastAsia="zh-CN"/>
        </w:rPr>
      </w:pPr>
      <w:bookmarkStart w:id="32" w:name="_Toc24540524"/>
      <w:r>
        <w:rPr>
          <w:rFonts w:ascii="黑体"/>
          <w:kern w:val="32"/>
          <w:lang w:eastAsia="zh-CN"/>
        </w:rPr>
        <w:t xml:space="preserve">8.1.3  </w:t>
      </w:r>
      <w:r>
        <w:rPr>
          <w:rFonts w:hint="eastAsia" w:ascii="黑体"/>
          <w:kern w:val="32"/>
          <w:lang w:eastAsia="zh-CN"/>
        </w:rPr>
        <w:t>防治培训</w:t>
      </w:r>
      <w:bookmarkEnd w:id="32"/>
    </w:p>
    <w:p>
      <w:pPr>
        <w:spacing w:line="360" w:lineRule="auto"/>
        <w:rPr>
          <w:rFonts w:ascii="宋体" w:cs="宋体"/>
          <w:szCs w:val="21"/>
        </w:rPr>
      </w:pPr>
      <w:r>
        <w:rPr>
          <w:rFonts w:ascii="黑体" w:eastAsia="黑体" w:cs="黑体"/>
          <w:bCs/>
          <w:szCs w:val="21"/>
        </w:rPr>
        <w:t>8.1.3.1</w:t>
      </w:r>
      <w:r>
        <w:rPr>
          <w:rFonts w:hint="eastAsia" w:ascii="黑体" w:eastAsia="黑体" w:cs="黑体"/>
          <w:bCs/>
          <w:szCs w:val="21"/>
        </w:rPr>
        <w:t xml:space="preserve">  </w:t>
      </w:r>
      <w:r>
        <w:rPr>
          <w:rFonts w:hint="eastAsia" w:ascii="宋体" w:cs="宋体"/>
          <w:szCs w:val="21"/>
        </w:rPr>
        <w:t>地质灾害防治培训工作主要由各级地质灾害防治机构组织</w:t>
      </w:r>
      <w:r>
        <w:rPr>
          <w:rFonts w:ascii="宋体" w:cs="宋体"/>
          <w:szCs w:val="21"/>
        </w:rPr>
        <w:t>，</w:t>
      </w:r>
      <w:r>
        <w:rPr>
          <w:rFonts w:hint="eastAsia" w:ascii="宋体" w:cs="宋体"/>
          <w:szCs w:val="21"/>
        </w:rPr>
        <w:t>技术支撑机构协助，每年定期以讲座、现场会等形式，面向本辖区地质</w:t>
      </w:r>
      <w:r>
        <w:rPr>
          <w:rFonts w:ascii="宋体" w:cs="宋体"/>
          <w:szCs w:val="21"/>
        </w:rPr>
        <w:t>灾害</w:t>
      </w:r>
      <w:r>
        <w:rPr>
          <w:rFonts w:hint="eastAsia" w:ascii="宋体" w:cs="宋体"/>
          <w:szCs w:val="21"/>
        </w:rPr>
        <w:t>防治工作</w:t>
      </w:r>
      <w:r>
        <w:rPr>
          <w:rFonts w:ascii="宋体" w:cs="宋体"/>
          <w:szCs w:val="21"/>
        </w:rPr>
        <w:t>相关</w:t>
      </w:r>
      <w:r>
        <w:rPr>
          <w:rFonts w:hint="eastAsia" w:ascii="宋体" w:cs="宋体"/>
          <w:szCs w:val="21"/>
        </w:rPr>
        <w:t>管理人员和技术人员开展</w:t>
      </w:r>
      <w:r>
        <w:rPr>
          <w:rFonts w:ascii="宋体" w:cs="宋体"/>
          <w:szCs w:val="21"/>
        </w:rPr>
        <w:t>培训工作</w:t>
      </w:r>
      <w:r>
        <w:rPr>
          <w:rFonts w:hint="eastAsia" w:ascii="宋体" w:cs="宋体"/>
          <w:szCs w:val="21"/>
        </w:rPr>
        <w:t>。</w:t>
      </w:r>
    </w:p>
    <w:p>
      <w:pPr>
        <w:spacing w:line="360" w:lineRule="auto"/>
        <w:rPr>
          <w:rFonts w:ascii="宋体" w:cs="宋体"/>
          <w:szCs w:val="21"/>
        </w:rPr>
      </w:pPr>
      <w:r>
        <w:rPr>
          <w:rFonts w:ascii="黑体" w:eastAsia="黑体" w:cs="黑体"/>
          <w:bCs/>
          <w:szCs w:val="21"/>
        </w:rPr>
        <w:t xml:space="preserve">8.1.3.2 </w:t>
      </w:r>
      <w:r>
        <w:rPr>
          <w:rFonts w:ascii="宋体" w:cs="宋体"/>
          <w:szCs w:val="21"/>
        </w:rPr>
        <w:t xml:space="preserve"> </w:t>
      </w:r>
      <w:r>
        <w:rPr>
          <w:rFonts w:hint="eastAsia" w:ascii="宋体" w:cs="宋体"/>
          <w:szCs w:val="21"/>
        </w:rPr>
        <w:t>以提升防治业务技术水平，学习新技术、新方法为目的，开展培训内容包括</w:t>
      </w:r>
      <w:r>
        <w:rPr>
          <w:rFonts w:ascii="宋体" w:cs="宋体"/>
          <w:szCs w:val="21"/>
        </w:rPr>
        <w:t>新颁布的</w:t>
      </w:r>
      <w:r>
        <w:rPr>
          <w:rFonts w:hint="eastAsia" w:ascii="宋体" w:cs="宋体"/>
          <w:szCs w:val="21"/>
        </w:rPr>
        <w:t>法律</w:t>
      </w:r>
      <w:r>
        <w:rPr>
          <w:rFonts w:ascii="宋体" w:cs="宋体"/>
          <w:szCs w:val="21"/>
        </w:rPr>
        <w:t>法规、</w:t>
      </w:r>
      <w:r>
        <w:rPr>
          <w:rFonts w:hint="eastAsia" w:ascii="宋体" w:cs="宋体"/>
          <w:szCs w:val="21"/>
        </w:rPr>
        <w:t>管理</w:t>
      </w:r>
      <w:r>
        <w:rPr>
          <w:rFonts w:ascii="宋体" w:cs="宋体"/>
          <w:szCs w:val="21"/>
        </w:rPr>
        <w:t>办法</w:t>
      </w:r>
      <w:r>
        <w:rPr>
          <w:rFonts w:hint="eastAsia" w:ascii="宋体" w:cs="宋体"/>
          <w:szCs w:val="21"/>
        </w:rPr>
        <w:t>、灾害</w:t>
      </w:r>
      <w:r>
        <w:rPr>
          <w:rFonts w:ascii="宋体" w:cs="宋体"/>
          <w:szCs w:val="21"/>
        </w:rPr>
        <w:t>的分级分类</w:t>
      </w:r>
      <w:r>
        <w:rPr>
          <w:rFonts w:hint="eastAsia" w:ascii="宋体" w:cs="宋体"/>
          <w:szCs w:val="21"/>
        </w:rPr>
        <w:t>标准和工作技术流程及</w:t>
      </w:r>
      <w:r>
        <w:rPr>
          <w:rFonts w:ascii="宋体" w:cs="宋体"/>
          <w:szCs w:val="21"/>
        </w:rPr>
        <w:t>规范</w:t>
      </w:r>
      <w:r>
        <w:rPr>
          <w:rFonts w:hint="eastAsia" w:ascii="宋体" w:cs="宋体"/>
          <w:szCs w:val="21"/>
        </w:rPr>
        <w:t>要求以及信息</w:t>
      </w:r>
      <w:r>
        <w:rPr>
          <w:rFonts w:ascii="宋体" w:cs="宋体"/>
          <w:szCs w:val="21"/>
        </w:rPr>
        <w:t>化调查装备和软件</w:t>
      </w:r>
      <w:r>
        <w:rPr>
          <w:rFonts w:hint="eastAsia" w:ascii="宋体" w:cs="宋体"/>
          <w:szCs w:val="21"/>
        </w:rPr>
        <w:t>等内容</w:t>
      </w:r>
      <w:r>
        <w:rPr>
          <w:rFonts w:ascii="宋体" w:cs="宋体"/>
          <w:szCs w:val="21"/>
        </w:rPr>
        <w:t>。</w:t>
      </w:r>
    </w:p>
    <w:p>
      <w:pPr>
        <w:pStyle w:val="3"/>
      </w:pPr>
      <w:bookmarkStart w:id="33" w:name="_Toc24540525"/>
      <w:r>
        <w:t xml:space="preserve">8.2  </w:t>
      </w:r>
      <w:r>
        <w:rPr>
          <w:rFonts w:hint="eastAsia"/>
        </w:rPr>
        <w:t>防灾演练</w:t>
      </w:r>
      <w:bookmarkEnd w:id="33"/>
    </w:p>
    <w:p>
      <w:pPr>
        <w:spacing w:line="360" w:lineRule="auto"/>
        <w:rPr>
          <w:rFonts w:ascii="宋体" w:cs="宋体"/>
          <w:szCs w:val="21"/>
        </w:rPr>
      </w:pPr>
      <w:r>
        <w:rPr>
          <w:rFonts w:ascii="黑体" w:eastAsia="黑体" w:cs="黑体"/>
          <w:bCs/>
          <w:szCs w:val="21"/>
        </w:rPr>
        <w:t>8.2.1</w:t>
      </w:r>
      <w:r>
        <w:rPr>
          <w:rFonts w:hint="eastAsia" w:ascii="黑体" w:eastAsia="黑体" w:cs="黑体"/>
          <w:bCs/>
          <w:szCs w:val="21"/>
        </w:rPr>
        <w:t xml:space="preserve">  </w:t>
      </w:r>
      <w:r>
        <w:rPr>
          <w:rFonts w:hint="eastAsia" w:ascii="宋体" w:cs="宋体"/>
          <w:szCs w:val="21"/>
        </w:rPr>
        <w:t>防灾演练从流程和内容上划分，分为综合演练、专项演练和“屋场式”演练，防灾演练要求有方案</w:t>
      </w:r>
      <w:r>
        <w:rPr>
          <w:rFonts w:ascii="宋体" w:cs="宋体"/>
          <w:szCs w:val="21"/>
        </w:rPr>
        <w:t>、有脚本、有</w:t>
      </w:r>
      <w:r>
        <w:rPr>
          <w:rFonts w:hint="eastAsia" w:ascii="宋体" w:cs="宋体"/>
          <w:szCs w:val="21"/>
        </w:rPr>
        <w:t>总结。</w:t>
      </w:r>
    </w:p>
    <w:p>
      <w:pPr>
        <w:spacing w:line="360" w:lineRule="auto"/>
        <w:rPr>
          <w:rFonts w:ascii="宋体" w:cs="宋体"/>
          <w:szCs w:val="21"/>
        </w:rPr>
      </w:pPr>
      <w:r>
        <w:rPr>
          <w:rFonts w:ascii="黑体" w:eastAsia="黑体" w:cs="黑体"/>
          <w:bCs/>
          <w:szCs w:val="21"/>
        </w:rPr>
        <w:t>8.2.2</w:t>
      </w:r>
      <w:r>
        <w:rPr>
          <w:rFonts w:hint="eastAsia" w:ascii="黑体" w:eastAsia="黑体" w:cs="黑体"/>
          <w:bCs/>
          <w:szCs w:val="21"/>
        </w:rPr>
        <w:t xml:space="preserve">  </w:t>
      </w:r>
      <w:r>
        <w:rPr>
          <w:rFonts w:hint="eastAsia" w:ascii="宋体" w:cs="宋体"/>
          <w:szCs w:val="21"/>
        </w:rPr>
        <w:t>综合性防治演练以提升各级机构的协调指挥、队伍协作</w:t>
      </w:r>
      <w:r>
        <w:rPr>
          <w:rFonts w:ascii="宋体" w:cs="宋体"/>
          <w:szCs w:val="21"/>
        </w:rPr>
        <w:t>能力，</w:t>
      </w:r>
      <w:r>
        <w:rPr>
          <w:rFonts w:hint="eastAsia" w:ascii="宋体" w:cs="宋体"/>
          <w:szCs w:val="21"/>
        </w:rPr>
        <w:t>检验面对突发性地质灾害</w:t>
      </w:r>
      <w:r>
        <w:rPr>
          <w:rFonts w:ascii="宋体" w:cs="宋体"/>
          <w:szCs w:val="21"/>
        </w:rPr>
        <w:t>处</w:t>
      </w:r>
      <w:r>
        <w:rPr>
          <w:rFonts w:hint="eastAsia" w:ascii="宋体" w:cs="宋体"/>
          <w:szCs w:val="21"/>
        </w:rPr>
        <w:t>置和后勤保障能力为</w:t>
      </w:r>
      <w:r>
        <w:rPr>
          <w:rFonts w:ascii="宋体" w:cs="宋体"/>
          <w:szCs w:val="21"/>
        </w:rPr>
        <w:t>目的，</w:t>
      </w:r>
      <w:r>
        <w:rPr>
          <w:rFonts w:hint="eastAsia" w:ascii="宋体" w:cs="宋体"/>
          <w:szCs w:val="21"/>
        </w:rPr>
        <w:t>由政府及防治机构组织</w:t>
      </w:r>
      <w:r>
        <w:rPr>
          <w:rFonts w:ascii="宋体" w:cs="宋体"/>
          <w:szCs w:val="21"/>
        </w:rPr>
        <w:t>，</w:t>
      </w:r>
      <w:r>
        <w:rPr>
          <w:rFonts w:hint="eastAsia" w:ascii="宋体" w:cs="宋体"/>
          <w:szCs w:val="21"/>
        </w:rPr>
        <w:t>各企事业单位、社会团体等技术支撑部门参与，根据防灾预案开展的演练工作。</w:t>
      </w:r>
    </w:p>
    <w:p>
      <w:pPr>
        <w:spacing w:line="360" w:lineRule="auto"/>
        <w:rPr>
          <w:rFonts w:ascii="宋体" w:cs="宋体"/>
          <w:szCs w:val="21"/>
        </w:rPr>
      </w:pPr>
      <w:r>
        <w:rPr>
          <w:rFonts w:ascii="黑体" w:eastAsia="黑体" w:cs="黑体"/>
          <w:bCs/>
          <w:szCs w:val="21"/>
        </w:rPr>
        <w:t>8.2.3</w:t>
      </w:r>
      <w:r>
        <w:rPr>
          <w:rFonts w:hint="eastAsia" w:ascii="黑体" w:eastAsia="黑体" w:cs="黑体"/>
          <w:bCs/>
          <w:szCs w:val="21"/>
        </w:rPr>
        <w:t xml:space="preserve">  </w:t>
      </w:r>
      <w:r>
        <w:rPr>
          <w:rFonts w:hint="eastAsia" w:ascii="宋体" w:cs="宋体"/>
          <w:szCs w:val="21"/>
        </w:rPr>
        <w:t>专项演练以检验协调指挥、视频会商、互联互通等技术环节为</w:t>
      </w:r>
      <w:r>
        <w:rPr>
          <w:rFonts w:ascii="宋体" w:cs="宋体"/>
          <w:szCs w:val="21"/>
        </w:rPr>
        <w:t>目的</w:t>
      </w:r>
      <w:r>
        <w:rPr>
          <w:rFonts w:hint="eastAsia" w:ascii="宋体" w:cs="宋体"/>
          <w:szCs w:val="21"/>
        </w:rPr>
        <w:t>，由</w:t>
      </w:r>
      <w:r>
        <w:rPr>
          <w:rFonts w:ascii="宋体" w:cs="宋体"/>
          <w:szCs w:val="21"/>
        </w:rPr>
        <w:t>技术</w:t>
      </w:r>
      <w:r>
        <w:rPr>
          <w:rFonts w:hint="eastAsia" w:ascii="宋体" w:cs="宋体"/>
          <w:szCs w:val="21"/>
        </w:rPr>
        <w:t>支撑机构主导开展验证地质灾害防治工作新技术，提升技术人员的操作技能的演练工作。</w:t>
      </w:r>
    </w:p>
    <w:p>
      <w:pPr>
        <w:spacing w:line="360" w:lineRule="auto"/>
        <w:rPr>
          <w:rFonts w:ascii="宋体" w:cs="宋体"/>
          <w:szCs w:val="21"/>
        </w:rPr>
      </w:pPr>
      <w:r>
        <w:rPr>
          <w:rFonts w:hint="eastAsia" w:ascii="黑体" w:eastAsia="黑体" w:cs="黑体"/>
          <w:bCs/>
          <w:szCs w:val="21"/>
        </w:rPr>
        <w:t>8.2.4</w:t>
      </w:r>
      <w:r>
        <w:rPr>
          <w:rFonts w:hint="eastAsia" w:ascii="宋体" w:cs="宋体"/>
          <w:szCs w:val="21"/>
        </w:rPr>
        <w:t xml:space="preserve">  屋</w:t>
      </w:r>
      <w:r>
        <w:rPr>
          <w:rFonts w:ascii="宋体" w:cs="宋体"/>
          <w:szCs w:val="21"/>
        </w:rPr>
        <w:t>场式演练</w:t>
      </w:r>
      <w:r>
        <w:rPr>
          <w:rFonts w:hint="eastAsia" w:ascii="宋体" w:cs="宋体"/>
          <w:szCs w:val="21"/>
        </w:rPr>
        <w:t>以提高</w:t>
      </w:r>
      <w:r>
        <w:rPr>
          <w:rFonts w:ascii="宋体" w:cs="宋体"/>
          <w:szCs w:val="21"/>
        </w:rPr>
        <w:t>群众</w:t>
      </w:r>
      <w:r>
        <w:rPr>
          <w:rFonts w:hint="eastAsia" w:ascii="宋体" w:cs="宋体"/>
          <w:szCs w:val="21"/>
        </w:rPr>
        <w:t>防灾避灾</w:t>
      </w:r>
      <w:r>
        <w:rPr>
          <w:rFonts w:ascii="宋体" w:cs="宋体"/>
          <w:szCs w:val="21"/>
        </w:rPr>
        <w:t>意识</w:t>
      </w:r>
      <w:r>
        <w:rPr>
          <w:rFonts w:hint="eastAsia" w:ascii="宋体" w:cs="宋体"/>
          <w:szCs w:val="21"/>
        </w:rPr>
        <w:t>为</w:t>
      </w:r>
      <w:r>
        <w:rPr>
          <w:rFonts w:ascii="宋体" w:cs="宋体"/>
          <w:szCs w:val="21"/>
        </w:rPr>
        <w:t>目的，</w:t>
      </w:r>
      <w:r>
        <w:rPr>
          <w:rFonts w:hint="eastAsia" w:ascii="宋体" w:cs="宋体"/>
          <w:szCs w:val="21"/>
        </w:rPr>
        <w:t>由</w:t>
      </w:r>
      <w:r>
        <w:rPr>
          <w:rFonts w:ascii="宋体" w:cs="宋体"/>
          <w:szCs w:val="21"/>
        </w:rPr>
        <w:t>各</w:t>
      </w:r>
      <w:r>
        <w:rPr>
          <w:rFonts w:hint="eastAsia" w:ascii="宋体" w:cs="宋体"/>
          <w:szCs w:val="21"/>
        </w:rPr>
        <w:t>村组</w:t>
      </w:r>
      <w:r>
        <w:rPr>
          <w:rFonts w:ascii="宋体" w:cs="宋体"/>
          <w:szCs w:val="21"/>
        </w:rPr>
        <w:t>长</w:t>
      </w:r>
      <w:r>
        <w:rPr>
          <w:rFonts w:hint="eastAsia" w:ascii="宋体" w:cs="宋体"/>
          <w:szCs w:val="21"/>
        </w:rPr>
        <w:t>组织</w:t>
      </w:r>
      <w:r>
        <w:rPr>
          <w:rFonts w:ascii="宋体" w:cs="宋体"/>
          <w:szCs w:val="21"/>
        </w:rPr>
        <w:t>受</w:t>
      </w:r>
      <w:r>
        <w:rPr>
          <w:rFonts w:hint="eastAsia" w:ascii="宋体" w:cs="宋体"/>
          <w:szCs w:val="21"/>
        </w:rPr>
        <w:t>地质灾害</w:t>
      </w:r>
      <w:r>
        <w:rPr>
          <w:rFonts w:ascii="宋体" w:cs="宋体"/>
          <w:szCs w:val="21"/>
        </w:rPr>
        <w:t>隐患威胁的群众，</w:t>
      </w:r>
      <w:r>
        <w:rPr>
          <w:rFonts w:hint="eastAsia" w:ascii="宋体" w:cs="宋体"/>
          <w:szCs w:val="21"/>
        </w:rPr>
        <w:t>按</w:t>
      </w:r>
      <w:r>
        <w:rPr>
          <w:rFonts w:ascii="宋体" w:cs="宋体"/>
          <w:szCs w:val="21"/>
        </w:rPr>
        <w:t>防灾预案撤离路线，</w:t>
      </w:r>
      <w:r>
        <w:rPr>
          <w:rFonts w:hint="eastAsia" w:ascii="宋体" w:cs="宋体"/>
          <w:szCs w:val="21"/>
        </w:rPr>
        <w:t>开展人员迅速撤离</w:t>
      </w:r>
      <w:r>
        <w:rPr>
          <w:rFonts w:ascii="宋体" w:cs="宋体"/>
          <w:szCs w:val="21"/>
        </w:rPr>
        <w:t>疏散至安全</w:t>
      </w:r>
      <w:r>
        <w:rPr>
          <w:rFonts w:hint="eastAsia" w:ascii="宋体" w:cs="宋体"/>
          <w:szCs w:val="21"/>
        </w:rPr>
        <w:t>区域</w:t>
      </w:r>
      <w:r>
        <w:rPr>
          <w:rFonts w:ascii="宋体" w:cs="宋体"/>
          <w:szCs w:val="21"/>
        </w:rPr>
        <w:t>的演练</w:t>
      </w:r>
      <w:r>
        <w:rPr>
          <w:rFonts w:hint="eastAsia" w:ascii="宋体" w:cs="宋体"/>
          <w:szCs w:val="21"/>
        </w:rPr>
        <w:t>工作</w:t>
      </w:r>
      <w:r>
        <w:rPr>
          <w:rFonts w:ascii="宋体" w:cs="宋体"/>
          <w:szCs w:val="21"/>
        </w:rPr>
        <w:t>。</w:t>
      </w:r>
    </w:p>
    <w:p>
      <w:pPr>
        <w:spacing w:line="360" w:lineRule="auto"/>
        <w:rPr>
          <w:rFonts w:ascii="宋体" w:cs="宋体"/>
          <w:szCs w:val="21"/>
        </w:rPr>
      </w:pPr>
      <w:r>
        <w:rPr>
          <w:rFonts w:ascii="黑体" w:eastAsia="黑体" w:cs="黑体"/>
          <w:bCs/>
          <w:szCs w:val="21"/>
        </w:rPr>
        <w:t>8.2.5</w:t>
      </w:r>
      <w:r>
        <w:rPr>
          <w:rFonts w:hint="eastAsia" w:ascii="黑体" w:eastAsia="黑体" w:cs="黑体"/>
          <w:bCs/>
          <w:szCs w:val="21"/>
        </w:rPr>
        <w:t xml:space="preserve">  </w:t>
      </w:r>
      <w:r>
        <w:rPr>
          <w:rFonts w:hint="eastAsia" w:ascii="宋体" w:cs="宋体"/>
          <w:szCs w:val="21"/>
        </w:rPr>
        <w:t>要求省、市、县防治机构至少每年开展</w:t>
      </w:r>
      <w:r>
        <w:rPr>
          <w:rFonts w:ascii="宋体" w:cs="宋体"/>
          <w:szCs w:val="21"/>
        </w:rPr>
        <w:t>1</w:t>
      </w:r>
      <w:r>
        <w:rPr>
          <w:rFonts w:hint="eastAsia" w:ascii="宋体" w:cs="宋体"/>
          <w:szCs w:val="21"/>
        </w:rPr>
        <w:t>次综合性防灾演练；省、市级防治机构要求不定期组织技术支撑单位开展专项演练；县级防治机构要求辖区内所有隐患点“屋场式”演练全覆盖。</w:t>
      </w:r>
    </w:p>
    <w:p>
      <w:pPr>
        <w:spacing w:line="360" w:lineRule="auto"/>
        <w:rPr>
          <w:rFonts w:ascii="宋体" w:cs="宋体"/>
          <w:szCs w:val="21"/>
        </w:rPr>
      </w:pPr>
      <w:r>
        <w:rPr>
          <w:rFonts w:ascii="黑体" w:eastAsia="黑体"/>
          <w:bCs/>
          <w:szCs w:val="21"/>
        </w:rPr>
        <w:t>8.2.6</w:t>
      </w:r>
      <w:r>
        <w:rPr>
          <w:rFonts w:hint="eastAsia" w:ascii="黑体" w:eastAsia="黑体"/>
          <w:bCs/>
          <w:szCs w:val="21"/>
        </w:rPr>
        <w:t xml:space="preserve">  </w:t>
      </w:r>
      <w:r>
        <w:rPr>
          <w:rFonts w:hint="eastAsia" w:ascii="宋体" w:cs="宋体"/>
          <w:szCs w:val="21"/>
        </w:rPr>
        <w:t>演练脚</w:t>
      </w:r>
      <w:r>
        <w:rPr>
          <w:rFonts w:ascii="Times New Roman" w:hAnsi="Times New Roman"/>
          <w:szCs w:val="21"/>
        </w:rPr>
        <w:t>本参照编制大纲，由主办机构根据演练类型和实际情况删减和扩充（综合防灾演练示例脚本见附录B）</w:t>
      </w:r>
      <w:r>
        <w:rPr>
          <w:rFonts w:hint="eastAsia" w:ascii="宋体" w:cs="宋体"/>
          <w:szCs w:val="21"/>
        </w:rPr>
        <w:t>。</w:t>
      </w:r>
    </w:p>
    <w:p>
      <w:pPr>
        <w:pStyle w:val="2"/>
        <w:spacing w:before="312" w:beforeLines="100" w:after="312" w:afterLines="100"/>
      </w:pPr>
      <w:bookmarkStart w:id="34" w:name="_Toc24540526"/>
      <w:r>
        <w:t xml:space="preserve">9  </w:t>
      </w:r>
      <w:r>
        <w:rPr>
          <w:rFonts w:hint="eastAsia"/>
        </w:rPr>
        <w:t>预案及制度编制要求</w:t>
      </w:r>
      <w:bookmarkEnd w:id="34"/>
    </w:p>
    <w:p>
      <w:pPr>
        <w:pStyle w:val="3"/>
      </w:pPr>
      <w:bookmarkStart w:id="35" w:name="_Toc24540527"/>
      <w:r>
        <w:t xml:space="preserve">9.1  </w:t>
      </w:r>
      <w:r>
        <w:rPr>
          <w:rFonts w:hint="eastAsia"/>
        </w:rPr>
        <w:t>防灾预案编制</w:t>
      </w:r>
      <w:bookmarkEnd w:id="35"/>
    </w:p>
    <w:p>
      <w:pPr>
        <w:spacing w:line="360" w:lineRule="auto"/>
        <w:rPr>
          <w:rFonts w:ascii="宋体" w:cs="宋体"/>
          <w:szCs w:val="21"/>
        </w:rPr>
      </w:pPr>
      <w:r>
        <w:rPr>
          <w:rFonts w:ascii="黑体" w:eastAsia="黑体"/>
          <w:bCs/>
          <w:szCs w:val="21"/>
        </w:rPr>
        <w:t>9.1.1</w:t>
      </w:r>
      <w:r>
        <w:rPr>
          <w:rFonts w:hint="eastAsia" w:ascii="黑体" w:eastAsia="黑体"/>
          <w:bCs/>
          <w:szCs w:val="21"/>
        </w:rPr>
        <w:t xml:space="preserve">  </w:t>
      </w:r>
      <w:r>
        <w:rPr>
          <w:rFonts w:hint="eastAsia" w:ascii="宋体" w:cs="宋体"/>
          <w:szCs w:val="21"/>
        </w:rPr>
        <w:t>防灾预案由县级及以上防治机构组织编制，遵循预防为主的思想，按照“统一领导、分级管理、分工负责、协调一致”的原则进行</w:t>
      </w:r>
      <w:r>
        <w:rPr>
          <w:rFonts w:ascii="宋体" w:cs="宋体"/>
          <w:szCs w:val="21"/>
        </w:rPr>
        <w:t>编制</w:t>
      </w:r>
      <w:r>
        <w:rPr>
          <w:rFonts w:hint="eastAsia" w:ascii="宋体" w:cs="宋体"/>
          <w:szCs w:val="21"/>
        </w:rPr>
        <w:t>。</w:t>
      </w:r>
    </w:p>
    <w:p>
      <w:pPr>
        <w:spacing w:line="360" w:lineRule="auto"/>
        <w:rPr>
          <w:rFonts w:ascii="宋体" w:cs="宋体"/>
          <w:szCs w:val="21"/>
        </w:rPr>
      </w:pPr>
      <w:r>
        <w:rPr>
          <w:rFonts w:ascii="黑体" w:eastAsia="黑体"/>
          <w:bCs/>
          <w:szCs w:val="21"/>
        </w:rPr>
        <w:t>9.1.2</w:t>
      </w:r>
      <w:r>
        <w:rPr>
          <w:rFonts w:hint="eastAsia" w:ascii="黑体" w:eastAsia="黑体"/>
          <w:bCs/>
          <w:szCs w:val="21"/>
        </w:rPr>
        <w:t xml:space="preserve">  </w:t>
      </w:r>
      <w:r>
        <w:rPr>
          <w:rFonts w:hint="eastAsia" w:ascii="宋体" w:cs="宋体"/>
          <w:szCs w:val="21"/>
        </w:rPr>
        <w:t>防灾预案以机构组织体系与职责、灾害分级、监测预警、应急处置流程和信息发布、应急保障等内容为重点</w:t>
      </w:r>
      <w:r>
        <w:rPr>
          <w:rFonts w:ascii="宋体" w:cs="宋体"/>
          <w:szCs w:val="21"/>
        </w:rPr>
        <w:t>，开展防灾预案编制工作。</w:t>
      </w:r>
    </w:p>
    <w:p>
      <w:pPr>
        <w:spacing w:line="360" w:lineRule="auto"/>
        <w:rPr>
          <w:rFonts w:ascii="宋体" w:cs="宋体"/>
          <w:szCs w:val="21"/>
        </w:rPr>
      </w:pPr>
      <w:r>
        <w:rPr>
          <w:rFonts w:ascii="黑体" w:eastAsia="黑体"/>
          <w:bCs/>
          <w:szCs w:val="21"/>
        </w:rPr>
        <w:t>9.1.3</w:t>
      </w:r>
      <w:r>
        <w:rPr>
          <w:rFonts w:hint="eastAsia" w:ascii="黑体" w:eastAsia="黑体"/>
          <w:bCs/>
          <w:szCs w:val="21"/>
        </w:rPr>
        <w:t xml:space="preserve">  </w:t>
      </w:r>
      <w:r>
        <w:rPr>
          <w:rFonts w:hint="eastAsia" w:ascii="宋体" w:cs="宋体"/>
          <w:szCs w:val="21"/>
        </w:rPr>
        <w:t>防灾预案要求每年根据防治区域</w:t>
      </w:r>
      <w:r>
        <w:rPr>
          <w:rFonts w:ascii="宋体" w:cs="宋体"/>
          <w:szCs w:val="21"/>
        </w:rPr>
        <w:t>及</w:t>
      </w:r>
      <w:r>
        <w:rPr>
          <w:rFonts w:hint="eastAsia" w:ascii="宋体" w:cs="宋体"/>
          <w:szCs w:val="21"/>
        </w:rPr>
        <w:t>对象改变进行修编。具体章节参照编制提纲，可对内容适当增减（防灾预案编制提纲见附录</w:t>
      </w:r>
      <w:r>
        <w:rPr>
          <w:rFonts w:ascii="Times New Roman" w:hAnsi="Times New Roman"/>
          <w:szCs w:val="21"/>
        </w:rPr>
        <w:t>C</w:t>
      </w:r>
      <w:r>
        <w:rPr>
          <w:rFonts w:hint="eastAsia" w:ascii="宋体" w:cs="宋体"/>
          <w:szCs w:val="21"/>
        </w:rPr>
        <w:t>）。</w:t>
      </w:r>
    </w:p>
    <w:p>
      <w:pPr>
        <w:pStyle w:val="3"/>
      </w:pPr>
      <w:bookmarkStart w:id="36" w:name="_Toc24540528"/>
      <w:r>
        <w:t xml:space="preserve">9.2  </w:t>
      </w:r>
      <w:r>
        <w:rPr>
          <w:rFonts w:hint="eastAsia"/>
        </w:rPr>
        <w:t>防治规划编制</w:t>
      </w:r>
      <w:bookmarkEnd w:id="36"/>
    </w:p>
    <w:p>
      <w:pPr>
        <w:spacing w:line="360" w:lineRule="auto"/>
        <w:rPr>
          <w:rFonts w:ascii="宋体" w:cs="宋体"/>
          <w:szCs w:val="21"/>
        </w:rPr>
      </w:pPr>
      <w:r>
        <w:rPr>
          <w:rFonts w:ascii="黑体" w:eastAsia="黑体"/>
          <w:bCs/>
          <w:szCs w:val="21"/>
        </w:rPr>
        <w:t>9.2.1</w:t>
      </w:r>
      <w:r>
        <w:rPr>
          <w:rFonts w:hint="eastAsia" w:ascii="黑体" w:eastAsia="黑体"/>
          <w:bCs/>
          <w:szCs w:val="21"/>
        </w:rPr>
        <w:t xml:space="preserve">  </w:t>
      </w:r>
      <w:r>
        <w:rPr>
          <w:rFonts w:hint="eastAsia" w:ascii="宋体" w:cs="宋体"/>
          <w:szCs w:val="21"/>
        </w:rPr>
        <w:t>防治规划由县级及以上防治机构组织编制，根据本地区地质灾害现状和面临的形势，规划本年度地质灾害防治重点工作部署和制定保障措施。</w:t>
      </w:r>
    </w:p>
    <w:p>
      <w:pPr>
        <w:spacing w:line="360" w:lineRule="auto"/>
        <w:rPr>
          <w:rFonts w:ascii="宋体" w:cs="宋体"/>
          <w:szCs w:val="21"/>
        </w:rPr>
      </w:pPr>
      <w:r>
        <w:rPr>
          <w:rFonts w:ascii="黑体" w:eastAsia="黑体"/>
          <w:bCs/>
          <w:szCs w:val="21"/>
        </w:rPr>
        <w:t xml:space="preserve">9.2.2  </w:t>
      </w:r>
      <w:r>
        <w:rPr>
          <w:rFonts w:hint="eastAsia" w:ascii="宋体" w:cs="宋体"/>
          <w:szCs w:val="21"/>
        </w:rPr>
        <w:t>防治规划以年度防治</w:t>
      </w:r>
      <w:r>
        <w:rPr>
          <w:rFonts w:ascii="宋体" w:cs="宋体"/>
          <w:szCs w:val="21"/>
        </w:rPr>
        <w:t>现状与形势</w:t>
      </w:r>
      <w:r>
        <w:rPr>
          <w:rFonts w:hint="eastAsia" w:ascii="宋体" w:cs="宋体"/>
          <w:szCs w:val="21"/>
        </w:rPr>
        <w:t>、</w:t>
      </w:r>
      <w:r>
        <w:rPr>
          <w:rFonts w:ascii="宋体" w:cs="宋体"/>
          <w:szCs w:val="21"/>
        </w:rPr>
        <w:t>地质灾害易发区和重点防治区</w:t>
      </w:r>
      <w:r>
        <w:rPr>
          <w:rFonts w:hint="eastAsia" w:ascii="宋体" w:cs="宋体"/>
          <w:szCs w:val="21"/>
        </w:rPr>
        <w:t>的</w:t>
      </w:r>
      <w:r>
        <w:rPr>
          <w:rFonts w:ascii="宋体" w:cs="宋体"/>
          <w:szCs w:val="21"/>
        </w:rPr>
        <w:t>划分、防治工作部署内容</w:t>
      </w:r>
      <w:r>
        <w:rPr>
          <w:rFonts w:hint="eastAsia" w:ascii="宋体" w:cs="宋体"/>
          <w:szCs w:val="21"/>
        </w:rPr>
        <w:t>、</w:t>
      </w:r>
      <w:r>
        <w:rPr>
          <w:rFonts w:ascii="宋体" w:cs="宋体"/>
          <w:szCs w:val="21"/>
        </w:rPr>
        <w:t>防治资金</w:t>
      </w:r>
      <w:r>
        <w:rPr>
          <w:rFonts w:hint="eastAsia" w:ascii="宋体" w:cs="宋体"/>
          <w:szCs w:val="21"/>
        </w:rPr>
        <w:t>筹措</w:t>
      </w:r>
      <w:r>
        <w:rPr>
          <w:rFonts w:ascii="宋体" w:cs="宋体"/>
          <w:szCs w:val="21"/>
        </w:rPr>
        <w:t>和保障措施等内容</w:t>
      </w:r>
      <w:r>
        <w:rPr>
          <w:rFonts w:hint="eastAsia" w:ascii="宋体" w:cs="宋体"/>
          <w:szCs w:val="21"/>
        </w:rPr>
        <w:t>为</w:t>
      </w:r>
      <w:r>
        <w:rPr>
          <w:rFonts w:ascii="宋体" w:cs="宋体"/>
          <w:szCs w:val="21"/>
        </w:rPr>
        <w:t>重点，开展</w:t>
      </w:r>
      <w:r>
        <w:rPr>
          <w:rFonts w:hint="eastAsia" w:ascii="宋体" w:cs="宋体"/>
          <w:szCs w:val="21"/>
        </w:rPr>
        <w:t>防治</w:t>
      </w:r>
      <w:r>
        <w:rPr>
          <w:rFonts w:ascii="宋体" w:cs="宋体"/>
          <w:szCs w:val="21"/>
        </w:rPr>
        <w:t>规划编制工作</w:t>
      </w:r>
      <w:r>
        <w:rPr>
          <w:rFonts w:hint="eastAsia" w:ascii="宋体" w:cs="宋体"/>
          <w:szCs w:val="21"/>
        </w:rPr>
        <w:t>。</w:t>
      </w:r>
    </w:p>
    <w:p>
      <w:pPr>
        <w:spacing w:line="360" w:lineRule="auto"/>
        <w:rPr>
          <w:rFonts w:ascii="宋体" w:cs="宋体"/>
          <w:szCs w:val="21"/>
        </w:rPr>
      </w:pPr>
      <w:r>
        <w:rPr>
          <w:rFonts w:ascii="黑体" w:eastAsia="黑体"/>
          <w:bCs/>
          <w:szCs w:val="21"/>
        </w:rPr>
        <w:t>9.2.3</w:t>
      </w:r>
      <w:r>
        <w:rPr>
          <w:rFonts w:hint="eastAsia" w:ascii="黑体" w:eastAsia="黑体"/>
          <w:bCs/>
          <w:szCs w:val="21"/>
        </w:rPr>
        <w:t xml:space="preserve">  </w:t>
      </w:r>
      <w:r>
        <w:rPr>
          <w:rFonts w:hint="eastAsia" w:ascii="宋体" w:cs="宋体"/>
          <w:szCs w:val="21"/>
        </w:rPr>
        <w:t>防治</w:t>
      </w:r>
      <w:r>
        <w:rPr>
          <w:rFonts w:ascii="宋体" w:cs="宋体"/>
          <w:szCs w:val="21"/>
        </w:rPr>
        <w:t>规划</w:t>
      </w:r>
      <w:r>
        <w:rPr>
          <w:rFonts w:hint="eastAsia" w:ascii="宋体" w:cs="宋体"/>
          <w:szCs w:val="21"/>
        </w:rPr>
        <w:t>要求每年根据防治区域发生</w:t>
      </w:r>
      <w:r>
        <w:rPr>
          <w:rFonts w:ascii="宋体" w:cs="宋体"/>
          <w:szCs w:val="21"/>
        </w:rPr>
        <w:t>地质灾害</w:t>
      </w:r>
      <w:r>
        <w:rPr>
          <w:rFonts w:hint="eastAsia" w:ascii="宋体" w:cs="宋体"/>
          <w:szCs w:val="21"/>
        </w:rPr>
        <w:t>实际情况进行修编，具体章节参照编制提纲，可对内容适当增减（防治规划编制提纲见附录</w:t>
      </w:r>
      <w:r>
        <w:rPr>
          <w:rFonts w:ascii="Times New Roman" w:hAnsi="Times New Roman"/>
          <w:szCs w:val="21"/>
        </w:rPr>
        <w:t>D</w:t>
      </w:r>
      <w:r>
        <w:rPr>
          <w:rFonts w:hint="eastAsia" w:ascii="宋体" w:cs="宋体"/>
          <w:szCs w:val="21"/>
        </w:rPr>
        <w:t>）。</w:t>
      </w:r>
    </w:p>
    <w:p>
      <w:pPr>
        <w:pStyle w:val="3"/>
      </w:pPr>
      <w:bookmarkStart w:id="37" w:name="_Toc24540529"/>
      <w:r>
        <w:t xml:space="preserve">9.3  </w:t>
      </w:r>
      <w:r>
        <w:rPr>
          <w:rFonts w:hint="eastAsia"/>
        </w:rPr>
        <w:t>防治方案编制</w:t>
      </w:r>
      <w:bookmarkEnd w:id="37"/>
    </w:p>
    <w:p>
      <w:pPr>
        <w:spacing w:line="360" w:lineRule="auto"/>
        <w:rPr>
          <w:rFonts w:ascii="宋体" w:cs="宋体"/>
          <w:szCs w:val="21"/>
        </w:rPr>
      </w:pPr>
      <w:r>
        <w:rPr>
          <w:rFonts w:ascii="黑体" w:eastAsia="黑体"/>
          <w:bCs/>
          <w:szCs w:val="21"/>
        </w:rPr>
        <w:t>9.3.1</w:t>
      </w:r>
      <w:r>
        <w:rPr>
          <w:rFonts w:hint="eastAsia" w:ascii="黑体" w:eastAsia="黑体"/>
          <w:bCs/>
          <w:szCs w:val="21"/>
        </w:rPr>
        <w:t xml:space="preserve">  </w:t>
      </w:r>
      <w:r>
        <w:rPr>
          <w:rFonts w:hint="eastAsia" w:ascii="宋体" w:cs="宋体"/>
          <w:szCs w:val="21"/>
        </w:rPr>
        <w:t>防治方案由县级及以上防治机构组织编制，要求依据地质灾害防治规划及上一年度地质灾害发生情况，对本辖区年度可能发生的地质灾害做出防治工作总体部署。</w:t>
      </w:r>
    </w:p>
    <w:p>
      <w:pPr>
        <w:spacing w:line="360" w:lineRule="auto"/>
        <w:rPr>
          <w:rFonts w:ascii="宋体" w:cs="宋体"/>
          <w:szCs w:val="21"/>
        </w:rPr>
      </w:pPr>
      <w:r>
        <w:rPr>
          <w:rFonts w:ascii="黑体" w:eastAsia="黑体"/>
          <w:bCs/>
          <w:szCs w:val="21"/>
        </w:rPr>
        <w:t>9.3.2</w:t>
      </w:r>
      <w:r>
        <w:rPr>
          <w:rFonts w:hint="eastAsia" w:ascii="黑体" w:eastAsia="黑体"/>
          <w:bCs/>
          <w:szCs w:val="21"/>
        </w:rPr>
        <w:t xml:space="preserve">  </w:t>
      </w:r>
      <w:r>
        <w:rPr>
          <w:rFonts w:hint="eastAsia" w:ascii="宋体" w:cs="宋体"/>
          <w:szCs w:val="21"/>
        </w:rPr>
        <w:t>防治方案以</w:t>
      </w:r>
      <w:r>
        <w:rPr>
          <w:rFonts w:ascii="宋体" w:cs="宋体"/>
          <w:szCs w:val="21"/>
        </w:rPr>
        <w:t>年度</w:t>
      </w:r>
      <w:r>
        <w:rPr>
          <w:rFonts w:hint="eastAsia" w:ascii="宋体" w:cs="宋体"/>
          <w:szCs w:val="21"/>
        </w:rPr>
        <w:t>防治任务</w:t>
      </w:r>
      <w:r>
        <w:rPr>
          <w:rFonts w:ascii="宋体" w:cs="宋体"/>
          <w:szCs w:val="21"/>
        </w:rPr>
        <w:t>、地质灾害趋势分析、</w:t>
      </w:r>
      <w:r>
        <w:rPr>
          <w:rFonts w:hint="eastAsia" w:ascii="宋体" w:cs="宋体"/>
          <w:szCs w:val="21"/>
        </w:rPr>
        <w:t>明确</w:t>
      </w:r>
      <w:r>
        <w:rPr>
          <w:rFonts w:ascii="宋体" w:cs="宋体"/>
          <w:szCs w:val="21"/>
        </w:rPr>
        <w:t>重点</w:t>
      </w:r>
      <w:r>
        <w:rPr>
          <w:rFonts w:hint="eastAsia" w:ascii="宋体" w:cs="宋体"/>
          <w:szCs w:val="21"/>
        </w:rPr>
        <w:t>防护期、</w:t>
      </w:r>
      <w:r>
        <w:rPr>
          <w:rFonts w:ascii="宋体" w:cs="宋体"/>
          <w:szCs w:val="21"/>
        </w:rPr>
        <w:t>防护</w:t>
      </w:r>
      <w:r>
        <w:rPr>
          <w:rFonts w:hint="eastAsia" w:ascii="宋体" w:cs="宋体"/>
          <w:szCs w:val="21"/>
        </w:rPr>
        <w:t>区和</w:t>
      </w:r>
      <w:r>
        <w:rPr>
          <w:rFonts w:ascii="宋体" w:cs="宋体"/>
          <w:szCs w:val="21"/>
        </w:rPr>
        <w:t>灾害点</w:t>
      </w:r>
      <w:r>
        <w:rPr>
          <w:rFonts w:hint="eastAsia" w:ascii="宋体" w:cs="宋体"/>
          <w:szCs w:val="21"/>
        </w:rPr>
        <w:t>，</w:t>
      </w:r>
      <w:r>
        <w:rPr>
          <w:rFonts w:ascii="宋体" w:cs="宋体"/>
          <w:szCs w:val="21"/>
        </w:rPr>
        <w:t>以及</w:t>
      </w:r>
      <w:r>
        <w:rPr>
          <w:rFonts w:hint="eastAsia" w:ascii="宋体" w:cs="宋体"/>
          <w:szCs w:val="21"/>
        </w:rPr>
        <w:t>主要</w:t>
      </w:r>
      <w:r>
        <w:rPr>
          <w:rFonts w:ascii="宋体" w:cs="宋体"/>
          <w:szCs w:val="21"/>
        </w:rPr>
        <w:t>的防治措施</w:t>
      </w:r>
      <w:r>
        <w:rPr>
          <w:rFonts w:hint="eastAsia" w:ascii="宋体" w:cs="宋体"/>
          <w:szCs w:val="21"/>
        </w:rPr>
        <w:t>等</w:t>
      </w:r>
      <w:r>
        <w:rPr>
          <w:rFonts w:ascii="宋体" w:cs="宋体"/>
          <w:szCs w:val="21"/>
        </w:rPr>
        <w:t>内容为重点，开展防治方案编制工作。</w:t>
      </w:r>
    </w:p>
    <w:p>
      <w:pPr>
        <w:spacing w:line="360" w:lineRule="auto"/>
        <w:rPr>
          <w:rFonts w:ascii="宋体" w:cs="宋体"/>
          <w:szCs w:val="21"/>
        </w:rPr>
      </w:pPr>
      <w:r>
        <w:rPr>
          <w:rFonts w:ascii="黑体" w:eastAsia="黑体"/>
          <w:bCs/>
          <w:szCs w:val="21"/>
        </w:rPr>
        <w:t xml:space="preserve">9.3.3  </w:t>
      </w:r>
      <w:r>
        <w:rPr>
          <w:rFonts w:hint="eastAsia" w:ascii="宋体" w:cs="宋体"/>
          <w:szCs w:val="21"/>
        </w:rPr>
        <w:t>防治</w:t>
      </w:r>
      <w:r>
        <w:rPr>
          <w:rFonts w:ascii="宋体" w:cs="宋体"/>
          <w:szCs w:val="21"/>
        </w:rPr>
        <w:t>方案</w:t>
      </w:r>
      <w:r>
        <w:rPr>
          <w:rFonts w:hint="eastAsia" w:ascii="宋体" w:cs="宋体"/>
          <w:szCs w:val="21"/>
        </w:rPr>
        <w:t>要求每年根据防治区域发生</w:t>
      </w:r>
      <w:r>
        <w:rPr>
          <w:rFonts w:ascii="宋体" w:cs="宋体"/>
          <w:szCs w:val="21"/>
        </w:rPr>
        <w:t>地质灾害</w:t>
      </w:r>
      <w:r>
        <w:rPr>
          <w:rFonts w:hint="eastAsia" w:ascii="宋体" w:cs="宋体"/>
          <w:szCs w:val="21"/>
        </w:rPr>
        <w:t>实际情况进行修编。具体章节参照编制提纲，可对内容适当增减（防治方案编制提纲见附录</w:t>
      </w:r>
      <w:r>
        <w:rPr>
          <w:rFonts w:ascii="Times New Roman" w:hAnsi="Times New Roman"/>
          <w:szCs w:val="21"/>
        </w:rPr>
        <w:t>E</w:t>
      </w:r>
      <w:r>
        <w:rPr>
          <w:rFonts w:hint="eastAsia" w:ascii="宋体" w:cs="宋体"/>
          <w:szCs w:val="21"/>
        </w:rPr>
        <w:t>）。</w:t>
      </w:r>
    </w:p>
    <w:p>
      <w:pPr>
        <w:pStyle w:val="3"/>
      </w:pPr>
      <w:bookmarkStart w:id="38" w:name="_Toc24540530"/>
      <w:r>
        <w:t xml:space="preserve">9.4  </w:t>
      </w:r>
      <w:r>
        <w:rPr>
          <w:rFonts w:hint="eastAsia"/>
        </w:rPr>
        <w:t>专项制度编制</w:t>
      </w:r>
      <w:bookmarkEnd w:id="38"/>
    </w:p>
    <w:p>
      <w:pPr>
        <w:spacing w:line="360" w:lineRule="auto"/>
        <w:rPr>
          <w:rFonts w:ascii="宋体" w:cs="宋体"/>
          <w:szCs w:val="21"/>
        </w:rPr>
      </w:pPr>
      <w:r>
        <w:rPr>
          <w:rFonts w:ascii="黑体" w:eastAsia="黑体"/>
          <w:bCs/>
          <w:szCs w:val="21"/>
        </w:rPr>
        <w:t>9.4.1</w:t>
      </w:r>
      <w:r>
        <w:rPr>
          <w:rFonts w:hint="eastAsia" w:ascii="黑体" w:eastAsia="黑体"/>
          <w:bCs/>
          <w:szCs w:val="21"/>
        </w:rPr>
        <w:t xml:space="preserve">  </w:t>
      </w:r>
      <w:r>
        <w:rPr>
          <w:rFonts w:hint="eastAsia" w:ascii="宋体" w:cs="宋体"/>
          <w:szCs w:val="21"/>
        </w:rPr>
        <w:t>专项制度编制工作在现有地质灾害防治制度体系下，以基础性法规、政策为基础，结合综合防治体系建设进行补充，技术支撑机构可开展相关实施方案编制和承接具体实施工作（已颁发部分地质灾害防治政策及制度一览表见附录表</w:t>
      </w:r>
      <w:r>
        <w:rPr>
          <w:rFonts w:ascii="Times New Roman" w:hAnsi="Times New Roman"/>
          <w:szCs w:val="21"/>
        </w:rPr>
        <w:t>F</w:t>
      </w:r>
      <w:r>
        <w:rPr>
          <w:rFonts w:hint="eastAsia" w:ascii="宋体" w:cs="宋体"/>
          <w:szCs w:val="21"/>
        </w:rPr>
        <w:t>）。</w:t>
      </w:r>
    </w:p>
    <w:p>
      <w:pPr>
        <w:spacing w:line="360" w:lineRule="auto"/>
        <w:rPr>
          <w:rFonts w:ascii="宋体" w:cs="宋体"/>
          <w:szCs w:val="21"/>
        </w:rPr>
      </w:pPr>
      <w:r>
        <w:rPr>
          <w:rFonts w:ascii="黑体" w:eastAsia="黑体"/>
          <w:bCs/>
          <w:szCs w:val="21"/>
        </w:rPr>
        <w:t>9.4.2</w:t>
      </w:r>
      <w:r>
        <w:rPr>
          <w:rFonts w:hint="eastAsia" w:ascii="黑体" w:eastAsia="黑体"/>
          <w:bCs/>
          <w:szCs w:val="21"/>
        </w:rPr>
        <w:t xml:space="preserve">  </w:t>
      </w:r>
      <w:r>
        <w:rPr>
          <w:rFonts w:hint="eastAsia" w:ascii="宋体" w:cs="宋体"/>
          <w:szCs w:val="21"/>
        </w:rPr>
        <w:t>防治机构根据实际工作情况，从组织管理制度、资金管理制度、规划管理制度、实施管理制度、网格化管理制度等方面进行本级综合防治体系专项制度编制工作。</w:t>
      </w:r>
    </w:p>
    <w:p>
      <w:pPr>
        <w:spacing w:line="360" w:lineRule="auto"/>
        <w:rPr>
          <w:rFonts w:ascii="宋体" w:cs="宋体"/>
          <w:szCs w:val="21"/>
        </w:rPr>
      </w:pPr>
      <w:r>
        <w:rPr>
          <w:rFonts w:ascii="黑体" w:eastAsia="黑体"/>
          <w:bCs/>
          <w:szCs w:val="21"/>
        </w:rPr>
        <w:t>9.4.3</w:t>
      </w:r>
      <w:r>
        <w:rPr>
          <w:rFonts w:hint="eastAsia" w:ascii="黑体" w:eastAsia="黑体"/>
          <w:bCs/>
          <w:szCs w:val="21"/>
        </w:rPr>
        <w:t xml:space="preserve">  </w:t>
      </w:r>
      <w:r>
        <w:rPr>
          <w:rFonts w:hint="eastAsia" w:ascii="宋体" w:cs="宋体"/>
          <w:szCs w:val="21"/>
        </w:rPr>
        <w:t>防治机构根据每年地质灾害防治工作的经验总结，修订完善与防灾预案、汛期值班、群测群防、险情巡查、监测预警、应急处置、灾情速报等相关专项制度。</w:t>
      </w:r>
    </w:p>
    <w:p>
      <w:pPr>
        <w:pStyle w:val="2"/>
        <w:spacing w:before="312" w:beforeLines="100" w:after="312" w:afterLines="100"/>
      </w:pPr>
      <w:bookmarkStart w:id="39" w:name="_Toc24540531"/>
      <w:r>
        <w:t xml:space="preserve">10  </w:t>
      </w:r>
      <w:r>
        <w:rPr>
          <w:rFonts w:hint="eastAsia"/>
        </w:rPr>
        <w:t>科研及标准制定要求</w:t>
      </w:r>
      <w:bookmarkEnd w:id="39"/>
    </w:p>
    <w:p>
      <w:pPr>
        <w:pStyle w:val="3"/>
      </w:pPr>
      <w:bookmarkStart w:id="40" w:name="_Toc24540532"/>
      <w:r>
        <w:t xml:space="preserve">10.1  </w:t>
      </w:r>
      <w:r>
        <w:rPr>
          <w:rFonts w:hint="eastAsia"/>
        </w:rPr>
        <w:t>专题研究</w:t>
      </w:r>
      <w:bookmarkEnd w:id="40"/>
    </w:p>
    <w:p>
      <w:pPr>
        <w:spacing w:line="360" w:lineRule="auto"/>
        <w:rPr>
          <w:rFonts w:ascii="Times New Roman" w:hAnsi="Times New Roman"/>
          <w:szCs w:val="21"/>
        </w:rPr>
      </w:pPr>
      <w:r>
        <w:rPr>
          <w:rFonts w:ascii="Times New Roman" w:hAnsi="Times New Roman"/>
          <w:bCs/>
          <w:kern w:val="32"/>
          <w:szCs w:val="21"/>
        </w:rPr>
        <w:t xml:space="preserve">10.1.1  </w:t>
      </w:r>
      <w:r>
        <w:rPr>
          <w:rFonts w:ascii="Times New Roman" w:hAnsi="Times New Roman"/>
          <w:szCs w:val="21"/>
        </w:rPr>
        <w:t>各级防治机构与技术支撑机构可结合地质灾害综合防治体系工作，开展与地质灾害防治相关专</w:t>
      </w:r>
      <w:r>
        <w:rPr>
          <w:rFonts w:ascii="Times New Roman" w:hAnsi="Times New Roman"/>
          <w:szCs w:val="21"/>
        </w:rPr>
        <w:t>题研究工作。</w:t>
      </w:r>
    </w:p>
    <w:p>
      <w:pPr>
        <w:spacing w:line="360" w:lineRule="auto"/>
        <w:rPr>
          <w:rFonts w:ascii="Times New Roman" w:hAnsi="Times New Roman"/>
          <w:szCs w:val="21"/>
        </w:rPr>
      </w:pPr>
      <w:r>
        <w:rPr>
          <w:rFonts w:ascii="Times New Roman" w:hAnsi="Times New Roman"/>
          <w:bCs/>
          <w:kern w:val="32"/>
          <w:szCs w:val="21"/>
        </w:rPr>
        <w:t xml:space="preserve">10.1.2  </w:t>
      </w:r>
      <w:r>
        <w:rPr>
          <w:rFonts w:ascii="Times New Roman" w:hAnsi="Times New Roman"/>
          <w:szCs w:val="21"/>
        </w:rPr>
        <w:t>专题研究以地质灾害成灾机理与防治、重点地区地质灾害防范、气象风险预警模型和监测网建设与运行管理等方面开展。</w:t>
      </w:r>
    </w:p>
    <w:p>
      <w:pPr>
        <w:spacing w:line="360" w:lineRule="auto"/>
        <w:rPr>
          <w:rFonts w:ascii="Times New Roman" w:hAnsi="Times New Roman"/>
          <w:szCs w:val="21"/>
        </w:rPr>
      </w:pPr>
      <w:r>
        <w:rPr>
          <w:rFonts w:ascii="Times New Roman" w:hAnsi="Times New Roman"/>
          <w:bCs/>
          <w:kern w:val="32"/>
          <w:szCs w:val="21"/>
        </w:rPr>
        <w:t xml:space="preserve">10.1.3  </w:t>
      </w:r>
      <w:r>
        <w:rPr>
          <w:rFonts w:ascii="Times New Roman" w:hAnsi="Times New Roman"/>
          <w:szCs w:val="21"/>
        </w:rPr>
        <w:t>专题研究项目在申报时，要求按照《湖北省地质灾害综合防治体系建设项目申报指南（试行）》规定提交项目立项申请书、项目申报汇总表和项目经费概算表等资料，并报省级防治机构审批。</w:t>
      </w:r>
    </w:p>
    <w:p>
      <w:pPr>
        <w:spacing w:line="360" w:lineRule="auto"/>
        <w:rPr>
          <w:rFonts w:ascii="Times New Roman" w:hAnsi="Times New Roman"/>
          <w:szCs w:val="21"/>
        </w:rPr>
      </w:pPr>
      <w:r>
        <w:rPr>
          <w:rFonts w:ascii="Times New Roman" w:hAnsi="Times New Roman"/>
          <w:bCs/>
          <w:kern w:val="32"/>
          <w:szCs w:val="21"/>
        </w:rPr>
        <w:t xml:space="preserve">10.1.4  </w:t>
      </w:r>
      <w:r>
        <w:rPr>
          <w:rFonts w:ascii="Times New Roman" w:hAnsi="Times New Roman"/>
          <w:szCs w:val="21"/>
        </w:rPr>
        <w:t>专题研究项目在结题时，要求组织专家组对报告研究内容和成果进行评审，同时对研究成果相关的技术指标、预算执行相关的经济指标、社会效益相关的绩效指标等方面进行考核。</w:t>
      </w:r>
    </w:p>
    <w:p>
      <w:pPr>
        <w:pStyle w:val="3"/>
      </w:pPr>
      <w:bookmarkStart w:id="41" w:name="_Toc24540533"/>
      <w:r>
        <w:t xml:space="preserve">10.2  </w:t>
      </w:r>
      <w:r>
        <w:rPr>
          <w:rFonts w:hint="eastAsia"/>
        </w:rPr>
        <w:t>标准制定</w:t>
      </w:r>
      <w:bookmarkEnd w:id="41"/>
    </w:p>
    <w:p>
      <w:pPr>
        <w:spacing w:line="360" w:lineRule="auto"/>
        <w:rPr>
          <w:rFonts w:ascii="宋体" w:cs="宋体"/>
          <w:szCs w:val="21"/>
        </w:rPr>
      </w:pPr>
      <w:r>
        <w:rPr>
          <w:rFonts w:ascii="黑体" w:eastAsia="黑体"/>
          <w:bCs/>
          <w:kern w:val="32"/>
          <w:szCs w:val="21"/>
        </w:rPr>
        <w:t>10.2.1</w:t>
      </w:r>
      <w:r>
        <w:rPr>
          <w:rFonts w:hint="eastAsia" w:ascii="黑体" w:eastAsia="黑体"/>
          <w:bCs/>
          <w:kern w:val="32"/>
          <w:szCs w:val="21"/>
        </w:rPr>
        <w:t xml:space="preserve">  </w:t>
      </w:r>
      <w:r>
        <w:rPr>
          <w:rFonts w:hint="eastAsia" w:ascii="宋体" w:cs="宋体"/>
          <w:szCs w:val="21"/>
        </w:rPr>
        <w:t>省级防治机构要根据地质</w:t>
      </w:r>
      <w:r>
        <w:rPr>
          <w:rFonts w:ascii="宋体" w:cs="宋体"/>
          <w:szCs w:val="21"/>
        </w:rPr>
        <w:t>灾害</w:t>
      </w:r>
      <w:r>
        <w:rPr>
          <w:rFonts w:hint="eastAsia" w:ascii="宋体" w:cs="宋体"/>
          <w:szCs w:val="21"/>
        </w:rPr>
        <w:t>综合防治体系建设需求，组织技术支撑机构开展地质灾害综合防治体系相关技术要求和规范的编制工作。标准制定可</w:t>
      </w:r>
      <w:r>
        <w:rPr>
          <w:rFonts w:ascii="宋体" w:cs="宋体"/>
          <w:szCs w:val="21"/>
        </w:rPr>
        <w:t>以从</w:t>
      </w:r>
      <w:r>
        <w:rPr>
          <w:rFonts w:hint="eastAsia" w:ascii="宋体" w:cs="宋体"/>
          <w:szCs w:val="21"/>
        </w:rPr>
        <w:t>专业监测预警、地质灾害隐患点排查、地质灾害风险调查评价、重点集镇地质灾害调查等方面开展。</w:t>
      </w:r>
    </w:p>
    <w:p>
      <w:pPr>
        <w:spacing w:line="360" w:lineRule="auto"/>
        <w:rPr>
          <w:rFonts w:ascii="宋体" w:cs="宋体"/>
          <w:szCs w:val="21"/>
        </w:rPr>
      </w:pPr>
      <w:r>
        <w:rPr>
          <w:rFonts w:ascii="黑体" w:eastAsia="黑体"/>
          <w:bCs/>
          <w:kern w:val="32"/>
          <w:szCs w:val="21"/>
        </w:rPr>
        <w:t>10.2.2</w:t>
      </w:r>
      <w:r>
        <w:rPr>
          <w:rFonts w:hint="eastAsia" w:ascii="黑体" w:eastAsia="黑体"/>
          <w:bCs/>
          <w:kern w:val="32"/>
          <w:szCs w:val="21"/>
        </w:rPr>
        <w:t xml:space="preserve">  </w:t>
      </w:r>
      <w:r>
        <w:rPr>
          <w:rFonts w:hint="eastAsia" w:ascii="宋体" w:cs="宋体"/>
          <w:szCs w:val="21"/>
        </w:rPr>
        <w:t>标准的制定以年度为周期，由省级防治机构组织对现行标准的有效性进行筛查，对不适用的条款及时修编，对缺少标准规范组织技术支撑</w:t>
      </w:r>
      <w:r>
        <w:rPr>
          <w:rFonts w:ascii="宋体" w:cs="宋体"/>
          <w:szCs w:val="21"/>
        </w:rPr>
        <w:t>机构</w:t>
      </w:r>
      <w:r>
        <w:rPr>
          <w:rFonts w:hint="eastAsia" w:ascii="宋体" w:cs="宋体"/>
          <w:szCs w:val="21"/>
        </w:rPr>
        <w:t>开展申报及编制工作。</w:t>
      </w:r>
    </w:p>
    <w:p>
      <w:pPr>
        <w:pStyle w:val="2"/>
        <w:spacing w:before="312" w:beforeLines="100" w:after="312" w:afterLines="100"/>
      </w:pPr>
      <w:bookmarkStart w:id="42" w:name="_Toc24540534"/>
      <w:r>
        <w:t xml:space="preserve">11  </w:t>
      </w:r>
      <w:r>
        <w:rPr>
          <w:rFonts w:hint="eastAsia"/>
        </w:rPr>
        <w:t>资料整理与报告编写</w:t>
      </w:r>
      <w:bookmarkEnd w:id="42"/>
    </w:p>
    <w:p>
      <w:pPr>
        <w:pStyle w:val="3"/>
      </w:pPr>
      <w:bookmarkStart w:id="43" w:name="_Toc24540535"/>
      <w:r>
        <w:t xml:space="preserve">11.1  </w:t>
      </w:r>
      <w:r>
        <w:rPr>
          <w:rFonts w:hint="eastAsia"/>
        </w:rPr>
        <w:t>资料整理</w:t>
      </w:r>
      <w:bookmarkEnd w:id="43"/>
    </w:p>
    <w:p>
      <w:pPr>
        <w:spacing w:line="360" w:lineRule="auto"/>
        <w:rPr>
          <w:rFonts w:ascii="宋体" w:cs="宋体"/>
          <w:szCs w:val="21"/>
        </w:rPr>
      </w:pPr>
      <w:r>
        <w:rPr>
          <w:rFonts w:ascii="黑体" w:eastAsia="黑体"/>
          <w:bCs/>
          <w:kern w:val="32"/>
          <w:szCs w:val="21"/>
        </w:rPr>
        <w:t>11.1.1</w:t>
      </w:r>
      <w:r>
        <w:rPr>
          <w:rFonts w:hint="eastAsia" w:ascii="黑体" w:eastAsia="黑体"/>
          <w:bCs/>
          <w:kern w:val="32"/>
          <w:szCs w:val="21"/>
        </w:rPr>
        <w:t xml:space="preserve">  </w:t>
      </w:r>
      <w:r>
        <w:rPr>
          <w:rFonts w:hint="eastAsia" w:ascii="宋体" w:cs="宋体"/>
          <w:szCs w:val="21"/>
        </w:rPr>
        <w:t>资料整理以梳理已</w:t>
      </w:r>
      <w:r>
        <w:rPr>
          <w:rFonts w:ascii="宋体" w:cs="宋体"/>
          <w:szCs w:val="21"/>
        </w:rPr>
        <w:t>发布的</w:t>
      </w:r>
      <w:r>
        <w:rPr>
          <w:rFonts w:hint="eastAsia" w:ascii="宋体" w:cs="宋体"/>
          <w:szCs w:val="21"/>
        </w:rPr>
        <w:t>标准规定和</w:t>
      </w:r>
      <w:r>
        <w:rPr>
          <w:rFonts w:ascii="宋体" w:cs="宋体"/>
          <w:szCs w:val="21"/>
        </w:rPr>
        <w:t>管理办法</w:t>
      </w:r>
      <w:r>
        <w:rPr>
          <w:rFonts w:hint="eastAsia" w:ascii="宋体" w:cs="宋体"/>
          <w:szCs w:val="21"/>
        </w:rPr>
        <w:t>，明确各级防治机构</w:t>
      </w:r>
      <w:r>
        <w:rPr>
          <w:rFonts w:ascii="宋体" w:cs="宋体"/>
          <w:szCs w:val="21"/>
        </w:rPr>
        <w:t>和技术支撑机构工作</w:t>
      </w:r>
      <w:r>
        <w:rPr>
          <w:rFonts w:hint="eastAsia" w:ascii="宋体" w:cs="宋体"/>
          <w:szCs w:val="21"/>
        </w:rPr>
        <w:t>方案中编制大纲、工作</w:t>
      </w:r>
      <w:r>
        <w:rPr>
          <w:rFonts w:ascii="宋体" w:cs="宋体"/>
          <w:szCs w:val="21"/>
        </w:rPr>
        <w:t>程序</w:t>
      </w:r>
      <w:r>
        <w:rPr>
          <w:rFonts w:hint="eastAsia" w:ascii="宋体" w:cs="宋体"/>
          <w:szCs w:val="21"/>
        </w:rPr>
        <w:t>和工作内容，掌握各级机构开展地质灾害防治工作现状和</w:t>
      </w:r>
      <w:r>
        <w:rPr>
          <w:rFonts w:ascii="宋体" w:cs="宋体"/>
          <w:szCs w:val="21"/>
        </w:rPr>
        <w:t>取得的成果</w:t>
      </w:r>
      <w:r>
        <w:rPr>
          <w:rFonts w:hint="eastAsia" w:ascii="宋体" w:cs="宋体"/>
          <w:szCs w:val="21"/>
        </w:rPr>
        <w:t>为</w:t>
      </w:r>
      <w:r>
        <w:rPr>
          <w:rFonts w:ascii="宋体" w:cs="宋体"/>
          <w:szCs w:val="21"/>
        </w:rPr>
        <w:t>目的</w:t>
      </w:r>
      <w:r>
        <w:rPr>
          <w:rFonts w:hint="eastAsia" w:ascii="宋体" w:cs="宋体"/>
          <w:szCs w:val="21"/>
        </w:rPr>
        <w:t>，评估可操作性、合理性和实用性，开展</w:t>
      </w:r>
      <w:r>
        <w:rPr>
          <w:rFonts w:ascii="宋体" w:cs="宋体"/>
          <w:szCs w:val="21"/>
        </w:rPr>
        <w:t>能力建设</w:t>
      </w:r>
      <w:r>
        <w:rPr>
          <w:rFonts w:hint="eastAsia" w:ascii="宋体" w:cs="宋体"/>
          <w:szCs w:val="21"/>
        </w:rPr>
        <w:t>技术</w:t>
      </w:r>
      <w:r>
        <w:rPr>
          <w:rFonts w:ascii="宋体" w:cs="宋体"/>
          <w:szCs w:val="21"/>
        </w:rPr>
        <w:t>要求的编制工作</w:t>
      </w:r>
      <w:r>
        <w:rPr>
          <w:rFonts w:hint="eastAsia" w:ascii="宋体" w:cs="宋体"/>
          <w:szCs w:val="21"/>
        </w:rPr>
        <w:t>。</w:t>
      </w:r>
    </w:p>
    <w:p>
      <w:pPr>
        <w:spacing w:line="360" w:lineRule="auto"/>
        <w:rPr>
          <w:rFonts w:ascii="宋体" w:cs="宋体"/>
          <w:szCs w:val="21"/>
        </w:rPr>
      </w:pPr>
      <w:r>
        <w:rPr>
          <w:rFonts w:ascii="黑体" w:eastAsia="黑体"/>
          <w:bCs/>
          <w:kern w:val="32"/>
          <w:szCs w:val="21"/>
        </w:rPr>
        <w:t xml:space="preserve">11.1.2 </w:t>
      </w:r>
      <w:r>
        <w:rPr>
          <w:rFonts w:hint="eastAsia" w:ascii="黑体" w:eastAsia="黑体"/>
          <w:bCs/>
          <w:kern w:val="32"/>
          <w:szCs w:val="21"/>
        </w:rPr>
        <w:t xml:space="preserve"> </w:t>
      </w:r>
      <w:r>
        <w:rPr>
          <w:rFonts w:hint="eastAsia" w:ascii="宋体" w:cs="宋体"/>
          <w:szCs w:val="21"/>
        </w:rPr>
        <w:t>资料整理内容包括：</w:t>
      </w:r>
    </w:p>
    <w:p>
      <w:pPr>
        <w:spacing w:line="360" w:lineRule="auto"/>
        <w:ind w:left="840" w:leftChars="200" w:hanging="420" w:hangingChars="200"/>
        <w:rPr>
          <w:rFonts w:ascii="宋体" w:cs="宋体"/>
          <w:szCs w:val="21"/>
        </w:rPr>
      </w:pPr>
      <w:r>
        <w:rPr>
          <w:rFonts w:ascii="Times New Roman" w:hAnsi="Times New Roman"/>
          <w:szCs w:val="21"/>
        </w:rPr>
        <w:t xml:space="preserve">a) </w:t>
      </w:r>
      <w:r>
        <w:rPr>
          <w:rFonts w:hint="eastAsia" w:ascii="宋体" w:cs="宋体"/>
          <w:szCs w:val="21"/>
        </w:rPr>
        <w:t xml:space="preserve"> 省内发布地质灾害防治相关通知、要求。</w:t>
      </w:r>
    </w:p>
    <w:p>
      <w:pPr>
        <w:spacing w:line="360" w:lineRule="auto"/>
        <w:ind w:left="840" w:leftChars="200" w:hanging="420" w:hangingChars="200"/>
        <w:rPr>
          <w:rFonts w:ascii="宋体" w:cs="宋体"/>
          <w:szCs w:val="21"/>
        </w:rPr>
      </w:pPr>
      <w:r>
        <w:rPr>
          <w:rFonts w:ascii="Times New Roman" w:hAnsi="Times New Roman"/>
          <w:szCs w:val="21"/>
        </w:rPr>
        <w:t xml:space="preserve">b) </w:t>
      </w:r>
      <w:r>
        <w:rPr>
          <w:rFonts w:hint="eastAsia" w:ascii="宋体" w:cs="宋体"/>
          <w:szCs w:val="21"/>
        </w:rPr>
        <w:t xml:space="preserve"> 省内基础设施和</w:t>
      </w:r>
      <w:r>
        <w:rPr>
          <w:rFonts w:ascii="宋体" w:cs="宋体"/>
          <w:szCs w:val="21"/>
        </w:rPr>
        <w:t>能力建设相关的</w:t>
      </w:r>
      <w:r>
        <w:rPr>
          <w:rFonts w:hint="eastAsia" w:ascii="宋体" w:cs="宋体"/>
          <w:szCs w:val="21"/>
        </w:rPr>
        <w:t>草案</w:t>
      </w:r>
      <w:r>
        <w:rPr>
          <w:rFonts w:ascii="宋体" w:cs="宋体"/>
          <w:szCs w:val="21"/>
        </w:rPr>
        <w:t>和技术</w:t>
      </w:r>
      <w:r>
        <w:rPr>
          <w:rFonts w:hint="eastAsia" w:ascii="宋体" w:cs="宋体"/>
          <w:szCs w:val="21"/>
        </w:rPr>
        <w:t>方案。</w:t>
      </w:r>
    </w:p>
    <w:p>
      <w:pPr>
        <w:spacing w:line="360" w:lineRule="auto"/>
        <w:ind w:left="840" w:leftChars="200" w:hanging="420" w:hangingChars="200"/>
        <w:rPr>
          <w:rFonts w:ascii="宋体" w:cs="宋体"/>
          <w:szCs w:val="21"/>
        </w:rPr>
      </w:pPr>
      <w:r>
        <w:rPr>
          <w:rFonts w:ascii="Times New Roman" w:hAnsi="Times New Roman"/>
          <w:szCs w:val="21"/>
        </w:rPr>
        <w:t xml:space="preserve">c) </w:t>
      </w:r>
      <w:r>
        <w:rPr>
          <w:rFonts w:hint="eastAsia" w:ascii="宋体" w:cs="宋体"/>
          <w:szCs w:val="21"/>
        </w:rPr>
        <w:t xml:space="preserve"> 省内各级制定防治规划、防治</w:t>
      </w:r>
      <w:r>
        <w:rPr>
          <w:rFonts w:ascii="宋体" w:cs="宋体"/>
          <w:szCs w:val="21"/>
        </w:rPr>
        <w:t>方案和</w:t>
      </w:r>
      <w:r>
        <w:rPr>
          <w:rFonts w:hint="eastAsia" w:ascii="宋体" w:cs="宋体"/>
          <w:szCs w:val="21"/>
        </w:rPr>
        <w:t>开展防灾演练、宣传培训的工作方案及总结</w:t>
      </w:r>
      <w:r>
        <w:rPr>
          <w:rFonts w:ascii="宋体" w:cs="宋体"/>
          <w:szCs w:val="21"/>
        </w:rPr>
        <w:t>性材料</w:t>
      </w:r>
      <w:r>
        <w:rPr>
          <w:rFonts w:hint="eastAsia" w:ascii="宋体" w:cs="宋体"/>
          <w:szCs w:val="21"/>
        </w:rPr>
        <w:t>。</w:t>
      </w:r>
    </w:p>
    <w:p>
      <w:pPr>
        <w:spacing w:line="360" w:lineRule="auto"/>
        <w:ind w:left="840" w:leftChars="200" w:hanging="420" w:hangingChars="200"/>
        <w:rPr>
          <w:rFonts w:ascii="宋体" w:cs="宋体"/>
          <w:szCs w:val="21"/>
        </w:rPr>
      </w:pPr>
      <w:r>
        <w:rPr>
          <w:rFonts w:ascii="Times New Roman" w:hAnsi="Times New Roman"/>
          <w:szCs w:val="21"/>
        </w:rPr>
        <w:t>d)</w:t>
      </w:r>
      <w:r>
        <w:rPr>
          <w:rFonts w:hint="eastAsia" w:ascii="宋体" w:cs="宋体"/>
          <w:szCs w:val="21"/>
        </w:rPr>
        <w:t xml:space="preserve">  国内主流</w:t>
      </w:r>
      <w:r>
        <w:rPr>
          <w:rFonts w:ascii="宋体" w:cs="宋体"/>
          <w:szCs w:val="21"/>
        </w:rPr>
        <w:t>的</w:t>
      </w:r>
      <w:r>
        <w:rPr>
          <w:rFonts w:hint="eastAsia" w:ascii="宋体" w:cs="宋体"/>
          <w:szCs w:val="21"/>
        </w:rPr>
        <w:t>调查</w:t>
      </w:r>
      <w:r>
        <w:rPr>
          <w:rFonts w:ascii="宋体" w:cs="宋体"/>
          <w:szCs w:val="21"/>
        </w:rPr>
        <w:t>和</w:t>
      </w:r>
      <w:r>
        <w:rPr>
          <w:rFonts w:hint="eastAsia" w:ascii="宋体" w:cs="宋体"/>
          <w:szCs w:val="21"/>
        </w:rPr>
        <w:t>监测设备型号、技术参数及厂商。</w:t>
      </w:r>
    </w:p>
    <w:p>
      <w:pPr>
        <w:spacing w:line="360" w:lineRule="auto"/>
        <w:ind w:left="840" w:leftChars="200" w:hanging="420" w:hangingChars="200"/>
        <w:rPr>
          <w:rFonts w:ascii="宋体" w:cs="宋体"/>
          <w:szCs w:val="21"/>
        </w:rPr>
      </w:pPr>
      <w:r>
        <w:rPr>
          <w:rFonts w:ascii="Times New Roman" w:hAnsi="Times New Roman"/>
          <w:szCs w:val="21"/>
        </w:rPr>
        <w:t>e)</w:t>
      </w:r>
      <w:r>
        <w:rPr>
          <w:rFonts w:hint="eastAsia" w:ascii="宋体" w:cs="宋体"/>
          <w:szCs w:val="21"/>
        </w:rPr>
        <w:t xml:space="preserve">  建设案例和建设效果图等。</w:t>
      </w:r>
    </w:p>
    <w:p>
      <w:pPr>
        <w:pStyle w:val="3"/>
      </w:pPr>
      <w:bookmarkStart w:id="44" w:name="_Toc24540536"/>
      <w:r>
        <w:t xml:space="preserve">11.2  </w:t>
      </w:r>
      <w:r>
        <w:rPr>
          <w:rFonts w:hint="eastAsia"/>
        </w:rPr>
        <w:t>报告编制</w:t>
      </w:r>
      <w:bookmarkEnd w:id="44"/>
    </w:p>
    <w:p>
      <w:pPr>
        <w:spacing w:line="360" w:lineRule="auto"/>
        <w:rPr>
          <w:rFonts w:ascii="宋体" w:cs="宋体"/>
          <w:szCs w:val="21"/>
        </w:rPr>
      </w:pPr>
      <w:r>
        <w:rPr>
          <w:rFonts w:hint="eastAsia" w:ascii="黑体" w:eastAsia="黑体"/>
          <w:bCs/>
          <w:szCs w:val="21"/>
        </w:rPr>
        <w:t xml:space="preserve">11.2.1  </w:t>
      </w:r>
      <w:r>
        <w:rPr>
          <w:rFonts w:hint="eastAsia" w:ascii="宋体" w:cs="宋体"/>
          <w:szCs w:val="21"/>
        </w:rPr>
        <w:t>设计</w:t>
      </w:r>
      <w:r>
        <w:rPr>
          <w:rFonts w:ascii="宋体" w:cs="宋体"/>
          <w:szCs w:val="21"/>
        </w:rPr>
        <w:t>报告</w:t>
      </w:r>
      <w:r>
        <w:rPr>
          <w:rFonts w:hint="eastAsia" w:ascii="宋体" w:cs="宋体"/>
          <w:szCs w:val="21"/>
        </w:rPr>
        <w:t>编制根据任务书要求，细化目标任务，确定量化预期成果，明确需要重点解决的问题，制定技术路线和工作进度安排，落实具体工作量（设计</w:t>
      </w:r>
      <w:r>
        <w:rPr>
          <w:rFonts w:ascii="宋体" w:cs="宋体"/>
          <w:szCs w:val="21"/>
        </w:rPr>
        <w:t>报告编制提纲见附</w:t>
      </w:r>
      <w:r>
        <w:rPr>
          <w:rFonts w:ascii="Times New Roman" w:hAnsi="Times New Roman"/>
          <w:szCs w:val="21"/>
        </w:rPr>
        <w:t>录G</w:t>
      </w:r>
      <w:r>
        <w:rPr>
          <w:rFonts w:hint="eastAsia" w:ascii="宋体" w:cs="宋体"/>
          <w:szCs w:val="21"/>
        </w:rPr>
        <w:t>）。</w:t>
      </w:r>
    </w:p>
    <w:p>
      <w:pPr>
        <w:spacing w:line="360" w:lineRule="auto"/>
        <w:rPr>
          <w:rFonts w:ascii="宋体" w:cs="宋体"/>
          <w:szCs w:val="21"/>
        </w:rPr>
      </w:pPr>
      <w:r>
        <w:rPr>
          <w:rFonts w:hint="eastAsia" w:ascii="黑体" w:eastAsia="黑体"/>
          <w:bCs/>
          <w:szCs w:val="21"/>
        </w:rPr>
        <w:t>11.2.</w:t>
      </w:r>
      <w:r>
        <w:rPr>
          <w:rFonts w:ascii="黑体" w:eastAsia="黑体"/>
          <w:bCs/>
          <w:szCs w:val="21"/>
        </w:rPr>
        <w:t>2</w:t>
      </w:r>
      <w:r>
        <w:rPr>
          <w:rFonts w:hint="eastAsia" w:ascii="宋体" w:cs="宋体"/>
          <w:szCs w:val="21"/>
        </w:rPr>
        <w:t xml:space="preserve">  设计</w:t>
      </w:r>
      <w:r>
        <w:rPr>
          <w:rFonts w:ascii="宋体" w:cs="宋体"/>
          <w:szCs w:val="21"/>
        </w:rPr>
        <w:t>报告</w:t>
      </w:r>
      <w:r>
        <w:rPr>
          <w:rFonts w:hint="eastAsia" w:ascii="宋体" w:cs="宋体"/>
          <w:szCs w:val="21"/>
        </w:rPr>
        <w:t>应做到任务明确，依据充分，工作部署合理、技术方法可行、措施有力，经费预算合理，文字简明扼要、重点突出。</w:t>
      </w:r>
    </w:p>
    <w:p>
      <w:pPr>
        <w:spacing w:line="360" w:lineRule="auto"/>
        <w:rPr>
          <w:rFonts w:ascii="宋体" w:cs="宋体"/>
          <w:szCs w:val="21"/>
        </w:rPr>
      </w:pPr>
      <w:r>
        <w:rPr>
          <w:rFonts w:hint="eastAsia" w:ascii="黑体" w:eastAsia="黑体"/>
          <w:bCs/>
          <w:szCs w:val="21"/>
        </w:rPr>
        <w:t>11.2.</w:t>
      </w:r>
      <w:r>
        <w:rPr>
          <w:rFonts w:ascii="黑体" w:eastAsia="黑体"/>
          <w:bCs/>
          <w:szCs w:val="21"/>
        </w:rPr>
        <w:t>3</w:t>
      </w:r>
      <w:r>
        <w:rPr>
          <w:rFonts w:hint="eastAsia" w:ascii="黑体" w:eastAsia="黑体"/>
          <w:bCs/>
          <w:szCs w:val="21"/>
        </w:rPr>
        <w:t xml:space="preserve">  </w:t>
      </w:r>
      <w:r>
        <w:rPr>
          <w:rFonts w:hint="eastAsia" w:ascii="宋体" w:cs="宋体"/>
          <w:szCs w:val="21"/>
        </w:rPr>
        <w:t>成果报告要求资料完整、数据真实准确、篇章结构清晰、文图对应统一、结论明确有据，具有可操作性和实用性，重点突出，无错误和矛盾。成果报告的文字、术语、代号、符号、数字、计量单位、标点，均要符合国家有关标准的规定。</w:t>
      </w:r>
    </w:p>
    <w:p>
      <w:pPr>
        <w:spacing w:line="360" w:lineRule="auto"/>
        <w:rPr>
          <w:rFonts w:ascii="宋体" w:cs="宋体"/>
          <w:szCs w:val="21"/>
        </w:rPr>
      </w:pPr>
      <w:r>
        <w:rPr>
          <w:rFonts w:hint="eastAsia" w:ascii="黑体" w:eastAsia="黑体"/>
          <w:bCs/>
          <w:szCs w:val="21"/>
        </w:rPr>
        <w:t xml:space="preserve">11.2.4  </w:t>
      </w:r>
      <w:r>
        <w:rPr>
          <w:rFonts w:hint="eastAsia" w:ascii="宋体" w:cs="宋体"/>
          <w:szCs w:val="21"/>
        </w:rPr>
        <w:t>成果报告编写要求全面反映能力建设取得的成果，其中报告书及所</w:t>
      </w:r>
      <w:r>
        <w:rPr>
          <w:rFonts w:ascii="宋体" w:cs="宋体"/>
          <w:szCs w:val="21"/>
        </w:rPr>
        <w:t>有</w:t>
      </w:r>
      <w:r>
        <w:rPr>
          <w:rFonts w:hint="eastAsia" w:ascii="宋体" w:cs="宋体"/>
          <w:szCs w:val="21"/>
        </w:rPr>
        <w:t>附件均</w:t>
      </w:r>
      <w:r>
        <w:rPr>
          <w:rFonts w:ascii="宋体" w:cs="宋体"/>
          <w:szCs w:val="21"/>
        </w:rPr>
        <w:t>作为</w:t>
      </w:r>
      <w:r>
        <w:rPr>
          <w:rFonts w:hint="eastAsia" w:ascii="宋体" w:cs="宋体"/>
          <w:szCs w:val="21"/>
        </w:rPr>
        <w:t>开展工作的最终成果，附件可包括工作量</w:t>
      </w:r>
      <w:r>
        <w:rPr>
          <w:rFonts w:ascii="宋体" w:cs="宋体"/>
          <w:szCs w:val="21"/>
        </w:rPr>
        <w:t>清单</w:t>
      </w:r>
      <w:r>
        <w:rPr>
          <w:rFonts w:hint="eastAsia" w:ascii="宋体" w:cs="宋体"/>
          <w:szCs w:val="21"/>
        </w:rPr>
        <w:t>、工作指南、建设提纲、照片、</w:t>
      </w:r>
      <w:r>
        <w:rPr>
          <w:rFonts w:ascii="宋体" w:cs="宋体"/>
          <w:szCs w:val="21"/>
        </w:rPr>
        <w:t>表格</w:t>
      </w:r>
      <w:r>
        <w:rPr>
          <w:rFonts w:hint="eastAsia" w:ascii="宋体" w:cs="宋体"/>
          <w:szCs w:val="21"/>
        </w:rPr>
        <w:t>等内容。</w:t>
      </w:r>
    </w:p>
    <w:p>
      <w:pPr>
        <w:pStyle w:val="2"/>
        <w:spacing w:before="312" w:beforeLines="100" w:after="312" w:afterLines="100"/>
      </w:pPr>
      <w:bookmarkStart w:id="45" w:name="_Toc24540537"/>
      <w:r>
        <w:t xml:space="preserve">12  </w:t>
      </w:r>
      <w:r>
        <w:rPr>
          <w:rFonts w:hint="eastAsia"/>
        </w:rPr>
        <w:t>质量检查与成果验收</w:t>
      </w:r>
      <w:bookmarkEnd w:id="45"/>
    </w:p>
    <w:p>
      <w:pPr>
        <w:pStyle w:val="3"/>
      </w:pPr>
      <w:bookmarkStart w:id="46" w:name="_Toc24540538"/>
      <w:r>
        <w:t>12.1</w:t>
      </w:r>
      <w:r>
        <w:rPr>
          <w:rFonts w:hint="eastAsia"/>
        </w:rPr>
        <w:t xml:space="preserve">  质量检查</w:t>
      </w:r>
      <w:bookmarkEnd w:id="46"/>
    </w:p>
    <w:p>
      <w:pPr>
        <w:spacing w:line="360" w:lineRule="auto"/>
        <w:ind w:firstLine="420" w:firstLineChars="200"/>
        <w:jc w:val="left"/>
        <w:rPr>
          <w:rFonts w:ascii="宋体" w:cs="宋体"/>
          <w:szCs w:val="21"/>
        </w:rPr>
      </w:pPr>
      <w:r>
        <w:rPr>
          <w:rFonts w:hint="eastAsia" w:ascii="宋体" w:cs="宋体"/>
          <w:szCs w:val="21"/>
        </w:rPr>
        <w:t>质量检查内容包括项目建设方案及审查、工作进度与工作量完成情况、项目组织管理情况和质量管理体系运行情况。</w:t>
      </w:r>
    </w:p>
    <w:p>
      <w:pPr>
        <w:pStyle w:val="4"/>
        <w:rPr>
          <w:rFonts w:ascii="黑体"/>
          <w:kern w:val="32"/>
          <w:lang w:eastAsia="zh-CN"/>
        </w:rPr>
      </w:pPr>
      <w:bookmarkStart w:id="47" w:name="_Toc24540539"/>
      <w:r>
        <w:rPr>
          <w:rFonts w:ascii="黑体"/>
          <w:kern w:val="32"/>
          <w:lang w:eastAsia="zh-CN"/>
        </w:rPr>
        <w:t xml:space="preserve">12.1.1  </w:t>
      </w:r>
      <w:r>
        <w:rPr>
          <w:rFonts w:hint="eastAsia" w:ascii="黑体"/>
          <w:kern w:val="32"/>
          <w:lang w:eastAsia="zh-CN"/>
        </w:rPr>
        <w:t>质量</w:t>
      </w:r>
      <w:r>
        <w:rPr>
          <w:rFonts w:ascii="黑体"/>
          <w:kern w:val="32"/>
          <w:lang w:eastAsia="zh-CN"/>
        </w:rPr>
        <w:t>检查</w:t>
      </w:r>
      <w:r>
        <w:rPr>
          <w:rFonts w:hint="eastAsia" w:ascii="黑体"/>
          <w:kern w:val="32"/>
          <w:lang w:eastAsia="zh-CN"/>
        </w:rPr>
        <w:t>要求</w:t>
      </w:r>
      <w:bookmarkEnd w:id="47"/>
    </w:p>
    <w:p>
      <w:pPr>
        <w:spacing w:line="360" w:lineRule="auto"/>
        <w:ind w:left="840" w:leftChars="200" w:hanging="420" w:hangingChars="200"/>
        <w:rPr>
          <w:rFonts w:ascii="宋体" w:cs="宋体"/>
          <w:szCs w:val="21"/>
        </w:rPr>
      </w:pPr>
      <w:r>
        <w:rPr>
          <w:rFonts w:ascii="Times New Roman" w:hAnsi="Times New Roman"/>
          <w:szCs w:val="21"/>
        </w:rPr>
        <w:t xml:space="preserve">a) </w:t>
      </w:r>
      <w:r>
        <w:rPr>
          <w:rFonts w:hint="eastAsia" w:ascii="宋体" w:cs="宋体"/>
          <w:szCs w:val="21"/>
        </w:rPr>
        <w:t xml:space="preserve"> 建设内容真实、可靠，包括建设方资质、招标文件、施工设计图、建设方案与试运行报告、装备测试报告等。</w:t>
      </w:r>
    </w:p>
    <w:p>
      <w:pPr>
        <w:spacing w:line="360" w:lineRule="auto"/>
        <w:ind w:left="840" w:leftChars="200" w:hanging="420" w:hangingChars="200"/>
        <w:rPr>
          <w:rFonts w:ascii="宋体" w:cs="宋体"/>
          <w:szCs w:val="21"/>
        </w:rPr>
      </w:pPr>
      <w:r>
        <w:rPr>
          <w:rFonts w:ascii="Times New Roman" w:hAnsi="Times New Roman"/>
          <w:szCs w:val="21"/>
        </w:rPr>
        <w:t xml:space="preserve">b) </w:t>
      </w:r>
      <w:r>
        <w:rPr>
          <w:rFonts w:hint="eastAsia" w:ascii="宋体" w:cs="宋体"/>
          <w:szCs w:val="21"/>
        </w:rPr>
        <w:t xml:space="preserve"> 建设效果符合要求，通过场景模拟、演示等形式对其进行检查。</w:t>
      </w:r>
    </w:p>
    <w:p>
      <w:pPr>
        <w:spacing w:line="360" w:lineRule="auto"/>
        <w:ind w:left="840" w:leftChars="200" w:hanging="420" w:hangingChars="200"/>
        <w:rPr>
          <w:rFonts w:ascii="宋体" w:cs="宋体"/>
          <w:szCs w:val="21"/>
        </w:rPr>
      </w:pPr>
      <w:r>
        <w:rPr>
          <w:rFonts w:ascii="Times New Roman" w:hAnsi="Times New Roman"/>
          <w:szCs w:val="21"/>
        </w:rPr>
        <w:t xml:space="preserve">c) </w:t>
      </w:r>
      <w:r>
        <w:rPr>
          <w:rFonts w:hint="eastAsia" w:ascii="宋体" w:cs="宋体"/>
          <w:szCs w:val="21"/>
        </w:rPr>
        <w:t xml:space="preserve"> 质量管理体系记录齐全，包括自检、互检、抽检、年度原始资料检查记录小结。</w:t>
      </w:r>
    </w:p>
    <w:p>
      <w:pPr>
        <w:spacing w:line="360" w:lineRule="auto"/>
        <w:ind w:left="840" w:leftChars="200" w:hanging="420" w:hangingChars="200"/>
        <w:rPr>
          <w:rFonts w:ascii="宋体" w:cs="宋体"/>
          <w:szCs w:val="21"/>
        </w:rPr>
      </w:pPr>
      <w:r>
        <w:rPr>
          <w:rFonts w:ascii="Times New Roman" w:hAnsi="Times New Roman"/>
          <w:szCs w:val="21"/>
        </w:rPr>
        <w:t xml:space="preserve">d) </w:t>
      </w:r>
      <w:r>
        <w:rPr>
          <w:rFonts w:hint="eastAsia" w:ascii="宋体" w:cs="宋体"/>
          <w:szCs w:val="21"/>
        </w:rPr>
        <w:t xml:space="preserve"> 通过项目专家组审查，防治机构组织专家组对建设内容提出建议，形成专家组质量检查意见。</w:t>
      </w:r>
    </w:p>
    <w:p>
      <w:pPr>
        <w:pStyle w:val="4"/>
        <w:rPr>
          <w:rFonts w:ascii="黑体"/>
          <w:kern w:val="32"/>
          <w:lang w:eastAsia="zh-CN"/>
        </w:rPr>
      </w:pPr>
      <w:bookmarkStart w:id="48" w:name="_Toc24540540"/>
      <w:r>
        <w:rPr>
          <w:rFonts w:ascii="黑体"/>
          <w:kern w:val="32"/>
          <w:lang w:eastAsia="zh-CN"/>
        </w:rPr>
        <w:t xml:space="preserve">12.1.2  </w:t>
      </w:r>
      <w:r>
        <w:rPr>
          <w:rFonts w:hint="eastAsia" w:ascii="黑体"/>
          <w:kern w:val="32"/>
          <w:lang w:eastAsia="zh-CN"/>
        </w:rPr>
        <w:t>质量</w:t>
      </w:r>
      <w:r>
        <w:rPr>
          <w:rFonts w:ascii="黑体"/>
          <w:kern w:val="32"/>
          <w:lang w:eastAsia="zh-CN"/>
        </w:rPr>
        <w:t>检查内容</w:t>
      </w:r>
      <w:bookmarkEnd w:id="48"/>
    </w:p>
    <w:p>
      <w:pPr>
        <w:spacing w:line="360" w:lineRule="auto"/>
        <w:ind w:left="840" w:leftChars="200" w:hanging="420" w:hangingChars="200"/>
        <w:rPr>
          <w:rFonts w:ascii="宋体" w:cs="宋体"/>
          <w:szCs w:val="21"/>
        </w:rPr>
      </w:pPr>
      <w:r>
        <w:rPr>
          <w:rFonts w:ascii="Times New Roman" w:hAnsi="Times New Roman"/>
          <w:szCs w:val="21"/>
        </w:rPr>
        <w:t xml:space="preserve">a) </w:t>
      </w:r>
      <w:r>
        <w:rPr>
          <w:rFonts w:hint="eastAsia" w:ascii="宋体" w:cs="宋体"/>
          <w:szCs w:val="21"/>
        </w:rPr>
        <w:t xml:space="preserve"> 查阅组织机构、工作方案、实施过程管理、质量管理体系架构等技术管理文件。</w:t>
      </w:r>
    </w:p>
    <w:p>
      <w:pPr>
        <w:spacing w:line="360" w:lineRule="auto"/>
        <w:ind w:left="840" w:leftChars="200" w:hanging="420" w:hangingChars="200"/>
        <w:rPr>
          <w:rFonts w:ascii="宋体" w:cs="宋体"/>
          <w:szCs w:val="21"/>
        </w:rPr>
      </w:pPr>
      <w:r>
        <w:rPr>
          <w:rFonts w:ascii="Times New Roman" w:hAnsi="Times New Roman"/>
          <w:szCs w:val="21"/>
        </w:rPr>
        <w:t>b)</w:t>
      </w:r>
      <w:r>
        <w:rPr>
          <w:rFonts w:hint="eastAsia" w:ascii="宋体" w:cs="宋体"/>
          <w:szCs w:val="21"/>
        </w:rPr>
        <w:t xml:space="preserve">  查阅设备合格证、说明书、施工入场记录等原始资料。</w:t>
      </w:r>
    </w:p>
    <w:p>
      <w:pPr>
        <w:spacing w:line="360" w:lineRule="auto"/>
        <w:ind w:left="840" w:leftChars="200" w:hanging="420" w:hangingChars="200"/>
        <w:rPr>
          <w:rFonts w:ascii="宋体" w:cs="宋体"/>
          <w:szCs w:val="21"/>
        </w:rPr>
      </w:pPr>
      <w:r>
        <w:rPr>
          <w:rFonts w:ascii="Times New Roman" w:hAnsi="Times New Roman"/>
          <w:szCs w:val="21"/>
        </w:rPr>
        <w:t>c)</w:t>
      </w:r>
      <w:r>
        <w:rPr>
          <w:rFonts w:hint="eastAsia" w:ascii="宋体" w:cs="宋体"/>
          <w:szCs w:val="21"/>
        </w:rPr>
        <w:t xml:space="preserve">  查阅编制的工作指南、操作手册、工作总结等资料。</w:t>
      </w:r>
    </w:p>
    <w:p>
      <w:pPr>
        <w:spacing w:line="360" w:lineRule="auto"/>
        <w:ind w:left="840" w:leftChars="200" w:hanging="420" w:hangingChars="200"/>
        <w:rPr>
          <w:rFonts w:ascii="宋体" w:cs="宋体"/>
          <w:szCs w:val="21"/>
        </w:rPr>
      </w:pPr>
      <w:r>
        <w:rPr>
          <w:rFonts w:ascii="Times New Roman" w:hAnsi="Times New Roman"/>
          <w:szCs w:val="21"/>
        </w:rPr>
        <w:t>d)</w:t>
      </w:r>
      <w:r>
        <w:rPr>
          <w:rFonts w:hint="eastAsia" w:ascii="宋体" w:cs="宋体"/>
          <w:szCs w:val="21"/>
        </w:rPr>
        <w:t xml:space="preserve">  全部技术方案、会议纪要实际资料。</w:t>
      </w:r>
    </w:p>
    <w:p>
      <w:pPr>
        <w:spacing w:line="360" w:lineRule="auto"/>
        <w:ind w:left="840" w:leftChars="200" w:hanging="420" w:hangingChars="200"/>
        <w:rPr>
          <w:rFonts w:ascii="宋体" w:cs="宋体"/>
          <w:szCs w:val="21"/>
        </w:rPr>
      </w:pPr>
      <w:r>
        <w:rPr>
          <w:rFonts w:ascii="Times New Roman" w:hAnsi="Times New Roman"/>
          <w:szCs w:val="21"/>
        </w:rPr>
        <w:t xml:space="preserve">e) </w:t>
      </w:r>
      <w:r>
        <w:rPr>
          <w:rFonts w:hint="eastAsia" w:ascii="宋体" w:cs="宋体"/>
          <w:szCs w:val="21"/>
        </w:rPr>
        <w:t xml:space="preserve"> 质量检查记录。</w:t>
      </w:r>
    </w:p>
    <w:p>
      <w:pPr>
        <w:spacing w:line="360" w:lineRule="auto"/>
        <w:ind w:left="840" w:leftChars="200" w:hanging="420" w:hangingChars="200"/>
        <w:rPr>
          <w:rFonts w:ascii="宋体" w:cs="宋体"/>
          <w:szCs w:val="21"/>
        </w:rPr>
      </w:pPr>
      <w:r>
        <w:rPr>
          <w:rFonts w:ascii="Times New Roman" w:hAnsi="Times New Roman"/>
          <w:szCs w:val="21"/>
        </w:rPr>
        <w:t xml:space="preserve">f) </w:t>
      </w:r>
      <w:r>
        <w:rPr>
          <w:rFonts w:hint="eastAsia" w:ascii="宋体" w:cs="宋体"/>
          <w:szCs w:val="21"/>
        </w:rPr>
        <w:t xml:space="preserve"> 月工作小结。</w:t>
      </w:r>
    </w:p>
    <w:p>
      <w:pPr>
        <w:pStyle w:val="3"/>
      </w:pPr>
      <w:bookmarkStart w:id="49" w:name="_Toc24540541"/>
      <w:r>
        <w:t xml:space="preserve">12.2  </w:t>
      </w:r>
      <w:r>
        <w:rPr>
          <w:rFonts w:hint="eastAsia"/>
        </w:rPr>
        <w:t>成果验收</w:t>
      </w:r>
      <w:bookmarkEnd w:id="49"/>
    </w:p>
    <w:p>
      <w:pPr>
        <w:spacing w:line="360" w:lineRule="auto"/>
        <w:ind w:firstLine="420" w:firstLineChars="200"/>
        <w:rPr>
          <w:rFonts w:ascii="宋体" w:cs="宋体"/>
          <w:szCs w:val="21"/>
        </w:rPr>
      </w:pPr>
      <w:r>
        <w:rPr>
          <w:rFonts w:hint="eastAsia" w:ascii="宋体" w:cs="宋体"/>
          <w:szCs w:val="21"/>
        </w:rPr>
        <w:t>成果验收依据项目任务书、设计书、设计审查意见书以及有关技术标准和要求进行。</w:t>
      </w:r>
    </w:p>
    <w:p>
      <w:pPr>
        <w:pStyle w:val="4"/>
        <w:rPr>
          <w:rFonts w:ascii="黑体"/>
          <w:kern w:val="32"/>
          <w:lang w:eastAsia="zh-CN"/>
        </w:rPr>
      </w:pPr>
      <w:bookmarkStart w:id="50" w:name="_Toc24540542"/>
      <w:r>
        <w:rPr>
          <w:rFonts w:ascii="黑体"/>
          <w:kern w:val="32"/>
          <w:lang w:eastAsia="zh-CN"/>
        </w:rPr>
        <w:t xml:space="preserve">12.2.1  </w:t>
      </w:r>
      <w:r>
        <w:rPr>
          <w:rFonts w:hint="eastAsia" w:ascii="黑体"/>
          <w:kern w:val="32"/>
          <w:lang w:eastAsia="zh-CN"/>
        </w:rPr>
        <w:t>成果验收要求</w:t>
      </w:r>
      <w:bookmarkEnd w:id="50"/>
    </w:p>
    <w:p>
      <w:pPr>
        <w:spacing w:line="360" w:lineRule="auto"/>
        <w:ind w:left="840" w:leftChars="200" w:hanging="420" w:hangingChars="200"/>
        <w:rPr>
          <w:rFonts w:ascii="宋体" w:cs="宋体"/>
          <w:szCs w:val="21"/>
        </w:rPr>
      </w:pPr>
      <w:r>
        <w:rPr>
          <w:rFonts w:ascii="Times New Roman" w:hAnsi="Times New Roman"/>
          <w:szCs w:val="21"/>
        </w:rPr>
        <w:t xml:space="preserve">a) </w:t>
      </w:r>
      <w:r>
        <w:rPr>
          <w:rFonts w:hint="eastAsia" w:ascii="宋体" w:cs="宋体"/>
          <w:szCs w:val="21"/>
        </w:rPr>
        <w:t xml:space="preserve"> 报告内容合理、格式标准、可操作性强。</w:t>
      </w:r>
    </w:p>
    <w:p>
      <w:pPr>
        <w:spacing w:line="360" w:lineRule="auto"/>
        <w:ind w:left="840" w:leftChars="200" w:hanging="420" w:hangingChars="200"/>
        <w:rPr>
          <w:rFonts w:ascii="宋体" w:cs="宋体"/>
          <w:szCs w:val="21"/>
        </w:rPr>
      </w:pPr>
      <w:r>
        <w:rPr>
          <w:rFonts w:ascii="Times New Roman" w:hAnsi="Times New Roman"/>
          <w:szCs w:val="21"/>
        </w:rPr>
        <w:t xml:space="preserve">b) </w:t>
      </w:r>
      <w:r>
        <w:rPr>
          <w:rFonts w:hint="eastAsia" w:ascii="宋体" w:cs="宋体"/>
          <w:szCs w:val="21"/>
        </w:rPr>
        <w:t xml:space="preserve"> 各项实际资料整理真实可靠。</w:t>
      </w:r>
    </w:p>
    <w:p>
      <w:pPr>
        <w:spacing w:line="360" w:lineRule="auto"/>
        <w:ind w:left="840" w:leftChars="200" w:hanging="420" w:hangingChars="200"/>
        <w:rPr>
          <w:rFonts w:ascii="宋体" w:cs="宋体"/>
          <w:szCs w:val="21"/>
        </w:rPr>
      </w:pPr>
      <w:r>
        <w:rPr>
          <w:rFonts w:ascii="Times New Roman" w:hAnsi="Times New Roman"/>
          <w:szCs w:val="21"/>
        </w:rPr>
        <w:t xml:space="preserve">c) </w:t>
      </w:r>
      <w:r>
        <w:rPr>
          <w:rFonts w:hint="eastAsia" w:ascii="宋体" w:cs="宋体"/>
          <w:szCs w:val="21"/>
        </w:rPr>
        <w:t xml:space="preserve"> 各项工作成果符合设计相关技术要求的规定。</w:t>
      </w:r>
    </w:p>
    <w:p>
      <w:pPr>
        <w:spacing w:line="360" w:lineRule="auto"/>
        <w:ind w:left="840" w:leftChars="200" w:hanging="420" w:hangingChars="200"/>
        <w:rPr>
          <w:rFonts w:ascii="宋体" w:cs="宋体"/>
          <w:szCs w:val="21"/>
        </w:rPr>
      </w:pPr>
      <w:r>
        <w:rPr>
          <w:rFonts w:ascii="Times New Roman" w:hAnsi="Times New Roman"/>
          <w:szCs w:val="21"/>
        </w:rPr>
        <w:t>d)</w:t>
      </w:r>
      <w:r>
        <w:rPr>
          <w:rFonts w:hint="eastAsia" w:ascii="宋体" w:cs="宋体"/>
          <w:szCs w:val="21"/>
        </w:rPr>
        <w:t xml:space="preserve">  报告、图件与实际资料相符。</w:t>
      </w:r>
    </w:p>
    <w:p>
      <w:pPr>
        <w:spacing w:line="360" w:lineRule="auto"/>
        <w:ind w:left="840" w:leftChars="200" w:hanging="420" w:hangingChars="200"/>
        <w:rPr>
          <w:rFonts w:ascii="宋体" w:cs="宋体"/>
          <w:szCs w:val="21"/>
        </w:rPr>
      </w:pPr>
      <w:r>
        <w:rPr>
          <w:rFonts w:ascii="Times New Roman" w:hAnsi="Times New Roman"/>
          <w:szCs w:val="21"/>
        </w:rPr>
        <w:t>e)</w:t>
      </w:r>
      <w:r>
        <w:rPr>
          <w:rFonts w:hint="eastAsia" w:ascii="宋体" w:cs="宋体"/>
          <w:szCs w:val="21"/>
        </w:rPr>
        <w:t xml:space="preserve">  各种图件的内容、要素准确齐全。</w:t>
      </w:r>
    </w:p>
    <w:p>
      <w:pPr>
        <w:spacing w:line="360" w:lineRule="auto"/>
        <w:ind w:left="840" w:leftChars="200" w:hanging="420" w:hangingChars="200"/>
        <w:rPr>
          <w:rFonts w:ascii="宋体" w:cs="宋体"/>
          <w:szCs w:val="21"/>
        </w:rPr>
      </w:pPr>
      <w:r>
        <w:rPr>
          <w:rFonts w:ascii="Times New Roman" w:hAnsi="Times New Roman"/>
          <w:szCs w:val="21"/>
        </w:rPr>
        <w:t>f)</w:t>
      </w:r>
      <w:r>
        <w:rPr>
          <w:rFonts w:hint="eastAsia" w:ascii="宋体" w:cs="宋体"/>
          <w:szCs w:val="21"/>
        </w:rPr>
        <w:t xml:space="preserve">  建设成果可取得预期的社会、经济、环境效益。</w:t>
      </w:r>
    </w:p>
    <w:p>
      <w:pPr>
        <w:spacing w:line="360" w:lineRule="auto"/>
        <w:ind w:left="840" w:leftChars="200" w:hanging="420" w:hangingChars="200"/>
        <w:rPr>
          <w:rFonts w:ascii="宋体" w:cs="宋体"/>
          <w:szCs w:val="21"/>
        </w:rPr>
      </w:pPr>
      <w:r>
        <w:rPr>
          <w:rFonts w:ascii="Times New Roman" w:hAnsi="Times New Roman"/>
          <w:szCs w:val="21"/>
        </w:rPr>
        <w:t>g)</w:t>
      </w:r>
      <w:r>
        <w:rPr>
          <w:rFonts w:hint="eastAsia" w:ascii="宋体" w:cs="宋体"/>
          <w:szCs w:val="21"/>
        </w:rPr>
        <w:t xml:space="preserve">  防治机构组织专家组对建设成果进行评审，形成专家验收意见。</w:t>
      </w:r>
    </w:p>
    <w:p>
      <w:pPr>
        <w:pStyle w:val="4"/>
        <w:rPr>
          <w:rFonts w:ascii="黑体"/>
          <w:kern w:val="32"/>
          <w:lang w:eastAsia="zh-CN"/>
        </w:rPr>
      </w:pPr>
      <w:bookmarkStart w:id="51" w:name="_Toc24540543"/>
      <w:r>
        <w:rPr>
          <w:rFonts w:ascii="黑体"/>
          <w:kern w:val="32"/>
          <w:lang w:eastAsia="zh-CN"/>
        </w:rPr>
        <w:t>12.2.</w:t>
      </w:r>
      <w:r>
        <w:rPr>
          <w:rFonts w:hint="eastAsia" w:ascii="黑体"/>
          <w:kern w:val="32"/>
          <w:lang w:val="en-US" w:eastAsia="zh-CN"/>
        </w:rPr>
        <w:t xml:space="preserve">2  </w:t>
      </w:r>
      <w:r>
        <w:rPr>
          <w:rFonts w:hint="eastAsia" w:ascii="黑体"/>
          <w:kern w:val="32"/>
          <w:lang w:eastAsia="zh-CN"/>
        </w:rPr>
        <w:t>成果验收内容</w:t>
      </w:r>
      <w:bookmarkEnd w:id="51"/>
    </w:p>
    <w:p>
      <w:pPr>
        <w:spacing w:line="360" w:lineRule="auto"/>
        <w:ind w:left="840" w:leftChars="200" w:hanging="420" w:hangingChars="200"/>
        <w:rPr>
          <w:rFonts w:ascii="宋体" w:cs="宋体"/>
          <w:szCs w:val="21"/>
        </w:rPr>
      </w:pPr>
      <w:r>
        <w:rPr>
          <w:rFonts w:ascii="Times New Roman" w:hAnsi="Times New Roman"/>
          <w:szCs w:val="21"/>
        </w:rPr>
        <w:t xml:space="preserve">a) </w:t>
      </w:r>
      <w:r>
        <w:rPr>
          <w:rFonts w:hint="eastAsia" w:ascii="宋体" w:cs="宋体"/>
          <w:szCs w:val="21"/>
        </w:rPr>
        <w:t xml:space="preserve"> 能力建设方案及验收方案。</w:t>
      </w:r>
    </w:p>
    <w:p>
      <w:pPr>
        <w:spacing w:line="360" w:lineRule="auto"/>
        <w:ind w:left="840" w:leftChars="200" w:hanging="420" w:hangingChars="200"/>
        <w:rPr>
          <w:rFonts w:ascii="宋体" w:cs="宋体"/>
          <w:szCs w:val="21"/>
        </w:rPr>
      </w:pPr>
      <w:r>
        <w:rPr>
          <w:rFonts w:ascii="Times New Roman" w:hAnsi="Times New Roman"/>
          <w:szCs w:val="21"/>
        </w:rPr>
        <w:t>b)</w:t>
      </w:r>
      <w:r>
        <w:rPr>
          <w:rFonts w:hint="eastAsia" w:ascii="宋体" w:cs="宋体"/>
          <w:szCs w:val="21"/>
        </w:rPr>
        <w:t xml:space="preserve">  机构建设报告。</w:t>
      </w:r>
    </w:p>
    <w:p>
      <w:pPr>
        <w:spacing w:line="360" w:lineRule="auto"/>
        <w:ind w:left="840" w:leftChars="200" w:hanging="420" w:hangingChars="200"/>
        <w:rPr>
          <w:rFonts w:ascii="宋体" w:cs="宋体"/>
          <w:szCs w:val="21"/>
        </w:rPr>
      </w:pPr>
      <w:r>
        <w:rPr>
          <w:rFonts w:ascii="Times New Roman" w:hAnsi="Times New Roman"/>
          <w:szCs w:val="21"/>
        </w:rPr>
        <w:t xml:space="preserve">c) </w:t>
      </w:r>
      <w:r>
        <w:rPr>
          <w:rFonts w:hint="eastAsia" w:ascii="宋体" w:cs="宋体"/>
          <w:szCs w:val="21"/>
        </w:rPr>
        <w:t xml:space="preserve"> 装备设施建设报告。</w:t>
      </w:r>
    </w:p>
    <w:p>
      <w:pPr>
        <w:spacing w:line="360" w:lineRule="auto"/>
        <w:ind w:left="840" w:leftChars="200" w:hanging="420" w:hangingChars="200"/>
        <w:rPr>
          <w:rFonts w:ascii="宋体" w:cs="宋体"/>
          <w:szCs w:val="21"/>
        </w:rPr>
      </w:pPr>
      <w:r>
        <w:rPr>
          <w:rFonts w:ascii="Times New Roman" w:hAnsi="Times New Roman"/>
          <w:szCs w:val="21"/>
        </w:rPr>
        <w:t>d)</w:t>
      </w:r>
      <w:r>
        <w:rPr>
          <w:rFonts w:hint="eastAsia" w:ascii="宋体" w:cs="宋体"/>
          <w:szCs w:val="21"/>
        </w:rPr>
        <w:t xml:space="preserve">  试点建设报告。</w:t>
      </w:r>
    </w:p>
    <w:p>
      <w:pPr>
        <w:spacing w:line="360" w:lineRule="auto"/>
        <w:ind w:left="840" w:leftChars="200" w:hanging="420" w:hangingChars="200"/>
        <w:rPr>
          <w:rFonts w:ascii="宋体" w:cs="宋体"/>
          <w:szCs w:val="21"/>
        </w:rPr>
      </w:pPr>
      <w:r>
        <w:rPr>
          <w:rFonts w:ascii="Times New Roman" w:hAnsi="Times New Roman"/>
          <w:szCs w:val="21"/>
        </w:rPr>
        <w:t>e)</w:t>
      </w:r>
      <w:r>
        <w:rPr>
          <w:rFonts w:hint="eastAsia" w:ascii="宋体" w:cs="宋体"/>
          <w:szCs w:val="21"/>
        </w:rPr>
        <w:t xml:space="preserve">  宣传培训资料及总结。</w:t>
      </w:r>
    </w:p>
    <w:p>
      <w:pPr>
        <w:spacing w:line="360" w:lineRule="auto"/>
        <w:ind w:left="840" w:leftChars="200" w:hanging="420" w:hangingChars="200"/>
        <w:rPr>
          <w:rFonts w:ascii="宋体" w:cs="宋体"/>
          <w:szCs w:val="21"/>
        </w:rPr>
      </w:pPr>
      <w:r>
        <w:rPr>
          <w:rFonts w:ascii="Times New Roman" w:hAnsi="Times New Roman"/>
          <w:szCs w:val="21"/>
        </w:rPr>
        <w:t>f)</w:t>
      </w:r>
      <w:r>
        <w:rPr>
          <w:rFonts w:hint="eastAsia" w:ascii="宋体" w:cs="宋体"/>
          <w:szCs w:val="21"/>
        </w:rPr>
        <w:t xml:space="preserve">  演练方案与预案执行情况。</w:t>
      </w:r>
    </w:p>
    <w:p>
      <w:pPr>
        <w:spacing w:line="360" w:lineRule="auto"/>
        <w:ind w:left="840" w:leftChars="200" w:hanging="420" w:hangingChars="200"/>
        <w:rPr>
          <w:rFonts w:ascii="宋体" w:cs="宋体"/>
          <w:szCs w:val="21"/>
        </w:rPr>
      </w:pPr>
      <w:r>
        <w:rPr>
          <w:rFonts w:ascii="Times New Roman" w:hAnsi="Times New Roman"/>
          <w:szCs w:val="21"/>
        </w:rPr>
        <w:t>g)</w:t>
      </w:r>
      <w:r>
        <w:rPr>
          <w:rFonts w:hint="eastAsia" w:ascii="宋体" w:cs="宋体"/>
          <w:szCs w:val="21"/>
        </w:rPr>
        <w:t xml:space="preserve">  标准申报和专题研究报告。</w:t>
      </w:r>
    </w:p>
    <w:p>
      <w:pPr>
        <w:pStyle w:val="3"/>
      </w:pPr>
      <w:bookmarkStart w:id="52" w:name="_Toc24540544"/>
      <w:r>
        <w:t xml:space="preserve">12.3  </w:t>
      </w:r>
      <w:r>
        <w:rPr>
          <w:rFonts w:hint="eastAsia"/>
        </w:rPr>
        <w:t>资料归档</w:t>
      </w:r>
      <w:bookmarkEnd w:id="52"/>
    </w:p>
    <w:p>
      <w:pPr>
        <w:pStyle w:val="4"/>
        <w:rPr>
          <w:rFonts w:ascii="黑体"/>
          <w:kern w:val="32"/>
          <w:lang w:eastAsia="zh-CN"/>
        </w:rPr>
      </w:pPr>
      <w:bookmarkStart w:id="53" w:name="_Toc24540545"/>
      <w:r>
        <w:rPr>
          <w:rFonts w:ascii="黑体"/>
          <w:kern w:val="32"/>
          <w:lang w:eastAsia="zh-CN"/>
        </w:rPr>
        <w:t xml:space="preserve">12.3.1  </w:t>
      </w:r>
      <w:r>
        <w:rPr>
          <w:rFonts w:hint="eastAsia" w:ascii="黑体"/>
          <w:kern w:val="32"/>
          <w:lang w:eastAsia="zh-CN"/>
        </w:rPr>
        <w:t>基本要求</w:t>
      </w:r>
      <w:bookmarkEnd w:id="53"/>
    </w:p>
    <w:p>
      <w:pPr>
        <w:spacing w:line="360" w:lineRule="auto"/>
        <w:ind w:left="840" w:leftChars="200" w:hanging="420" w:hangingChars="200"/>
        <w:rPr>
          <w:rFonts w:ascii="宋体" w:cs="宋体"/>
          <w:szCs w:val="21"/>
        </w:rPr>
      </w:pPr>
      <w:r>
        <w:rPr>
          <w:rFonts w:ascii="Times New Roman" w:hAnsi="Times New Roman"/>
          <w:szCs w:val="21"/>
        </w:rPr>
        <w:t>a)</w:t>
      </w:r>
      <w:r>
        <w:rPr>
          <w:rFonts w:hint="eastAsia" w:ascii="宋体" w:cs="宋体"/>
          <w:szCs w:val="21"/>
        </w:rPr>
        <w:t xml:space="preserve">  报告评审、修改、认定后，按照《湖北省地质环境治理项目文件归档整理实施细则》相关要求提交成果资料，并对全部资料进行归档。</w:t>
      </w:r>
    </w:p>
    <w:p>
      <w:pPr>
        <w:spacing w:line="360" w:lineRule="auto"/>
        <w:ind w:left="840" w:leftChars="200" w:hanging="420" w:hangingChars="200"/>
        <w:rPr>
          <w:rFonts w:ascii="宋体" w:cs="宋体"/>
          <w:szCs w:val="21"/>
        </w:rPr>
      </w:pPr>
      <w:r>
        <w:rPr>
          <w:rFonts w:ascii="Times New Roman" w:hAnsi="Times New Roman"/>
          <w:szCs w:val="21"/>
        </w:rPr>
        <w:t>b)</w:t>
      </w:r>
      <w:r>
        <w:rPr>
          <w:rFonts w:hint="eastAsia" w:ascii="宋体" w:cs="宋体"/>
          <w:szCs w:val="21"/>
        </w:rPr>
        <w:t xml:space="preserve">  归档的资料包括工作中形成的文字、图表、声像、电磁介质等形式的原始资料、成果资料。</w:t>
      </w:r>
    </w:p>
    <w:p>
      <w:pPr>
        <w:spacing w:line="360" w:lineRule="auto"/>
        <w:ind w:left="840" w:leftChars="200" w:hanging="420" w:hangingChars="200"/>
        <w:rPr>
          <w:rFonts w:ascii="宋体" w:cs="宋体"/>
          <w:szCs w:val="21"/>
        </w:rPr>
      </w:pPr>
      <w:r>
        <w:rPr>
          <w:rFonts w:ascii="Times New Roman" w:hAnsi="Times New Roman"/>
          <w:szCs w:val="21"/>
        </w:rPr>
        <w:t xml:space="preserve">c) </w:t>
      </w:r>
      <w:r>
        <w:rPr>
          <w:rFonts w:hint="eastAsia" w:ascii="宋体" w:cs="宋体"/>
          <w:szCs w:val="21"/>
        </w:rPr>
        <w:t xml:space="preserve"> 归档的原始资料要求完整、准确、系统。</w:t>
      </w:r>
    </w:p>
    <w:p>
      <w:pPr>
        <w:pStyle w:val="4"/>
        <w:rPr>
          <w:rFonts w:ascii="黑体"/>
          <w:kern w:val="32"/>
          <w:lang w:eastAsia="zh-CN"/>
        </w:rPr>
      </w:pPr>
      <w:bookmarkStart w:id="54" w:name="_Toc24540546"/>
      <w:r>
        <w:rPr>
          <w:rFonts w:ascii="黑体"/>
          <w:kern w:val="32"/>
          <w:lang w:eastAsia="zh-CN"/>
        </w:rPr>
        <w:t xml:space="preserve">12.3.2  </w:t>
      </w:r>
      <w:r>
        <w:rPr>
          <w:rFonts w:hint="eastAsia" w:ascii="黑体"/>
          <w:kern w:val="32"/>
          <w:lang w:eastAsia="zh-CN"/>
        </w:rPr>
        <w:t>资料归档范围</w:t>
      </w:r>
      <w:bookmarkEnd w:id="54"/>
    </w:p>
    <w:p>
      <w:pPr>
        <w:spacing w:line="360" w:lineRule="auto"/>
        <w:ind w:left="840" w:leftChars="200" w:hanging="420" w:hangingChars="200"/>
        <w:rPr>
          <w:rFonts w:ascii="宋体" w:cs="宋体"/>
          <w:szCs w:val="21"/>
        </w:rPr>
      </w:pPr>
      <w:r>
        <w:rPr>
          <w:rFonts w:ascii="Times New Roman" w:hAnsi="Times New Roman"/>
          <w:szCs w:val="21"/>
        </w:rPr>
        <w:t>a)</w:t>
      </w:r>
      <w:r>
        <w:rPr>
          <w:rFonts w:hint="eastAsia" w:ascii="宋体" w:cs="宋体"/>
          <w:szCs w:val="21"/>
        </w:rPr>
        <w:t xml:space="preserve">  技术文件类：包括项目任务书，设计与成果审批意见书，技术指示文件、重要措施和专家建议，质量评审文件等。</w:t>
      </w:r>
    </w:p>
    <w:p>
      <w:pPr>
        <w:spacing w:line="360" w:lineRule="auto"/>
        <w:ind w:left="840" w:leftChars="200" w:hanging="420" w:hangingChars="200"/>
        <w:rPr>
          <w:rFonts w:ascii="宋体" w:cs="宋体"/>
          <w:szCs w:val="21"/>
        </w:rPr>
      </w:pPr>
      <w:r>
        <w:rPr>
          <w:rFonts w:ascii="Times New Roman" w:hAnsi="Times New Roman"/>
          <w:szCs w:val="21"/>
        </w:rPr>
        <w:t xml:space="preserve">b) </w:t>
      </w:r>
      <w:r>
        <w:rPr>
          <w:rFonts w:hint="eastAsia" w:ascii="宋体" w:cs="宋体"/>
          <w:szCs w:val="21"/>
        </w:rPr>
        <w:t xml:space="preserve"> 技术设计类：包括项目总体设计、单项设计及施工设计附图、附表。</w:t>
      </w:r>
    </w:p>
    <w:p>
      <w:pPr>
        <w:spacing w:line="360" w:lineRule="auto"/>
        <w:ind w:left="840" w:leftChars="200" w:hanging="420" w:hangingChars="200"/>
        <w:rPr>
          <w:rFonts w:ascii="宋体" w:cs="宋体"/>
          <w:szCs w:val="21"/>
        </w:rPr>
      </w:pPr>
      <w:r>
        <w:rPr>
          <w:rFonts w:ascii="Times New Roman" w:hAnsi="Times New Roman"/>
          <w:szCs w:val="21"/>
        </w:rPr>
        <w:t>c)</w:t>
      </w:r>
      <w:r>
        <w:rPr>
          <w:rFonts w:hint="eastAsia" w:ascii="宋体" w:cs="宋体"/>
          <w:szCs w:val="21"/>
        </w:rPr>
        <w:t xml:space="preserve">  综合研究类：包括收集的研究现状、未来发展趋势、设备厂家解决方案、产品测试参数等。</w:t>
      </w:r>
    </w:p>
    <w:p>
      <w:pPr>
        <w:spacing w:line="360" w:lineRule="auto"/>
        <w:ind w:left="840" w:leftChars="200" w:hanging="420" w:hangingChars="200"/>
        <w:rPr>
          <w:rFonts w:ascii="宋体" w:cs="宋体"/>
          <w:szCs w:val="21"/>
        </w:rPr>
      </w:pPr>
      <w:r>
        <w:rPr>
          <w:rFonts w:ascii="Times New Roman" w:hAnsi="Times New Roman"/>
          <w:szCs w:val="21"/>
        </w:rPr>
        <w:t xml:space="preserve">d) </w:t>
      </w:r>
      <w:r>
        <w:rPr>
          <w:rFonts w:hint="eastAsia" w:ascii="宋体" w:cs="宋体"/>
          <w:szCs w:val="21"/>
        </w:rPr>
        <w:t xml:space="preserve"> 电子文件类：包括建设过程中形成的光盘等电磁介质载体的文件、图表、数据、图像等。</w:t>
      </w:r>
    </w:p>
    <w:p>
      <w:pPr>
        <w:spacing w:line="360" w:lineRule="auto"/>
        <w:ind w:left="840" w:leftChars="200" w:hanging="420" w:hangingChars="200"/>
        <w:rPr>
          <w:rFonts w:ascii="宋体" w:cs="宋体"/>
        </w:rPr>
      </w:pPr>
    </w:p>
    <w:p>
      <w:pPr>
        <w:widowControl/>
        <w:jc w:val="left"/>
        <w:rPr>
          <w:rFonts w:ascii="宋体" w:cs="宋体"/>
        </w:rPr>
        <w:sectPr>
          <w:footerReference r:id="rId10" w:type="default"/>
          <w:pgSz w:w="11906" w:h="16838"/>
          <w:pgMar w:top="1418" w:right="1134" w:bottom="1134" w:left="1418" w:header="851" w:footer="992" w:gutter="0"/>
          <w:pgNumType w:start="1"/>
          <w:cols w:space="720" w:num="1"/>
          <w:docGrid w:type="lines" w:linePitch="312" w:charSpace="0"/>
        </w:sectPr>
      </w:pPr>
    </w:p>
    <w:p>
      <w:pPr>
        <w:jc w:val="center"/>
        <w:outlineLvl w:val="0"/>
        <w:rPr>
          <w:rFonts w:hint="eastAsia" w:ascii="黑体" w:eastAsia="黑体"/>
          <w:lang w:eastAsia="zh-CN"/>
        </w:rPr>
      </w:pPr>
      <w:bookmarkStart w:id="55" w:name="_Toc24540547"/>
      <w:r>
        <w:rPr>
          <w:rFonts w:hint="eastAsia" w:ascii="黑体" w:eastAsia="黑体"/>
        </w:rPr>
        <w:t>附  录</w:t>
      </w:r>
      <w:r>
        <w:rPr>
          <w:rFonts w:ascii="黑体" w:eastAsia="黑体"/>
        </w:rPr>
        <w:t xml:space="preserve">  A</w:t>
      </w:r>
    </w:p>
    <w:p>
      <w:pPr>
        <w:jc w:val="center"/>
        <w:outlineLvl w:val="0"/>
        <w:rPr>
          <w:rFonts w:hint="eastAsia" w:ascii="黑体" w:eastAsia="黑体"/>
          <w:lang w:eastAsia="zh-CN"/>
        </w:rPr>
      </w:pPr>
      <w:r>
        <w:rPr>
          <w:rFonts w:hint="eastAsia" w:ascii="黑体" w:eastAsia="黑体"/>
        </w:rPr>
        <w:t>（规范性附录）</w:t>
      </w:r>
    </w:p>
    <w:p>
      <w:pPr>
        <w:jc w:val="center"/>
        <w:outlineLvl w:val="0"/>
        <w:rPr>
          <w:rFonts w:ascii="黑体" w:eastAsia="黑体"/>
        </w:rPr>
      </w:pPr>
      <w:r>
        <w:rPr>
          <w:rFonts w:hint="eastAsia" w:ascii="黑体" w:eastAsia="黑体"/>
        </w:rPr>
        <w:t>基础设施及装备配置参数</w:t>
      </w:r>
      <w:bookmarkEnd w:id="55"/>
    </w:p>
    <w:p>
      <w:pPr>
        <w:jc w:val="left"/>
        <w:rPr>
          <w:rFonts w:ascii="Times New Roman" w:hAnsi="Times New Roman"/>
          <w:szCs w:val="21"/>
        </w:rPr>
      </w:pPr>
      <w:r>
        <w:rPr>
          <w:rFonts w:hint="eastAsia" w:ascii="宋体"/>
          <w:szCs w:val="21"/>
        </w:rPr>
        <w:t>基础设施及装备配置参数见表</w:t>
      </w:r>
      <w:r>
        <w:rPr>
          <w:rFonts w:ascii="Times New Roman" w:hAnsi="Times New Roman"/>
          <w:szCs w:val="21"/>
        </w:rPr>
        <w:t>A.1-A.4</w:t>
      </w:r>
    </w:p>
    <w:p>
      <w:pPr>
        <w:spacing w:before="156" w:beforeLines="50" w:after="156" w:afterLines="50"/>
        <w:jc w:val="center"/>
        <w:rPr>
          <w:rFonts w:ascii="黑体" w:eastAsia="黑体"/>
          <w:szCs w:val="21"/>
        </w:rPr>
      </w:pPr>
      <w:r>
        <w:rPr>
          <w:rFonts w:hint="eastAsia" w:ascii="黑体" w:eastAsia="黑体"/>
          <w:szCs w:val="21"/>
        </w:rPr>
        <w:t>表</w:t>
      </w:r>
      <w:r>
        <w:rPr>
          <w:rFonts w:ascii="黑体" w:eastAsia="黑体"/>
          <w:szCs w:val="21"/>
        </w:rPr>
        <w:t xml:space="preserve">A.1  </w:t>
      </w:r>
      <w:r>
        <w:rPr>
          <w:rFonts w:hint="eastAsia" w:ascii="黑体" w:eastAsia="黑体"/>
          <w:szCs w:val="21"/>
        </w:rPr>
        <w:t>防治机构基础设施及装备最低配置</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6"/>
        <w:gridCol w:w="1018"/>
        <w:gridCol w:w="1452"/>
        <w:gridCol w:w="1752"/>
        <w:gridCol w:w="6348"/>
        <w:gridCol w:w="862"/>
        <w:gridCol w:w="848"/>
        <w:gridCol w:w="8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69" w:type="pct"/>
            <w:vAlign w:val="center"/>
          </w:tcPr>
          <w:p>
            <w:pPr>
              <w:widowControl/>
              <w:contextualSpacing/>
              <w:jc w:val="center"/>
              <w:rPr>
                <w:rFonts w:ascii="Times New Roman" w:hAnsi="Times New Roman"/>
                <w:bCs/>
                <w:kern w:val="0"/>
                <w:sz w:val="18"/>
                <w:szCs w:val="18"/>
              </w:rPr>
            </w:pPr>
            <w:r>
              <w:rPr>
                <w:rFonts w:ascii="Times New Roman" w:hAnsi="Times New Roman"/>
                <w:bCs/>
                <w:kern w:val="0"/>
                <w:sz w:val="18"/>
                <w:szCs w:val="18"/>
              </w:rPr>
              <w:t>序号</w:t>
            </w:r>
          </w:p>
        </w:tc>
        <w:tc>
          <w:tcPr>
            <w:tcW w:w="359" w:type="pct"/>
            <w:vAlign w:val="center"/>
          </w:tcPr>
          <w:p>
            <w:pPr>
              <w:widowControl/>
              <w:contextualSpacing/>
              <w:jc w:val="center"/>
              <w:rPr>
                <w:rFonts w:ascii="Times New Roman" w:hAnsi="Times New Roman"/>
                <w:bCs/>
                <w:kern w:val="0"/>
                <w:sz w:val="18"/>
                <w:szCs w:val="18"/>
              </w:rPr>
            </w:pPr>
            <w:r>
              <w:rPr>
                <w:rFonts w:ascii="Times New Roman" w:hAnsi="Times New Roman"/>
                <w:bCs/>
                <w:kern w:val="0"/>
                <w:sz w:val="18"/>
                <w:szCs w:val="18"/>
              </w:rPr>
              <w:t>工作场景</w:t>
            </w:r>
          </w:p>
        </w:tc>
        <w:tc>
          <w:tcPr>
            <w:tcW w:w="1130" w:type="pct"/>
            <w:gridSpan w:val="2"/>
            <w:vAlign w:val="center"/>
          </w:tcPr>
          <w:p>
            <w:pPr>
              <w:widowControl/>
              <w:contextualSpacing/>
              <w:jc w:val="center"/>
              <w:rPr>
                <w:rFonts w:ascii="Times New Roman" w:hAnsi="Times New Roman"/>
                <w:bCs/>
                <w:kern w:val="0"/>
                <w:sz w:val="18"/>
                <w:szCs w:val="18"/>
              </w:rPr>
            </w:pPr>
            <w:r>
              <w:rPr>
                <w:rFonts w:ascii="Times New Roman" w:hAnsi="Times New Roman"/>
                <w:bCs/>
                <w:kern w:val="0"/>
                <w:sz w:val="18"/>
                <w:szCs w:val="18"/>
              </w:rPr>
              <w:t>建设内容</w:t>
            </w:r>
          </w:p>
        </w:tc>
        <w:tc>
          <w:tcPr>
            <w:tcW w:w="2239" w:type="pct"/>
            <w:vAlign w:val="center"/>
          </w:tcPr>
          <w:p>
            <w:pPr>
              <w:widowControl/>
              <w:contextualSpacing/>
              <w:jc w:val="center"/>
              <w:rPr>
                <w:rFonts w:ascii="Times New Roman" w:hAnsi="Times New Roman"/>
                <w:bCs/>
                <w:kern w:val="0"/>
                <w:sz w:val="18"/>
                <w:szCs w:val="18"/>
              </w:rPr>
            </w:pPr>
            <w:r>
              <w:rPr>
                <w:rFonts w:ascii="Times New Roman" w:hAnsi="Times New Roman"/>
                <w:bCs/>
                <w:kern w:val="0"/>
                <w:sz w:val="18"/>
                <w:szCs w:val="18"/>
              </w:rPr>
              <w:t>最低配置要求</w:t>
            </w:r>
          </w:p>
        </w:tc>
        <w:tc>
          <w:tcPr>
            <w:tcW w:w="304" w:type="pct"/>
            <w:vAlign w:val="center"/>
          </w:tcPr>
          <w:p>
            <w:pPr>
              <w:widowControl/>
              <w:contextualSpacing/>
              <w:jc w:val="center"/>
              <w:rPr>
                <w:rFonts w:ascii="Times New Roman" w:hAnsi="Times New Roman"/>
                <w:bCs/>
                <w:kern w:val="0"/>
                <w:sz w:val="18"/>
                <w:szCs w:val="18"/>
              </w:rPr>
            </w:pPr>
            <w:r>
              <w:rPr>
                <w:rFonts w:ascii="Times New Roman" w:hAnsi="Times New Roman"/>
                <w:bCs/>
                <w:kern w:val="0"/>
                <w:sz w:val="18"/>
                <w:szCs w:val="18"/>
              </w:rPr>
              <w:t>省级</w:t>
            </w:r>
          </w:p>
        </w:tc>
        <w:tc>
          <w:tcPr>
            <w:tcW w:w="299" w:type="pct"/>
            <w:vAlign w:val="center"/>
          </w:tcPr>
          <w:p>
            <w:pPr>
              <w:widowControl/>
              <w:contextualSpacing/>
              <w:jc w:val="center"/>
              <w:rPr>
                <w:rFonts w:ascii="Times New Roman" w:hAnsi="Times New Roman"/>
                <w:bCs/>
                <w:kern w:val="0"/>
                <w:sz w:val="18"/>
                <w:szCs w:val="18"/>
              </w:rPr>
            </w:pPr>
            <w:r>
              <w:rPr>
                <w:rFonts w:ascii="Times New Roman" w:hAnsi="Times New Roman"/>
                <w:bCs/>
                <w:kern w:val="0"/>
                <w:sz w:val="18"/>
                <w:szCs w:val="18"/>
              </w:rPr>
              <w:t>市级</w:t>
            </w:r>
          </w:p>
        </w:tc>
        <w:tc>
          <w:tcPr>
            <w:tcW w:w="299" w:type="pct"/>
            <w:vAlign w:val="center"/>
          </w:tcPr>
          <w:p>
            <w:pPr>
              <w:widowControl/>
              <w:contextualSpacing/>
              <w:jc w:val="center"/>
              <w:rPr>
                <w:rFonts w:ascii="Times New Roman" w:hAnsi="Times New Roman"/>
                <w:bCs/>
                <w:kern w:val="0"/>
                <w:sz w:val="18"/>
                <w:szCs w:val="18"/>
              </w:rPr>
            </w:pPr>
            <w:r>
              <w:rPr>
                <w:rFonts w:ascii="Times New Roman" w:hAnsi="Times New Roman"/>
                <w:bCs/>
                <w:kern w:val="0"/>
                <w:sz w:val="18"/>
                <w:szCs w:val="18"/>
              </w:rPr>
              <w:t>县级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69" w:type="pct"/>
            <w:vAlign w:val="center"/>
          </w:tcPr>
          <w:p>
            <w:pPr>
              <w:contextualSpacing/>
              <w:jc w:val="center"/>
              <w:rPr>
                <w:rFonts w:ascii="Times New Roman" w:hAnsi="Times New Roman"/>
                <w:bCs/>
                <w:sz w:val="18"/>
                <w:szCs w:val="18"/>
              </w:rPr>
            </w:pPr>
            <w:r>
              <w:rPr>
                <w:rFonts w:ascii="Times New Roman" w:hAnsi="Times New Roman"/>
                <w:bCs/>
                <w:sz w:val="18"/>
                <w:szCs w:val="18"/>
              </w:rPr>
              <w:t>1</w:t>
            </w:r>
          </w:p>
        </w:tc>
        <w:tc>
          <w:tcPr>
            <w:tcW w:w="359" w:type="pct"/>
            <w:vMerge w:val="restart"/>
            <w:vAlign w:val="center"/>
          </w:tcPr>
          <w:p>
            <w:pPr>
              <w:contextualSpacing/>
              <w:jc w:val="center"/>
              <w:rPr>
                <w:rFonts w:ascii="Times New Roman" w:hAnsi="Times New Roman"/>
                <w:bCs/>
                <w:sz w:val="18"/>
                <w:szCs w:val="18"/>
              </w:rPr>
            </w:pPr>
            <w:r>
              <w:rPr>
                <w:rFonts w:ascii="Times New Roman" w:hAnsi="Times New Roman"/>
                <w:bCs/>
                <w:sz w:val="18"/>
                <w:szCs w:val="18"/>
              </w:rPr>
              <w:t>值班室</w:t>
            </w:r>
          </w:p>
        </w:tc>
        <w:tc>
          <w:tcPr>
            <w:tcW w:w="1130" w:type="pct"/>
            <w:gridSpan w:val="2"/>
            <w:vAlign w:val="center"/>
          </w:tcPr>
          <w:p>
            <w:pPr>
              <w:contextualSpacing/>
              <w:jc w:val="center"/>
              <w:rPr>
                <w:rFonts w:ascii="Times New Roman" w:hAnsi="Times New Roman"/>
                <w:bCs/>
                <w:sz w:val="18"/>
                <w:szCs w:val="18"/>
              </w:rPr>
            </w:pPr>
            <w:r>
              <w:rPr>
                <w:rFonts w:ascii="Times New Roman" w:hAnsi="Times New Roman"/>
                <w:bCs/>
                <w:sz w:val="18"/>
                <w:szCs w:val="18"/>
              </w:rPr>
              <w:t>液晶电视</w:t>
            </w:r>
          </w:p>
        </w:tc>
        <w:tc>
          <w:tcPr>
            <w:tcW w:w="2239" w:type="pct"/>
            <w:vAlign w:val="center"/>
          </w:tcPr>
          <w:p>
            <w:pPr>
              <w:contextualSpacing/>
              <w:jc w:val="left"/>
              <w:rPr>
                <w:rFonts w:ascii="Times New Roman" w:hAnsi="Times New Roman"/>
                <w:bCs/>
                <w:sz w:val="18"/>
                <w:szCs w:val="18"/>
              </w:rPr>
            </w:pPr>
            <w:r>
              <w:rPr>
                <w:rFonts w:ascii="Times New Roman" w:hAnsi="Times New Roman"/>
                <w:bCs/>
                <w:sz w:val="18"/>
                <w:szCs w:val="18"/>
              </w:rPr>
              <w:t>智能液晶电视，安卓系统，支持电脑信号投屏</w:t>
            </w:r>
          </w:p>
        </w:tc>
        <w:tc>
          <w:tcPr>
            <w:tcW w:w="304" w:type="pct"/>
            <w:vAlign w:val="center"/>
          </w:tcPr>
          <w:p>
            <w:pPr>
              <w:contextualSpacing/>
              <w:jc w:val="center"/>
              <w:rPr>
                <w:rFonts w:ascii="Times New Roman" w:hAnsi="Times New Roman"/>
                <w:bCs/>
                <w:sz w:val="18"/>
                <w:szCs w:val="18"/>
              </w:rPr>
            </w:pPr>
            <w:r>
              <w:rPr>
                <w:rFonts w:ascii="Times New Roman" w:hAnsi="Times New Roman"/>
                <w:bCs/>
                <w:sz w:val="18"/>
                <w:szCs w:val="18"/>
              </w:rPr>
              <w:t>√</w:t>
            </w:r>
          </w:p>
        </w:tc>
        <w:tc>
          <w:tcPr>
            <w:tcW w:w="299" w:type="pct"/>
            <w:vAlign w:val="center"/>
          </w:tcPr>
          <w:p>
            <w:pPr>
              <w:contextualSpacing/>
              <w:jc w:val="center"/>
              <w:rPr>
                <w:rFonts w:ascii="Times New Roman" w:hAnsi="Times New Roman"/>
                <w:bCs/>
                <w:sz w:val="18"/>
                <w:szCs w:val="18"/>
              </w:rPr>
            </w:pPr>
            <w:r>
              <w:rPr>
                <w:rFonts w:ascii="Times New Roman" w:hAnsi="Times New Roman"/>
                <w:bCs/>
                <w:sz w:val="18"/>
                <w:szCs w:val="18"/>
              </w:rPr>
              <w:t>√</w:t>
            </w:r>
          </w:p>
        </w:tc>
        <w:tc>
          <w:tcPr>
            <w:tcW w:w="299" w:type="pct"/>
            <w:vAlign w:val="center"/>
          </w:tcPr>
          <w:p>
            <w:pPr>
              <w:contextualSpacing/>
              <w:jc w:val="center"/>
              <w:rPr>
                <w:rFonts w:ascii="Times New Roman" w:hAnsi="Times New Roman"/>
                <w:bCs/>
                <w:sz w:val="18"/>
                <w:szCs w:val="18"/>
              </w:rPr>
            </w:pPr>
            <w:r>
              <w:rPr>
                <w:rFonts w:ascii="Times New Roman" w:hAnsi="Times New Roman"/>
                <w:bCs/>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69" w:type="pct"/>
            <w:vAlign w:val="center"/>
          </w:tcPr>
          <w:p>
            <w:pPr>
              <w:contextualSpacing/>
              <w:jc w:val="center"/>
              <w:rPr>
                <w:rFonts w:ascii="Times New Roman" w:hAnsi="Times New Roman"/>
                <w:bCs/>
                <w:sz w:val="18"/>
                <w:szCs w:val="18"/>
              </w:rPr>
            </w:pPr>
            <w:r>
              <w:rPr>
                <w:rFonts w:ascii="Times New Roman" w:hAnsi="Times New Roman"/>
                <w:bCs/>
                <w:sz w:val="18"/>
                <w:szCs w:val="18"/>
              </w:rPr>
              <w:t>2</w:t>
            </w:r>
          </w:p>
        </w:tc>
        <w:tc>
          <w:tcPr>
            <w:tcW w:w="359" w:type="pct"/>
            <w:vMerge w:val="continue"/>
            <w:vAlign w:val="center"/>
          </w:tcPr>
          <w:p/>
        </w:tc>
        <w:tc>
          <w:tcPr>
            <w:tcW w:w="1130" w:type="pct"/>
            <w:gridSpan w:val="2"/>
            <w:vAlign w:val="center"/>
          </w:tcPr>
          <w:p>
            <w:pPr>
              <w:contextualSpacing/>
              <w:jc w:val="center"/>
              <w:rPr>
                <w:rFonts w:ascii="Times New Roman" w:hAnsi="Times New Roman"/>
                <w:bCs/>
                <w:sz w:val="18"/>
                <w:szCs w:val="18"/>
              </w:rPr>
            </w:pPr>
            <w:r>
              <w:rPr>
                <w:rFonts w:ascii="Times New Roman" w:hAnsi="Times New Roman"/>
                <w:bCs/>
                <w:sz w:val="18"/>
                <w:szCs w:val="18"/>
              </w:rPr>
              <w:t>台式PC/一体机</w:t>
            </w:r>
          </w:p>
        </w:tc>
        <w:tc>
          <w:tcPr>
            <w:tcW w:w="2239" w:type="pct"/>
            <w:vAlign w:val="center"/>
          </w:tcPr>
          <w:p>
            <w:pPr>
              <w:contextualSpacing/>
              <w:jc w:val="left"/>
              <w:rPr>
                <w:rFonts w:ascii="Times New Roman" w:hAnsi="Times New Roman"/>
                <w:bCs/>
                <w:sz w:val="18"/>
                <w:szCs w:val="18"/>
              </w:rPr>
            </w:pPr>
            <w:r>
              <w:rPr>
                <w:rFonts w:ascii="Times New Roman" w:hAnsi="Times New Roman"/>
                <w:bCs/>
                <w:sz w:val="18"/>
                <w:szCs w:val="18"/>
              </w:rPr>
              <w:t>主流配置，国产品牌</w:t>
            </w:r>
          </w:p>
        </w:tc>
        <w:tc>
          <w:tcPr>
            <w:tcW w:w="304" w:type="pct"/>
            <w:vAlign w:val="center"/>
          </w:tcPr>
          <w:p>
            <w:pPr>
              <w:contextualSpacing/>
              <w:jc w:val="center"/>
              <w:rPr>
                <w:rFonts w:ascii="Times New Roman" w:hAnsi="Times New Roman"/>
                <w:bCs/>
                <w:sz w:val="18"/>
                <w:szCs w:val="18"/>
              </w:rPr>
            </w:pPr>
            <w:r>
              <w:rPr>
                <w:rFonts w:ascii="Times New Roman" w:hAnsi="Times New Roman"/>
                <w:bCs/>
                <w:sz w:val="18"/>
                <w:szCs w:val="18"/>
              </w:rPr>
              <w:t>√</w:t>
            </w:r>
          </w:p>
        </w:tc>
        <w:tc>
          <w:tcPr>
            <w:tcW w:w="299" w:type="pct"/>
            <w:vAlign w:val="center"/>
          </w:tcPr>
          <w:p>
            <w:pPr>
              <w:contextualSpacing/>
              <w:jc w:val="center"/>
              <w:rPr>
                <w:rFonts w:ascii="Times New Roman" w:hAnsi="Times New Roman"/>
                <w:bCs/>
                <w:sz w:val="18"/>
                <w:szCs w:val="18"/>
              </w:rPr>
            </w:pPr>
            <w:r>
              <w:rPr>
                <w:rFonts w:ascii="Times New Roman" w:hAnsi="Times New Roman"/>
                <w:bCs/>
                <w:sz w:val="18"/>
                <w:szCs w:val="18"/>
              </w:rPr>
              <w:t>√</w:t>
            </w:r>
          </w:p>
        </w:tc>
        <w:tc>
          <w:tcPr>
            <w:tcW w:w="299" w:type="pct"/>
            <w:vAlign w:val="center"/>
          </w:tcPr>
          <w:p>
            <w:pPr>
              <w:contextualSpacing/>
              <w:jc w:val="center"/>
              <w:rPr>
                <w:rFonts w:ascii="Times New Roman" w:hAnsi="Times New Roman"/>
                <w:bCs/>
                <w:sz w:val="18"/>
                <w:szCs w:val="18"/>
              </w:rPr>
            </w:pPr>
            <w:r>
              <w:rPr>
                <w:rFonts w:ascii="Times New Roman" w:hAnsi="Times New Roman"/>
                <w:bCs/>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69" w:type="pct"/>
            <w:vAlign w:val="center"/>
          </w:tcPr>
          <w:p>
            <w:pPr>
              <w:contextualSpacing/>
              <w:jc w:val="center"/>
              <w:rPr>
                <w:rFonts w:ascii="Times New Roman" w:hAnsi="Times New Roman"/>
                <w:bCs/>
                <w:sz w:val="18"/>
                <w:szCs w:val="18"/>
              </w:rPr>
            </w:pPr>
            <w:r>
              <w:rPr>
                <w:rFonts w:ascii="Times New Roman" w:hAnsi="Times New Roman"/>
                <w:bCs/>
                <w:sz w:val="18"/>
                <w:szCs w:val="18"/>
              </w:rPr>
              <w:t>3</w:t>
            </w:r>
          </w:p>
        </w:tc>
        <w:tc>
          <w:tcPr>
            <w:tcW w:w="359" w:type="pct"/>
            <w:vMerge w:val="continue"/>
            <w:vAlign w:val="center"/>
          </w:tcPr>
          <w:p/>
        </w:tc>
        <w:tc>
          <w:tcPr>
            <w:tcW w:w="1130" w:type="pct"/>
            <w:gridSpan w:val="2"/>
            <w:vAlign w:val="center"/>
          </w:tcPr>
          <w:p>
            <w:pPr>
              <w:contextualSpacing/>
              <w:jc w:val="center"/>
              <w:rPr>
                <w:rFonts w:ascii="Times New Roman" w:hAnsi="Times New Roman"/>
                <w:bCs/>
                <w:sz w:val="18"/>
                <w:szCs w:val="18"/>
              </w:rPr>
            </w:pPr>
            <w:r>
              <w:rPr>
                <w:rFonts w:ascii="Times New Roman" w:hAnsi="Times New Roman"/>
                <w:bCs/>
                <w:sz w:val="18"/>
                <w:szCs w:val="18"/>
              </w:rPr>
              <w:t>传真电话</w:t>
            </w:r>
          </w:p>
        </w:tc>
        <w:tc>
          <w:tcPr>
            <w:tcW w:w="2239" w:type="pct"/>
            <w:vAlign w:val="center"/>
          </w:tcPr>
          <w:p>
            <w:pPr>
              <w:contextualSpacing/>
              <w:jc w:val="left"/>
              <w:rPr>
                <w:rFonts w:ascii="Times New Roman" w:hAnsi="Times New Roman"/>
                <w:bCs/>
                <w:sz w:val="18"/>
                <w:szCs w:val="18"/>
              </w:rPr>
            </w:pPr>
            <w:r>
              <w:rPr>
                <w:rFonts w:ascii="Times New Roman" w:hAnsi="Times New Roman"/>
                <w:bCs/>
                <w:sz w:val="18"/>
                <w:szCs w:val="18"/>
              </w:rPr>
              <w:t>支持A4打印纸传真介质，内置信息存储，来电显示</w:t>
            </w:r>
          </w:p>
        </w:tc>
        <w:tc>
          <w:tcPr>
            <w:tcW w:w="304" w:type="pct"/>
            <w:vAlign w:val="center"/>
          </w:tcPr>
          <w:p>
            <w:pPr>
              <w:contextualSpacing/>
              <w:jc w:val="center"/>
              <w:rPr>
                <w:rFonts w:ascii="Times New Roman" w:hAnsi="Times New Roman"/>
                <w:bCs/>
                <w:sz w:val="18"/>
                <w:szCs w:val="18"/>
              </w:rPr>
            </w:pPr>
            <w:r>
              <w:rPr>
                <w:rFonts w:ascii="Times New Roman" w:hAnsi="Times New Roman"/>
                <w:bCs/>
                <w:sz w:val="18"/>
                <w:szCs w:val="18"/>
              </w:rPr>
              <w:t>√</w:t>
            </w:r>
          </w:p>
        </w:tc>
        <w:tc>
          <w:tcPr>
            <w:tcW w:w="299" w:type="pct"/>
            <w:vAlign w:val="center"/>
          </w:tcPr>
          <w:p>
            <w:pPr>
              <w:contextualSpacing/>
              <w:jc w:val="center"/>
              <w:rPr>
                <w:rFonts w:ascii="Times New Roman" w:hAnsi="Times New Roman"/>
                <w:bCs/>
                <w:sz w:val="18"/>
                <w:szCs w:val="18"/>
              </w:rPr>
            </w:pPr>
            <w:r>
              <w:rPr>
                <w:rFonts w:ascii="Times New Roman" w:hAnsi="Times New Roman"/>
                <w:bCs/>
                <w:sz w:val="18"/>
                <w:szCs w:val="18"/>
              </w:rPr>
              <w:t>√</w:t>
            </w:r>
          </w:p>
        </w:tc>
        <w:tc>
          <w:tcPr>
            <w:tcW w:w="299" w:type="pct"/>
            <w:vAlign w:val="center"/>
          </w:tcPr>
          <w:p>
            <w:pPr>
              <w:contextualSpacing/>
              <w:jc w:val="center"/>
              <w:rPr>
                <w:rFonts w:ascii="Times New Roman" w:hAnsi="Times New Roman"/>
                <w:bCs/>
                <w:sz w:val="18"/>
                <w:szCs w:val="18"/>
              </w:rPr>
            </w:pPr>
            <w:r>
              <w:rPr>
                <w:rFonts w:ascii="Times New Roman" w:hAnsi="Times New Roman"/>
                <w:bCs/>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69" w:type="pct"/>
            <w:vAlign w:val="center"/>
          </w:tcPr>
          <w:p>
            <w:pPr>
              <w:contextualSpacing/>
              <w:jc w:val="center"/>
              <w:rPr>
                <w:rFonts w:ascii="Times New Roman" w:hAnsi="Times New Roman"/>
                <w:bCs/>
                <w:sz w:val="18"/>
                <w:szCs w:val="18"/>
              </w:rPr>
            </w:pPr>
            <w:r>
              <w:rPr>
                <w:rFonts w:ascii="Times New Roman" w:hAnsi="Times New Roman"/>
                <w:bCs/>
                <w:sz w:val="18"/>
                <w:szCs w:val="18"/>
              </w:rPr>
              <w:t>4</w:t>
            </w:r>
          </w:p>
        </w:tc>
        <w:tc>
          <w:tcPr>
            <w:tcW w:w="359" w:type="pct"/>
            <w:vMerge w:val="continue"/>
            <w:vAlign w:val="center"/>
          </w:tcPr>
          <w:p/>
        </w:tc>
        <w:tc>
          <w:tcPr>
            <w:tcW w:w="1130" w:type="pct"/>
            <w:gridSpan w:val="2"/>
            <w:vAlign w:val="center"/>
          </w:tcPr>
          <w:p>
            <w:pPr>
              <w:contextualSpacing/>
              <w:jc w:val="center"/>
              <w:rPr>
                <w:rFonts w:ascii="Times New Roman" w:hAnsi="Times New Roman"/>
                <w:bCs/>
                <w:sz w:val="18"/>
                <w:szCs w:val="18"/>
              </w:rPr>
            </w:pPr>
            <w:r>
              <w:rPr>
                <w:rFonts w:ascii="Times New Roman" w:hAnsi="Times New Roman"/>
                <w:bCs/>
                <w:sz w:val="18"/>
                <w:szCs w:val="18"/>
              </w:rPr>
              <w:t>打印一体机</w:t>
            </w:r>
          </w:p>
        </w:tc>
        <w:tc>
          <w:tcPr>
            <w:tcW w:w="2239" w:type="pct"/>
            <w:vAlign w:val="center"/>
          </w:tcPr>
          <w:p>
            <w:pPr>
              <w:contextualSpacing/>
              <w:jc w:val="left"/>
              <w:rPr>
                <w:rFonts w:ascii="Times New Roman" w:hAnsi="Times New Roman"/>
                <w:bCs/>
                <w:sz w:val="18"/>
                <w:szCs w:val="18"/>
              </w:rPr>
            </w:pPr>
            <w:r>
              <w:rPr>
                <w:rFonts w:ascii="Times New Roman" w:hAnsi="Times New Roman"/>
                <w:bCs/>
                <w:sz w:val="18"/>
                <w:szCs w:val="18"/>
              </w:rPr>
              <w:t>扫描、复印、打印功能一体，支持双面激光彩色打印</w:t>
            </w:r>
          </w:p>
        </w:tc>
        <w:tc>
          <w:tcPr>
            <w:tcW w:w="304" w:type="pct"/>
            <w:vAlign w:val="center"/>
          </w:tcPr>
          <w:p>
            <w:pPr>
              <w:contextualSpacing/>
              <w:jc w:val="center"/>
              <w:rPr>
                <w:rFonts w:ascii="Times New Roman" w:hAnsi="Times New Roman"/>
                <w:bCs/>
                <w:sz w:val="18"/>
                <w:szCs w:val="18"/>
              </w:rPr>
            </w:pPr>
            <w:r>
              <w:rPr>
                <w:rFonts w:ascii="Times New Roman" w:hAnsi="Times New Roman"/>
                <w:bCs/>
                <w:sz w:val="18"/>
                <w:szCs w:val="18"/>
              </w:rPr>
              <w:t>√</w:t>
            </w:r>
          </w:p>
        </w:tc>
        <w:tc>
          <w:tcPr>
            <w:tcW w:w="299" w:type="pct"/>
            <w:vAlign w:val="center"/>
          </w:tcPr>
          <w:p>
            <w:pPr>
              <w:contextualSpacing/>
              <w:jc w:val="center"/>
              <w:rPr>
                <w:rFonts w:ascii="Times New Roman" w:hAnsi="Times New Roman"/>
                <w:bCs/>
                <w:sz w:val="18"/>
                <w:szCs w:val="18"/>
              </w:rPr>
            </w:pPr>
            <w:r>
              <w:rPr>
                <w:rFonts w:ascii="Times New Roman" w:hAnsi="Times New Roman"/>
                <w:bCs/>
                <w:sz w:val="18"/>
                <w:szCs w:val="18"/>
              </w:rPr>
              <w:t>√</w:t>
            </w:r>
          </w:p>
        </w:tc>
        <w:tc>
          <w:tcPr>
            <w:tcW w:w="299" w:type="pct"/>
            <w:vAlign w:val="center"/>
          </w:tcPr>
          <w:p>
            <w:pPr>
              <w:contextualSpacing/>
              <w:jc w:val="center"/>
              <w:rPr>
                <w:rFonts w:ascii="Times New Roman" w:hAnsi="Times New Roman"/>
                <w:bCs/>
                <w:sz w:val="18"/>
                <w:szCs w:val="18"/>
              </w:rPr>
            </w:pPr>
            <w:r>
              <w:rPr>
                <w:rFonts w:ascii="Times New Roman" w:hAnsi="Times New Roman"/>
                <w:bCs/>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69" w:type="pct"/>
            <w:vAlign w:val="center"/>
          </w:tcPr>
          <w:p>
            <w:pPr>
              <w:contextualSpacing/>
              <w:jc w:val="center"/>
              <w:rPr>
                <w:rFonts w:ascii="Times New Roman" w:hAnsi="Times New Roman"/>
                <w:bCs/>
                <w:sz w:val="18"/>
                <w:szCs w:val="18"/>
              </w:rPr>
            </w:pPr>
            <w:r>
              <w:rPr>
                <w:rFonts w:ascii="Times New Roman" w:hAnsi="Times New Roman"/>
                <w:bCs/>
                <w:sz w:val="18"/>
                <w:szCs w:val="18"/>
              </w:rPr>
              <w:t>5</w:t>
            </w:r>
          </w:p>
        </w:tc>
        <w:tc>
          <w:tcPr>
            <w:tcW w:w="359" w:type="pct"/>
            <w:vMerge w:val="restart"/>
            <w:vAlign w:val="center"/>
          </w:tcPr>
          <w:p>
            <w:pPr>
              <w:contextualSpacing/>
              <w:jc w:val="center"/>
              <w:rPr>
                <w:rFonts w:ascii="Times New Roman" w:hAnsi="Times New Roman"/>
                <w:bCs/>
                <w:sz w:val="18"/>
                <w:szCs w:val="18"/>
              </w:rPr>
            </w:pPr>
            <w:r>
              <w:rPr>
                <w:rFonts w:ascii="Times New Roman" w:hAnsi="Times New Roman"/>
                <w:bCs/>
                <w:sz w:val="18"/>
                <w:szCs w:val="18"/>
              </w:rPr>
              <w:t>会商（指挥）室</w:t>
            </w:r>
          </w:p>
        </w:tc>
        <w:tc>
          <w:tcPr>
            <w:tcW w:w="512" w:type="pct"/>
            <w:vMerge w:val="restart"/>
            <w:vAlign w:val="center"/>
          </w:tcPr>
          <w:p>
            <w:pPr>
              <w:contextualSpacing/>
              <w:jc w:val="center"/>
              <w:rPr>
                <w:rFonts w:ascii="Times New Roman" w:hAnsi="Times New Roman"/>
                <w:bCs/>
                <w:sz w:val="18"/>
                <w:szCs w:val="18"/>
              </w:rPr>
            </w:pPr>
            <w:r>
              <w:rPr>
                <w:rFonts w:ascii="Times New Roman" w:hAnsi="Times New Roman"/>
                <w:bCs/>
                <w:sz w:val="18"/>
                <w:szCs w:val="18"/>
              </w:rPr>
              <w:t>屏幕显示系统</w:t>
            </w:r>
          </w:p>
        </w:tc>
        <w:tc>
          <w:tcPr>
            <w:tcW w:w="617" w:type="pct"/>
            <w:vAlign w:val="center"/>
          </w:tcPr>
          <w:p>
            <w:pPr>
              <w:contextualSpacing/>
              <w:jc w:val="center"/>
              <w:rPr>
                <w:rFonts w:ascii="Times New Roman" w:hAnsi="Times New Roman"/>
                <w:bCs/>
                <w:sz w:val="18"/>
                <w:szCs w:val="18"/>
              </w:rPr>
            </w:pPr>
            <w:r>
              <w:rPr>
                <w:rFonts w:ascii="Times New Roman" w:hAnsi="Times New Roman"/>
                <w:bCs/>
                <w:sz w:val="18"/>
                <w:szCs w:val="18"/>
              </w:rPr>
              <w:t>拼接式LED屏</w:t>
            </w:r>
          </w:p>
        </w:tc>
        <w:tc>
          <w:tcPr>
            <w:tcW w:w="2239" w:type="pct"/>
            <w:vAlign w:val="center"/>
          </w:tcPr>
          <w:p>
            <w:pPr>
              <w:contextualSpacing/>
              <w:jc w:val="left"/>
              <w:rPr>
                <w:rFonts w:ascii="Times New Roman" w:hAnsi="Times New Roman"/>
                <w:bCs/>
                <w:sz w:val="18"/>
                <w:szCs w:val="18"/>
              </w:rPr>
            </w:pPr>
            <w:r>
              <w:rPr>
                <w:rFonts w:ascii="Times New Roman" w:hAnsi="Times New Roman"/>
                <w:bCs/>
                <w:sz w:val="18"/>
                <w:szCs w:val="18"/>
              </w:rPr>
              <w:t>分辨率1080</w:t>
            </w:r>
            <w:r>
              <w:rPr>
                <w:rFonts w:hint="eastAsia" w:ascii="Times New Roman" w:hAnsi="Times New Roman"/>
                <w:bCs/>
                <w:sz w:val="18"/>
                <w:szCs w:val="18"/>
              </w:rPr>
              <w:t xml:space="preserve"> </w:t>
            </w:r>
            <w:r>
              <w:rPr>
                <w:rFonts w:ascii="Times New Roman" w:hAnsi="Times New Roman"/>
                <w:bCs/>
                <w:sz w:val="18"/>
                <w:szCs w:val="18"/>
              </w:rPr>
              <w:t>P以上，小间距LED显示屏，用于多画面分屏演示</w:t>
            </w:r>
          </w:p>
        </w:tc>
        <w:tc>
          <w:tcPr>
            <w:tcW w:w="304" w:type="pct"/>
            <w:vAlign w:val="center"/>
          </w:tcPr>
          <w:p>
            <w:pPr>
              <w:contextualSpacing/>
              <w:jc w:val="center"/>
              <w:rPr>
                <w:rFonts w:ascii="Times New Roman" w:hAnsi="Times New Roman"/>
                <w:bCs/>
                <w:sz w:val="18"/>
                <w:szCs w:val="18"/>
              </w:rPr>
            </w:pPr>
            <w:r>
              <w:rPr>
                <w:rFonts w:ascii="Times New Roman" w:hAnsi="Times New Roman"/>
                <w:bCs/>
                <w:sz w:val="18"/>
                <w:szCs w:val="18"/>
              </w:rPr>
              <w:t>√</w:t>
            </w:r>
          </w:p>
        </w:tc>
        <w:tc>
          <w:tcPr>
            <w:tcW w:w="299" w:type="pct"/>
            <w:vAlign w:val="center"/>
          </w:tcPr>
          <w:p>
            <w:pPr>
              <w:contextualSpacing/>
              <w:jc w:val="center"/>
              <w:rPr>
                <w:rFonts w:ascii="Times New Roman" w:hAnsi="Times New Roman"/>
                <w:bCs/>
                <w:sz w:val="18"/>
                <w:szCs w:val="18"/>
              </w:rPr>
            </w:pPr>
            <w:r>
              <w:rPr>
                <w:rFonts w:ascii="Times New Roman" w:hAnsi="Times New Roman"/>
                <w:bCs/>
                <w:sz w:val="18"/>
                <w:szCs w:val="18"/>
              </w:rPr>
              <w:t>√</w:t>
            </w:r>
          </w:p>
        </w:tc>
        <w:tc>
          <w:tcPr>
            <w:tcW w:w="299" w:type="pct"/>
            <w:vAlign w:val="center"/>
          </w:tcPr>
          <w:p>
            <w:pPr>
              <w:contextualSpacing/>
              <w:jc w:val="center"/>
              <w:rPr>
                <w:rFonts w:ascii="Times New Roman" w:hAnsi="Times New Roman"/>
                <w:bCs/>
                <w:sz w:val="18"/>
                <w:szCs w:val="18"/>
              </w:rPr>
            </w:pPr>
            <w:r>
              <w:rPr>
                <w:rFonts w:ascii="Times New Roman" w:hAnsi="Times New Roman"/>
                <w:bCs/>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69" w:type="pct"/>
            <w:vAlign w:val="center"/>
          </w:tcPr>
          <w:p>
            <w:pPr>
              <w:contextualSpacing/>
              <w:jc w:val="center"/>
              <w:rPr>
                <w:rFonts w:ascii="Times New Roman" w:hAnsi="Times New Roman"/>
                <w:bCs/>
                <w:sz w:val="18"/>
                <w:szCs w:val="18"/>
              </w:rPr>
            </w:pPr>
            <w:r>
              <w:rPr>
                <w:rFonts w:ascii="Times New Roman" w:hAnsi="Times New Roman"/>
                <w:bCs/>
                <w:sz w:val="18"/>
                <w:szCs w:val="18"/>
              </w:rPr>
              <w:t>6</w:t>
            </w:r>
          </w:p>
        </w:tc>
        <w:tc>
          <w:tcPr>
            <w:tcW w:w="359" w:type="pct"/>
            <w:vMerge w:val="continue"/>
            <w:vAlign w:val="center"/>
          </w:tcPr>
          <w:p/>
        </w:tc>
        <w:tc>
          <w:tcPr>
            <w:tcW w:w="512" w:type="pct"/>
            <w:vMerge w:val="continue"/>
            <w:vAlign w:val="center"/>
          </w:tcPr>
          <w:p/>
        </w:tc>
        <w:tc>
          <w:tcPr>
            <w:tcW w:w="617" w:type="pct"/>
            <w:vAlign w:val="center"/>
          </w:tcPr>
          <w:p>
            <w:pPr>
              <w:contextualSpacing/>
              <w:jc w:val="center"/>
              <w:rPr>
                <w:rFonts w:ascii="Times New Roman" w:hAnsi="Times New Roman"/>
                <w:bCs/>
                <w:sz w:val="18"/>
                <w:szCs w:val="18"/>
              </w:rPr>
            </w:pPr>
            <w:r>
              <w:rPr>
                <w:rFonts w:ascii="Times New Roman" w:hAnsi="Times New Roman"/>
                <w:bCs/>
                <w:sz w:val="18"/>
                <w:szCs w:val="18"/>
              </w:rPr>
              <w:t>视频矩阵</w:t>
            </w:r>
          </w:p>
        </w:tc>
        <w:tc>
          <w:tcPr>
            <w:tcW w:w="2239" w:type="pct"/>
            <w:vAlign w:val="center"/>
          </w:tcPr>
          <w:p>
            <w:pPr>
              <w:contextualSpacing/>
              <w:jc w:val="left"/>
              <w:rPr>
                <w:rFonts w:ascii="Times New Roman" w:hAnsi="Times New Roman"/>
                <w:bCs/>
                <w:sz w:val="18"/>
                <w:szCs w:val="18"/>
              </w:rPr>
            </w:pPr>
            <w:r>
              <w:rPr>
                <w:rFonts w:ascii="Times New Roman" w:hAnsi="Times New Roman"/>
                <w:bCs/>
                <w:sz w:val="18"/>
                <w:szCs w:val="18"/>
              </w:rPr>
              <w:t>高清音视频混合矩阵，支持8路/16路音视频信号源输入输出</w:t>
            </w:r>
          </w:p>
        </w:tc>
        <w:tc>
          <w:tcPr>
            <w:tcW w:w="304" w:type="pct"/>
            <w:vAlign w:val="center"/>
          </w:tcPr>
          <w:p>
            <w:pPr>
              <w:contextualSpacing/>
              <w:jc w:val="center"/>
              <w:rPr>
                <w:rFonts w:ascii="Times New Roman" w:hAnsi="Times New Roman"/>
                <w:bCs/>
                <w:sz w:val="18"/>
                <w:szCs w:val="18"/>
              </w:rPr>
            </w:pPr>
            <w:r>
              <w:rPr>
                <w:rFonts w:ascii="Times New Roman" w:hAnsi="Times New Roman"/>
                <w:bCs/>
                <w:sz w:val="18"/>
                <w:szCs w:val="18"/>
              </w:rPr>
              <w:t>√</w:t>
            </w:r>
          </w:p>
        </w:tc>
        <w:tc>
          <w:tcPr>
            <w:tcW w:w="299" w:type="pct"/>
            <w:vAlign w:val="center"/>
          </w:tcPr>
          <w:p>
            <w:pPr>
              <w:contextualSpacing/>
              <w:jc w:val="center"/>
              <w:rPr>
                <w:rFonts w:ascii="Times New Roman" w:hAnsi="Times New Roman"/>
                <w:bCs/>
                <w:sz w:val="18"/>
                <w:szCs w:val="18"/>
              </w:rPr>
            </w:pPr>
            <w:r>
              <w:rPr>
                <w:rFonts w:ascii="Times New Roman" w:hAnsi="Times New Roman"/>
                <w:bCs/>
                <w:sz w:val="18"/>
                <w:szCs w:val="18"/>
              </w:rPr>
              <w:t>√</w:t>
            </w:r>
          </w:p>
        </w:tc>
        <w:tc>
          <w:tcPr>
            <w:tcW w:w="299" w:type="pct"/>
            <w:vAlign w:val="center"/>
          </w:tcPr>
          <w:p>
            <w:pPr>
              <w:contextualSpacing/>
              <w:jc w:val="center"/>
              <w:rPr>
                <w:rFonts w:ascii="Times New Roman" w:hAnsi="Times New Roman"/>
                <w:bCs/>
                <w:sz w:val="18"/>
                <w:szCs w:val="18"/>
              </w:rPr>
            </w:pPr>
            <w:r>
              <w:rPr>
                <w:rFonts w:ascii="Times New Roman" w:hAnsi="Times New Roman"/>
                <w:bCs/>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69" w:type="pct"/>
            <w:vAlign w:val="center"/>
          </w:tcPr>
          <w:p>
            <w:pPr>
              <w:contextualSpacing/>
              <w:jc w:val="center"/>
              <w:rPr>
                <w:rFonts w:ascii="Times New Roman" w:hAnsi="Times New Roman"/>
                <w:bCs/>
                <w:sz w:val="18"/>
                <w:szCs w:val="18"/>
              </w:rPr>
            </w:pPr>
            <w:r>
              <w:rPr>
                <w:rFonts w:ascii="Times New Roman" w:hAnsi="Times New Roman"/>
                <w:bCs/>
                <w:sz w:val="18"/>
                <w:szCs w:val="18"/>
              </w:rPr>
              <w:t>7</w:t>
            </w:r>
          </w:p>
        </w:tc>
        <w:tc>
          <w:tcPr>
            <w:tcW w:w="359" w:type="pct"/>
            <w:vMerge w:val="continue"/>
            <w:vAlign w:val="center"/>
          </w:tcPr>
          <w:p/>
        </w:tc>
        <w:tc>
          <w:tcPr>
            <w:tcW w:w="512" w:type="pct"/>
            <w:vMerge w:val="restart"/>
            <w:vAlign w:val="center"/>
          </w:tcPr>
          <w:p>
            <w:pPr>
              <w:contextualSpacing/>
              <w:jc w:val="center"/>
              <w:rPr>
                <w:rFonts w:ascii="Times New Roman" w:hAnsi="Times New Roman"/>
                <w:bCs/>
                <w:sz w:val="18"/>
                <w:szCs w:val="18"/>
              </w:rPr>
            </w:pPr>
            <w:r>
              <w:rPr>
                <w:rFonts w:ascii="Times New Roman" w:hAnsi="Times New Roman"/>
                <w:bCs/>
                <w:sz w:val="18"/>
                <w:szCs w:val="18"/>
              </w:rPr>
              <w:t>会议会商系统</w:t>
            </w:r>
          </w:p>
        </w:tc>
        <w:tc>
          <w:tcPr>
            <w:tcW w:w="617" w:type="pct"/>
            <w:vAlign w:val="center"/>
          </w:tcPr>
          <w:p>
            <w:pPr>
              <w:contextualSpacing/>
              <w:jc w:val="center"/>
              <w:rPr>
                <w:rFonts w:ascii="Times New Roman" w:hAnsi="Times New Roman"/>
                <w:bCs/>
                <w:sz w:val="18"/>
                <w:szCs w:val="18"/>
              </w:rPr>
            </w:pPr>
            <w:r>
              <w:rPr>
                <w:rFonts w:ascii="Times New Roman" w:hAnsi="Times New Roman"/>
                <w:bCs/>
                <w:sz w:val="18"/>
                <w:szCs w:val="18"/>
              </w:rPr>
              <w:t>无纸化会议系统</w:t>
            </w:r>
          </w:p>
        </w:tc>
        <w:tc>
          <w:tcPr>
            <w:tcW w:w="2239" w:type="pct"/>
            <w:vAlign w:val="center"/>
          </w:tcPr>
          <w:p>
            <w:pPr>
              <w:contextualSpacing/>
              <w:jc w:val="left"/>
              <w:rPr>
                <w:rFonts w:ascii="Times New Roman" w:hAnsi="Times New Roman"/>
                <w:bCs/>
                <w:sz w:val="18"/>
                <w:szCs w:val="18"/>
              </w:rPr>
            </w:pPr>
            <w:r>
              <w:rPr>
                <w:rFonts w:ascii="Times New Roman" w:hAnsi="Times New Roman"/>
                <w:bCs/>
                <w:sz w:val="18"/>
                <w:szCs w:val="18"/>
              </w:rPr>
              <w:t>桌面一键式升降式发言话筒和液晶显示屏</w:t>
            </w:r>
          </w:p>
        </w:tc>
        <w:tc>
          <w:tcPr>
            <w:tcW w:w="304" w:type="pct"/>
            <w:vAlign w:val="center"/>
          </w:tcPr>
          <w:p>
            <w:pPr>
              <w:contextualSpacing/>
              <w:jc w:val="center"/>
              <w:rPr>
                <w:rFonts w:ascii="Times New Roman" w:hAnsi="Times New Roman"/>
                <w:bCs/>
                <w:sz w:val="18"/>
                <w:szCs w:val="18"/>
              </w:rPr>
            </w:pPr>
            <w:r>
              <w:rPr>
                <w:rFonts w:ascii="Times New Roman" w:hAnsi="Times New Roman"/>
                <w:bCs/>
                <w:sz w:val="18"/>
                <w:szCs w:val="18"/>
              </w:rPr>
              <w:t>√</w:t>
            </w:r>
          </w:p>
        </w:tc>
        <w:tc>
          <w:tcPr>
            <w:tcW w:w="299" w:type="pct"/>
            <w:vAlign w:val="center"/>
          </w:tcPr>
          <w:p>
            <w:pPr>
              <w:contextualSpacing/>
              <w:jc w:val="center"/>
              <w:rPr>
                <w:rFonts w:ascii="Times New Roman" w:hAnsi="Times New Roman"/>
                <w:bCs/>
                <w:sz w:val="18"/>
                <w:szCs w:val="18"/>
              </w:rPr>
            </w:pPr>
            <w:r>
              <w:rPr>
                <w:rFonts w:ascii="Times New Roman" w:hAnsi="Times New Roman"/>
                <w:bCs/>
                <w:sz w:val="18"/>
                <w:szCs w:val="18"/>
              </w:rPr>
              <w:t>选配</w:t>
            </w:r>
          </w:p>
        </w:tc>
        <w:tc>
          <w:tcPr>
            <w:tcW w:w="299" w:type="pct"/>
            <w:vAlign w:val="center"/>
          </w:tcPr>
          <w:p>
            <w:pPr>
              <w:contextualSpacing/>
              <w:jc w:val="center"/>
              <w:rPr>
                <w:rFonts w:ascii="Times New Roman" w:hAnsi="Times New Roman"/>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69" w:type="pct"/>
            <w:vAlign w:val="center"/>
          </w:tcPr>
          <w:p>
            <w:pPr>
              <w:contextualSpacing/>
              <w:jc w:val="center"/>
              <w:rPr>
                <w:rFonts w:ascii="Times New Roman" w:hAnsi="Times New Roman"/>
                <w:bCs/>
                <w:sz w:val="18"/>
                <w:szCs w:val="18"/>
              </w:rPr>
            </w:pPr>
            <w:r>
              <w:rPr>
                <w:rFonts w:ascii="Times New Roman" w:hAnsi="Times New Roman"/>
                <w:bCs/>
                <w:sz w:val="18"/>
                <w:szCs w:val="18"/>
              </w:rPr>
              <w:t>8</w:t>
            </w:r>
          </w:p>
        </w:tc>
        <w:tc>
          <w:tcPr>
            <w:tcW w:w="359" w:type="pct"/>
            <w:vMerge w:val="continue"/>
            <w:vAlign w:val="center"/>
          </w:tcPr>
          <w:p/>
        </w:tc>
        <w:tc>
          <w:tcPr>
            <w:tcW w:w="512" w:type="pct"/>
            <w:vMerge w:val="continue"/>
            <w:vAlign w:val="center"/>
          </w:tcPr>
          <w:p/>
        </w:tc>
        <w:tc>
          <w:tcPr>
            <w:tcW w:w="617" w:type="pct"/>
            <w:vAlign w:val="center"/>
          </w:tcPr>
          <w:p>
            <w:pPr>
              <w:contextualSpacing/>
              <w:jc w:val="center"/>
              <w:rPr>
                <w:rFonts w:ascii="Times New Roman" w:hAnsi="Times New Roman"/>
                <w:bCs/>
                <w:sz w:val="18"/>
                <w:szCs w:val="18"/>
              </w:rPr>
            </w:pPr>
            <w:r>
              <w:rPr>
                <w:rFonts w:ascii="Times New Roman" w:hAnsi="Times New Roman"/>
                <w:bCs/>
                <w:sz w:val="18"/>
                <w:szCs w:val="18"/>
              </w:rPr>
              <w:t>视频会议系统</w:t>
            </w:r>
          </w:p>
        </w:tc>
        <w:tc>
          <w:tcPr>
            <w:tcW w:w="2239" w:type="pct"/>
            <w:vAlign w:val="center"/>
          </w:tcPr>
          <w:p>
            <w:pPr>
              <w:contextualSpacing/>
              <w:jc w:val="left"/>
              <w:rPr>
                <w:rFonts w:ascii="Times New Roman" w:hAnsi="Times New Roman"/>
                <w:bCs/>
                <w:sz w:val="18"/>
                <w:szCs w:val="18"/>
              </w:rPr>
            </w:pPr>
            <w:r>
              <w:rPr>
                <w:rFonts w:ascii="Times New Roman" w:hAnsi="Times New Roman"/>
                <w:bCs/>
                <w:sz w:val="18"/>
                <w:szCs w:val="18"/>
              </w:rPr>
              <w:t>720</w:t>
            </w:r>
            <w:r>
              <w:rPr>
                <w:rFonts w:hint="eastAsia" w:ascii="Times New Roman" w:hAnsi="Times New Roman"/>
                <w:bCs/>
                <w:sz w:val="18"/>
                <w:szCs w:val="18"/>
              </w:rPr>
              <w:t xml:space="preserve"> </w:t>
            </w:r>
            <w:r>
              <w:rPr>
                <w:rFonts w:ascii="Times New Roman" w:hAnsi="Times New Roman"/>
                <w:bCs/>
                <w:sz w:val="18"/>
                <w:szCs w:val="18"/>
              </w:rPr>
              <w:t>P及以上高清视频会议终端和高清会议摄像机，设备报省级统一采购品牌</w:t>
            </w:r>
          </w:p>
        </w:tc>
        <w:tc>
          <w:tcPr>
            <w:tcW w:w="304" w:type="pct"/>
            <w:vAlign w:val="center"/>
          </w:tcPr>
          <w:p>
            <w:pPr>
              <w:contextualSpacing/>
              <w:jc w:val="center"/>
              <w:rPr>
                <w:rFonts w:ascii="Times New Roman" w:hAnsi="Times New Roman"/>
                <w:bCs/>
                <w:sz w:val="18"/>
                <w:szCs w:val="18"/>
              </w:rPr>
            </w:pPr>
            <w:r>
              <w:rPr>
                <w:rFonts w:ascii="Times New Roman" w:hAnsi="Times New Roman"/>
                <w:bCs/>
                <w:sz w:val="18"/>
                <w:szCs w:val="18"/>
              </w:rPr>
              <w:t>√</w:t>
            </w:r>
          </w:p>
        </w:tc>
        <w:tc>
          <w:tcPr>
            <w:tcW w:w="299" w:type="pct"/>
            <w:vAlign w:val="center"/>
          </w:tcPr>
          <w:p>
            <w:pPr>
              <w:contextualSpacing/>
              <w:jc w:val="center"/>
              <w:rPr>
                <w:rFonts w:ascii="Times New Roman" w:hAnsi="Times New Roman"/>
                <w:bCs/>
                <w:sz w:val="18"/>
                <w:szCs w:val="18"/>
              </w:rPr>
            </w:pPr>
            <w:r>
              <w:rPr>
                <w:rFonts w:ascii="Times New Roman" w:hAnsi="Times New Roman"/>
                <w:bCs/>
                <w:sz w:val="18"/>
                <w:szCs w:val="18"/>
              </w:rPr>
              <w:t>√</w:t>
            </w:r>
          </w:p>
        </w:tc>
        <w:tc>
          <w:tcPr>
            <w:tcW w:w="299" w:type="pct"/>
            <w:vAlign w:val="center"/>
          </w:tcPr>
          <w:p>
            <w:pPr>
              <w:contextualSpacing/>
              <w:jc w:val="center"/>
              <w:rPr>
                <w:rFonts w:ascii="Times New Roman" w:hAnsi="Times New Roman"/>
                <w:bCs/>
                <w:sz w:val="18"/>
                <w:szCs w:val="18"/>
              </w:rPr>
            </w:pPr>
            <w:r>
              <w:rPr>
                <w:rFonts w:ascii="Times New Roman" w:hAnsi="Times New Roman"/>
                <w:bCs/>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69" w:type="pct"/>
            <w:vAlign w:val="center"/>
          </w:tcPr>
          <w:p>
            <w:pPr>
              <w:contextualSpacing/>
              <w:jc w:val="center"/>
              <w:rPr>
                <w:rFonts w:ascii="Times New Roman" w:hAnsi="Times New Roman"/>
                <w:bCs/>
                <w:sz w:val="18"/>
                <w:szCs w:val="18"/>
              </w:rPr>
            </w:pPr>
            <w:r>
              <w:rPr>
                <w:rFonts w:ascii="Times New Roman" w:hAnsi="Times New Roman"/>
                <w:bCs/>
                <w:sz w:val="18"/>
                <w:szCs w:val="18"/>
              </w:rPr>
              <w:t>9</w:t>
            </w:r>
          </w:p>
        </w:tc>
        <w:tc>
          <w:tcPr>
            <w:tcW w:w="359" w:type="pct"/>
            <w:vMerge w:val="continue"/>
            <w:vAlign w:val="center"/>
          </w:tcPr>
          <w:p/>
        </w:tc>
        <w:tc>
          <w:tcPr>
            <w:tcW w:w="512" w:type="pct"/>
            <w:vMerge w:val="continue"/>
            <w:vAlign w:val="center"/>
          </w:tcPr>
          <w:p/>
        </w:tc>
        <w:tc>
          <w:tcPr>
            <w:tcW w:w="617" w:type="pct"/>
            <w:vAlign w:val="center"/>
          </w:tcPr>
          <w:p>
            <w:pPr>
              <w:contextualSpacing/>
              <w:jc w:val="center"/>
              <w:rPr>
                <w:rFonts w:ascii="Times New Roman" w:hAnsi="Times New Roman"/>
                <w:bCs/>
                <w:sz w:val="18"/>
                <w:szCs w:val="18"/>
              </w:rPr>
            </w:pPr>
            <w:r>
              <w:rPr>
                <w:rFonts w:ascii="Times New Roman" w:hAnsi="Times New Roman"/>
                <w:bCs/>
                <w:sz w:val="18"/>
                <w:szCs w:val="18"/>
              </w:rPr>
              <w:t>调音扩音系统</w:t>
            </w:r>
          </w:p>
        </w:tc>
        <w:tc>
          <w:tcPr>
            <w:tcW w:w="2239" w:type="pct"/>
            <w:vAlign w:val="center"/>
          </w:tcPr>
          <w:p>
            <w:pPr>
              <w:contextualSpacing/>
              <w:jc w:val="left"/>
              <w:rPr>
                <w:rFonts w:ascii="Times New Roman" w:hAnsi="Times New Roman"/>
                <w:bCs/>
                <w:sz w:val="18"/>
                <w:szCs w:val="18"/>
              </w:rPr>
            </w:pPr>
            <w:r>
              <w:rPr>
                <w:rFonts w:ascii="Times New Roman" w:hAnsi="Times New Roman"/>
                <w:bCs/>
                <w:sz w:val="18"/>
                <w:szCs w:val="18"/>
              </w:rPr>
              <w:t>国内主流品牌配置，含数字调音台、音响功放、无线麦克单元和会场音箱</w:t>
            </w:r>
          </w:p>
        </w:tc>
        <w:tc>
          <w:tcPr>
            <w:tcW w:w="304" w:type="pct"/>
            <w:vAlign w:val="center"/>
          </w:tcPr>
          <w:p>
            <w:pPr>
              <w:contextualSpacing/>
              <w:jc w:val="center"/>
              <w:rPr>
                <w:rFonts w:ascii="Times New Roman" w:hAnsi="Times New Roman"/>
                <w:bCs/>
                <w:sz w:val="18"/>
                <w:szCs w:val="18"/>
              </w:rPr>
            </w:pPr>
            <w:r>
              <w:rPr>
                <w:rFonts w:ascii="Times New Roman" w:hAnsi="Times New Roman"/>
                <w:bCs/>
                <w:sz w:val="18"/>
                <w:szCs w:val="18"/>
              </w:rPr>
              <w:t>√</w:t>
            </w:r>
          </w:p>
        </w:tc>
        <w:tc>
          <w:tcPr>
            <w:tcW w:w="299" w:type="pct"/>
            <w:vAlign w:val="center"/>
          </w:tcPr>
          <w:p>
            <w:pPr>
              <w:contextualSpacing/>
              <w:jc w:val="center"/>
              <w:rPr>
                <w:rFonts w:ascii="Times New Roman" w:hAnsi="Times New Roman"/>
                <w:bCs/>
                <w:sz w:val="18"/>
                <w:szCs w:val="18"/>
              </w:rPr>
            </w:pPr>
            <w:r>
              <w:rPr>
                <w:rFonts w:ascii="Times New Roman" w:hAnsi="Times New Roman"/>
                <w:bCs/>
                <w:sz w:val="18"/>
                <w:szCs w:val="18"/>
              </w:rPr>
              <w:t>√</w:t>
            </w:r>
          </w:p>
        </w:tc>
        <w:tc>
          <w:tcPr>
            <w:tcW w:w="299" w:type="pct"/>
            <w:vAlign w:val="center"/>
          </w:tcPr>
          <w:p>
            <w:pPr>
              <w:contextualSpacing/>
              <w:jc w:val="center"/>
              <w:rPr>
                <w:rFonts w:ascii="Times New Roman" w:hAnsi="Times New Roman"/>
                <w:bCs/>
                <w:sz w:val="18"/>
                <w:szCs w:val="18"/>
              </w:rPr>
            </w:pPr>
            <w:r>
              <w:rPr>
                <w:rFonts w:ascii="Times New Roman" w:hAnsi="Times New Roman"/>
                <w:bCs/>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69" w:type="pct"/>
            <w:vAlign w:val="center"/>
          </w:tcPr>
          <w:p>
            <w:pPr>
              <w:contextualSpacing/>
              <w:jc w:val="center"/>
              <w:rPr>
                <w:rFonts w:ascii="Times New Roman" w:hAnsi="Times New Roman"/>
                <w:bCs/>
                <w:sz w:val="18"/>
                <w:szCs w:val="18"/>
              </w:rPr>
            </w:pPr>
            <w:r>
              <w:rPr>
                <w:rFonts w:ascii="Times New Roman" w:hAnsi="Times New Roman"/>
                <w:bCs/>
                <w:sz w:val="18"/>
                <w:szCs w:val="18"/>
              </w:rPr>
              <w:t>10</w:t>
            </w:r>
          </w:p>
        </w:tc>
        <w:tc>
          <w:tcPr>
            <w:tcW w:w="359" w:type="pct"/>
            <w:vMerge w:val="continue"/>
            <w:vAlign w:val="center"/>
          </w:tcPr>
          <w:p/>
        </w:tc>
        <w:tc>
          <w:tcPr>
            <w:tcW w:w="512" w:type="pct"/>
            <w:vMerge w:val="continue"/>
            <w:vAlign w:val="center"/>
          </w:tcPr>
          <w:p/>
        </w:tc>
        <w:tc>
          <w:tcPr>
            <w:tcW w:w="617" w:type="pct"/>
            <w:vAlign w:val="center"/>
          </w:tcPr>
          <w:p>
            <w:pPr>
              <w:contextualSpacing/>
              <w:jc w:val="center"/>
              <w:rPr>
                <w:rFonts w:ascii="Times New Roman" w:hAnsi="Times New Roman"/>
                <w:bCs/>
                <w:sz w:val="18"/>
                <w:szCs w:val="18"/>
              </w:rPr>
            </w:pPr>
            <w:r>
              <w:rPr>
                <w:rFonts w:ascii="Times New Roman" w:hAnsi="Times New Roman"/>
                <w:bCs/>
                <w:sz w:val="18"/>
                <w:szCs w:val="18"/>
              </w:rPr>
              <w:t>综合控制系统</w:t>
            </w:r>
          </w:p>
        </w:tc>
        <w:tc>
          <w:tcPr>
            <w:tcW w:w="2239" w:type="pct"/>
            <w:vAlign w:val="center"/>
          </w:tcPr>
          <w:p>
            <w:pPr>
              <w:contextualSpacing/>
              <w:jc w:val="left"/>
              <w:rPr>
                <w:rFonts w:ascii="Times New Roman" w:hAnsi="Times New Roman"/>
                <w:bCs/>
                <w:sz w:val="18"/>
                <w:szCs w:val="18"/>
              </w:rPr>
            </w:pPr>
            <w:r>
              <w:rPr>
                <w:rFonts w:ascii="Times New Roman" w:hAnsi="Times New Roman"/>
                <w:bCs/>
                <w:sz w:val="18"/>
                <w:szCs w:val="18"/>
              </w:rPr>
              <w:t>有效范围50</w:t>
            </w:r>
            <w:r>
              <w:rPr>
                <w:rFonts w:hint="eastAsia" w:ascii="Times New Roman" w:hAnsi="Times New Roman"/>
                <w:bCs/>
                <w:sz w:val="18"/>
                <w:szCs w:val="18"/>
              </w:rPr>
              <w:t xml:space="preserve"> m</w:t>
            </w:r>
            <w:r>
              <w:rPr>
                <w:rFonts w:ascii="Times New Roman" w:hAnsi="Times New Roman"/>
                <w:bCs/>
                <w:sz w:val="18"/>
                <w:szCs w:val="18"/>
              </w:rPr>
              <w:t>，可通过无线触摸屏控制会场内设备和信号源</w:t>
            </w:r>
          </w:p>
        </w:tc>
        <w:tc>
          <w:tcPr>
            <w:tcW w:w="304" w:type="pct"/>
            <w:vAlign w:val="center"/>
          </w:tcPr>
          <w:p>
            <w:pPr>
              <w:contextualSpacing/>
              <w:jc w:val="center"/>
              <w:rPr>
                <w:rFonts w:ascii="Times New Roman" w:hAnsi="Times New Roman"/>
                <w:bCs/>
                <w:sz w:val="18"/>
                <w:szCs w:val="18"/>
              </w:rPr>
            </w:pPr>
            <w:r>
              <w:rPr>
                <w:rFonts w:ascii="Times New Roman" w:hAnsi="Times New Roman"/>
                <w:bCs/>
                <w:sz w:val="18"/>
                <w:szCs w:val="18"/>
              </w:rPr>
              <w:t>√</w:t>
            </w:r>
          </w:p>
        </w:tc>
        <w:tc>
          <w:tcPr>
            <w:tcW w:w="299" w:type="pct"/>
            <w:vAlign w:val="center"/>
          </w:tcPr>
          <w:p>
            <w:pPr>
              <w:contextualSpacing/>
              <w:jc w:val="center"/>
              <w:rPr>
                <w:rFonts w:ascii="Times New Roman" w:hAnsi="Times New Roman"/>
                <w:bCs/>
                <w:sz w:val="18"/>
                <w:szCs w:val="18"/>
              </w:rPr>
            </w:pPr>
            <w:r>
              <w:rPr>
                <w:rFonts w:ascii="Times New Roman" w:hAnsi="Times New Roman"/>
                <w:bCs/>
                <w:sz w:val="18"/>
                <w:szCs w:val="18"/>
              </w:rPr>
              <w:t>√</w:t>
            </w:r>
          </w:p>
        </w:tc>
        <w:tc>
          <w:tcPr>
            <w:tcW w:w="299" w:type="pct"/>
            <w:vAlign w:val="center"/>
          </w:tcPr>
          <w:p>
            <w:pPr>
              <w:contextualSpacing/>
              <w:jc w:val="center"/>
              <w:rPr>
                <w:rFonts w:ascii="Times New Roman" w:hAnsi="Times New Roman"/>
                <w:bCs/>
                <w:sz w:val="18"/>
                <w:szCs w:val="18"/>
              </w:rPr>
            </w:pPr>
            <w:r>
              <w:rPr>
                <w:rFonts w:ascii="Times New Roman" w:hAnsi="Times New Roman"/>
                <w:bCs/>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69" w:type="pct"/>
            <w:vAlign w:val="center"/>
          </w:tcPr>
          <w:p>
            <w:pPr>
              <w:contextualSpacing/>
              <w:jc w:val="center"/>
              <w:rPr>
                <w:rFonts w:ascii="Times New Roman" w:hAnsi="Times New Roman"/>
                <w:bCs/>
                <w:sz w:val="18"/>
                <w:szCs w:val="18"/>
              </w:rPr>
            </w:pPr>
            <w:r>
              <w:rPr>
                <w:rFonts w:ascii="Times New Roman" w:hAnsi="Times New Roman"/>
                <w:bCs/>
                <w:sz w:val="18"/>
                <w:szCs w:val="18"/>
              </w:rPr>
              <w:t>11</w:t>
            </w:r>
          </w:p>
        </w:tc>
        <w:tc>
          <w:tcPr>
            <w:tcW w:w="359" w:type="pct"/>
            <w:vMerge w:val="continue"/>
            <w:vAlign w:val="center"/>
          </w:tcPr>
          <w:p/>
        </w:tc>
        <w:tc>
          <w:tcPr>
            <w:tcW w:w="512" w:type="pct"/>
            <w:vMerge w:val="continue"/>
            <w:vAlign w:val="center"/>
          </w:tcPr>
          <w:p/>
        </w:tc>
        <w:tc>
          <w:tcPr>
            <w:tcW w:w="617" w:type="pct"/>
            <w:vAlign w:val="center"/>
          </w:tcPr>
          <w:p>
            <w:pPr>
              <w:contextualSpacing/>
              <w:jc w:val="center"/>
              <w:rPr>
                <w:rFonts w:ascii="Times New Roman" w:hAnsi="Times New Roman"/>
                <w:bCs/>
                <w:sz w:val="18"/>
                <w:szCs w:val="18"/>
              </w:rPr>
            </w:pPr>
            <w:r>
              <w:rPr>
                <w:rFonts w:ascii="Times New Roman" w:hAnsi="Times New Roman"/>
                <w:bCs/>
                <w:sz w:val="18"/>
                <w:szCs w:val="18"/>
              </w:rPr>
              <w:t>会议录像系统</w:t>
            </w:r>
          </w:p>
        </w:tc>
        <w:tc>
          <w:tcPr>
            <w:tcW w:w="2239" w:type="pct"/>
            <w:vAlign w:val="center"/>
          </w:tcPr>
          <w:p>
            <w:pPr>
              <w:contextualSpacing/>
              <w:jc w:val="left"/>
              <w:rPr>
                <w:rFonts w:ascii="Times New Roman" w:hAnsi="Times New Roman"/>
                <w:bCs/>
                <w:sz w:val="18"/>
                <w:szCs w:val="18"/>
              </w:rPr>
            </w:pPr>
            <w:r>
              <w:rPr>
                <w:rFonts w:ascii="Times New Roman" w:hAnsi="Times New Roman"/>
                <w:bCs/>
                <w:sz w:val="18"/>
                <w:szCs w:val="18"/>
              </w:rPr>
              <w:t>支持多路视频输入源同时录像，自带存储</w:t>
            </w:r>
          </w:p>
        </w:tc>
        <w:tc>
          <w:tcPr>
            <w:tcW w:w="304" w:type="pct"/>
            <w:vAlign w:val="center"/>
          </w:tcPr>
          <w:p>
            <w:pPr>
              <w:contextualSpacing/>
              <w:jc w:val="center"/>
              <w:rPr>
                <w:rFonts w:ascii="Times New Roman" w:hAnsi="Times New Roman"/>
                <w:bCs/>
                <w:sz w:val="18"/>
                <w:szCs w:val="18"/>
              </w:rPr>
            </w:pPr>
            <w:r>
              <w:rPr>
                <w:rFonts w:ascii="Times New Roman" w:hAnsi="Times New Roman"/>
                <w:bCs/>
                <w:sz w:val="18"/>
                <w:szCs w:val="18"/>
              </w:rPr>
              <w:t>√</w:t>
            </w:r>
          </w:p>
        </w:tc>
        <w:tc>
          <w:tcPr>
            <w:tcW w:w="299" w:type="pct"/>
            <w:vAlign w:val="center"/>
          </w:tcPr>
          <w:p>
            <w:pPr>
              <w:contextualSpacing/>
              <w:jc w:val="center"/>
              <w:rPr>
                <w:rFonts w:ascii="Times New Roman" w:hAnsi="Times New Roman"/>
                <w:bCs/>
                <w:sz w:val="18"/>
                <w:szCs w:val="18"/>
              </w:rPr>
            </w:pPr>
            <w:r>
              <w:rPr>
                <w:rFonts w:ascii="Times New Roman" w:hAnsi="Times New Roman"/>
                <w:bCs/>
                <w:sz w:val="18"/>
                <w:szCs w:val="18"/>
              </w:rPr>
              <w:t>√</w:t>
            </w:r>
          </w:p>
        </w:tc>
        <w:tc>
          <w:tcPr>
            <w:tcW w:w="299" w:type="pct"/>
            <w:vAlign w:val="center"/>
          </w:tcPr>
          <w:p>
            <w:pPr>
              <w:contextualSpacing/>
              <w:jc w:val="center"/>
              <w:rPr>
                <w:rFonts w:ascii="Times New Roman" w:hAnsi="Times New Roman"/>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69" w:type="pct"/>
            <w:vAlign w:val="center"/>
          </w:tcPr>
          <w:p>
            <w:pPr>
              <w:contextualSpacing/>
              <w:jc w:val="center"/>
              <w:rPr>
                <w:rFonts w:ascii="Times New Roman" w:hAnsi="Times New Roman"/>
                <w:bCs/>
                <w:sz w:val="18"/>
                <w:szCs w:val="18"/>
              </w:rPr>
            </w:pPr>
            <w:r>
              <w:rPr>
                <w:rFonts w:ascii="Times New Roman" w:hAnsi="Times New Roman"/>
                <w:bCs/>
                <w:sz w:val="18"/>
                <w:szCs w:val="18"/>
              </w:rPr>
              <w:t>12</w:t>
            </w:r>
          </w:p>
        </w:tc>
        <w:tc>
          <w:tcPr>
            <w:tcW w:w="359" w:type="pct"/>
            <w:vMerge w:val="continue"/>
            <w:vAlign w:val="center"/>
          </w:tcPr>
          <w:p/>
        </w:tc>
        <w:tc>
          <w:tcPr>
            <w:tcW w:w="512" w:type="pct"/>
            <w:vMerge w:val="restart"/>
            <w:vAlign w:val="center"/>
          </w:tcPr>
          <w:p>
            <w:pPr>
              <w:contextualSpacing/>
              <w:jc w:val="center"/>
              <w:rPr>
                <w:rFonts w:ascii="Times New Roman" w:hAnsi="Times New Roman"/>
                <w:bCs/>
                <w:sz w:val="18"/>
                <w:szCs w:val="18"/>
              </w:rPr>
            </w:pPr>
            <w:r>
              <w:rPr>
                <w:rFonts w:ascii="Times New Roman" w:hAnsi="Times New Roman"/>
                <w:bCs/>
                <w:sz w:val="18"/>
                <w:szCs w:val="18"/>
              </w:rPr>
              <w:t>通讯网络</w:t>
            </w:r>
          </w:p>
        </w:tc>
        <w:tc>
          <w:tcPr>
            <w:tcW w:w="617" w:type="pct"/>
            <w:vAlign w:val="center"/>
          </w:tcPr>
          <w:p>
            <w:pPr>
              <w:contextualSpacing/>
              <w:jc w:val="center"/>
              <w:rPr>
                <w:rFonts w:ascii="Times New Roman" w:hAnsi="Times New Roman"/>
                <w:bCs/>
                <w:sz w:val="18"/>
                <w:szCs w:val="18"/>
              </w:rPr>
            </w:pPr>
            <w:r>
              <w:rPr>
                <w:rFonts w:ascii="Times New Roman" w:hAnsi="Times New Roman"/>
                <w:bCs/>
                <w:sz w:val="18"/>
                <w:szCs w:val="18"/>
              </w:rPr>
              <w:t>数据专线</w:t>
            </w:r>
          </w:p>
        </w:tc>
        <w:tc>
          <w:tcPr>
            <w:tcW w:w="2239" w:type="pct"/>
            <w:vAlign w:val="center"/>
          </w:tcPr>
          <w:p>
            <w:pPr>
              <w:contextualSpacing/>
              <w:jc w:val="left"/>
              <w:rPr>
                <w:rFonts w:ascii="Times New Roman" w:hAnsi="Times New Roman"/>
                <w:bCs/>
                <w:sz w:val="18"/>
                <w:szCs w:val="18"/>
              </w:rPr>
            </w:pPr>
            <w:r>
              <w:rPr>
                <w:rFonts w:ascii="Times New Roman" w:hAnsi="Times New Roman"/>
                <w:bCs/>
                <w:sz w:val="18"/>
                <w:szCs w:val="18"/>
              </w:rPr>
              <w:t>与互联网、国土主干网、行业数据互通。接入</w:t>
            </w:r>
            <w:r>
              <w:rPr>
                <w:rFonts w:ascii="宋体" w:eastAsia="宋体"/>
                <w:sz w:val="18"/>
                <w:szCs w:val="18"/>
              </w:rPr>
              <w:t>“湖北省地质灾害综合防治管理平台”和“湖北省地质环境综合信息平台”等业务系统</w:t>
            </w:r>
          </w:p>
        </w:tc>
        <w:tc>
          <w:tcPr>
            <w:tcW w:w="304" w:type="pct"/>
            <w:vAlign w:val="center"/>
          </w:tcPr>
          <w:p>
            <w:pPr>
              <w:contextualSpacing/>
              <w:jc w:val="center"/>
              <w:rPr>
                <w:rFonts w:ascii="Times New Roman" w:hAnsi="Times New Roman"/>
                <w:bCs/>
                <w:sz w:val="18"/>
                <w:szCs w:val="18"/>
              </w:rPr>
            </w:pPr>
            <w:r>
              <w:rPr>
                <w:rFonts w:ascii="Times New Roman" w:hAnsi="Times New Roman"/>
                <w:bCs/>
                <w:sz w:val="18"/>
                <w:szCs w:val="18"/>
              </w:rPr>
              <w:t>√</w:t>
            </w:r>
          </w:p>
        </w:tc>
        <w:tc>
          <w:tcPr>
            <w:tcW w:w="299" w:type="pct"/>
            <w:vAlign w:val="center"/>
          </w:tcPr>
          <w:p>
            <w:pPr>
              <w:contextualSpacing/>
              <w:jc w:val="center"/>
              <w:rPr>
                <w:rFonts w:ascii="Times New Roman" w:hAnsi="Times New Roman"/>
                <w:bCs/>
                <w:sz w:val="18"/>
                <w:szCs w:val="18"/>
              </w:rPr>
            </w:pPr>
            <w:r>
              <w:rPr>
                <w:rFonts w:ascii="Times New Roman" w:hAnsi="Times New Roman"/>
                <w:bCs/>
                <w:sz w:val="18"/>
                <w:szCs w:val="18"/>
              </w:rPr>
              <w:t>√</w:t>
            </w:r>
          </w:p>
        </w:tc>
        <w:tc>
          <w:tcPr>
            <w:tcW w:w="299" w:type="pct"/>
            <w:vAlign w:val="center"/>
          </w:tcPr>
          <w:p>
            <w:pPr>
              <w:contextualSpacing/>
              <w:jc w:val="center"/>
              <w:rPr>
                <w:rFonts w:ascii="Times New Roman" w:hAnsi="Times New Roman"/>
                <w:bCs/>
                <w:sz w:val="18"/>
                <w:szCs w:val="18"/>
              </w:rPr>
            </w:pPr>
            <w:r>
              <w:rPr>
                <w:rFonts w:ascii="Times New Roman" w:hAnsi="Times New Roman"/>
                <w:bCs/>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69" w:type="pct"/>
            <w:vAlign w:val="center"/>
          </w:tcPr>
          <w:p>
            <w:pPr>
              <w:contextualSpacing/>
              <w:jc w:val="center"/>
              <w:rPr>
                <w:rFonts w:ascii="Times New Roman" w:hAnsi="Times New Roman"/>
                <w:bCs/>
                <w:sz w:val="18"/>
                <w:szCs w:val="18"/>
              </w:rPr>
            </w:pPr>
            <w:r>
              <w:rPr>
                <w:rFonts w:ascii="Times New Roman" w:hAnsi="Times New Roman"/>
                <w:bCs/>
                <w:sz w:val="18"/>
                <w:szCs w:val="18"/>
              </w:rPr>
              <w:t>13</w:t>
            </w:r>
          </w:p>
        </w:tc>
        <w:tc>
          <w:tcPr>
            <w:tcW w:w="359" w:type="pct"/>
            <w:vMerge w:val="continue"/>
            <w:vAlign w:val="center"/>
          </w:tcPr>
          <w:p/>
        </w:tc>
        <w:tc>
          <w:tcPr>
            <w:tcW w:w="512" w:type="pct"/>
            <w:vMerge w:val="continue"/>
            <w:vAlign w:val="center"/>
          </w:tcPr>
          <w:p/>
        </w:tc>
        <w:tc>
          <w:tcPr>
            <w:tcW w:w="617" w:type="pct"/>
            <w:vAlign w:val="center"/>
          </w:tcPr>
          <w:p>
            <w:pPr>
              <w:contextualSpacing/>
              <w:jc w:val="center"/>
              <w:rPr>
                <w:rFonts w:ascii="Times New Roman" w:hAnsi="Times New Roman"/>
                <w:bCs/>
                <w:sz w:val="18"/>
                <w:szCs w:val="18"/>
              </w:rPr>
            </w:pPr>
            <w:r>
              <w:rPr>
                <w:rFonts w:ascii="Times New Roman" w:hAnsi="Times New Roman"/>
                <w:bCs/>
                <w:sz w:val="18"/>
                <w:szCs w:val="18"/>
              </w:rPr>
              <w:t>卫星地面固定站</w:t>
            </w:r>
          </w:p>
        </w:tc>
        <w:tc>
          <w:tcPr>
            <w:tcW w:w="2239" w:type="pct"/>
            <w:vAlign w:val="center"/>
          </w:tcPr>
          <w:p>
            <w:pPr>
              <w:contextualSpacing/>
              <w:jc w:val="left"/>
              <w:rPr>
                <w:rFonts w:ascii="Times New Roman" w:hAnsi="Times New Roman"/>
                <w:bCs/>
                <w:sz w:val="18"/>
                <w:szCs w:val="18"/>
              </w:rPr>
            </w:pPr>
            <w:r>
              <w:rPr>
                <w:rFonts w:ascii="Times New Roman" w:hAnsi="Times New Roman"/>
                <w:bCs/>
                <w:sz w:val="18"/>
                <w:szCs w:val="18"/>
              </w:rPr>
              <w:t>固定站配备卫星调制解调器、高清视频会议终端和信号发射天线，</w:t>
            </w:r>
            <w:r>
              <w:rPr>
                <w:rFonts w:ascii="Times New Roman" w:hAnsi="Times New Roman"/>
                <w:sz w:val="18"/>
                <w:szCs w:val="18"/>
              </w:rPr>
              <w:t>可接入自然资源卫星网（会议终端</w:t>
            </w:r>
            <w:r>
              <w:rPr>
                <w:rFonts w:ascii="Times New Roman" w:hAnsi="Times New Roman"/>
                <w:bCs/>
                <w:sz w:val="18"/>
                <w:szCs w:val="18"/>
              </w:rPr>
              <w:t>设备报省级统一采购品牌</w:t>
            </w:r>
            <w:r>
              <w:rPr>
                <w:rFonts w:ascii="Times New Roman" w:hAnsi="Times New Roman"/>
                <w:sz w:val="18"/>
                <w:szCs w:val="18"/>
              </w:rPr>
              <w:t>）</w:t>
            </w:r>
          </w:p>
        </w:tc>
        <w:tc>
          <w:tcPr>
            <w:tcW w:w="304" w:type="pct"/>
            <w:vAlign w:val="center"/>
          </w:tcPr>
          <w:p>
            <w:pPr>
              <w:contextualSpacing/>
              <w:jc w:val="center"/>
              <w:rPr>
                <w:rFonts w:ascii="Times New Roman" w:hAnsi="Times New Roman"/>
                <w:bCs/>
                <w:sz w:val="18"/>
                <w:szCs w:val="18"/>
              </w:rPr>
            </w:pPr>
            <w:r>
              <w:rPr>
                <w:rFonts w:ascii="Times New Roman" w:hAnsi="Times New Roman"/>
                <w:bCs/>
                <w:sz w:val="18"/>
                <w:szCs w:val="18"/>
              </w:rPr>
              <w:t>√</w:t>
            </w:r>
          </w:p>
        </w:tc>
        <w:tc>
          <w:tcPr>
            <w:tcW w:w="299" w:type="pct"/>
            <w:vAlign w:val="center"/>
          </w:tcPr>
          <w:p>
            <w:pPr>
              <w:contextualSpacing/>
              <w:jc w:val="center"/>
              <w:rPr>
                <w:rFonts w:ascii="Times New Roman" w:hAnsi="Times New Roman"/>
                <w:bCs/>
                <w:sz w:val="18"/>
                <w:szCs w:val="18"/>
              </w:rPr>
            </w:pPr>
          </w:p>
        </w:tc>
        <w:tc>
          <w:tcPr>
            <w:tcW w:w="299" w:type="pct"/>
            <w:vAlign w:val="center"/>
          </w:tcPr>
          <w:p>
            <w:pPr>
              <w:contextualSpacing/>
              <w:jc w:val="center"/>
              <w:rPr>
                <w:rFonts w:ascii="Times New Roman" w:hAnsi="Times New Roman"/>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69" w:type="pct"/>
            <w:vAlign w:val="center"/>
          </w:tcPr>
          <w:p>
            <w:pPr>
              <w:contextualSpacing/>
              <w:jc w:val="center"/>
              <w:rPr>
                <w:rFonts w:ascii="Times New Roman" w:hAnsi="Times New Roman"/>
                <w:bCs/>
                <w:sz w:val="18"/>
                <w:szCs w:val="18"/>
              </w:rPr>
            </w:pPr>
            <w:r>
              <w:rPr>
                <w:rFonts w:ascii="Times New Roman" w:hAnsi="Times New Roman"/>
                <w:bCs/>
                <w:sz w:val="18"/>
                <w:szCs w:val="18"/>
              </w:rPr>
              <w:t>14</w:t>
            </w:r>
          </w:p>
        </w:tc>
        <w:tc>
          <w:tcPr>
            <w:tcW w:w="359" w:type="pct"/>
            <w:vMerge w:val="restart"/>
            <w:vAlign w:val="center"/>
          </w:tcPr>
          <w:p>
            <w:pPr>
              <w:contextualSpacing/>
              <w:jc w:val="center"/>
              <w:rPr>
                <w:rFonts w:ascii="Times New Roman" w:hAnsi="Times New Roman"/>
                <w:bCs/>
                <w:sz w:val="18"/>
                <w:szCs w:val="18"/>
              </w:rPr>
            </w:pPr>
            <w:r>
              <w:rPr>
                <w:rFonts w:ascii="Times New Roman" w:hAnsi="Times New Roman"/>
                <w:bCs/>
                <w:sz w:val="18"/>
                <w:szCs w:val="18"/>
              </w:rPr>
              <w:t>灾害现场</w:t>
            </w:r>
          </w:p>
        </w:tc>
        <w:tc>
          <w:tcPr>
            <w:tcW w:w="512" w:type="pct"/>
            <w:vMerge w:val="restart"/>
            <w:vAlign w:val="center"/>
          </w:tcPr>
          <w:p>
            <w:pPr>
              <w:contextualSpacing/>
              <w:jc w:val="center"/>
              <w:rPr>
                <w:rFonts w:ascii="Times New Roman" w:hAnsi="Times New Roman"/>
                <w:bCs/>
                <w:sz w:val="18"/>
                <w:szCs w:val="18"/>
              </w:rPr>
            </w:pPr>
            <w:r>
              <w:rPr>
                <w:rFonts w:ascii="Times New Roman" w:hAnsi="Times New Roman"/>
                <w:bCs/>
                <w:sz w:val="18"/>
                <w:szCs w:val="18"/>
              </w:rPr>
              <w:t>通讯装备</w:t>
            </w:r>
          </w:p>
        </w:tc>
        <w:tc>
          <w:tcPr>
            <w:tcW w:w="617" w:type="pct"/>
            <w:vAlign w:val="center"/>
          </w:tcPr>
          <w:p>
            <w:pPr>
              <w:contextualSpacing/>
              <w:jc w:val="center"/>
              <w:rPr>
                <w:rFonts w:ascii="Times New Roman" w:hAnsi="Times New Roman"/>
                <w:bCs/>
                <w:sz w:val="18"/>
                <w:szCs w:val="18"/>
              </w:rPr>
            </w:pPr>
            <w:r>
              <w:rPr>
                <w:rFonts w:ascii="Times New Roman" w:hAnsi="Times New Roman"/>
                <w:bCs/>
                <w:sz w:val="18"/>
                <w:szCs w:val="18"/>
              </w:rPr>
              <w:t>便携卫星站</w:t>
            </w:r>
          </w:p>
        </w:tc>
        <w:tc>
          <w:tcPr>
            <w:tcW w:w="2239" w:type="pct"/>
            <w:vAlign w:val="center"/>
          </w:tcPr>
          <w:p>
            <w:pPr>
              <w:contextualSpacing/>
              <w:jc w:val="left"/>
              <w:rPr>
                <w:rFonts w:ascii="Times New Roman" w:hAnsi="Times New Roman"/>
                <w:bCs/>
                <w:sz w:val="18"/>
                <w:szCs w:val="18"/>
              </w:rPr>
            </w:pPr>
            <w:r>
              <w:rPr>
                <w:rFonts w:ascii="Times New Roman" w:hAnsi="Times New Roman"/>
                <w:bCs/>
                <w:sz w:val="18"/>
                <w:szCs w:val="18"/>
              </w:rPr>
              <w:t>便携式终端箱内配备卫星调制解调器、高清视频会议终端和信号发射天线，</w:t>
            </w:r>
            <w:r>
              <w:rPr>
                <w:rFonts w:ascii="Times New Roman" w:hAnsi="Times New Roman"/>
                <w:sz w:val="18"/>
                <w:szCs w:val="18"/>
              </w:rPr>
              <w:t>可接入自然资源卫星网（会议终端</w:t>
            </w:r>
            <w:r>
              <w:rPr>
                <w:rFonts w:ascii="Times New Roman" w:hAnsi="Times New Roman"/>
                <w:bCs/>
                <w:sz w:val="18"/>
                <w:szCs w:val="18"/>
              </w:rPr>
              <w:t>设备报省级统一采购品牌</w:t>
            </w:r>
            <w:r>
              <w:rPr>
                <w:rFonts w:ascii="Times New Roman" w:hAnsi="Times New Roman"/>
                <w:sz w:val="18"/>
                <w:szCs w:val="18"/>
              </w:rPr>
              <w:t>）</w:t>
            </w:r>
          </w:p>
        </w:tc>
        <w:tc>
          <w:tcPr>
            <w:tcW w:w="304" w:type="pct"/>
            <w:vAlign w:val="center"/>
          </w:tcPr>
          <w:p>
            <w:pPr>
              <w:contextualSpacing/>
              <w:jc w:val="center"/>
              <w:rPr>
                <w:rFonts w:ascii="Times New Roman" w:hAnsi="Times New Roman"/>
                <w:bCs/>
                <w:sz w:val="18"/>
                <w:szCs w:val="18"/>
              </w:rPr>
            </w:pPr>
            <w:r>
              <w:rPr>
                <w:rFonts w:ascii="Times New Roman" w:hAnsi="Times New Roman"/>
                <w:bCs/>
                <w:sz w:val="18"/>
                <w:szCs w:val="18"/>
              </w:rPr>
              <w:t>√</w:t>
            </w:r>
          </w:p>
        </w:tc>
        <w:tc>
          <w:tcPr>
            <w:tcW w:w="299" w:type="pct"/>
            <w:vAlign w:val="center"/>
          </w:tcPr>
          <w:p>
            <w:pPr>
              <w:contextualSpacing/>
              <w:jc w:val="center"/>
              <w:rPr>
                <w:rFonts w:ascii="Times New Roman" w:hAnsi="Times New Roman"/>
                <w:bCs/>
                <w:sz w:val="18"/>
                <w:szCs w:val="18"/>
              </w:rPr>
            </w:pPr>
          </w:p>
        </w:tc>
        <w:tc>
          <w:tcPr>
            <w:tcW w:w="299" w:type="pct"/>
            <w:vAlign w:val="center"/>
          </w:tcPr>
          <w:p>
            <w:pPr>
              <w:contextualSpacing/>
              <w:jc w:val="center"/>
              <w:rPr>
                <w:rFonts w:ascii="Times New Roman" w:hAnsi="Times New Roman"/>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69" w:type="pct"/>
            <w:vAlign w:val="center"/>
          </w:tcPr>
          <w:p>
            <w:pPr>
              <w:contextualSpacing/>
              <w:jc w:val="center"/>
              <w:rPr>
                <w:rFonts w:ascii="Times New Roman" w:hAnsi="Times New Roman"/>
                <w:bCs/>
                <w:sz w:val="18"/>
                <w:szCs w:val="18"/>
              </w:rPr>
            </w:pPr>
            <w:r>
              <w:rPr>
                <w:rFonts w:ascii="Times New Roman" w:hAnsi="Times New Roman"/>
                <w:bCs/>
                <w:sz w:val="18"/>
                <w:szCs w:val="18"/>
              </w:rPr>
              <w:t>15</w:t>
            </w:r>
          </w:p>
        </w:tc>
        <w:tc>
          <w:tcPr>
            <w:tcW w:w="359" w:type="pct"/>
            <w:vMerge w:val="continue"/>
            <w:vAlign w:val="center"/>
          </w:tcPr>
          <w:p/>
        </w:tc>
        <w:tc>
          <w:tcPr>
            <w:tcW w:w="512" w:type="pct"/>
            <w:vMerge w:val="continue"/>
            <w:vAlign w:val="center"/>
          </w:tcPr>
          <w:p/>
        </w:tc>
        <w:tc>
          <w:tcPr>
            <w:tcW w:w="617" w:type="pct"/>
            <w:vAlign w:val="center"/>
          </w:tcPr>
          <w:p>
            <w:pPr>
              <w:contextualSpacing/>
              <w:jc w:val="center"/>
              <w:rPr>
                <w:rFonts w:ascii="Times New Roman" w:hAnsi="Times New Roman"/>
                <w:bCs/>
                <w:sz w:val="18"/>
                <w:szCs w:val="18"/>
              </w:rPr>
            </w:pPr>
            <w:r>
              <w:rPr>
                <w:rFonts w:ascii="Times New Roman" w:hAnsi="Times New Roman"/>
                <w:bCs/>
                <w:sz w:val="18"/>
                <w:szCs w:val="18"/>
              </w:rPr>
              <w:t>对讲机</w:t>
            </w:r>
          </w:p>
        </w:tc>
        <w:tc>
          <w:tcPr>
            <w:tcW w:w="2239" w:type="pct"/>
            <w:vAlign w:val="center"/>
          </w:tcPr>
          <w:p>
            <w:pPr>
              <w:contextualSpacing/>
              <w:jc w:val="left"/>
              <w:rPr>
                <w:rFonts w:ascii="Times New Roman" w:hAnsi="Times New Roman"/>
                <w:bCs/>
                <w:sz w:val="18"/>
                <w:szCs w:val="18"/>
              </w:rPr>
            </w:pPr>
            <w:r>
              <w:rPr>
                <w:rFonts w:ascii="Times New Roman" w:hAnsi="Times New Roman"/>
                <w:bCs/>
                <w:sz w:val="18"/>
                <w:szCs w:val="18"/>
              </w:rPr>
              <w:t>支持5</w:t>
            </w:r>
            <w:r>
              <w:rPr>
                <w:rFonts w:hint="eastAsia" w:ascii="Times New Roman" w:hAnsi="Times New Roman"/>
                <w:bCs/>
                <w:sz w:val="18"/>
                <w:szCs w:val="18"/>
              </w:rPr>
              <w:t xml:space="preserve"> km</w:t>
            </w:r>
            <w:r>
              <w:rPr>
                <w:rFonts w:ascii="Times New Roman" w:hAnsi="Times New Roman"/>
                <w:bCs/>
                <w:sz w:val="18"/>
                <w:szCs w:val="18"/>
              </w:rPr>
              <w:t>范围对讲，超长待机，防水</w:t>
            </w:r>
          </w:p>
        </w:tc>
        <w:tc>
          <w:tcPr>
            <w:tcW w:w="304" w:type="pct"/>
            <w:vAlign w:val="center"/>
          </w:tcPr>
          <w:p>
            <w:pPr>
              <w:contextualSpacing/>
              <w:jc w:val="center"/>
              <w:rPr>
                <w:rFonts w:ascii="Times New Roman" w:hAnsi="Times New Roman"/>
                <w:bCs/>
                <w:sz w:val="18"/>
                <w:szCs w:val="18"/>
              </w:rPr>
            </w:pPr>
            <w:r>
              <w:rPr>
                <w:rFonts w:ascii="Times New Roman" w:hAnsi="Times New Roman"/>
                <w:bCs/>
                <w:sz w:val="18"/>
                <w:szCs w:val="18"/>
              </w:rPr>
              <w:t>√</w:t>
            </w:r>
          </w:p>
        </w:tc>
        <w:tc>
          <w:tcPr>
            <w:tcW w:w="299" w:type="pct"/>
            <w:vAlign w:val="center"/>
          </w:tcPr>
          <w:p>
            <w:pPr>
              <w:contextualSpacing/>
              <w:jc w:val="center"/>
              <w:rPr>
                <w:rFonts w:ascii="Times New Roman" w:hAnsi="Times New Roman"/>
                <w:bCs/>
                <w:sz w:val="18"/>
                <w:szCs w:val="18"/>
              </w:rPr>
            </w:pPr>
            <w:r>
              <w:rPr>
                <w:rFonts w:ascii="Times New Roman" w:hAnsi="Times New Roman"/>
                <w:bCs/>
                <w:sz w:val="18"/>
                <w:szCs w:val="18"/>
              </w:rPr>
              <w:t>√</w:t>
            </w:r>
          </w:p>
        </w:tc>
        <w:tc>
          <w:tcPr>
            <w:tcW w:w="299" w:type="pct"/>
            <w:vAlign w:val="center"/>
          </w:tcPr>
          <w:p>
            <w:pPr>
              <w:contextualSpacing/>
              <w:jc w:val="center"/>
              <w:rPr>
                <w:rFonts w:ascii="Times New Roman" w:hAnsi="Times New Roman"/>
                <w:bCs/>
                <w:sz w:val="18"/>
                <w:szCs w:val="18"/>
              </w:rPr>
            </w:pPr>
            <w:r>
              <w:rPr>
                <w:rFonts w:ascii="Times New Roman" w:hAnsi="Times New Roman"/>
                <w:bCs/>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69" w:type="pct"/>
            <w:vAlign w:val="center"/>
          </w:tcPr>
          <w:p>
            <w:pPr>
              <w:contextualSpacing/>
              <w:jc w:val="center"/>
              <w:rPr>
                <w:rFonts w:ascii="Times New Roman" w:hAnsi="Times New Roman"/>
                <w:bCs/>
                <w:sz w:val="18"/>
                <w:szCs w:val="18"/>
              </w:rPr>
            </w:pPr>
            <w:r>
              <w:rPr>
                <w:rFonts w:ascii="Times New Roman" w:hAnsi="Times New Roman"/>
                <w:bCs/>
                <w:sz w:val="18"/>
                <w:szCs w:val="18"/>
              </w:rPr>
              <w:t>16</w:t>
            </w:r>
          </w:p>
        </w:tc>
        <w:tc>
          <w:tcPr>
            <w:tcW w:w="359" w:type="pct"/>
            <w:vMerge w:val="continue"/>
            <w:vAlign w:val="center"/>
          </w:tcPr>
          <w:p/>
        </w:tc>
        <w:tc>
          <w:tcPr>
            <w:tcW w:w="512" w:type="pct"/>
            <w:vAlign w:val="center"/>
          </w:tcPr>
          <w:p>
            <w:pPr>
              <w:contextualSpacing/>
              <w:jc w:val="center"/>
              <w:rPr>
                <w:rFonts w:ascii="Times New Roman" w:hAnsi="Times New Roman"/>
                <w:bCs/>
                <w:sz w:val="18"/>
                <w:szCs w:val="18"/>
              </w:rPr>
            </w:pPr>
            <w:r>
              <w:rPr>
                <w:rFonts w:ascii="Times New Roman" w:hAnsi="Times New Roman"/>
                <w:sz w:val="18"/>
                <w:szCs w:val="18"/>
              </w:rPr>
              <w:t>交通</w:t>
            </w:r>
            <w:r>
              <w:rPr>
                <w:rFonts w:ascii="Times New Roman" w:hAnsi="Times New Roman"/>
                <w:bCs/>
                <w:sz w:val="18"/>
                <w:szCs w:val="18"/>
              </w:rPr>
              <w:t>装备</w:t>
            </w:r>
          </w:p>
        </w:tc>
        <w:tc>
          <w:tcPr>
            <w:tcW w:w="617" w:type="pct"/>
            <w:vAlign w:val="center"/>
          </w:tcPr>
          <w:p>
            <w:pPr>
              <w:contextualSpacing/>
              <w:jc w:val="center"/>
              <w:rPr>
                <w:rFonts w:ascii="Times New Roman" w:hAnsi="Times New Roman"/>
                <w:bCs/>
                <w:sz w:val="18"/>
                <w:szCs w:val="18"/>
              </w:rPr>
            </w:pPr>
            <w:r>
              <w:rPr>
                <w:rFonts w:ascii="Times New Roman" w:hAnsi="Times New Roman"/>
                <w:sz w:val="18"/>
                <w:szCs w:val="18"/>
              </w:rPr>
              <w:t>越野车</w:t>
            </w:r>
          </w:p>
        </w:tc>
        <w:tc>
          <w:tcPr>
            <w:tcW w:w="2239" w:type="pct"/>
            <w:vAlign w:val="center"/>
          </w:tcPr>
          <w:p>
            <w:pPr>
              <w:contextualSpacing/>
              <w:jc w:val="left"/>
              <w:rPr>
                <w:rFonts w:ascii="Times New Roman" w:hAnsi="Times New Roman"/>
                <w:bCs/>
                <w:sz w:val="18"/>
                <w:szCs w:val="18"/>
              </w:rPr>
            </w:pPr>
            <w:r>
              <w:rPr>
                <w:rFonts w:ascii="Times New Roman" w:hAnsi="Times New Roman"/>
                <w:sz w:val="18"/>
                <w:szCs w:val="18"/>
              </w:rPr>
              <w:t>2.0以上大排量，四驱越野</w:t>
            </w:r>
          </w:p>
        </w:tc>
        <w:tc>
          <w:tcPr>
            <w:tcW w:w="304" w:type="pct"/>
            <w:vAlign w:val="center"/>
          </w:tcPr>
          <w:p>
            <w:pPr>
              <w:contextualSpacing/>
              <w:jc w:val="center"/>
              <w:rPr>
                <w:rFonts w:ascii="Times New Roman" w:hAnsi="Times New Roman"/>
                <w:bCs/>
                <w:sz w:val="18"/>
                <w:szCs w:val="18"/>
              </w:rPr>
            </w:pPr>
            <w:r>
              <w:rPr>
                <w:rFonts w:ascii="Times New Roman" w:hAnsi="Times New Roman"/>
                <w:bCs/>
                <w:sz w:val="18"/>
                <w:szCs w:val="18"/>
              </w:rPr>
              <w:t>√</w:t>
            </w:r>
          </w:p>
        </w:tc>
        <w:tc>
          <w:tcPr>
            <w:tcW w:w="299" w:type="pct"/>
            <w:vAlign w:val="center"/>
          </w:tcPr>
          <w:p>
            <w:pPr>
              <w:contextualSpacing/>
              <w:jc w:val="center"/>
              <w:rPr>
                <w:rFonts w:ascii="Times New Roman" w:hAnsi="Times New Roman"/>
                <w:bCs/>
                <w:sz w:val="18"/>
                <w:szCs w:val="18"/>
              </w:rPr>
            </w:pPr>
            <w:r>
              <w:rPr>
                <w:rFonts w:ascii="Times New Roman" w:hAnsi="Times New Roman"/>
                <w:bCs/>
                <w:sz w:val="18"/>
                <w:szCs w:val="18"/>
              </w:rPr>
              <w:t>√</w:t>
            </w:r>
          </w:p>
        </w:tc>
        <w:tc>
          <w:tcPr>
            <w:tcW w:w="299" w:type="pct"/>
            <w:vAlign w:val="center"/>
          </w:tcPr>
          <w:p>
            <w:pPr>
              <w:contextualSpacing/>
              <w:jc w:val="center"/>
              <w:rPr>
                <w:rFonts w:ascii="Times New Roman" w:hAnsi="Times New Roman"/>
                <w:bCs/>
                <w:sz w:val="18"/>
                <w:szCs w:val="18"/>
              </w:rPr>
            </w:pPr>
            <w:r>
              <w:rPr>
                <w:rFonts w:ascii="Times New Roman" w:hAnsi="Times New Roman"/>
                <w:bCs/>
                <w:sz w:val="18"/>
                <w:szCs w:val="18"/>
              </w:rPr>
              <w:t>√</w:t>
            </w:r>
          </w:p>
        </w:tc>
      </w:tr>
    </w:tbl>
    <w:p>
      <w:pPr>
        <w:jc w:val="center"/>
        <w:rPr>
          <w:rFonts w:ascii="黑体" w:eastAsia="黑体"/>
          <w:szCs w:val="21"/>
        </w:rPr>
      </w:pPr>
      <w:r>
        <w:rPr>
          <w:rFonts w:hint="eastAsia" w:ascii="黑体" w:eastAsia="黑体"/>
          <w:szCs w:val="21"/>
        </w:rPr>
        <w:t>表</w:t>
      </w:r>
      <w:r>
        <w:rPr>
          <w:rFonts w:ascii="黑体" w:eastAsia="黑体"/>
          <w:szCs w:val="21"/>
        </w:rPr>
        <w:t xml:space="preserve">A.2  </w:t>
      </w:r>
      <w:r>
        <w:rPr>
          <w:rFonts w:hint="eastAsia" w:ascii="黑体" w:eastAsia="黑体"/>
          <w:szCs w:val="21"/>
        </w:rPr>
        <w:t>技术支撑机构基础设施及装备最低配置</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6"/>
        <w:gridCol w:w="1018"/>
        <w:gridCol w:w="1466"/>
        <w:gridCol w:w="1732"/>
        <w:gridCol w:w="6354"/>
        <w:gridCol w:w="862"/>
        <w:gridCol w:w="848"/>
        <w:gridCol w:w="8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69" w:type="pct"/>
            <w:vAlign w:val="center"/>
          </w:tcPr>
          <w:p>
            <w:pPr>
              <w:widowControl/>
              <w:contextualSpacing/>
              <w:jc w:val="center"/>
              <w:rPr>
                <w:rFonts w:ascii="Times New Roman" w:hAnsi="Times New Roman"/>
                <w:bCs/>
                <w:kern w:val="0"/>
                <w:sz w:val="18"/>
                <w:szCs w:val="18"/>
              </w:rPr>
            </w:pPr>
            <w:r>
              <w:rPr>
                <w:rFonts w:ascii="Times New Roman" w:hAnsi="Times New Roman"/>
                <w:bCs/>
                <w:kern w:val="0"/>
                <w:sz w:val="18"/>
                <w:szCs w:val="18"/>
              </w:rPr>
              <w:t>序号</w:t>
            </w:r>
          </w:p>
        </w:tc>
        <w:tc>
          <w:tcPr>
            <w:tcW w:w="359" w:type="pct"/>
            <w:vAlign w:val="center"/>
          </w:tcPr>
          <w:p>
            <w:pPr>
              <w:widowControl/>
              <w:contextualSpacing/>
              <w:jc w:val="center"/>
              <w:rPr>
                <w:rFonts w:ascii="Times New Roman" w:hAnsi="Times New Roman"/>
                <w:bCs/>
                <w:kern w:val="0"/>
                <w:sz w:val="18"/>
                <w:szCs w:val="18"/>
              </w:rPr>
            </w:pPr>
            <w:r>
              <w:rPr>
                <w:rFonts w:ascii="Times New Roman" w:hAnsi="Times New Roman"/>
                <w:bCs/>
                <w:kern w:val="0"/>
                <w:sz w:val="18"/>
                <w:szCs w:val="18"/>
              </w:rPr>
              <w:t>工作场景</w:t>
            </w:r>
          </w:p>
        </w:tc>
        <w:tc>
          <w:tcPr>
            <w:tcW w:w="1128" w:type="pct"/>
            <w:gridSpan w:val="2"/>
            <w:vAlign w:val="center"/>
          </w:tcPr>
          <w:p>
            <w:pPr>
              <w:widowControl/>
              <w:contextualSpacing/>
              <w:jc w:val="center"/>
              <w:rPr>
                <w:rFonts w:ascii="Times New Roman" w:hAnsi="Times New Roman"/>
                <w:bCs/>
                <w:kern w:val="0"/>
                <w:sz w:val="18"/>
                <w:szCs w:val="18"/>
              </w:rPr>
            </w:pPr>
            <w:r>
              <w:rPr>
                <w:rFonts w:ascii="Times New Roman" w:hAnsi="Times New Roman"/>
                <w:bCs/>
                <w:kern w:val="0"/>
                <w:sz w:val="18"/>
                <w:szCs w:val="18"/>
              </w:rPr>
              <w:t>建设内容</w:t>
            </w:r>
          </w:p>
        </w:tc>
        <w:tc>
          <w:tcPr>
            <w:tcW w:w="2241" w:type="pct"/>
            <w:vAlign w:val="center"/>
          </w:tcPr>
          <w:p>
            <w:pPr>
              <w:widowControl/>
              <w:contextualSpacing/>
              <w:jc w:val="center"/>
              <w:rPr>
                <w:rFonts w:ascii="Times New Roman" w:hAnsi="Times New Roman"/>
                <w:bCs/>
                <w:kern w:val="0"/>
                <w:sz w:val="18"/>
                <w:szCs w:val="18"/>
              </w:rPr>
            </w:pPr>
            <w:r>
              <w:rPr>
                <w:rFonts w:ascii="Times New Roman" w:hAnsi="Times New Roman"/>
                <w:bCs/>
                <w:kern w:val="0"/>
                <w:sz w:val="18"/>
                <w:szCs w:val="18"/>
              </w:rPr>
              <w:t>最低配置要求</w:t>
            </w:r>
          </w:p>
        </w:tc>
        <w:tc>
          <w:tcPr>
            <w:tcW w:w="304" w:type="pct"/>
            <w:vAlign w:val="center"/>
          </w:tcPr>
          <w:p>
            <w:pPr>
              <w:widowControl/>
              <w:contextualSpacing/>
              <w:jc w:val="center"/>
              <w:rPr>
                <w:rFonts w:ascii="Times New Roman" w:hAnsi="Times New Roman"/>
                <w:bCs/>
                <w:kern w:val="0"/>
                <w:sz w:val="18"/>
                <w:szCs w:val="18"/>
              </w:rPr>
            </w:pPr>
            <w:r>
              <w:rPr>
                <w:rFonts w:ascii="Times New Roman" w:hAnsi="Times New Roman"/>
                <w:bCs/>
                <w:kern w:val="0"/>
                <w:sz w:val="18"/>
                <w:szCs w:val="18"/>
              </w:rPr>
              <w:t>省级</w:t>
            </w:r>
          </w:p>
        </w:tc>
        <w:tc>
          <w:tcPr>
            <w:tcW w:w="299" w:type="pct"/>
            <w:vAlign w:val="center"/>
          </w:tcPr>
          <w:p>
            <w:pPr>
              <w:widowControl/>
              <w:contextualSpacing/>
              <w:jc w:val="center"/>
              <w:rPr>
                <w:rFonts w:ascii="Times New Roman" w:hAnsi="Times New Roman"/>
                <w:bCs/>
                <w:kern w:val="0"/>
                <w:sz w:val="18"/>
                <w:szCs w:val="18"/>
              </w:rPr>
            </w:pPr>
            <w:r>
              <w:rPr>
                <w:rFonts w:ascii="Times New Roman" w:hAnsi="Times New Roman"/>
                <w:bCs/>
                <w:kern w:val="0"/>
                <w:sz w:val="18"/>
                <w:szCs w:val="18"/>
              </w:rPr>
              <w:t>市级</w:t>
            </w:r>
          </w:p>
        </w:tc>
        <w:tc>
          <w:tcPr>
            <w:tcW w:w="299" w:type="pct"/>
            <w:vAlign w:val="center"/>
          </w:tcPr>
          <w:p>
            <w:pPr>
              <w:widowControl/>
              <w:contextualSpacing/>
              <w:jc w:val="center"/>
              <w:rPr>
                <w:rFonts w:ascii="Times New Roman" w:hAnsi="Times New Roman"/>
                <w:bCs/>
                <w:kern w:val="0"/>
                <w:sz w:val="18"/>
                <w:szCs w:val="18"/>
              </w:rPr>
            </w:pPr>
            <w:r>
              <w:rPr>
                <w:rFonts w:ascii="Times New Roman" w:hAnsi="Times New Roman"/>
                <w:bCs/>
                <w:kern w:val="0"/>
                <w:sz w:val="18"/>
                <w:szCs w:val="18"/>
              </w:rPr>
              <w:t>县级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69" w:type="pct"/>
            <w:vAlign w:val="center"/>
          </w:tcPr>
          <w:p>
            <w:pPr>
              <w:contextualSpacing/>
              <w:jc w:val="center"/>
              <w:rPr>
                <w:rFonts w:ascii="Times New Roman" w:hAnsi="Times New Roman"/>
                <w:sz w:val="18"/>
                <w:szCs w:val="18"/>
              </w:rPr>
            </w:pPr>
            <w:r>
              <w:rPr>
                <w:rFonts w:ascii="Times New Roman" w:hAnsi="Times New Roman"/>
                <w:sz w:val="18"/>
                <w:szCs w:val="18"/>
              </w:rPr>
              <w:t>1</w:t>
            </w:r>
          </w:p>
        </w:tc>
        <w:tc>
          <w:tcPr>
            <w:tcW w:w="359" w:type="pct"/>
            <w:vMerge w:val="restart"/>
            <w:vAlign w:val="center"/>
          </w:tcPr>
          <w:p>
            <w:pPr>
              <w:contextualSpacing/>
              <w:jc w:val="center"/>
              <w:rPr>
                <w:rFonts w:ascii="Times New Roman" w:hAnsi="Times New Roman"/>
                <w:sz w:val="18"/>
                <w:szCs w:val="18"/>
              </w:rPr>
            </w:pPr>
            <w:r>
              <w:rPr>
                <w:rFonts w:ascii="Times New Roman" w:hAnsi="Times New Roman"/>
                <w:bCs/>
                <w:sz w:val="18"/>
                <w:szCs w:val="18"/>
              </w:rPr>
              <w:t>会商（指挥）室</w:t>
            </w:r>
          </w:p>
        </w:tc>
        <w:tc>
          <w:tcPr>
            <w:tcW w:w="517" w:type="pct"/>
            <w:vMerge w:val="restart"/>
            <w:vAlign w:val="center"/>
          </w:tcPr>
          <w:p>
            <w:pPr>
              <w:contextualSpacing/>
              <w:jc w:val="center"/>
              <w:rPr>
                <w:rFonts w:ascii="Times New Roman" w:hAnsi="Times New Roman"/>
                <w:sz w:val="18"/>
                <w:szCs w:val="18"/>
              </w:rPr>
            </w:pPr>
            <w:r>
              <w:rPr>
                <w:rFonts w:ascii="Times New Roman" w:hAnsi="Times New Roman"/>
                <w:bCs/>
                <w:sz w:val="18"/>
                <w:szCs w:val="18"/>
              </w:rPr>
              <w:t>屏幕显示系统</w:t>
            </w:r>
          </w:p>
        </w:tc>
        <w:tc>
          <w:tcPr>
            <w:tcW w:w="611" w:type="pct"/>
            <w:vAlign w:val="center"/>
          </w:tcPr>
          <w:p>
            <w:pPr>
              <w:contextualSpacing/>
              <w:jc w:val="center"/>
              <w:rPr>
                <w:rFonts w:ascii="Times New Roman" w:hAnsi="Times New Roman"/>
                <w:sz w:val="18"/>
                <w:szCs w:val="18"/>
              </w:rPr>
            </w:pPr>
            <w:r>
              <w:rPr>
                <w:rFonts w:ascii="Times New Roman" w:hAnsi="Times New Roman"/>
                <w:bCs/>
                <w:sz w:val="18"/>
                <w:szCs w:val="18"/>
              </w:rPr>
              <w:t>拼接式LED屏</w:t>
            </w:r>
          </w:p>
        </w:tc>
        <w:tc>
          <w:tcPr>
            <w:tcW w:w="2241" w:type="pct"/>
            <w:vAlign w:val="center"/>
          </w:tcPr>
          <w:p>
            <w:pPr>
              <w:contextualSpacing/>
              <w:jc w:val="left"/>
              <w:rPr>
                <w:rFonts w:ascii="Times New Roman" w:hAnsi="Times New Roman"/>
                <w:sz w:val="18"/>
                <w:szCs w:val="18"/>
              </w:rPr>
            </w:pPr>
            <w:r>
              <w:rPr>
                <w:rFonts w:ascii="Times New Roman" w:hAnsi="Times New Roman"/>
                <w:bCs/>
                <w:sz w:val="18"/>
                <w:szCs w:val="18"/>
              </w:rPr>
              <w:t>分辨率1 080以上，小间距LED显示屏，多画面分屏演示</w:t>
            </w:r>
          </w:p>
        </w:tc>
        <w:tc>
          <w:tcPr>
            <w:tcW w:w="304" w:type="pct"/>
            <w:vAlign w:val="center"/>
          </w:tcPr>
          <w:p>
            <w:pPr>
              <w:contextualSpacing/>
              <w:jc w:val="center"/>
              <w:rPr>
                <w:rFonts w:ascii="Times New Roman" w:hAnsi="Times New Roman"/>
                <w:bCs/>
                <w:sz w:val="18"/>
                <w:szCs w:val="18"/>
              </w:rPr>
            </w:pPr>
            <w:r>
              <w:rPr>
                <w:rFonts w:ascii="Times New Roman" w:hAnsi="Times New Roman"/>
                <w:bCs/>
                <w:sz w:val="18"/>
                <w:szCs w:val="18"/>
              </w:rPr>
              <w:t>√</w:t>
            </w:r>
          </w:p>
        </w:tc>
        <w:tc>
          <w:tcPr>
            <w:tcW w:w="299" w:type="pct"/>
            <w:vAlign w:val="center"/>
          </w:tcPr>
          <w:p>
            <w:pPr>
              <w:contextualSpacing/>
              <w:jc w:val="center"/>
              <w:rPr>
                <w:rFonts w:ascii="Times New Roman" w:hAnsi="Times New Roman"/>
                <w:bCs/>
                <w:sz w:val="18"/>
                <w:szCs w:val="18"/>
              </w:rPr>
            </w:pPr>
            <w:r>
              <w:rPr>
                <w:rFonts w:ascii="Times New Roman" w:hAnsi="Times New Roman"/>
                <w:bCs/>
                <w:sz w:val="18"/>
                <w:szCs w:val="18"/>
              </w:rPr>
              <w:t>√</w:t>
            </w:r>
          </w:p>
        </w:tc>
        <w:tc>
          <w:tcPr>
            <w:tcW w:w="299" w:type="pct"/>
            <w:vAlign w:val="center"/>
          </w:tcPr>
          <w:p>
            <w:pPr>
              <w:contextualSpacing/>
              <w:jc w:val="center"/>
              <w:rPr>
                <w:rFonts w:ascii="Times New Roman" w:hAnsi="Times New Roman"/>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69" w:type="pct"/>
            <w:vAlign w:val="center"/>
          </w:tcPr>
          <w:p>
            <w:pPr>
              <w:contextualSpacing/>
              <w:jc w:val="center"/>
              <w:rPr>
                <w:rFonts w:ascii="Times New Roman" w:hAnsi="Times New Roman"/>
                <w:sz w:val="18"/>
                <w:szCs w:val="18"/>
              </w:rPr>
            </w:pPr>
            <w:r>
              <w:rPr>
                <w:rFonts w:ascii="Times New Roman" w:hAnsi="Times New Roman"/>
                <w:sz w:val="18"/>
                <w:szCs w:val="18"/>
              </w:rPr>
              <w:t>2</w:t>
            </w:r>
          </w:p>
        </w:tc>
        <w:tc>
          <w:tcPr>
            <w:tcW w:w="359" w:type="pct"/>
            <w:vMerge w:val="continue"/>
            <w:vAlign w:val="center"/>
          </w:tcPr>
          <w:p/>
        </w:tc>
        <w:tc>
          <w:tcPr>
            <w:tcW w:w="517" w:type="pct"/>
            <w:vMerge w:val="continue"/>
            <w:vAlign w:val="center"/>
          </w:tcPr>
          <w:p/>
        </w:tc>
        <w:tc>
          <w:tcPr>
            <w:tcW w:w="611" w:type="pct"/>
            <w:vAlign w:val="center"/>
          </w:tcPr>
          <w:p>
            <w:pPr>
              <w:contextualSpacing/>
              <w:jc w:val="center"/>
              <w:rPr>
                <w:rFonts w:ascii="Times New Roman" w:hAnsi="Times New Roman"/>
                <w:sz w:val="18"/>
                <w:szCs w:val="18"/>
              </w:rPr>
            </w:pPr>
            <w:r>
              <w:rPr>
                <w:rFonts w:ascii="Times New Roman" w:hAnsi="Times New Roman"/>
                <w:bCs/>
                <w:sz w:val="18"/>
                <w:szCs w:val="18"/>
              </w:rPr>
              <w:t>视频矩阵</w:t>
            </w:r>
          </w:p>
        </w:tc>
        <w:tc>
          <w:tcPr>
            <w:tcW w:w="2241" w:type="pct"/>
            <w:vAlign w:val="center"/>
          </w:tcPr>
          <w:p>
            <w:pPr>
              <w:contextualSpacing/>
              <w:jc w:val="left"/>
              <w:rPr>
                <w:rFonts w:ascii="Times New Roman" w:hAnsi="Times New Roman"/>
                <w:sz w:val="18"/>
                <w:szCs w:val="18"/>
              </w:rPr>
            </w:pPr>
            <w:r>
              <w:rPr>
                <w:rFonts w:ascii="Times New Roman" w:hAnsi="Times New Roman"/>
                <w:bCs/>
                <w:sz w:val="18"/>
                <w:szCs w:val="18"/>
              </w:rPr>
              <w:t>高清音视频混合矩阵，支持8路/16路音视频信号源输入输出</w:t>
            </w:r>
          </w:p>
        </w:tc>
        <w:tc>
          <w:tcPr>
            <w:tcW w:w="304" w:type="pct"/>
            <w:vAlign w:val="center"/>
          </w:tcPr>
          <w:p>
            <w:pPr>
              <w:contextualSpacing/>
              <w:jc w:val="center"/>
              <w:rPr>
                <w:rFonts w:ascii="Times New Roman" w:hAnsi="Times New Roman"/>
                <w:bCs/>
                <w:sz w:val="18"/>
                <w:szCs w:val="18"/>
              </w:rPr>
            </w:pPr>
            <w:r>
              <w:rPr>
                <w:rFonts w:ascii="Times New Roman" w:hAnsi="Times New Roman"/>
                <w:bCs/>
                <w:sz w:val="18"/>
                <w:szCs w:val="18"/>
              </w:rPr>
              <w:t>√</w:t>
            </w:r>
          </w:p>
        </w:tc>
        <w:tc>
          <w:tcPr>
            <w:tcW w:w="299" w:type="pct"/>
            <w:vAlign w:val="center"/>
          </w:tcPr>
          <w:p>
            <w:pPr>
              <w:contextualSpacing/>
              <w:jc w:val="center"/>
              <w:rPr>
                <w:rFonts w:ascii="Times New Roman" w:hAnsi="Times New Roman"/>
                <w:bCs/>
                <w:sz w:val="18"/>
                <w:szCs w:val="18"/>
              </w:rPr>
            </w:pPr>
            <w:r>
              <w:rPr>
                <w:rFonts w:ascii="Times New Roman" w:hAnsi="Times New Roman"/>
                <w:bCs/>
                <w:sz w:val="18"/>
                <w:szCs w:val="18"/>
              </w:rPr>
              <w:t>√</w:t>
            </w:r>
          </w:p>
        </w:tc>
        <w:tc>
          <w:tcPr>
            <w:tcW w:w="299" w:type="pct"/>
            <w:vAlign w:val="center"/>
          </w:tcPr>
          <w:p>
            <w:pPr>
              <w:contextualSpacing/>
              <w:jc w:val="center"/>
              <w:rPr>
                <w:rFonts w:ascii="Times New Roman" w:hAnsi="Times New Roman"/>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69" w:type="pct"/>
            <w:vAlign w:val="center"/>
          </w:tcPr>
          <w:p>
            <w:pPr>
              <w:contextualSpacing/>
              <w:jc w:val="center"/>
              <w:rPr>
                <w:rFonts w:ascii="Times New Roman" w:hAnsi="Times New Roman"/>
                <w:sz w:val="18"/>
                <w:szCs w:val="18"/>
              </w:rPr>
            </w:pPr>
            <w:r>
              <w:rPr>
                <w:rFonts w:ascii="Times New Roman" w:hAnsi="Times New Roman"/>
                <w:sz w:val="18"/>
                <w:szCs w:val="18"/>
              </w:rPr>
              <w:t>3</w:t>
            </w:r>
          </w:p>
        </w:tc>
        <w:tc>
          <w:tcPr>
            <w:tcW w:w="359" w:type="pct"/>
            <w:vMerge w:val="continue"/>
            <w:vAlign w:val="center"/>
          </w:tcPr>
          <w:p/>
        </w:tc>
        <w:tc>
          <w:tcPr>
            <w:tcW w:w="517" w:type="pct"/>
            <w:vMerge w:val="restart"/>
            <w:vAlign w:val="center"/>
          </w:tcPr>
          <w:p>
            <w:pPr>
              <w:contextualSpacing/>
              <w:jc w:val="center"/>
              <w:rPr>
                <w:rFonts w:ascii="Times New Roman" w:hAnsi="Times New Roman"/>
                <w:sz w:val="18"/>
                <w:szCs w:val="18"/>
              </w:rPr>
            </w:pPr>
            <w:r>
              <w:rPr>
                <w:rFonts w:ascii="Times New Roman" w:hAnsi="Times New Roman"/>
                <w:bCs/>
                <w:sz w:val="18"/>
                <w:szCs w:val="18"/>
              </w:rPr>
              <w:t>会议会商系统</w:t>
            </w:r>
          </w:p>
        </w:tc>
        <w:tc>
          <w:tcPr>
            <w:tcW w:w="611" w:type="pct"/>
            <w:vAlign w:val="center"/>
          </w:tcPr>
          <w:p>
            <w:pPr>
              <w:contextualSpacing/>
              <w:jc w:val="center"/>
              <w:rPr>
                <w:rFonts w:ascii="Times New Roman" w:hAnsi="Times New Roman"/>
                <w:sz w:val="18"/>
                <w:szCs w:val="18"/>
              </w:rPr>
            </w:pPr>
            <w:r>
              <w:rPr>
                <w:rFonts w:ascii="Times New Roman" w:hAnsi="Times New Roman"/>
                <w:bCs/>
                <w:sz w:val="18"/>
                <w:szCs w:val="18"/>
              </w:rPr>
              <w:t>无纸化会议系统</w:t>
            </w:r>
          </w:p>
        </w:tc>
        <w:tc>
          <w:tcPr>
            <w:tcW w:w="2241" w:type="pct"/>
            <w:vAlign w:val="center"/>
          </w:tcPr>
          <w:p>
            <w:pPr>
              <w:contextualSpacing/>
              <w:jc w:val="left"/>
              <w:rPr>
                <w:rFonts w:ascii="Times New Roman" w:hAnsi="Times New Roman"/>
                <w:sz w:val="18"/>
                <w:szCs w:val="18"/>
              </w:rPr>
            </w:pPr>
            <w:r>
              <w:rPr>
                <w:rFonts w:ascii="Times New Roman" w:hAnsi="Times New Roman"/>
                <w:bCs/>
                <w:sz w:val="18"/>
                <w:szCs w:val="18"/>
              </w:rPr>
              <w:t>桌面一键式升降式发言话筒和液晶显示屏</w:t>
            </w:r>
          </w:p>
        </w:tc>
        <w:tc>
          <w:tcPr>
            <w:tcW w:w="304" w:type="pct"/>
            <w:vAlign w:val="center"/>
          </w:tcPr>
          <w:p>
            <w:pPr>
              <w:contextualSpacing/>
              <w:jc w:val="center"/>
              <w:rPr>
                <w:rFonts w:ascii="Times New Roman" w:hAnsi="Times New Roman"/>
                <w:bCs/>
                <w:sz w:val="18"/>
                <w:szCs w:val="18"/>
              </w:rPr>
            </w:pPr>
            <w:r>
              <w:rPr>
                <w:rFonts w:ascii="Times New Roman" w:hAnsi="Times New Roman"/>
                <w:bCs/>
                <w:sz w:val="18"/>
                <w:szCs w:val="18"/>
              </w:rPr>
              <w:t>√</w:t>
            </w:r>
          </w:p>
        </w:tc>
        <w:tc>
          <w:tcPr>
            <w:tcW w:w="299" w:type="pct"/>
            <w:vAlign w:val="center"/>
          </w:tcPr>
          <w:p>
            <w:pPr>
              <w:contextualSpacing/>
              <w:jc w:val="center"/>
              <w:rPr>
                <w:rFonts w:ascii="Times New Roman" w:hAnsi="Times New Roman"/>
                <w:bCs/>
                <w:sz w:val="18"/>
                <w:szCs w:val="18"/>
              </w:rPr>
            </w:pPr>
            <w:r>
              <w:rPr>
                <w:rFonts w:ascii="Times New Roman" w:hAnsi="Times New Roman"/>
                <w:bCs/>
                <w:sz w:val="18"/>
                <w:szCs w:val="18"/>
              </w:rPr>
              <w:t>选配</w:t>
            </w:r>
          </w:p>
        </w:tc>
        <w:tc>
          <w:tcPr>
            <w:tcW w:w="299" w:type="pct"/>
            <w:vAlign w:val="center"/>
          </w:tcPr>
          <w:p>
            <w:pPr>
              <w:contextualSpacing/>
              <w:jc w:val="center"/>
              <w:rPr>
                <w:rFonts w:ascii="Times New Roman" w:hAnsi="Times New Roman"/>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69" w:type="pct"/>
            <w:vAlign w:val="center"/>
          </w:tcPr>
          <w:p>
            <w:pPr>
              <w:contextualSpacing/>
              <w:jc w:val="center"/>
              <w:rPr>
                <w:rFonts w:ascii="Times New Roman" w:hAnsi="Times New Roman"/>
                <w:sz w:val="18"/>
                <w:szCs w:val="18"/>
              </w:rPr>
            </w:pPr>
            <w:r>
              <w:rPr>
                <w:rFonts w:ascii="Times New Roman" w:hAnsi="Times New Roman"/>
                <w:sz w:val="18"/>
                <w:szCs w:val="18"/>
              </w:rPr>
              <w:t>4</w:t>
            </w:r>
          </w:p>
        </w:tc>
        <w:tc>
          <w:tcPr>
            <w:tcW w:w="359" w:type="pct"/>
            <w:vMerge w:val="continue"/>
            <w:vAlign w:val="center"/>
          </w:tcPr>
          <w:p/>
        </w:tc>
        <w:tc>
          <w:tcPr>
            <w:tcW w:w="517" w:type="pct"/>
            <w:vMerge w:val="continue"/>
            <w:vAlign w:val="center"/>
          </w:tcPr>
          <w:p/>
        </w:tc>
        <w:tc>
          <w:tcPr>
            <w:tcW w:w="611" w:type="pct"/>
            <w:vAlign w:val="center"/>
          </w:tcPr>
          <w:p>
            <w:pPr>
              <w:contextualSpacing/>
              <w:jc w:val="center"/>
              <w:rPr>
                <w:rFonts w:ascii="Times New Roman" w:hAnsi="Times New Roman"/>
                <w:sz w:val="18"/>
                <w:szCs w:val="18"/>
              </w:rPr>
            </w:pPr>
            <w:r>
              <w:rPr>
                <w:rFonts w:ascii="Times New Roman" w:hAnsi="Times New Roman"/>
                <w:bCs/>
                <w:sz w:val="18"/>
                <w:szCs w:val="18"/>
              </w:rPr>
              <w:t>视频会议系统</w:t>
            </w:r>
          </w:p>
        </w:tc>
        <w:tc>
          <w:tcPr>
            <w:tcW w:w="2241" w:type="pct"/>
            <w:vAlign w:val="center"/>
          </w:tcPr>
          <w:p>
            <w:pPr>
              <w:contextualSpacing/>
              <w:jc w:val="left"/>
              <w:rPr>
                <w:rFonts w:ascii="Times New Roman" w:hAnsi="Times New Roman"/>
                <w:sz w:val="18"/>
                <w:szCs w:val="18"/>
              </w:rPr>
            </w:pPr>
            <w:r>
              <w:rPr>
                <w:rFonts w:ascii="Times New Roman" w:hAnsi="Times New Roman"/>
                <w:bCs/>
                <w:sz w:val="18"/>
                <w:szCs w:val="18"/>
              </w:rPr>
              <w:t>720</w:t>
            </w:r>
            <w:r>
              <w:rPr>
                <w:rFonts w:hint="eastAsia" w:ascii="Times New Roman" w:hAnsi="Times New Roman"/>
                <w:bCs/>
                <w:sz w:val="18"/>
                <w:szCs w:val="18"/>
              </w:rPr>
              <w:t xml:space="preserve"> </w:t>
            </w:r>
            <w:r>
              <w:rPr>
                <w:rFonts w:ascii="Times New Roman" w:hAnsi="Times New Roman"/>
                <w:bCs/>
                <w:sz w:val="18"/>
                <w:szCs w:val="18"/>
              </w:rPr>
              <w:t>P及以上高清视频会议终端和高清会议摄像机（设备报省级统一采购品牌）</w:t>
            </w:r>
          </w:p>
        </w:tc>
        <w:tc>
          <w:tcPr>
            <w:tcW w:w="304" w:type="pct"/>
            <w:vAlign w:val="center"/>
          </w:tcPr>
          <w:p>
            <w:pPr>
              <w:contextualSpacing/>
              <w:jc w:val="center"/>
              <w:rPr>
                <w:rFonts w:ascii="Times New Roman" w:hAnsi="Times New Roman"/>
                <w:bCs/>
                <w:sz w:val="18"/>
                <w:szCs w:val="18"/>
              </w:rPr>
            </w:pPr>
            <w:r>
              <w:rPr>
                <w:rFonts w:ascii="Times New Roman" w:hAnsi="Times New Roman"/>
                <w:bCs/>
                <w:sz w:val="18"/>
                <w:szCs w:val="18"/>
              </w:rPr>
              <w:t>√</w:t>
            </w:r>
          </w:p>
        </w:tc>
        <w:tc>
          <w:tcPr>
            <w:tcW w:w="299" w:type="pct"/>
            <w:vAlign w:val="center"/>
          </w:tcPr>
          <w:p>
            <w:pPr>
              <w:contextualSpacing/>
              <w:jc w:val="center"/>
              <w:rPr>
                <w:rFonts w:ascii="Times New Roman" w:hAnsi="Times New Roman"/>
                <w:bCs/>
                <w:sz w:val="18"/>
                <w:szCs w:val="18"/>
              </w:rPr>
            </w:pPr>
            <w:r>
              <w:rPr>
                <w:rFonts w:ascii="Times New Roman" w:hAnsi="Times New Roman"/>
                <w:bCs/>
                <w:sz w:val="18"/>
                <w:szCs w:val="18"/>
              </w:rPr>
              <w:t>√</w:t>
            </w:r>
          </w:p>
        </w:tc>
        <w:tc>
          <w:tcPr>
            <w:tcW w:w="299" w:type="pct"/>
            <w:vAlign w:val="center"/>
          </w:tcPr>
          <w:p>
            <w:pPr>
              <w:contextualSpacing/>
              <w:jc w:val="center"/>
              <w:rPr>
                <w:rFonts w:ascii="Times New Roman" w:hAnsi="Times New Roman"/>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69" w:type="pct"/>
            <w:vAlign w:val="center"/>
          </w:tcPr>
          <w:p>
            <w:pPr>
              <w:contextualSpacing/>
              <w:jc w:val="center"/>
              <w:rPr>
                <w:rFonts w:ascii="Times New Roman" w:hAnsi="Times New Roman"/>
                <w:sz w:val="18"/>
                <w:szCs w:val="18"/>
              </w:rPr>
            </w:pPr>
            <w:r>
              <w:rPr>
                <w:rFonts w:ascii="Times New Roman" w:hAnsi="Times New Roman"/>
                <w:sz w:val="18"/>
                <w:szCs w:val="18"/>
              </w:rPr>
              <w:t>5</w:t>
            </w:r>
          </w:p>
        </w:tc>
        <w:tc>
          <w:tcPr>
            <w:tcW w:w="359" w:type="pct"/>
            <w:vMerge w:val="continue"/>
            <w:vAlign w:val="center"/>
          </w:tcPr>
          <w:p/>
        </w:tc>
        <w:tc>
          <w:tcPr>
            <w:tcW w:w="517" w:type="pct"/>
            <w:vMerge w:val="continue"/>
            <w:vAlign w:val="center"/>
          </w:tcPr>
          <w:p/>
        </w:tc>
        <w:tc>
          <w:tcPr>
            <w:tcW w:w="611" w:type="pct"/>
            <w:vAlign w:val="center"/>
          </w:tcPr>
          <w:p>
            <w:pPr>
              <w:contextualSpacing/>
              <w:jc w:val="center"/>
              <w:rPr>
                <w:rFonts w:ascii="Times New Roman" w:hAnsi="Times New Roman"/>
                <w:sz w:val="18"/>
                <w:szCs w:val="18"/>
              </w:rPr>
            </w:pPr>
            <w:r>
              <w:rPr>
                <w:rFonts w:ascii="Times New Roman" w:hAnsi="Times New Roman"/>
                <w:bCs/>
                <w:sz w:val="18"/>
                <w:szCs w:val="18"/>
              </w:rPr>
              <w:t>调音扩音系统</w:t>
            </w:r>
          </w:p>
        </w:tc>
        <w:tc>
          <w:tcPr>
            <w:tcW w:w="2241" w:type="pct"/>
            <w:vAlign w:val="center"/>
          </w:tcPr>
          <w:p>
            <w:pPr>
              <w:contextualSpacing/>
              <w:jc w:val="left"/>
              <w:rPr>
                <w:rFonts w:ascii="Times New Roman" w:hAnsi="Times New Roman"/>
                <w:sz w:val="18"/>
                <w:szCs w:val="18"/>
              </w:rPr>
            </w:pPr>
            <w:r>
              <w:rPr>
                <w:rFonts w:ascii="Times New Roman" w:hAnsi="Times New Roman"/>
                <w:bCs/>
                <w:sz w:val="18"/>
                <w:szCs w:val="18"/>
              </w:rPr>
              <w:t>含数字调音台、音响功放、无线麦克单元和会场音箱</w:t>
            </w:r>
          </w:p>
        </w:tc>
        <w:tc>
          <w:tcPr>
            <w:tcW w:w="304" w:type="pct"/>
            <w:vAlign w:val="center"/>
          </w:tcPr>
          <w:p>
            <w:pPr>
              <w:contextualSpacing/>
              <w:jc w:val="center"/>
              <w:rPr>
                <w:rFonts w:ascii="Times New Roman" w:hAnsi="Times New Roman"/>
                <w:bCs/>
                <w:sz w:val="18"/>
                <w:szCs w:val="18"/>
              </w:rPr>
            </w:pPr>
            <w:r>
              <w:rPr>
                <w:rFonts w:ascii="Times New Roman" w:hAnsi="Times New Roman"/>
                <w:bCs/>
                <w:sz w:val="18"/>
                <w:szCs w:val="18"/>
              </w:rPr>
              <w:t>√</w:t>
            </w:r>
          </w:p>
        </w:tc>
        <w:tc>
          <w:tcPr>
            <w:tcW w:w="299" w:type="pct"/>
            <w:vAlign w:val="center"/>
          </w:tcPr>
          <w:p>
            <w:pPr>
              <w:contextualSpacing/>
              <w:jc w:val="center"/>
              <w:rPr>
                <w:rFonts w:ascii="Times New Roman" w:hAnsi="Times New Roman"/>
                <w:bCs/>
                <w:sz w:val="18"/>
                <w:szCs w:val="18"/>
              </w:rPr>
            </w:pPr>
            <w:r>
              <w:rPr>
                <w:rFonts w:ascii="Times New Roman" w:hAnsi="Times New Roman"/>
                <w:bCs/>
                <w:sz w:val="18"/>
                <w:szCs w:val="18"/>
              </w:rPr>
              <w:t>√</w:t>
            </w:r>
          </w:p>
        </w:tc>
        <w:tc>
          <w:tcPr>
            <w:tcW w:w="299" w:type="pct"/>
            <w:vAlign w:val="center"/>
          </w:tcPr>
          <w:p>
            <w:pPr>
              <w:contextualSpacing/>
              <w:jc w:val="center"/>
              <w:rPr>
                <w:rFonts w:ascii="Times New Roman" w:hAnsi="Times New Roman"/>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69" w:type="pct"/>
            <w:vAlign w:val="center"/>
          </w:tcPr>
          <w:p>
            <w:pPr>
              <w:contextualSpacing/>
              <w:jc w:val="center"/>
              <w:rPr>
                <w:rFonts w:ascii="Times New Roman" w:hAnsi="Times New Roman"/>
                <w:sz w:val="18"/>
                <w:szCs w:val="18"/>
              </w:rPr>
            </w:pPr>
            <w:r>
              <w:rPr>
                <w:rFonts w:ascii="Times New Roman" w:hAnsi="Times New Roman"/>
                <w:sz w:val="18"/>
                <w:szCs w:val="18"/>
              </w:rPr>
              <w:t>6</w:t>
            </w:r>
          </w:p>
        </w:tc>
        <w:tc>
          <w:tcPr>
            <w:tcW w:w="359" w:type="pct"/>
            <w:vMerge w:val="continue"/>
            <w:vAlign w:val="center"/>
          </w:tcPr>
          <w:p/>
        </w:tc>
        <w:tc>
          <w:tcPr>
            <w:tcW w:w="517" w:type="pct"/>
            <w:vMerge w:val="continue"/>
            <w:vAlign w:val="center"/>
          </w:tcPr>
          <w:p/>
        </w:tc>
        <w:tc>
          <w:tcPr>
            <w:tcW w:w="611" w:type="pct"/>
            <w:vAlign w:val="center"/>
          </w:tcPr>
          <w:p>
            <w:pPr>
              <w:contextualSpacing/>
              <w:jc w:val="center"/>
              <w:rPr>
                <w:rFonts w:ascii="Times New Roman" w:hAnsi="Times New Roman"/>
                <w:sz w:val="18"/>
                <w:szCs w:val="18"/>
              </w:rPr>
            </w:pPr>
            <w:r>
              <w:rPr>
                <w:rFonts w:ascii="Times New Roman" w:hAnsi="Times New Roman"/>
                <w:bCs/>
                <w:sz w:val="18"/>
                <w:szCs w:val="18"/>
              </w:rPr>
              <w:t>综合控制系统</w:t>
            </w:r>
          </w:p>
        </w:tc>
        <w:tc>
          <w:tcPr>
            <w:tcW w:w="2241" w:type="pct"/>
            <w:vAlign w:val="center"/>
          </w:tcPr>
          <w:p>
            <w:pPr>
              <w:contextualSpacing/>
              <w:jc w:val="left"/>
              <w:rPr>
                <w:rFonts w:ascii="Times New Roman" w:hAnsi="Times New Roman"/>
                <w:sz w:val="18"/>
                <w:szCs w:val="18"/>
              </w:rPr>
            </w:pPr>
            <w:r>
              <w:rPr>
                <w:rFonts w:ascii="Times New Roman" w:hAnsi="Times New Roman"/>
                <w:bCs/>
                <w:sz w:val="18"/>
                <w:szCs w:val="18"/>
              </w:rPr>
              <w:t>有效范围50</w:t>
            </w:r>
            <w:r>
              <w:rPr>
                <w:rFonts w:hint="eastAsia" w:ascii="Times New Roman" w:hAnsi="Times New Roman"/>
                <w:bCs/>
                <w:sz w:val="18"/>
                <w:szCs w:val="18"/>
              </w:rPr>
              <w:t xml:space="preserve"> m</w:t>
            </w:r>
            <w:r>
              <w:rPr>
                <w:rFonts w:ascii="Times New Roman" w:hAnsi="Times New Roman"/>
                <w:bCs/>
                <w:sz w:val="18"/>
                <w:szCs w:val="18"/>
              </w:rPr>
              <w:t>，可通过无线触摸屏控制会场内设备和信号源</w:t>
            </w:r>
          </w:p>
        </w:tc>
        <w:tc>
          <w:tcPr>
            <w:tcW w:w="304" w:type="pct"/>
            <w:vAlign w:val="center"/>
          </w:tcPr>
          <w:p>
            <w:pPr>
              <w:contextualSpacing/>
              <w:jc w:val="center"/>
              <w:rPr>
                <w:rFonts w:ascii="Times New Roman" w:hAnsi="Times New Roman"/>
                <w:bCs/>
                <w:sz w:val="18"/>
                <w:szCs w:val="18"/>
              </w:rPr>
            </w:pPr>
            <w:r>
              <w:rPr>
                <w:rFonts w:ascii="Times New Roman" w:hAnsi="Times New Roman"/>
                <w:bCs/>
                <w:sz w:val="18"/>
                <w:szCs w:val="18"/>
              </w:rPr>
              <w:t>√</w:t>
            </w:r>
          </w:p>
        </w:tc>
        <w:tc>
          <w:tcPr>
            <w:tcW w:w="299" w:type="pct"/>
            <w:vAlign w:val="center"/>
          </w:tcPr>
          <w:p>
            <w:pPr>
              <w:contextualSpacing/>
              <w:jc w:val="center"/>
              <w:rPr>
                <w:rFonts w:ascii="Times New Roman" w:hAnsi="Times New Roman"/>
                <w:bCs/>
                <w:sz w:val="18"/>
                <w:szCs w:val="18"/>
              </w:rPr>
            </w:pPr>
          </w:p>
        </w:tc>
        <w:tc>
          <w:tcPr>
            <w:tcW w:w="299" w:type="pct"/>
            <w:vAlign w:val="center"/>
          </w:tcPr>
          <w:p>
            <w:pPr>
              <w:contextualSpacing/>
              <w:jc w:val="center"/>
              <w:rPr>
                <w:rFonts w:ascii="Times New Roman" w:hAnsi="Times New Roman"/>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69" w:type="pct"/>
            <w:vAlign w:val="center"/>
          </w:tcPr>
          <w:p>
            <w:pPr>
              <w:contextualSpacing/>
              <w:jc w:val="center"/>
              <w:rPr>
                <w:rFonts w:ascii="Times New Roman" w:hAnsi="Times New Roman"/>
                <w:sz w:val="18"/>
                <w:szCs w:val="18"/>
              </w:rPr>
            </w:pPr>
            <w:r>
              <w:rPr>
                <w:rFonts w:ascii="Times New Roman" w:hAnsi="Times New Roman"/>
                <w:sz w:val="18"/>
                <w:szCs w:val="18"/>
              </w:rPr>
              <w:t>7</w:t>
            </w:r>
          </w:p>
        </w:tc>
        <w:tc>
          <w:tcPr>
            <w:tcW w:w="359" w:type="pct"/>
            <w:vMerge w:val="continue"/>
            <w:vAlign w:val="center"/>
          </w:tcPr>
          <w:p/>
        </w:tc>
        <w:tc>
          <w:tcPr>
            <w:tcW w:w="517" w:type="pct"/>
            <w:vMerge w:val="continue"/>
            <w:vAlign w:val="center"/>
          </w:tcPr>
          <w:p/>
        </w:tc>
        <w:tc>
          <w:tcPr>
            <w:tcW w:w="611" w:type="pct"/>
            <w:vAlign w:val="center"/>
          </w:tcPr>
          <w:p>
            <w:pPr>
              <w:contextualSpacing/>
              <w:jc w:val="center"/>
              <w:rPr>
                <w:rFonts w:ascii="Times New Roman" w:hAnsi="Times New Roman"/>
                <w:sz w:val="18"/>
                <w:szCs w:val="18"/>
              </w:rPr>
            </w:pPr>
            <w:r>
              <w:rPr>
                <w:rFonts w:ascii="Times New Roman" w:hAnsi="Times New Roman"/>
                <w:bCs/>
                <w:sz w:val="18"/>
                <w:szCs w:val="18"/>
              </w:rPr>
              <w:t>会议录像系统</w:t>
            </w:r>
          </w:p>
        </w:tc>
        <w:tc>
          <w:tcPr>
            <w:tcW w:w="2241" w:type="pct"/>
            <w:vAlign w:val="center"/>
          </w:tcPr>
          <w:p>
            <w:pPr>
              <w:contextualSpacing/>
              <w:jc w:val="left"/>
              <w:rPr>
                <w:rFonts w:ascii="Times New Roman" w:hAnsi="Times New Roman"/>
                <w:sz w:val="18"/>
                <w:szCs w:val="18"/>
              </w:rPr>
            </w:pPr>
            <w:r>
              <w:rPr>
                <w:rFonts w:ascii="Times New Roman" w:hAnsi="Times New Roman"/>
                <w:bCs/>
                <w:sz w:val="18"/>
                <w:szCs w:val="18"/>
              </w:rPr>
              <w:t>支持多路视频输入源同时录像，自带存储</w:t>
            </w:r>
          </w:p>
        </w:tc>
        <w:tc>
          <w:tcPr>
            <w:tcW w:w="304" w:type="pct"/>
            <w:vAlign w:val="center"/>
          </w:tcPr>
          <w:p>
            <w:pPr>
              <w:contextualSpacing/>
              <w:jc w:val="center"/>
              <w:rPr>
                <w:rFonts w:ascii="Times New Roman" w:hAnsi="Times New Roman"/>
                <w:bCs/>
                <w:sz w:val="18"/>
                <w:szCs w:val="18"/>
              </w:rPr>
            </w:pPr>
            <w:r>
              <w:rPr>
                <w:rFonts w:ascii="Times New Roman" w:hAnsi="Times New Roman"/>
                <w:bCs/>
                <w:sz w:val="18"/>
                <w:szCs w:val="18"/>
              </w:rPr>
              <w:t>√</w:t>
            </w:r>
          </w:p>
        </w:tc>
        <w:tc>
          <w:tcPr>
            <w:tcW w:w="299" w:type="pct"/>
            <w:vAlign w:val="center"/>
          </w:tcPr>
          <w:p>
            <w:pPr>
              <w:contextualSpacing/>
              <w:jc w:val="center"/>
              <w:rPr>
                <w:rFonts w:ascii="Times New Roman" w:hAnsi="Times New Roman"/>
                <w:bCs/>
                <w:sz w:val="18"/>
                <w:szCs w:val="18"/>
              </w:rPr>
            </w:pPr>
          </w:p>
        </w:tc>
        <w:tc>
          <w:tcPr>
            <w:tcW w:w="299" w:type="pct"/>
            <w:vAlign w:val="center"/>
          </w:tcPr>
          <w:p>
            <w:pPr>
              <w:contextualSpacing/>
              <w:jc w:val="center"/>
              <w:rPr>
                <w:rFonts w:ascii="Times New Roman" w:hAnsi="Times New Roman"/>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69" w:type="pct"/>
            <w:vAlign w:val="center"/>
          </w:tcPr>
          <w:p>
            <w:pPr>
              <w:contextualSpacing/>
              <w:jc w:val="center"/>
              <w:rPr>
                <w:rFonts w:ascii="Times New Roman" w:hAnsi="Times New Roman"/>
                <w:sz w:val="18"/>
                <w:szCs w:val="18"/>
              </w:rPr>
            </w:pPr>
            <w:r>
              <w:rPr>
                <w:rFonts w:ascii="Times New Roman" w:hAnsi="Times New Roman"/>
                <w:sz w:val="18"/>
                <w:szCs w:val="18"/>
              </w:rPr>
              <w:t>8</w:t>
            </w:r>
          </w:p>
        </w:tc>
        <w:tc>
          <w:tcPr>
            <w:tcW w:w="359" w:type="pct"/>
            <w:vMerge w:val="continue"/>
            <w:vAlign w:val="center"/>
          </w:tcPr>
          <w:p/>
        </w:tc>
        <w:tc>
          <w:tcPr>
            <w:tcW w:w="517" w:type="pct"/>
            <w:vMerge w:val="restart"/>
            <w:vAlign w:val="center"/>
          </w:tcPr>
          <w:p>
            <w:pPr>
              <w:contextualSpacing/>
              <w:jc w:val="center"/>
              <w:rPr>
                <w:rFonts w:ascii="Times New Roman" w:hAnsi="Times New Roman"/>
                <w:sz w:val="18"/>
                <w:szCs w:val="18"/>
              </w:rPr>
            </w:pPr>
            <w:r>
              <w:rPr>
                <w:rFonts w:ascii="Times New Roman" w:hAnsi="Times New Roman"/>
                <w:bCs/>
                <w:sz w:val="18"/>
                <w:szCs w:val="18"/>
              </w:rPr>
              <w:t>通讯网络</w:t>
            </w:r>
          </w:p>
        </w:tc>
        <w:tc>
          <w:tcPr>
            <w:tcW w:w="611" w:type="pct"/>
            <w:vAlign w:val="center"/>
          </w:tcPr>
          <w:p>
            <w:pPr>
              <w:contextualSpacing/>
              <w:jc w:val="center"/>
              <w:rPr>
                <w:rFonts w:ascii="Times New Roman" w:hAnsi="Times New Roman"/>
                <w:sz w:val="18"/>
                <w:szCs w:val="18"/>
              </w:rPr>
            </w:pPr>
            <w:r>
              <w:rPr>
                <w:rFonts w:ascii="Times New Roman" w:hAnsi="Times New Roman"/>
                <w:bCs/>
                <w:sz w:val="18"/>
                <w:szCs w:val="18"/>
              </w:rPr>
              <w:t>数据专线</w:t>
            </w:r>
          </w:p>
        </w:tc>
        <w:tc>
          <w:tcPr>
            <w:tcW w:w="2241" w:type="pct"/>
            <w:vAlign w:val="center"/>
          </w:tcPr>
          <w:p>
            <w:pPr>
              <w:contextualSpacing/>
              <w:jc w:val="left"/>
              <w:rPr>
                <w:rFonts w:ascii="宋体" w:eastAsia="宋体"/>
                <w:sz w:val="18"/>
                <w:szCs w:val="18"/>
              </w:rPr>
            </w:pPr>
            <w:r>
              <w:rPr>
                <w:rFonts w:ascii="宋体" w:eastAsia="宋体"/>
                <w:bCs/>
                <w:sz w:val="18"/>
                <w:szCs w:val="18"/>
              </w:rPr>
              <w:t>与互联网、国土主干网、行业数据互通。接入</w:t>
            </w:r>
            <w:r>
              <w:rPr>
                <w:rFonts w:ascii="宋体" w:eastAsia="宋体"/>
                <w:sz w:val="18"/>
                <w:szCs w:val="18"/>
              </w:rPr>
              <w:t>“湖北省地质灾害综合防治管理平台”和“湖北省地质环境综合信息平台”等业务系统</w:t>
            </w:r>
          </w:p>
        </w:tc>
        <w:tc>
          <w:tcPr>
            <w:tcW w:w="304" w:type="pct"/>
            <w:vAlign w:val="center"/>
          </w:tcPr>
          <w:p>
            <w:pPr>
              <w:contextualSpacing/>
              <w:jc w:val="center"/>
              <w:rPr>
                <w:rFonts w:ascii="Times New Roman" w:hAnsi="Times New Roman"/>
                <w:bCs/>
                <w:sz w:val="18"/>
                <w:szCs w:val="18"/>
              </w:rPr>
            </w:pPr>
            <w:r>
              <w:rPr>
                <w:rFonts w:ascii="Times New Roman" w:hAnsi="Times New Roman"/>
                <w:bCs/>
                <w:sz w:val="18"/>
                <w:szCs w:val="18"/>
              </w:rPr>
              <w:t>√</w:t>
            </w:r>
          </w:p>
        </w:tc>
        <w:tc>
          <w:tcPr>
            <w:tcW w:w="299" w:type="pct"/>
            <w:vAlign w:val="center"/>
          </w:tcPr>
          <w:p>
            <w:pPr>
              <w:contextualSpacing/>
              <w:jc w:val="center"/>
              <w:rPr>
                <w:rFonts w:ascii="Times New Roman" w:hAnsi="Times New Roman"/>
                <w:bCs/>
                <w:sz w:val="18"/>
                <w:szCs w:val="18"/>
              </w:rPr>
            </w:pPr>
            <w:r>
              <w:rPr>
                <w:rFonts w:ascii="Times New Roman" w:hAnsi="Times New Roman"/>
                <w:bCs/>
                <w:sz w:val="18"/>
                <w:szCs w:val="18"/>
              </w:rPr>
              <w:t>√</w:t>
            </w:r>
          </w:p>
        </w:tc>
        <w:tc>
          <w:tcPr>
            <w:tcW w:w="299" w:type="pct"/>
            <w:vAlign w:val="center"/>
          </w:tcPr>
          <w:p>
            <w:pPr>
              <w:contextualSpacing/>
              <w:jc w:val="center"/>
              <w:rPr>
                <w:rFonts w:ascii="Times New Roman" w:hAnsi="Times New Roman"/>
                <w:bCs/>
                <w:sz w:val="18"/>
                <w:szCs w:val="18"/>
              </w:rPr>
            </w:pPr>
            <w:r>
              <w:rPr>
                <w:rFonts w:ascii="Times New Roman" w:hAnsi="Times New Roman"/>
                <w:bCs/>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69" w:type="pct"/>
            <w:vAlign w:val="center"/>
          </w:tcPr>
          <w:p>
            <w:pPr>
              <w:contextualSpacing/>
              <w:jc w:val="center"/>
              <w:rPr>
                <w:rFonts w:ascii="Times New Roman" w:hAnsi="Times New Roman"/>
                <w:sz w:val="18"/>
                <w:szCs w:val="18"/>
              </w:rPr>
            </w:pPr>
            <w:r>
              <w:rPr>
                <w:rFonts w:ascii="Times New Roman" w:hAnsi="Times New Roman"/>
                <w:sz w:val="18"/>
                <w:szCs w:val="18"/>
              </w:rPr>
              <w:t>9</w:t>
            </w:r>
          </w:p>
        </w:tc>
        <w:tc>
          <w:tcPr>
            <w:tcW w:w="359" w:type="pct"/>
            <w:vMerge w:val="continue"/>
            <w:vAlign w:val="center"/>
          </w:tcPr>
          <w:p/>
        </w:tc>
        <w:tc>
          <w:tcPr>
            <w:tcW w:w="517" w:type="pct"/>
            <w:vMerge w:val="continue"/>
            <w:vAlign w:val="center"/>
          </w:tcPr>
          <w:p/>
        </w:tc>
        <w:tc>
          <w:tcPr>
            <w:tcW w:w="611" w:type="pct"/>
            <w:vAlign w:val="center"/>
          </w:tcPr>
          <w:p>
            <w:pPr>
              <w:contextualSpacing/>
              <w:jc w:val="center"/>
              <w:rPr>
                <w:rFonts w:ascii="Times New Roman" w:hAnsi="Times New Roman"/>
                <w:sz w:val="18"/>
                <w:szCs w:val="18"/>
              </w:rPr>
            </w:pPr>
            <w:r>
              <w:rPr>
                <w:rFonts w:ascii="Times New Roman" w:hAnsi="Times New Roman"/>
                <w:bCs/>
                <w:sz w:val="18"/>
                <w:szCs w:val="18"/>
              </w:rPr>
              <w:t>卫星地面固定站</w:t>
            </w:r>
          </w:p>
        </w:tc>
        <w:tc>
          <w:tcPr>
            <w:tcW w:w="2241" w:type="pct"/>
            <w:vAlign w:val="center"/>
          </w:tcPr>
          <w:p>
            <w:pPr>
              <w:contextualSpacing/>
              <w:jc w:val="left"/>
              <w:rPr>
                <w:rFonts w:ascii="Times New Roman" w:hAnsi="Times New Roman"/>
                <w:bCs/>
                <w:sz w:val="18"/>
                <w:szCs w:val="18"/>
              </w:rPr>
            </w:pPr>
            <w:r>
              <w:rPr>
                <w:rFonts w:ascii="Times New Roman" w:hAnsi="Times New Roman"/>
                <w:bCs/>
                <w:sz w:val="18"/>
                <w:szCs w:val="18"/>
              </w:rPr>
              <w:t>固定站配备卫星调制解调器、高清视频会议终端和信号发射天线，</w:t>
            </w:r>
            <w:r>
              <w:rPr>
                <w:rFonts w:ascii="Times New Roman" w:hAnsi="Times New Roman"/>
                <w:sz w:val="18"/>
                <w:szCs w:val="18"/>
              </w:rPr>
              <w:t>可接入自然资源卫星网（会议终端</w:t>
            </w:r>
            <w:r>
              <w:rPr>
                <w:rFonts w:ascii="Times New Roman" w:hAnsi="Times New Roman"/>
                <w:bCs/>
                <w:sz w:val="18"/>
                <w:szCs w:val="18"/>
              </w:rPr>
              <w:t>设备报省级统一采购品牌</w:t>
            </w:r>
            <w:r>
              <w:rPr>
                <w:rFonts w:ascii="Times New Roman" w:hAnsi="Times New Roman"/>
                <w:sz w:val="18"/>
                <w:szCs w:val="18"/>
              </w:rPr>
              <w:t>）</w:t>
            </w:r>
          </w:p>
        </w:tc>
        <w:tc>
          <w:tcPr>
            <w:tcW w:w="304" w:type="pct"/>
            <w:vAlign w:val="center"/>
          </w:tcPr>
          <w:p>
            <w:pPr>
              <w:contextualSpacing/>
              <w:jc w:val="center"/>
              <w:rPr>
                <w:rFonts w:ascii="Times New Roman" w:hAnsi="Times New Roman"/>
                <w:bCs/>
                <w:sz w:val="18"/>
                <w:szCs w:val="18"/>
              </w:rPr>
            </w:pPr>
            <w:r>
              <w:rPr>
                <w:rFonts w:ascii="Times New Roman" w:hAnsi="Times New Roman"/>
                <w:bCs/>
                <w:sz w:val="18"/>
                <w:szCs w:val="18"/>
              </w:rPr>
              <w:t>√</w:t>
            </w:r>
          </w:p>
        </w:tc>
        <w:tc>
          <w:tcPr>
            <w:tcW w:w="299" w:type="pct"/>
            <w:vAlign w:val="center"/>
          </w:tcPr>
          <w:p>
            <w:pPr>
              <w:contextualSpacing/>
              <w:jc w:val="center"/>
              <w:rPr>
                <w:rFonts w:ascii="Times New Roman" w:hAnsi="Times New Roman"/>
                <w:bCs/>
                <w:sz w:val="18"/>
                <w:szCs w:val="18"/>
              </w:rPr>
            </w:pPr>
          </w:p>
        </w:tc>
        <w:tc>
          <w:tcPr>
            <w:tcW w:w="299" w:type="pct"/>
            <w:vAlign w:val="center"/>
          </w:tcPr>
          <w:p>
            <w:pPr>
              <w:contextualSpacing/>
              <w:jc w:val="center"/>
              <w:rPr>
                <w:rFonts w:ascii="Times New Roman" w:hAnsi="Times New Roman"/>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69" w:type="pct"/>
            <w:vAlign w:val="center"/>
          </w:tcPr>
          <w:p>
            <w:pPr>
              <w:contextualSpacing/>
              <w:jc w:val="center"/>
              <w:rPr>
                <w:rFonts w:ascii="Times New Roman" w:hAnsi="Times New Roman"/>
                <w:sz w:val="18"/>
                <w:szCs w:val="18"/>
              </w:rPr>
            </w:pPr>
            <w:r>
              <w:rPr>
                <w:rFonts w:ascii="Times New Roman" w:hAnsi="Times New Roman"/>
                <w:sz w:val="18"/>
                <w:szCs w:val="18"/>
              </w:rPr>
              <w:t>10</w:t>
            </w:r>
          </w:p>
        </w:tc>
        <w:tc>
          <w:tcPr>
            <w:tcW w:w="359" w:type="pct"/>
            <w:vMerge w:val="restart"/>
            <w:vAlign w:val="center"/>
          </w:tcPr>
          <w:p>
            <w:pPr>
              <w:contextualSpacing/>
              <w:jc w:val="center"/>
              <w:rPr>
                <w:rFonts w:ascii="Times New Roman" w:hAnsi="Times New Roman"/>
                <w:sz w:val="18"/>
                <w:szCs w:val="18"/>
              </w:rPr>
            </w:pPr>
            <w:r>
              <w:rPr>
                <w:rFonts w:ascii="Times New Roman" w:hAnsi="Times New Roman"/>
                <w:sz w:val="18"/>
                <w:szCs w:val="18"/>
              </w:rPr>
              <w:t>灾害现场</w:t>
            </w:r>
          </w:p>
        </w:tc>
        <w:tc>
          <w:tcPr>
            <w:tcW w:w="517" w:type="pct"/>
            <w:vMerge w:val="restart"/>
            <w:vAlign w:val="center"/>
          </w:tcPr>
          <w:p>
            <w:pPr>
              <w:contextualSpacing/>
              <w:jc w:val="center"/>
              <w:rPr>
                <w:rFonts w:ascii="Times New Roman" w:hAnsi="Times New Roman"/>
                <w:sz w:val="18"/>
                <w:szCs w:val="18"/>
              </w:rPr>
            </w:pPr>
            <w:r>
              <w:rPr>
                <w:rFonts w:ascii="Times New Roman" w:hAnsi="Times New Roman"/>
                <w:sz w:val="18"/>
                <w:szCs w:val="18"/>
              </w:rPr>
              <w:t>通讯装备</w:t>
            </w:r>
          </w:p>
        </w:tc>
        <w:tc>
          <w:tcPr>
            <w:tcW w:w="611" w:type="pct"/>
            <w:vAlign w:val="center"/>
          </w:tcPr>
          <w:p>
            <w:pPr>
              <w:contextualSpacing/>
              <w:jc w:val="center"/>
              <w:rPr>
                <w:rFonts w:ascii="Times New Roman" w:hAnsi="Times New Roman"/>
                <w:sz w:val="18"/>
                <w:szCs w:val="18"/>
              </w:rPr>
            </w:pPr>
            <w:r>
              <w:rPr>
                <w:rFonts w:ascii="Times New Roman" w:hAnsi="Times New Roman"/>
                <w:sz w:val="18"/>
                <w:szCs w:val="18"/>
              </w:rPr>
              <w:t>通讯指挥车</w:t>
            </w:r>
          </w:p>
        </w:tc>
        <w:tc>
          <w:tcPr>
            <w:tcW w:w="2241" w:type="pct"/>
            <w:vAlign w:val="center"/>
          </w:tcPr>
          <w:p>
            <w:pPr>
              <w:contextualSpacing/>
              <w:jc w:val="left"/>
              <w:rPr>
                <w:rFonts w:ascii="Times New Roman" w:hAnsi="Times New Roman"/>
                <w:bCs/>
                <w:sz w:val="18"/>
                <w:szCs w:val="18"/>
              </w:rPr>
            </w:pPr>
            <w:r>
              <w:rPr>
                <w:rFonts w:ascii="Times New Roman" w:hAnsi="Times New Roman"/>
                <w:bCs/>
                <w:sz w:val="18"/>
                <w:szCs w:val="18"/>
              </w:rPr>
              <w:t>车载配备卫星调制解调器、高清视频会议终端和信号发射天线，</w:t>
            </w:r>
            <w:r>
              <w:rPr>
                <w:rFonts w:ascii="Times New Roman" w:hAnsi="Times New Roman"/>
                <w:sz w:val="18"/>
                <w:szCs w:val="18"/>
              </w:rPr>
              <w:t>可接入自然资源卫星网（会议终端</w:t>
            </w:r>
            <w:r>
              <w:rPr>
                <w:rFonts w:ascii="Times New Roman" w:hAnsi="Times New Roman"/>
                <w:bCs/>
                <w:sz w:val="18"/>
                <w:szCs w:val="18"/>
              </w:rPr>
              <w:t>设备报省级统一采购品牌</w:t>
            </w:r>
            <w:r>
              <w:rPr>
                <w:rFonts w:ascii="Times New Roman" w:hAnsi="Times New Roman"/>
                <w:sz w:val="18"/>
                <w:szCs w:val="18"/>
              </w:rPr>
              <w:t>）</w:t>
            </w:r>
          </w:p>
        </w:tc>
        <w:tc>
          <w:tcPr>
            <w:tcW w:w="304" w:type="pct"/>
            <w:vAlign w:val="center"/>
          </w:tcPr>
          <w:p>
            <w:pPr>
              <w:contextualSpacing/>
              <w:jc w:val="center"/>
              <w:rPr>
                <w:rFonts w:ascii="Times New Roman" w:hAnsi="Times New Roman"/>
                <w:bCs/>
                <w:sz w:val="18"/>
                <w:szCs w:val="18"/>
              </w:rPr>
            </w:pPr>
            <w:r>
              <w:rPr>
                <w:rFonts w:ascii="Times New Roman" w:hAnsi="Times New Roman"/>
                <w:bCs/>
                <w:sz w:val="18"/>
                <w:szCs w:val="18"/>
              </w:rPr>
              <w:t>√</w:t>
            </w:r>
          </w:p>
        </w:tc>
        <w:tc>
          <w:tcPr>
            <w:tcW w:w="299" w:type="pct"/>
            <w:vAlign w:val="center"/>
          </w:tcPr>
          <w:p>
            <w:pPr>
              <w:contextualSpacing/>
              <w:jc w:val="center"/>
              <w:rPr>
                <w:rFonts w:ascii="Times New Roman" w:hAnsi="Times New Roman"/>
                <w:bCs/>
                <w:sz w:val="18"/>
                <w:szCs w:val="18"/>
              </w:rPr>
            </w:pPr>
          </w:p>
        </w:tc>
        <w:tc>
          <w:tcPr>
            <w:tcW w:w="299" w:type="pct"/>
            <w:vAlign w:val="center"/>
          </w:tcPr>
          <w:p>
            <w:pPr>
              <w:contextualSpacing/>
              <w:jc w:val="center"/>
              <w:rPr>
                <w:rFonts w:ascii="Times New Roman" w:hAnsi="Times New Roman"/>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69" w:type="pct"/>
            <w:vAlign w:val="center"/>
          </w:tcPr>
          <w:p>
            <w:pPr>
              <w:contextualSpacing/>
              <w:jc w:val="center"/>
              <w:rPr>
                <w:rFonts w:ascii="Times New Roman" w:hAnsi="Times New Roman"/>
                <w:sz w:val="18"/>
                <w:szCs w:val="18"/>
              </w:rPr>
            </w:pPr>
            <w:r>
              <w:rPr>
                <w:rFonts w:ascii="Times New Roman" w:hAnsi="Times New Roman"/>
                <w:sz w:val="18"/>
                <w:szCs w:val="18"/>
              </w:rPr>
              <w:t>11</w:t>
            </w:r>
          </w:p>
        </w:tc>
        <w:tc>
          <w:tcPr>
            <w:tcW w:w="359" w:type="pct"/>
            <w:vMerge w:val="continue"/>
            <w:vAlign w:val="center"/>
          </w:tcPr>
          <w:p/>
        </w:tc>
        <w:tc>
          <w:tcPr>
            <w:tcW w:w="517" w:type="pct"/>
            <w:vMerge w:val="continue"/>
            <w:vAlign w:val="center"/>
          </w:tcPr>
          <w:p/>
        </w:tc>
        <w:tc>
          <w:tcPr>
            <w:tcW w:w="611" w:type="pct"/>
            <w:vAlign w:val="center"/>
          </w:tcPr>
          <w:p>
            <w:pPr>
              <w:contextualSpacing/>
              <w:jc w:val="center"/>
              <w:rPr>
                <w:rFonts w:ascii="Times New Roman" w:hAnsi="Times New Roman"/>
                <w:bCs/>
                <w:sz w:val="18"/>
                <w:szCs w:val="18"/>
              </w:rPr>
            </w:pPr>
            <w:r>
              <w:rPr>
                <w:rFonts w:ascii="Times New Roman" w:hAnsi="Times New Roman"/>
                <w:bCs/>
                <w:sz w:val="18"/>
                <w:szCs w:val="18"/>
              </w:rPr>
              <w:t>便携卫星站</w:t>
            </w:r>
          </w:p>
        </w:tc>
        <w:tc>
          <w:tcPr>
            <w:tcW w:w="2241" w:type="pct"/>
            <w:vAlign w:val="center"/>
          </w:tcPr>
          <w:p>
            <w:pPr>
              <w:contextualSpacing/>
              <w:jc w:val="left"/>
              <w:rPr>
                <w:rFonts w:ascii="Times New Roman" w:hAnsi="Times New Roman"/>
                <w:bCs/>
                <w:sz w:val="18"/>
                <w:szCs w:val="18"/>
              </w:rPr>
            </w:pPr>
            <w:r>
              <w:rPr>
                <w:rFonts w:ascii="Times New Roman" w:hAnsi="Times New Roman"/>
                <w:bCs/>
                <w:sz w:val="18"/>
                <w:szCs w:val="18"/>
              </w:rPr>
              <w:t>便携式终端箱内配备卫星调制解调器、高清视频会议终端和信号发射天线，</w:t>
            </w:r>
            <w:r>
              <w:rPr>
                <w:rFonts w:ascii="Times New Roman" w:hAnsi="Times New Roman"/>
                <w:sz w:val="18"/>
                <w:szCs w:val="18"/>
              </w:rPr>
              <w:t>可接入自然资源卫星网（会议终端</w:t>
            </w:r>
            <w:r>
              <w:rPr>
                <w:rFonts w:ascii="Times New Roman" w:hAnsi="Times New Roman"/>
                <w:bCs/>
                <w:sz w:val="18"/>
                <w:szCs w:val="18"/>
              </w:rPr>
              <w:t>设备报省级统一采购品牌</w:t>
            </w:r>
            <w:r>
              <w:rPr>
                <w:rFonts w:ascii="Times New Roman" w:hAnsi="Times New Roman"/>
                <w:sz w:val="18"/>
                <w:szCs w:val="18"/>
              </w:rPr>
              <w:t>）</w:t>
            </w:r>
          </w:p>
        </w:tc>
        <w:tc>
          <w:tcPr>
            <w:tcW w:w="304" w:type="pct"/>
            <w:vAlign w:val="center"/>
          </w:tcPr>
          <w:p>
            <w:pPr>
              <w:contextualSpacing/>
              <w:jc w:val="center"/>
              <w:rPr>
                <w:rFonts w:ascii="Times New Roman" w:hAnsi="Times New Roman"/>
                <w:bCs/>
                <w:sz w:val="18"/>
                <w:szCs w:val="18"/>
              </w:rPr>
            </w:pPr>
            <w:r>
              <w:rPr>
                <w:rFonts w:ascii="Times New Roman" w:hAnsi="Times New Roman"/>
                <w:bCs/>
                <w:sz w:val="18"/>
                <w:szCs w:val="18"/>
              </w:rPr>
              <w:t>√</w:t>
            </w:r>
          </w:p>
        </w:tc>
        <w:tc>
          <w:tcPr>
            <w:tcW w:w="299" w:type="pct"/>
            <w:vAlign w:val="center"/>
          </w:tcPr>
          <w:p>
            <w:pPr>
              <w:contextualSpacing/>
              <w:jc w:val="center"/>
              <w:rPr>
                <w:rFonts w:ascii="Times New Roman" w:hAnsi="Times New Roman"/>
                <w:bCs/>
                <w:sz w:val="18"/>
                <w:szCs w:val="18"/>
              </w:rPr>
            </w:pPr>
            <w:r>
              <w:rPr>
                <w:rFonts w:ascii="Times New Roman" w:hAnsi="Times New Roman"/>
                <w:bCs/>
                <w:sz w:val="18"/>
                <w:szCs w:val="18"/>
              </w:rPr>
              <w:t>选配</w:t>
            </w:r>
          </w:p>
        </w:tc>
        <w:tc>
          <w:tcPr>
            <w:tcW w:w="299" w:type="pct"/>
            <w:vAlign w:val="center"/>
          </w:tcPr>
          <w:p>
            <w:pPr>
              <w:contextualSpacing/>
              <w:jc w:val="center"/>
              <w:rPr>
                <w:rFonts w:ascii="Times New Roman" w:hAnsi="Times New Roman"/>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69" w:type="pct"/>
            <w:vAlign w:val="center"/>
          </w:tcPr>
          <w:p>
            <w:pPr>
              <w:contextualSpacing/>
              <w:jc w:val="center"/>
              <w:rPr>
                <w:rFonts w:ascii="Times New Roman" w:hAnsi="Times New Roman"/>
                <w:sz w:val="18"/>
                <w:szCs w:val="18"/>
              </w:rPr>
            </w:pPr>
            <w:r>
              <w:rPr>
                <w:rFonts w:ascii="Times New Roman" w:hAnsi="Times New Roman"/>
                <w:sz w:val="18"/>
                <w:szCs w:val="18"/>
              </w:rPr>
              <w:t>12</w:t>
            </w:r>
          </w:p>
        </w:tc>
        <w:tc>
          <w:tcPr>
            <w:tcW w:w="359" w:type="pct"/>
            <w:vMerge w:val="continue"/>
          </w:tcPr>
          <w:p/>
        </w:tc>
        <w:tc>
          <w:tcPr>
            <w:tcW w:w="517" w:type="pct"/>
            <w:vMerge w:val="continue"/>
            <w:vAlign w:val="center"/>
          </w:tcPr>
          <w:p/>
        </w:tc>
        <w:tc>
          <w:tcPr>
            <w:tcW w:w="611" w:type="pct"/>
            <w:vAlign w:val="center"/>
          </w:tcPr>
          <w:p>
            <w:pPr>
              <w:contextualSpacing/>
              <w:jc w:val="center"/>
              <w:rPr>
                <w:rFonts w:ascii="Times New Roman" w:hAnsi="Times New Roman"/>
                <w:sz w:val="18"/>
                <w:szCs w:val="18"/>
              </w:rPr>
            </w:pPr>
            <w:r>
              <w:rPr>
                <w:rFonts w:ascii="Times New Roman" w:hAnsi="Times New Roman"/>
                <w:bCs/>
                <w:sz w:val="18"/>
                <w:szCs w:val="18"/>
              </w:rPr>
              <w:t>对讲机</w:t>
            </w:r>
          </w:p>
        </w:tc>
        <w:tc>
          <w:tcPr>
            <w:tcW w:w="2241" w:type="pct"/>
            <w:vAlign w:val="center"/>
          </w:tcPr>
          <w:p>
            <w:pPr>
              <w:contextualSpacing/>
              <w:jc w:val="left"/>
              <w:rPr>
                <w:rFonts w:ascii="Times New Roman" w:hAnsi="Times New Roman"/>
                <w:bCs/>
                <w:sz w:val="18"/>
                <w:szCs w:val="18"/>
              </w:rPr>
            </w:pPr>
            <w:r>
              <w:rPr>
                <w:rFonts w:ascii="Times New Roman" w:hAnsi="Times New Roman"/>
                <w:bCs/>
                <w:sz w:val="18"/>
                <w:szCs w:val="18"/>
              </w:rPr>
              <w:t>支持5</w:t>
            </w:r>
            <w:r>
              <w:rPr>
                <w:rFonts w:hint="eastAsia" w:ascii="Times New Roman" w:hAnsi="Times New Roman"/>
                <w:bCs/>
                <w:sz w:val="18"/>
                <w:szCs w:val="18"/>
              </w:rPr>
              <w:t xml:space="preserve"> km</w:t>
            </w:r>
            <w:r>
              <w:rPr>
                <w:rFonts w:ascii="Times New Roman" w:hAnsi="Times New Roman"/>
                <w:bCs/>
                <w:sz w:val="18"/>
                <w:szCs w:val="18"/>
              </w:rPr>
              <w:t>范围对讲，超长待机，防水</w:t>
            </w:r>
          </w:p>
        </w:tc>
        <w:tc>
          <w:tcPr>
            <w:tcW w:w="304" w:type="pct"/>
            <w:vAlign w:val="center"/>
          </w:tcPr>
          <w:p>
            <w:pPr>
              <w:contextualSpacing/>
              <w:jc w:val="center"/>
              <w:rPr>
                <w:rFonts w:ascii="Times New Roman" w:hAnsi="Times New Roman"/>
                <w:bCs/>
                <w:sz w:val="18"/>
                <w:szCs w:val="18"/>
              </w:rPr>
            </w:pPr>
            <w:r>
              <w:rPr>
                <w:rFonts w:ascii="Times New Roman" w:hAnsi="Times New Roman"/>
                <w:bCs/>
                <w:sz w:val="18"/>
                <w:szCs w:val="18"/>
              </w:rPr>
              <w:t>√</w:t>
            </w:r>
          </w:p>
        </w:tc>
        <w:tc>
          <w:tcPr>
            <w:tcW w:w="299" w:type="pct"/>
            <w:vAlign w:val="center"/>
          </w:tcPr>
          <w:p>
            <w:pPr>
              <w:contextualSpacing/>
              <w:jc w:val="center"/>
              <w:rPr>
                <w:rFonts w:ascii="Times New Roman" w:hAnsi="Times New Roman"/>
                <w:bCs/>
                <w:sz w:val="18"/>
                <w:szCs w:val="18"/>
              </w:rPr>
            </w:pPr>
            <w:r>
              <w:rPr>
                <w:rFonts w:ascii="Times New Roman" w:hAnsi="Times New Roman"/>
                <w:bCs/>
                <w:sz w:val="18"/>
                <w:szCs w:val="18"/>
              </w:rPr>
              <w:t>√</w:t>
            </w:r>
          </w:p>
        </w:tc>
        <w:tc>
          <w:tcPr>
            <w:tcW w:w="299" w:type="pct"/>
            <w:vAlign w:val="center"/>
          </w:tcPr>
          <w:p>
            <w:pPr>
              <w:contextualSpacing/>
              <w:jc w:val="center"/>
              <w:rPr>
                <w:rFonts w:ascii="Times New Roman" w:hAnsi="Times New Roman"/>
                <w:bCs/>
                <w:sz w:val="18"/>
                <w:szCs w:val="18"/>
              </w:rPr>
            </w:pPr>
            <w:r>
              <w:rPr>
                <w:rFonts w:ascii="Times New Roman" w:hAnsi="Times New Roman"/>
                <w:bCs/>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69" w:type="pct"/>
            <w:vAlign w:val="center"/>
          </w:tcPr>
          <w:p>
            <w:pPr>
              <w:contextualSpacing/>
              <w:jc w:val="center"/>
              <w:rPr>
                <w:rFonts w:ascii="Times New Roman" w:hAnsi="Times New Roman"/>
                <w:sz w:val="18"/>
                <w:szCs w:val="18"/>
              </w:rPr>
            </w:pPr>
            <w:r>
              <w:rPr>
                <w:rFonts w:ascii="Times New Roman" w:hAnsi="Times New Roman"/>
                <w:sz w:val="18"/>
                <w:szCs w:val="18"/>
              </w:rPr>
              <w:t>13</w:t>
            </w:r>
          </w:p>
        </w:tc>
        <w:tc>
          <w:tcPr>
            <w:tcW w:w="359" w:type="pct"/>
            <w:vMerge w:val="continue"/>
          </w:tcPr>
          <w:p/>
        </w:tc>
        <w:tc>
          <w:tcPr>
            <w:tcW w:w="517" w:type="pct"/>
            <w:vMerge w:val="restart"/>
            <w:vAlign w:val="center"/>
          </w:tcPr>
          <w:p>
            <w:pPr>
              <w:contextualSpacing/>
              <w:jc w:val="center"/>
              <w:rPr>
                <w:rFonts w:ascii="Times New Roman" w:hAnsi="Times New Roman"/>
                <w:sz w:val="18"/>
                <w:szCs w:val="18"/>
              </w:rPr>
            </w:pPr>
            <w:r>
              <w:rPr>
                <w:rFonts w:ascii="Times New Roman" w:hAnsi="Times New Roman"/>
                <w:sz w:val="18"/>
                <w:szCs w:val="18"/>
              </w:rPr>
              <w:t>调查设备</w:t>
            </w:r>
          </w:p>
        </w:tc>
        <w:tc>
          <w:tcPr>
            <w:tcW w:w="611" w:type="pct"/>
            <w:vAlign w:val="center"/>
          </w:tcPr>
          <w:p>
            <w:pPr>
              <w:contextualSpacing/>
              <w:jc w:val="center"/>
              <w:rPr>
                <w:rFonts w:ascii="Times New Roman" w:hAnsi="Times New Roman"/>
                <w:sz w:val="18"/>
                <w:szCs w:val="18"/>
              </w:rPr>
            </w:pPr>
            <w:r>
              <w:rPr>
                <w:rFonts w:ascii="Times New Roman" w:hAnsi="Times New Roman"/>
                <w:sz w:val="18"/>
                <w:szCs w:val="18"/>
              </w:rPr>
              <w:t>调查平板电脑</w:t>
            </w:r>
          </w:p>
        </w:tc>
        <w:tc>
          <w:tcPr>
            <w:tcW w:w="2241" w:type="pct"/>
            <w:vAlign w:val="center"/>
          </w:tcPr>
          <w:p>
            <w:pPr>
              <w:contextualSpacing/>
              <w:jc w:val="left"/>
              <w:rPr>
                <w:rFonts w:ascii="Times New Roman" w:hAnsi="Times New Roman"/>
                <w:sz w:val="18"/>
                <w:szCs w:val="18"/>
              </w:rPr>
            </w:pPr>
            <w:r>
              <w:rPr>
                <w:rFonts w:ascii="Times New Roman" w:hAnsi="Times New Roman"/>
                <w:sz w:val="18"/>
                <w:szCs w:val="18"/>
              </w:rPr>
              <w:t>IP67防护等级，安卓系统，7寸及以上屏幕，支持GPS、北斗定位，4G全网通，后置摄像头，待机时间长，定制调查系统</w:t>
            </w:r>
          </w:p>
        </w:tc>
        <w:tc>
          <w:tcPr>
            <w:tcW w:w="304" w:type="pct"/>
            <w:vAlign w:val="center"/>
          </w:tcPr>
          <w:p>
            <w:pPr>
              <w:contextualSpacing/>
              <w:jc w:val="center"/>
              <w:rPr>
                <w:rFonts w:ascii="Times New Roman" w:hAnsi="Times New Roman"/>
                <w:sz w:val="18"/>
                <w:szCs w:val="18"/>
              </w:rPr>
            </w:pPr>
            <w:r>
              <w:rPr>
                <w:rFonts w:ascii="Times New Roman" w:hAnsi="Times New Roman"/>
                <w:bCs/>
                <w:sz w:val="18"/>
                <w:szCs w:val="18"/>
              </w:rPr>
              <w:t>√</w:t>
            </w:r>
          </w:p>
        </w:tc>
        <w:tc>
          <w:tcPr>
            <w:tcW w:w="299" w:type="pct"/>
            <w:vAlign w:val="center"/>
          </w:tcPr>
          <w:p>
            <w:pPr>
              <w:contextualSpacing/>
              <w:jc w:val="center"/>
              <w:rPr>
                <w:rFonts w:ascii="Times New Roman" w:hAnsi="Times New Roman"/>
                <w:sz w:val="18"/>
                <w:szCs w:val="18"/>
              </w:rPr>
            </w:pPr>
            <w:r>
              <w:rPr>
                <w:rFonts w:ascii="Times New Roman" w:hAnsi="Times New Roman"/>
                <w:bCs/>
                <w:sz w:val="18"/>
                <w:szCs w:val="18"/>
              </w:rPr>
              <w:t>√</w:t>
            </w:r>
          </w:p>
        </w:tc>
        <w:tc>
          <w:tcPr>
            <w:tcW w:w="299" w:type="pct"/>
            <w:vAlign w:val="center"/>
          </w:tcPr>
          <w:p>
            <w:pPr>
              <w:contextualSpacing/>
              <w:jc w:val="center"/>
              <w:rPr>
                <w:rFonts w:ascii="Times New Roman" w:hAnsi="Times New Roman"/>
                <w:sz w:val="18"/>
                <w:szCs w:val="18"/>
              </w:rPr>
            </w:pPr>
            <w:r>
              <w:rPr>
                <w:rFonts w:ascii="Times New Roman" w:hAnsi="Times New Roman"/>
                <w:bCs/>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69" w:type="pct"/>
            <w:vAlign w:val="center"/>
          </w:tcPr>
          <w:p>
            <w:pPr>
              <w:contextualSpacing/>
              <w:jc w:val="center"/>
              <w:rPr>
                <w:rFonts w:ascii="Times New Roman" w:hAnsi="Times New Roman"/>
                <w:sz w:val="18"/>
                <w:szCs w:val="18"/>
              </w:rPr>
            </w:pPr>
            <w:r>
              <w:rPr>
                <w:rFonts w:ascii="Times New Roman" w:hAnsi="Times New Roman"/>
                <w:sz w:val="18"/>
                <w:szCs w:val="18"/>
              </w:rPr>
              <w:t>14</w:t>
            </w:r>
          </w:p>
        </w:tc>
        <w:tc>
          <w:tcPr>
            <w:tcW w:w="359" w:type="pct"/>
            <w:vMerge w:val="continue"/>
            <w:vAlign w:val="center"/>
          </w:tcPr>
          <w:p/>
        </w:tc>
        <w:tc>
          <w:tcPr>
            <w:tcW w:w="517" w:type="pct"/>
            <w:vMerge w:val="continue"/>
            <w:vAlign w:val="center"/>
          </w:tcPr>
          <w:p/>
        </w:tc>
        <w:tc>
          <w:tcPr>
            <w:tcW w:w="611" w:type="pct"/>
            <w:vAlign w:val="center"/>
          </w:tcPr>
          <w:p>
            <w:pPr>
              <w:contextualSpacing/>
              <w:jc w:val="center"/>
              <w:rPr>
                <w:rFonts w:ascii="Times New Roman" w:hAnsi="Times New Roman"/>
                <w:sz w:val="18"/>
                <w:szCs w:val="18"/>
              </w:rPr>
            </w:pPr>
            <w:r>
              <w:rPr>
                <w:rFonts w:ascii="Times New Roman" w:hAnsi="Times New Roman"/>
                <w:sz w:val="18"/>
                <w:szCs w:val="18"/>
              </w:rPr>
              <w:t>手持激光测距仪</w:t>
            </w:r>
          </w:p>
        </w:tc>
        <w:tc>
          <w:tcPr>
            <w:tcW w:w="2241" w:type="pct"/>
            <w:vAlign w:val="center"/>
          </w:tcPr>
          <w:p>
            <w:pPr>
              <w:contextualSpacing/>
              <w:jc w:val="left"/>
              <w:rPr>
                <w:rFonts w:ascii="Times New Roman" w:hAnsi="Times New Roman"/>
                <w:sz w:val="18"/>
                <w:szCs w:val="18"/>
              </w:rPr>
            </w:pPr>
            <w:r>
              <w:rPr>
                <w:rFonts w:ascii="Times New Roman" w:hAnsi="Times New Roman"/>
                <w:sz w:val="18"/>
                <w:szCs w:val="18"/>
              </w:rPr>
              <w:t>支持2 000</w:t>
            </w:r>
            <w:r>
              <w:rPr>
                <w:rFonts w:hint="eastAsia" w:ascii="Times New Roman" w:hAnsi="Times New Roman"/>
                <w:sz w:val="18"/>
                <w:szCs w:val="18"/>
              </w:rPr>
              <w:t xml:space="preserve"> m</w:t>
            </w:r>
            <w:r>
              <w:rPr>
                <w:rFonts w:ascii="Times New Roman" w:hAnsi="Times New Roman"/>
                <w:sz w:val="18"/>
                <w:szCs w:val="18"/>
              </w:rPr>
              <w:t>内测距测角，测距精度1</w:t>
            </w:r>
            <w:r>
              <w:rPr>
                <w:rFonts w:hint="eastAsia" w:ascii="Times New Roman" w:hAnsi="Times New Roman"/>
                <w:sz w:val="18"/>
                <w:szCs w:val="18"/>
              </w:rPr>
              <w:t xml:space="preserve"> m</w:t>
            </w:r>
            <w:r>
              <w:rPr>
                <w:rFonts w:ascii="Times New Roman" w:hAnsi="Times New Roman"/>
                <w:sz w:val="18"/>
                <w:szCs w:val="18"/>
              </w:rPr>
              <w:t>，测角精度1°</w:t>
            </w:r>
          </w:p>
        </w:tc>
        <w:tc>
          <w:tcPr>
            <w:tcW w:w="304" w:type="pct"/>
            <w:vAlign w:val="center"/>
          </w:tcPr>
          <w:p>
            <w:pPr>
              <w:contextualSpacing/>
              <w:jc w:val="center"/>
              <w:rPr>
                <w:rFonts w:ascii="Times New Roman" w:hAnsi="Times New Roman"/>
                <w:sz w:val="18"/>
                <w:szCs w:val="18"/>
              </w:rPr>
            </w:pPr>
            <w:r>
              <w:rPr>
                <w:rFonts w:ascii="Times New Roman" w:hAnsi="Times New Roman"/>
                <w:bCs/>
                <w:sz w:val="18"/>
                <w:szCs w:val="18"/>
              </w:rPr>
              <w:t>√</w:t>
            </w:r>
          </w:p>
        </w:tc>
        <w:tc>
          <w:tcPr>
            <w:tcW w:w="299" w:type="pct"/>
            <w:vAlign w:val="center"/>
          </w:tcPr>
          <w:p>
            <w:pPr>
              <w:contextualSpacing/>
              <w:jc w:val="center"/>
              <w:rPr>
                <w:rFonts w:ascii="Times New Roman" w:hAnsi="Times New Roman"/>
                <w:sz w:val="18"/>
                <w:szCs w:val="18"/>
              </w:rPr>
            </w:pPr>
            <w:r>
              <w:rPr>
                <w:rFonts w:ascii="Times New Roman" w:hAnsi="Times New Roman"/>
                <w:bCs/>
                <w:sz w:val="18"/>
                <w:szCs w:val="18"/>
              </w:rPr>
              <w:t>√</w:t>
            </w:r>
          </w:p>
        </w:tc>
        <w:tc>
          <w:tcPr>
            <w:tcW w:w="299" w:type="pct"/>
            <w:vAlign w:val="center"/>
          </w:tcPr>
          <w:p>
            <w:pPr>
              <w:contextualSpacing/>
              <w:jc w:val="center"/>
              <w:rPr>
                <w:rFonts w:ascii="Times New Roman" w:hAnsi="Times New Roman"/>
                <w:sz w:val="18"/>
                <w:szCs w:val="18"/>
              </w:rPr>
            </w:pPr>
            <w:r>
              <w:rPr>
                <w:rFonts w:ascii="Times New Roman" w:hAnsi="Times New Roman"/>
                <w:bCs/>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69" w:type="pct"/>
            <w:vAlign w:val="center"/>
          </w:tcPr>
          <w:p>
            <w:pPr>
              <w:contextualSpacing/>
              <w:jc w:val="center"/>
              <w:rPr>
                <w:rFonts w:ascii="Times New Roman" w:hAnsi="Times New Roman"/>
                <w:sz w:val="18"/>
                <w:szCs w:val="18"/>
              </w:rPr>
            </w:pPr>
            <w:r>
              <w:rPr>
                <w:rFonts w:ascii="Times New Roman" w:hAnsi="Times New Roman"/>
                <w:sz w:val="18"/>
                <w:szCs w:val="18"/>
              </w:rPr>
              <w:t>15</w:t>
            </w:r>
          </w:p>
        </w:tc>
        <w:tc>
          <w:tcPr>
            <w:tcW w:w="359" w:type="pct"/>
            <w:vMerge w:val="continue"/>
            <w:vAlign w:val="center"/>
          </w:tcPr>
          <w:p/>
        </w:tc>
        <w:tc>
          <w:tcPr>
            <w:tcW w:w="517" w:type="pct"/>
            <w:vMerge w:val="continue"/>
            <w:vAlign w:val="center"/>
          </w:tcPr>
          <w:p/>
        </w:tc>
        <w:tc>
          <w:tcPr>
            <w:tcW w:w="611" w:type="pct"/>
            <w:vAlign w:val="center"/>
          </w:tcPr>
          <w:p>
            <w:pPr>
              <w:contextualSpacing/>
              <w:jc w:val="center"/>
              <w:rPr>
                <w:rFonts w:ascii="Times New Roman" w:hAnsi="Times New Roman"/>
                <w:sz w:val="18"/>
                <w:szCs w:val="18"/>
              </w:rPr>
            </w:pPr>
            <w:r>
              <w:rPr>
                <w:rFonts w:ascii="Times New Roman" w:hAnsi="Times New Roman"/>
                <w:sz w:val="18"/>
                <w:szCs w:val="18"/>
              </w:rPr>
              <w:t>水准仪</w:t>
            </w:r>
          </w:p>
        </w:tc>
        <w:tc>
          <w:tcPr>
            <w:tcW w:w="2241" w:type="pct"/>
            <w:vAlign w:val="center"/>
          </w:tcPr>
          <w:p>
            <w:pPr>
              <w:contextualSpacing/>
              <w:jc w:val="left"/>
              <w:rPr>
                <w:rFonts w:ascii="Times New Roman" w:hAnsi="Times New Roman"/>
                <w:sz w:val="18"/>
                <w:szCs w:val="18"/>
              </w:rPr>
            </w:pPr>
            <w:r>
              <w:rPr>
                <w:rFonts w:ascii="Times New Roman" w:hAnsi="Times New Roman"/>
                <w:sz w:val="18"/>
                <w:szCs w:val="18"/>
              </w:rPr>
              <w:t>往返测量偏差±1 mm，放大倍数30X，测距1.6</w:t>
            </w:r>
            <w:r>
              <w:rPr>
                <w:rFonts w:hint="eastAsia" w:ascii="Times New Roman" w:hAnsi="Times New Roman"/>
                <w:sz w:val="18"/>
                <w:szCs w:val="18"/>
              </w:rPr>
              <w:t>-</w:t>
            </w:r>
            <w:r>
              <w:rPr>
                <w:rFonts w:ascii="Times New Roman" w:hAnsi="Times New Roman"/>
                <w:sz w:val="18"/>
                <w:szCs w:val="18"/>
              </w:rPr>
              <w:t>200</w:t>
            </w:r>
            <w:r>
              <w:rPr>
                <w:rFonts w:hint="eastAsia" w:ascii="Times New Roman" w:hAnsi="Times New Roman"/>
                <w:sz w:val="18"/>
                <w:szCs w:val="18"/>
              </w:rPr>
              <w:t xml:space="preserve"> m，</w:t>
            </w:r>
            <w:r>
              <w:rPr>
                <w:rFonts w:ascii="Times New Roman" w:hAnsi="Times New Roman"/>
                <w:sz w:val="18"/>
                <w:szCs w:val="18"/>
              </w:rPr>
              <w:t>工作补偿范围：±15′，安平精度：±0.3″</w:t>
            </w:r>
          </w:p>
        </w:tc>
        <w:tc>
          <w:tcPr>
            <w:tcW w:w="304" w:type="pct"/>
            <w:vAlign w:val="center"/>
          </w:tcPr>
          <w:p>
            <w:pPr>
              <w:contextualSpacing/>
              <w:jc w:val="center"/>
              <w:rPr>
                <w:rFonts w:ascii="Times New Roman" w:hAnsi="Times New Roman"/>
                <w:sz w:val="18"/>
                <w:szCs w:val="18"/>
              </w:rPr>
            </w:pPr>
            <w:r>
              <w:rPr>
                <w:rFonts w:ascii="Times New Roman" w:hAnsi="Times New Roman"/>
                <w:bCs/>
                <w:sz w:val="18"/>
                <w:szCs w:val="18"/>
              </w:rPr>
              <w:t>√</w:t>
            </w:r>
          </w:p>
        </w:tc>
        <w:tc>
          <w:tcPr>
            <w:tcW w:w="299" w:type="pct"/>
            <w:vAlign w:val="center"/>
          </w:tcPr>
          <w:p>
            <w:pPr>
              <w:contextualSpacing/>
              <w:jc w:val="center"/>
              <w:rPr>
                <w:rFonts w:ascii="Times New Roman" w:hAnsi="Times New Roman"/>
                <w:sz w:val="18"/>
                <w:szCs w:val="18"/>
              </w:rPr>
            </w:pPr>
            <w:r>
              <w:rPr>
                <w:rFonts w:ascii="Times New Roman" w:hAnsi="Times New Roman"/>
                <w:bCs/>
                <w:sz w:val="18"/>
                <w:szCs w:val="18"/>
              </w:rPr>
              <w:t>√</w:t>
            </w:r>
          </w:p>
        </w:tc>
        <w:tc>
          <w:tcPr>
            <w:tcW w:w="299" w:type="pct"/>
            <w:vAlign w:val="center"/>
          </w:tcPr>
          <w:p>
            <w:pPr>
              <w:contextualSpacing/>
              <w:jc w:val="center"/>
              <w:rPr>
                <w:rFonts w:ascii="Times New Roman" w:hAnsi="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69" w:type="pct"/>
            <w:vAlign w:val="center"/>
          </w:tcPr>
          <w:p>
            <w:pPr>
              <w:contextualSpacing/>
              <w:jc w:val="center"/>
              <w:rPr>
                <w:rFonts w:ascii="Times New Roman" w:hAnsi="Times New Roman"/>
                <w:sz w:val="18"/>
                <w:szCs w:val="18"/>
              </w:rPr>
            </w:pPr>
            <w:r>
              <w:rPr>
                <w:rFonts w:ascii="Times New Roman" w:hAnsi="Times New Roman"/>
                <w:sz w:val="18"/>
                <w:szCs w:val="18"/>
              </w:rPr>
              <w:t>16</w:t>
            </w:r>
          </w:p>
        </w:tc>
        <w:tc>
          <w:tcPr>
            <w:tcW w:w="359" w:type="pct"/>
            <w:vMerge w:val="continue"/>
            <w:vAlign w:val="center"/>
          </w:tcPr>
          <w:p/>
        </w:tc>
        <w:tc>
          <w:tcPr>
            <w:tcW w:w="517" w:type="pct"/>
            <w:vMerge w:val="continue"/>
            <w:vAlign w:val="center"/>
          </w:tcPr>
          <w:p/>
        </w:tc>
        <w:tc>
          <w:tcPr>
            <w:tcW w:w="611" w:type="pct"/>
            <w:vAlign w:val="center"/>
          </w:tcPr>
          <w:p>
            <w:pPr>
              <w:contextualSpacing/>
              <w:jc w:val="center"/>
              <w:rPr>
                <w:rFonts w:ascii="Times New Roman" w:hAnsi="Times New Roman"/>
                <w:sz w:val="18"/>
                <w:szCs w:val="18"/>
              </w:rPr>
            </w:pPr>
            <w:r>
              <w:rPr>
                <w:rFonts w:ascii="Times New Roman" w:hAnsi="Times New Roman"/>
                <w:sz w:val="18"/>
                <w:szCs w:val="18"/>
              </w:rPr>
              <w:t>手持GPS</w:t>
            </w:r>
          </w:p>
        </w:tc>
        <w:tc>
          <w:tcPr>
            <w:tcW w:w="2241" w:type="pct"/>
            <w:vAlign w:val="center"/>
          </w:tcPr>
          <w:p>
            <w:pPr>
              <w:contextualSpacing/>
              <w:jc w:val="left"/>
              <w:rPr>
                <w:rFonts w:ascii="Times New Roman" w:hAnsi="Times New Roman"/>
                <w:sz w:val="18"/>
                <w:szCs w:val="18"/>
              </w:rPr>
            </w:pPr>
            <w:r>
              <w:rPr>
                <w:rFonts w:ascii="Times New Roman" w:hAnsi="Times New Roman"/>
                <w:sz w:val="18"/>
                <w:szCs w:val="18"/>
              </w:rPr>
              <w:t>定位精度：单点3 m以内，定位类型：GPS、北斗、GPS+北斗</w:t>
            </w:r>
          </w:p>
        </w:tc>
        <w:tc>
          <w:tcPr>
            <w:tcW w:w="304" w:type="pct"/>
            <w:vAlign w:val="center"/>
          </w:tcPr>
          <w:p>
            <w:pPr>
              <w:contextualSpacing/>
              <w:jc w:val="center"/>
              <w:rPr>
                <w:rFonts w:ascii="Times New Roman" w:hAnsi="Times New Roman"/>
                <w:sz w:val="18"/>
                <w:szCs w:val="18"/>
              </w:rPr>
            </w:pPr>
            <w:r>
              <w:rPr>
                <w:rFonts w:ascii="Times New Roman" w:hAnsi="Times New Roman"/>
                <w:bCs/>
                <w:sz w:val="18"/>
                <w:szCs w:val="18"/>
              </w:rPr>
              <w:t>√</w:t>
            </w:r>
          </w:p>
        </w:tc>
        <w:tc>
          <w:tcPr>
            <w:tcW w:w="299" w:type="pct"/>
            <w:vAlign w:val="center"/>
          </w:tcPr>
          <w:p>
            <w:pPr>
              <w:contextualSpacing/>
              <w:jc w:val="center"/>
              <w:rPr>
                <w:rFonts w:ascii="Times New Roman" w:hAnsi="Times New Roman"/>
                <w:sz w:val="18"/>
                <w:szCs w:val="18"/>
              </w:rPr>
            </w:pPr>
            <w:r>
              <w:rPr>
                <w:rFonts w:ascii="Times New Roman" w:hAnsi="Times New Roman"/>
                <w:bCs/>
                <w:sz w:val="18"/>
                <w:szCs w:val="18"/>
              </w:rPr>
              <w:t>√</w:t>
            </w:r>
          </w:p>
        </w:tc>
        <w:tc>
          <w:tcPr>
            <w:tcW w:w="299" w:type="pct"/>
            <w:vAlign w:val="center"/>
          </w:tcPr>
          <w:p>
            <w:pPr>
              <w:contextualSpacing/>
              <w:jc w:val="center"/>
              <w:rPr>
                <w:rFonts w:ascii="Times New Roman" w:hAnsi="Times New Roman"/>
                <w:sz w:val="18"/>
                <w:szCs w:val="18"/>
              </w:rPr>
            </w:pPr>
            <w:r>
              <w:rPr>
                <w:rFonts w:ascii="Times New Roman" w:hAnsi="Times New Roman"/>
                <w:bCs/>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69" w:type="pct"/>
            <w:vAlign w:val="center"/>
          </w:tcPr>
          <w:p>
            <w:pPr>
              <w:contextualSpacing/>
              <w:jc w:val="center"/>
              <w:rPr>
                <w:rFonts w:ascii="Times New Roman" w:hAnsi="Times New Roman"/>
                <w:sz w:val="18"/>
                <w:szCs w:val="18"/>
              </w:rPr>
            </w:pPr>
            <w:r>
              <w:rPr>
                <w:rFonts w:ascii="Times New Roman" w:hAnsi="Times New Roman"/>
                <w:sz w:val="18"/>
                <w:szCs w:val="18"/>
              </w:rPr>
              <w:t>17</w:t>
            </w:r>
          </w:p>
        </w:tc>
        <w:tc>
          <w:tcPr>
            <w:tcW w:w="359" w:type="pct"/>
            <w:vMerge w:val="continue"/>
            <w:vAlign w:val="center"/>
          </w:tcPr>
          <w:p/>
        </w:tc>
        <w:tc>
          <w:tcPr>
            <w:tcW w:w="517" w:type="pct"/>
            <w:vMerge w:val="continue"/>
            <w:vAlign w:val="center"/>
          </w:tcPr>
          <w:p/>
        </w:tc>
        <w:tc>
          <w:tcPr>
            <w:tcW w:w="611" w:type="pct"/>
            <w:vAlign w:val="center"/>
          </w:tcPr>
          <w:p>
            <w:pPr>
              <w:contextualSpacing/>
              <w:jc w:val="center"/>
              <w:rPr>
                <w:rFonts w:ascii="Times New Roman" w:hAnsi="Times New Roman"/>
                <w:sz w:val="18"/>
                <w:szCs w:val="18"/>
              </w:rPr>
            </w:pPr>
            <w:r>
              <w:rPr>
                <w:rFonts w:ascii="Times New Roman" w:hAnsi="Times New Roman"/>
                <w:sz w:val="18"/>
                <w:szCs w:val="18"/>
              </w:rPr>
              <w:t>无人机</w:t>
            </w:r>
          </w:p>
        </w:tc>
        <w:tc>
          <w:tcPr>
            <w:tcW w:w="2241" w:type="pct"/>
            <w:vAlign w:val="center"/>
          </w:tcPr>
          <w:p>
            <w:pPr>
              <w:contextualSpacing/>
              <w:jc w:val="left"/>
              <w:rPr>
                <w:rFonts w:ascii="Times New Roman" w:hAnsi="Times New Roman"/>
                <w:sz w:val="18"/>
                <w:szCs w:val="18"/>
              </w:rPr>
            </w:pPr>
            <w:r>
              <w:rPr>
                <w:rFonts w:ascii="Times New Roman" w:hAnsi="Times New Roman"/>
                <w:sz w:val="18"/>
                <w:szCs w:val="18"/>
              </w:rPr>
              <w:t>国内主流多旋翼飞行平台，支持高清云台拍照、摄像，地面控制设备支持HD实时图传，单电池滞空时间25分钟以上</w:t>
            </w:r>
          </w:p>
        </w:tc>
        <w:tc>
          <w:tcPr>
            <w:tcW w:w="304" w:type="pct"/>
            <w:vAlign w:val="center"/>
          </w:tcPr>
          <w:p>
            <w:pPr>
              <w:contextualSpacing/>
              <w:jc w:val="center"/>
              <w:rPr>
                <w:rFonts w:ascii="Times New Roman" w:hAnsi="Times New Roman"/>
                <w:sz w:val="18"/>
                <w:szCs w:val="18"/>
              </w:rPr>
            </w:pPr>
            <w:r>
              <w:rPr>
                <w:rFonts w:ascii="Times New Roman" w:hAnsi="Times New Roman"/>
                <w:bCs/>
                <w:sz w:val="18"/>
                <w:szCs w:val="18"/>
              </w:rPr>
              <w:t>√</w:t>
            </w:r>
          </w:p>
        </w:tc>
        <w:tc>
          <w:tcPr>
            <w:tcW w:w="299" w:type="pct"/>
            <w:vAlign w:val="center"/>
          </w:tcPr>
          <w:p>
            <w:pPr>
              <w:contextualSpacing/>
              <w:jc w:val="center"/>
              <w:rPr>
                <w:rFonts w:ascii="Times New Roman" w:hAnsi="Times New Roman"/>
                <w:sz w:val="18"/>
                <w:szCs w:val="18"/>
              </w:rPr>
            </w:pPr>
            <w:r>
              <w:rPr>
                <w:rFonts w:ascii="Times New Roman" w:hAnsi="Times New Roman"/>
                <w:bCs/>
                <w:sz w:val="18"/>
                <w:szCs w:val="18"/>
              </w:rPr>
              <w:t>√</w:t>
            </w:r>
          </w:p>
        </w:tc>
        <w:tc>
          <w:tcPr>
            <w:tcW w:w="299" w:type="pct"/>
            <w:vAlign w:val="center"/>
          </w:tcPr>
          <w:p>
            <w:pPr>
              <w:contextualSpacing/>
              <w:jc w:val="center"/>
              <w:rPr>
                <w:rFonts w:ascii="Times New Roman" w:hAnsi="Times New Roman"/>
                <w:sz w:val="18"/>
                <w:szCs w:val="18"/>
              </w:rPr>
            </w:pPr>
            <w:r>
              <w:rPr>
                <w:rFonts w:ascii="Times New Roman" w:hAnsi="Times New Roman"/>
                <w:bCs/>
                <w:sz w:val="18"/>
                <w:szCs w:val="18"/>
              </w:rPr>
              <w:t>选配</w:t>
            </w:r>
          </w:p>
        </w:tc>
      </w:tr>
    </w:tbl>
    <w:p>
      <w:pPr>
        <w:spacing w:before="156" w:beforeLines="50" w:after="156" w:afterLines="50"/>
        <w:jc w:val="center"/>
        <w:rPr>
          <w:rFonts w:ascii="黑体" w:eastAsia="黑体"/>
          <w:szCs w:val="21"/>
        </w:rPr>
      </w:pPr>
      <w:r>
        <w:rPr>
          <w:rFonts w:hint="eastAsia" w:ascii="黑体" w:eastAsia="黑体"/>
          <w:szCs w:val="21"/>
        </w:rPr>
        <w:t>表</w:t>
      </w:r>
      <w:r>
        <w:rPr>
          <w:rFonts w:ascii="黑体" w:eastAsia="黑体"/>
          <w:szCs w:val="21"/>
        </w:rPr>
        <w:t>A.2</w:t>
      </w:r>
      <w:r>
        <w:rPr>
          <w:rFonts w:hint="eastAsia" w:ascii="黑体" w:eastAsia="黑体"/>
          <w:szCs w:val="21"/>
        </w:rPr>
        <w:t>（续）</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6"/>
        <w:gridCol w:w="1018"/>
        <w:gridCol w:w="1466"/>
        <w:gridCol w:w="1732"/>
        <w:gridCol w:w="6354"/>
        <w:gridCol w:w="862"/>
        <w:gridCol w:w="848"/>
        <w:gridCol w:w="8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69" w:type="pct"/>
            <w:vAlign w:val="center"/>
          </w:tcPr>
          <w:p>
            <w:pPr>
              <w:widowControl/>
              <w:contextualSpacing/>
              <w:jc w:val="center"/>
              <w:rPr>
                <w:rFonts w:ascii="Times New Roman" w:hAnsi="Times New Roman" w:cs="宋体"/>
                <w:bCs/>
                <w:kern w:val="0"/>
                <w:sz w:val="18"/>
                <w:szCs w:val="18"/>
              </w:rPr>
            </w:pPr>
            <w:r>
              <w:rPr>
                <w:rFonts w:hint="eastAsia" w:ascii="Times New Roman" w:hAnsi="Times New Roman" w:cs="宋体"/>
                <w:bCs/>
                <w:kern w:val="0"/>
                <w:sz w:val="18"/>
                <w:szCs w:val="18"/>
              </w:rPr>
              <w:t>序号</w:t>
            </w:r>
          </w:p>
        </w:tc>
        <w:tc>
          <w:tcPr>
            <w:tcW w:w="359" w:type="pct"/>
            <w:vAlign w:val="center"/>
          </w:tcPr>
          <w:p>
            <w:pPr>
              <w:widowControl/>
              <w:contextualSpacing/>
              <w:jc w:val="center"/>
              <w:rPr>
                <w:rFonts w:ascii="Times New Roman" w:hAnsi="Times New Roman" w:cs="宋体"/>
                <w:bCs/>
                <w:kern w:val="0"/>
                <w:sz w:val="18"/>
                <w:szCs w:val="18"/>
              </w:rPr>
            </w:pPr>
            <w:r>
              <w:rPr>
                <w:rFonts w:hint="eastAsia" w:ascii="Times New Roman" w:hAnsi="Times New Roman" w:cs="宋体"/>
                <w:bCs/>
                <w:kern w:val="0"/>
                <w:sz w:val="18"/>
                <w:szCs w:val="18"/>
              </w:rPr>
              <w:t>工作场景</w:t>
            </w:r>
          </w:p>
        </w:tc>
        <w:tc>
          <w:tcPr>
            <w:tcW w:w="1128" w:type="pct"/>
            <w:gridSpan w:val="2"/>
            <w:vAlign w:val="center"/>
          </w:tcPr>
          <w:p>
            <w:pPr>
              <w:widowControl/>
              <w:contextualSpacing/>
              <w:jc w:val="center"/>
              <w:rPr>
                <w:rFonts w:ascii="Times New Roman" w:hAnsi="Times New Roman" w:cs="宋体"/>
                <w:bCs/>
                <w:kern w:val="0"/>
                <w:sz w:val="18"/>
                <w:szCs w:val="18"/>
              </w:rPr>
            </w:pPr>
            <w:r>
              <w:rPr>
                <w:rFonts w:hint="eastAsia" w:ascii="Times New Roman" w:hAnsi="Times New Roman" w:cs="宋体"/>
                <w:bCs/>
                <w:kern w:val="0"/>
                <w:sz w:val="18"/>
                <w:szCs w:val="18"/>
              </w:rPr>
              <w:t>建设内容</w:t>
            </w:r>
          </w:p>
        </w:tc>
        <w:tc>
          <w:tcPr>
            <w:tcW w:w="2241" w:type="pct"/>
            <w:vAlign w:val="center"/>
          </w:tcPr>
          <w:p>
            <w:pPr>
              <w:widowControl/>
              <w:contextualSpacing/>
              <w:jc w:val="center"/>
              <w:rPr>
                <w:rFonts w:ascii="Times New Roman" w:hAnsi="Times New Roman" w:cs="宋体"/>
                <w:bCs/>
                <w:kern w:val="0"/>
                <w:sz w:val="18"/>
                <w:szCs w:val="18"/>
              </w:rPr>
            </w:pPr>
            <w:r>
              <w:rPr>
                <w:rFonts w:hint="eastAsia" w:ascii="Times New Roman" w:hAnsi="Times New Roman" w:cs="宋体"/>
                <w:bCs/>
                <w:kern w:val="0"/>
                <w:sz w:val="18"/>
                <w:szCs w:val="18"/>
              </w:rPr>
              <w:t>最低配置要求</w:t>
            </w:r>
          </w:p>
        </w:tc>
        <w:tc>
          <w:tcPr>
            <w:tcW w:w="304" w:type="pct"/>
            <w:vAlign w:val="center"/>
          </w:tcPr>
          <w:p>
            <w:pPr>
              <w:widowControl/>
              <w:contextualSpacing/>
              <w:jc w:val="center"/>
              <w:rPr>
                <w:rFonts w:ascii="Times New Roman" w:hAnsi="Times New Roman" w:cs="宋体"/>
                <w:bCs/>
                <w:kern w:val="0"/>
                <w:sz w:val="18"/>
                <w:szCs w:val="18"/>
              </w:rPr>
            </w:pPr>
            <w:r>
              <w:rPr>
                <w:rFonts w:hint="eastAsia" w:ascii="Times New Roman" w:hAnsi="Times New Roman" w:cs="宋体"/>
                <w:bCs/>
                <w:kern w:val="0"/>
                <w:sz w:val="18"/>
                <w:szCs w:val="18"/>
              </w:rPr>
              <w:t>省级</w:t>
            </w:r>
          </w:p>
        </w:tc>
        <w:tc>
          <w:tcPr>
            <w:tcW w:w="299" w:type="pct"/>
            <w:vAlign w:val="center"/>
          </w:tcPr>
          <w:p>
            <w:pPr>
              <w:widowControl/>
              <w:contextualSpacing/>
              <w:jc w:val="center"/>
              <w:rPr>
                <w:rFonts w:ascii="Times New Roman" w:hAnsi="Times New Roman" w:cs="宋体"/>
                <w:bCs/>
                <w:kern w:val="0"/>
                <w:sz w:val="18"/>
                <w:szCs w:val="18"/>
              </w:rPr>
            </w:pPr>
            <w:r>
              <w:rPr>
                <w:rFonts w:hint="eastAsia" w:ascii="Times New Roman" w:hAnsi="Times New Roman" w:cs="宋体"/>
                <w:bCs/>
                <w:kern w:val="0"/>
                <w:sz w:val="18"/>
                <w:szCs w:val="18"/>
              </w:rPr>
              <w:t>市级</w:t>
            </w:r>
          </w:p>
        </w:tc>
        <w:tc>
          <w:tcPr>
            <w:tcW w:w="299" w:type="pct"/>
            <w:vAlign w:val="center"/>
          </w:tcPr>
          <w:p>
            <w:pPr>
              <w:widowControl/>
              <w:contextualSpacing/>
              <w:jc w:val="center"/>
              <w:rPr>
                <w:rFonts w:ascii="Times New Roman" w:hAnsi="Times New Roman" w:cs="宋体"/>
                <w:bCs/>
                <w:kern w:val="0"/>
                <w:sz w:val="18"/>
                <w:szCs w:val="18"/>
              </w:rPr>
            </w:pPr>
            <w:r>
              <w:rPr>
                <w:rFonts w:hint="eastAsia" w:ascii="Times New Roman" w:hAnsi="Times New Roman" w:cs="宋体"/>
                <w:bCs/>
                <w:kern w:val="0"/>
                <w:sz w:val="18"/>
                <w:szCs w:val="18"/>
              </w:rPr>
              <w:t>县级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69" w:type="pct"/>
            <w:vAlign w:val="center"/>
          </w:tcPr>
          <w:p>
            <w:pPr>
              <w:contextualSpacing/>
              <w:jc w:val="center"/>
              <w:rPr>
                <w:rFonts w:ascii="Times New Roman" w:hAnsi="Times New Roman" w:cs="宋体"/>
                <w:sz w:val="18"/>
                <w:szCs w:val="18"/>
              </w:rPr>
            </w:pPr>
            <w:r>
              <w:rPr>
                <w:rFonts w:ascii="Times New Roman" w:hAnsi="Times New Roman" w:cs="宋体"/>
                <w:sz w:val="18"/>
                <w:szCs w:val="18"/>
              </w:rPr>
              <w:t>18</w:t>
            </w:r>
          </w:p>
        </w:tc>
        <w:tc>
          <w:tcPr>
            <w:tcW w:w="359" w:type="pct"/>
            <w:vMerge w:val="restart"/>
            <w:vAlign w:val="center"/>
          </w:tcPr>
          <w:p>
            <w:pPr>
              <w:contextualSpacing/>
              <w:jc w:val="center"/>
              <w:rPr>
                <w:rFonts w:ascii="Times New Roman" w:hAnsi="Times New Roman" w:cs="宋体"/>
                <w:sz w:val="18"/>
                <w:szCs w:val="18"/>
              </w:rPr>
            </w:pPr>
            <w:r>
              <w:rPr>
                <w:rFonts w:hint="eastAsia" w:ascii="Times New Roman" w:hAnsi="Times New Roman" w:cs="宋体"/>
                <w:sz w:val="18"/>
                <w:szCs w:val="18"/>
              </w:rPr>
              <w:t>灾害现场</w:t>
            </w:r>
          </w:p>
        </w:tc>
        <w:tc>
          <w:tcPr>
            <w:tcW w:w="517" w:type="pct"/>
            <w:vMerge w:val="restart"/>
            <w:vAlign w:val="center"/>
          </w:tcPr>
          <w:p>
            <w:pPr>
              <w:contextualSpacing/>
              <w:jc w:val="center"/>
              <w:rPr>
                <w:rFonts w:ascii="Times New Roman" w:hAnsi="Times New Roman" w:cs="宋体"/>
                <w:sz w:val="18"/>
                <w:szCs w:val="18"/>
              </w:rPr>
            </w:pPr>
            <w:r>
              <w:rPr>
                <w:rFonts w:hint="eastAsia" w:ascii="Times New Roman" w:hAnsi="Times New Roman" w:cs="宋体"/>
                <w:sz w:val="18"/>
                <w:szCs w:val="18"/>
              </w:rPr>
              <w:t>调查设备</w:t>
            </w:r>
          </w:p>
        </w:tc>
        <w:tc>
          <w:tcPr>
            <w:tcW w:w="611" w:type="pct"/>
            <w:vAlign w:val="center"/>
          </w:tcPr>
          <w:p>
            <w:pPr>
              <w:contextualSpacing/>
              <w:jc w:val="center"/>
              <w:rPr>
                <w:rFonts w:ascii="Times New Roman" w:hAnsi="Times New Roman" w:cs="宋体"/>
                <w:bCs/>
                <w:sz w:val="18"/>
                <w:szCs w:val="18"/>
              </w:rPr>
            </w:pPr>
            <w:r>
              <w:rPr>
                <w:rFonts w:hint="eastAsia" w:ascii="Times New Roman" w:hAnsi="Times New Roman" w:cs="宋体"/>
                <w:bCs/>
                <w:sz w:val="18"/>
                <w:szCs w:val="18"/>
              </w:rPr>
              <w:t>三维激光扫描</w:t>
            </w:r>
          </w:p>
        </w:tc>
        <w:tc>
          <w:tcPr>
            <w:tcW w:w="2241" w:type="pct"/>
            <w:vAlign w:val="center"/>
          </w:tcPr>
          <w:p>
            <w:pPr>
              <w:contextualSpacing/>
              <w:jc w:val="left"/>
              <w:rPr>
                <w:rFonts w:ascii="Times New Roman" w:hAnsi="Times New Roman" w:cs="宋体"/>
                <w:bCs/>
                <w:sz w:val="18"/>
                <w:szCs w:val="18"/>
              </w:rPr>
            </w:pPr>
            <w:r>
              <w:rPr>
                <w:rFonts w:hint="eastAsia" w:ascii="Times New Roman" w:hAnsi="Times New Roman" w:cs="宋体"/>
                <w:bCs/>
                <w:sz w:val="18"/>
                <w:szCs w:val="18"/>
              </w:rPr>
              <w:t>国内主流厂商三维激光扫描设备，满足调查工作的各项要求</w:t>
            </w:r>
          </w:p>
        </w:tc>
        <w:tc>
          <w:tcPr>
            <w:tcW w:w="304" w:type="pct"/>
            <w:vAlign w:val="center"/>
          </w:tcPr>
          <w:p>
            <w:pPr>
              <w:contextualSpacing/>
              <w:jc w:val="center"/>
              <w:rPr>
                <w:rFonts w:ascii="Times New Roman" w:hAnsi="Times New Roman" w:cs="宋体"/>
                <w:bCs/>
                <w:sz w:val="18"/>
                <w:szCs w:val="18"/>
              </w:rPr>
            </w:pPr>
            <w:r>
              <w:rPr>
                <w:rFonts w:hint="eastAsia" w:ascii="Times New Roman" w:hAnsi="Times New Roman" w:cs="宋体"/>
                <w:bCs/>
                <w:sz w:val="18"/>
                <w:szCs w:val="18"/>
              </w:rPr>
              <w:t>√</w:t>
            </w:r>
          </w:p>
        </w:tc>
        <w:tc>
          <w:tcPr>
            <w:tcW w:w="299" w:type="pct"/>
            <w:vAlign w:val="center"/>
          </w:tcPr>
          <w:p>
            <w:pPr>
              <w:contextualSpacing/>
              <w:jc w:val="center"/>
              <w:rPr>
                <w:rFonts w:ascii="Times New Roman" w:hAnsi="Times New Roman" w:cs="宋体"/>
                <w:bCs/>
                <w:sz w:val="18"/>
                <w:szCs w:val="18"/>
              </w:rPr>
            </w:pPr>
            <w:r>
              <w:rPr>
                <w:rFonts w:hint="eastAsia" w:ascii="Times New Roman" w:hAnsi="Times New Roman" w:cs="宋体"/>
                <w:bCs/>
                <w:sz w:val="18"/>
                <w:szCs w:val="18"/>
              </w:rPr>
              <w:t>选配</w:t>
            </w:r>
          </w:p>
        </w:tc>
        <w:tc>
          <w:tcPr>
            <w:tcW w:w="299" w:type="pct"/>
            <w:vAlign w:val="center"/>
          </w:tcPr>
          <w:p>
            <w:pPr>
              <w:contextualSpacing/>
              <w:jc w:val="center"/>
              <w:rPr>
                <w:rFonts w:ascii="Times New Roman" w:hAnsi="Times New Roman" w:cs="宋体"/>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69" w:type="pct"/>
            <w:vAlign w:val="center"/>
          </w:tcPr>
          <w:p>
            <w:pPr>
              <w:contextualSpacing/>
              <w:jc w:val="center"/>
              <w:rPr>
                <w:rFonts w:ascii="Times New Roman" w:hAnsi="Times New Roman" w:cs="宋体"/>
                <w:sz w:val="18"/>
                <w:szCs w:val="18"/>
              </w:rPr>
            </w:pPr>
            <w:r>
              <w:rPr>
                <w:rFonts w:ascii="Times New Roman" w:hAnsi="Times New Roman" w:cs="宋体"/>
                <w:sz w:val="18"/>
                <w:szCs w:val="18"/>
              </w:rPr>
              <w:t>19</w:t>
            </w:r>
          </w:p>
        </w:tc>
        <w:tc>
          <w:tcPr>
            <w:tcW w:w="359" w:type="pct"/>
            <w:vMerge w:val="continue"/>
            <w:vAlign w:val="center"/>
          </w:tcPr>
          <w:p/>
        </w:tc>
        <w:tc>
          <w:tcPr>
            <w:tcW w:w="517" w:type="pct"/>
            <w:vMerge w:val="continue"/>
            <w:vAlign w:val="center"/>
          </w:tcPr>
          <w:p/>
        </w:tc>
        <w:tc>
          <w:tcPr>
            <w:tcW w:w="611" w:type="pct"/>
            <w:vAlign w:val="center"/>
          </w:tcPr>
          <w:p>
            <w:pPr>
              <w:contextualSpacing/>
              <w:jc w:val="center"/>
              <w:rPr>
                <w:rFonts w:ascii="Times New Roman" w:hAnsi="Times New Roman" w:cs="宋体"/>
                <w:bCs/>
                <w:sz w:val="18"/>
                <w:szCs w:val="18"/>
              </w:rPr>
            </w:pPr>
            <w:r>
              <w:rPr>
                <w:rFonts w:hint="eastAsia" w:ascii="Times New Roman" w:hAnsi="Times New Roman" w:cs="宋体"/>
                <w:bCs/>
                <w:sz w:val="18"/>
                <w:szCs w:val="18"/>
              </w:rPr>
              <w:t>地质雷达探测仪</w:t>
            </w:r>
          </w:p>
        </w:tc>
        <w:tc>
          <w:tcPr>
            <w:tcW w:w="2241" w:type="pct"/>
            <w:vAlign w:val="center"/>
          </w:tcPr>
          <w:p>
            <w:pPr>
              <w:contextualSpacing/>
              <w:jc w:val="left"/>
              <w:rPr>
                <w:rFonts w:ascii="Times New Roman" w:hAnsi="Times New Roman" w:cs="宋体"/>
                <w:bCs/>
                <w:sz w:val="18"/>
                <w:szCs w:val="18"/>
              </w:rPr>
            </w:pPr>
            <w:r>
              <w:rPr>
                <w:rFonts w:hint="eastAsia" w:ascii="Times New Roman" w:hAnsi="Times New Roman" w:cs="宋体"/>
                <w:bCs/>
                <w:sz w:val="18"/>
                <w:szCs w:val="18"/>
              </w:rPr>
              <w:t>国内主流厂商地质雷达设备，满足调查工作的各项要求</w:t>
            </w:r>
          </w:p>
        </w:tc>
        <w:tc>
          <w:tcPr>
            <w:tcW w:w="304" w:type="pct"/>
            <w:vAlign w:val="center"/>
          </w:tcPr>
          <w:p>
            <w:pPr>
              <w:contextualSpacing/>
              <w:jc w:val="center"/>
              <w:rPr>
                <w:rFonts w:ascii="Times New Roman" w:hAnsi="Times New Roman" w:cs="宋体"/>
                <w:bCs/>
                <w:sz w:val="18"/>
                <w:szCs w:val="18"/>
              </w:rPr>
            </w:pPr>
            <w:r>
              <w:rPr>
                <w:rFonts w:hint="eastAsia" w:ascii="Times New Roman" w:hAnsi="Times New Roman" w:cs="宋体"/>
                <w:bCs/>
                <w:sz w:val="18"/>
                <w:szCs w:val="18"/>
              </w:rPr>
              <w:t>√</w:t>
            </w:r>
          </w:p>
        </w:tc>
        <w:tc>
          <w:tcPr>
            <w:tcW w:w="299" w:type="pct"/>
            <w:vAlign w:val="center"/>
          </w:tcPr>
          <w:p>
            <w:pPr>
              <w:contextualSpacing/>
              <w:jc w:val="center"/>
              <w:rPr>
                <w:rFonts w:ascii="Times New Roman" w:hAnsi="Times New Roman" w:cs="宋体"/>
                <w:bCs/>
                <w:sz w:val="18"/>
                <w:szCs w:val="18"/>
              </w:rPr>
            </w:pPr>
            <w:r>
              <w:rPr>
                <w:rFonts w:hint="eastAsia" w:ascii="Times New Roman" w:hAnsi="Times New Roman" w:cs="宋体"/>
                <w:bCs/>
                <w:sz w:val="18"/>
                <w:szCs w:val="18"/>
              </w:rPr>
              <w:t>选配</w:t>
            </w:r>
          </w:p>
        </w:tc>
        <w:tc>
          <w:tcPr>
            <w:tcW w:w="299" w:type="pct"/>
            <w:vAlign w:val="center"/>
          </w:tcPr>
          <w:p>
            <w:pPr>
              <w:contextualSpacing/>
              <w:jc w:val="center"/>
              <w:rPr>
                <w:rFonts w:ascii="Times New Roman" w:hAnsi="Times New Roman" w:cs="宋体"/>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69" w:type="pct"/>
            <w:vAlign w:val="center"/>
          </w:tcPr>
          <w:p>
            <w:pPr>
              <w:contextualSpacing/>
              <w:jc w:val="center"/>
              <w:rPr>
                <w:rFonts w:ascii="Times New Roman" w:hAnsi="Times New Roman" w:cs="宋体"/>
                <w:sz w:val="18"/>
                <w:szCs w:val="18"/>
              </w:rPr>
            </w:pPr>
            <w:r>
              <w:rPr>
                <w:rFonts w:ascii="Times New Roman" w:hAnsi="Times New Roman" w:cs="宋体"/>
                <w:sz w:val="18"/>
                <w:szCs w:val="18"/>
              </w:rPr>
              <w:t>20</w:t>
            </w:r>
          </w:p>
        </w:tc>
        <w:tc>
          <w:tcPr>
            <w:tcW w:w="359" w:type="pct"/>
            <w:vMerge w:val="continue"/>
            <w:vAlign w:val="center"/>
          </w:tcPr>
          <w:p/>
        </w:tc>
        <w:tc>
          <w:tcPr>
            <w:tcW w:w="517" w:type="pct"/>
            <w:vMerge w:val="continue"/>
            <w:vAlign w:val="center"/>
          </w:tcPr>
          <w:p/>
        </w:tc>
        <w:tc>
          <w:tcPr>
            <w:tcW w:w="611" w:type="pct"/>
            <w:vAlign w:val="center"/>
          </w:tcPr>
          <w:p>
            <w:pPr>
              <w:contextualSpacing/>
              <w:jc w:val="center"/>
              <w:rPr>
                <w:rFonts w:ascii="Times New Roman" w:hAnsi="Times New Roman" w:cs="宋体"/>
                <w:sz w:val="18"/>
                <w:szCs w:val="18"/>
              </w:rPr>
            </w:pPr>
            <w:r>
              <w:rPr>
                <w:rFonts w:hint="eastAsia" w:ascii="Times New Roman" w:hAnsi="Times New Roman" w:cs="宋体"/>
                <w:sz w:val="18"/>
                <w:szCs w:val="18"/>
              </w:rPr>
              <w:t>背包式</w:t>
            </w:r>
            <w:r>
              <w:rPr>
                <w:rFonts w:ascii="Times New Roman" w:hAnsi="Times New Roman" w:cs="宋体"/>
                <w:sz w:val="18"/>
                <w:szCs w:val="18"/>
              </w:rPr>
              <w:t>钻机</w:t>
            </w:r>
          </w:p>
        </w:tc>
        <w:tc>
          <w:tcPr>
            <w:tcW w:w="2241" w:type="pct"/>
            <w:vAlign w:val="center"/>
          </w:tcPr>
          <w:p>
            <w:pPr>
              <w:contextualSpacing/>
              <w:jc w:val="left"/>
              <w:rPr>
                <w:rFonts w:ascii="Times New Roman" w:hAnsi="Times New Roman" w:cs="宋体"/>
                <w:sz w:val="18"/>
                <w:szCs w:val="18"/>
              </w:rPr>
            </w:pPr>
            <w:r>
              <w:rPr>
                <w:rFonts w:hint="eastAsia" w:ascii="Times New Roman" w:hAnsi="Times New Roman" w:cs="宋体"/>
                <w:bCs/>
                <w:sz w:val="18"/>
                <w:szCs w:val="18"/>
              </w:rPr>
              <w:t>国内主流厂商背包式</w:t>
            </w:r>
            <w:r>
              <w:rPr>
                <w:rFonts w:ascii="Times New Roman" w:hAnsi="Times New Roman" w:cs="宋体"/>
                <w:bCs/>
                <w:sz w:val="18"/>
                <w:szCs w:val="18"/>
              </w:rPr>
              <w:t>钻机</w:t>
            </w:r>
            <w:r>
              <w:rPr>
                <w:rFonts w:hint="eastAsia" w:ascii="Times New Roman" w:hAnsi="Times New Roman" w:cs="宋体"/>
                <w:bCs/>
                <w:sz w:val="18"/>
                <w:szCs w:val="18"/>
              </w:rPr>
              <w:t>设备，满足调查工作的各项要求</w:t>
            </w:r>
          </w:p>
        </w:tc>
        <w:tc>
          <w:tcPr>
            <w:tcW w:w="304" w:type="pct"/>
            <w:vAlign w:val="center"/>
          </w:tcPr>
          <w:p>
            <w:pPr>
              <w:contextualSpacing/>
              <w:jc w:val="center"/>
              <w:rPr>
                <w:rFonts w:ascii="Times New Roman" w:hAnsi="Times New Roman" w:cs="宋体"/>
                <w:bCs/>
                <w:sz w:val="18"/>
                <w:szCs w:val="18"/>
              </w:rPr>
            </w:pPr>
            <w:r>
              <w:rPr>
                <w:rFonts w:hint="eastAsia" w:ascii="Times New Roman" w:hAnsi="Times New Roman" w:cs="宋体"/>
                <w:bCs/>
                <w:sz w:val="18"/>
                <w:szCs w:val="18"/>
              </w:rPr>
              <w:t>√</w:t>
            </w:r>
          </w:p>
        </w:tc>
        <w:tc>
          <w:tcPr>
            <w:tcW w:w="299" w:type="pct"/>
            <w:vAlign w:val="center"/>
          </w:tcPr>
          <w:p>
            <w:pPr>
              <w:contextualSpacing/>
              <w:jc w:val="center"/>
              <w:rPr>
                <w:rFonts w:ascii="Times New Roman" w:hAnsi="Times New Roman" w:cs="宋体"/>
                <w:bCs/>
                <w:sz w:val="18"/>
                <w:szCs w:val="18"/>
              </w:rPr>
            </w:pPr>
            <w:r>
              <w:rPr>
                <w:rFonts w:hint="eastAsia" w:ascii="Times New Roman" w:hAnsi="Times New Roman" w:cs="宋体"/>
                <w:bCs/>
                <w:sz w:val="18"/>
                <w:szCs w:val="18"/>
              </w:rPr>
              <w:t>选配</w:t>
            </w:r>
          </w:p>
        </w:tc>
        <w:tc>
          <w:tcPr>
            <w:tcW w:w="299" w:type="pct"/>
            <w:vAlign w:val="center"/>
          </w:tcPr>
          <w:p>
            <w:pPr>
              <w:contextualSpacing/>
              <w:jc w:val="center"/>
              <w:rPr>
                <w:rFonts w:ascii="Times New Roman" w:hAnsi="Times New Roman" w:cs="宋体"/>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69" w:type="pct"/>
            <w:vAlign w:val="center"/>
          </w:tcPr>
          <w:p>
            <w:pPr>
              <w:contextualSpacing/>
              <w:jc w:val="center"/>
              <w:rPr>
                <w:rFonts w:ascii="Times New Roman" w:hAnsi="Times New Roman" w:cs="宋体"/>
                <w:sz w:val="18"/>
                <w:szCs w:val="18"/>
              </w:rPr>
            </w:pPr>
            <w:r>
              <w:rPr>
                <w:rFonts w:ascii="Times New Roman" w:hAnsi="Times New Roman" w:cs="宋体"/>
                <w:sz w:val="18"/>
                <w:szCs w:val="18"/>
              </w:rPr>
              <w:t>21</w:t>
            </w:r>
          </w:p>
        </w:tc>
        <w:tc>
          <w:tcPr>
            <w:tcW w:w="359" w:type="pct"/>
            <w:vMerge w:val="continue"/>
            <w:vAlign w:val="center"/>
          </w:tcPr>
          <w:p/>
        </w:tc>
        <w:tc>
          <w:tcPr>
            <w:tcW w:w="517" w:type="pct"/>
            <w:vMerge w:val="continue"/>
            <w:vAlign w:val="center"/>
          </w:tcPr>
          <w:p/>
        </w:tc>
        <w:tc>
          <w:tcPr>
            <w:tcW w:w="611" w:type="pct"/>
            <w:vAlign w:val="center"/>
          </w:tcPr>
          <w:p>
            <w:pPr>
              <w:contextualSpacing/>
              <w:jc w:val="center"/>
              <w:rPr>
                <w:rFonts w:ascii="Times New Roman" w:hAnsi="Times New Roman" w:cs="宋体"/>
                <w:sz w:val="18"/>
                <w:szCs w:val="18"/>
              </w:rPr>
            </w:pPr>
            <w:r>
              <w:rPr>
                <w:rFonts w:hint="eastAsia" w:ascii="Times New Roman" w:hAnsi="Times New Roman" w:cs="宋体"/>
                <w:sz w:val="18"/>
                <w:szCs w:val="18"/>
              </w:rPr>
              <w:t>地质罗盘</w:t>
            </w:r>
          </w:p>
        </w:tc>
        <w:tc>
          <w:tcPr>
            <w:tcW w:w="2241" w:type="pct"/>
            <w:vAlign w:val="center"/>
          </w:tcPr>
          <w:p>
            <w:pPr>
              <w:contextualSpacing/>
              <w:jc w:val="left"/>
              <w:rPr>
                <w:rFonts w:ascii="Times New Roman" w:hAnsi="Times New Roman" w:cs="宋体"/>
                <w:sz w:val="18"/>
                <w:szCs w:val="18"/>
              </w:rPr>
            </w:pPr>
            <w:r>
              <w:rPr>
                <w:rFonts w:hint="eastAsia" w:ascii="Times New Roman" w:hAnsi="Times New Roman" w:cs="宋体"/>
                <w:sz w:val="18"/>
                <w:szCs w:val="18"/>
              </w:rPr>
              <w:t>内置磁针、水平仪和倾斜仪，数据易读</w:t>
            </w:r>
          </w:p>
        </w:tc>
        <w:tc>
          <w:tcPr>
            <w:tcW w:w="304" w:type="pct"/>
            <w:vAlign w:val="center"/>
          </w:tcPr>
          <w:p>
            <w:pPr>
              <w:contextualSpacing/>
              <w:jc w:val="center"/>
              <w:rPr>
                <w:rFonts w:ascii="Times New Roman" w:hAnsi="Times New Roman" w:cs="宋体"/>
                <w:sz w:val="18"/>
                <w:szCs w:val="18"/>
              </w:rPr>
            </w:pPr>
            <w:r>
              <w:rPr>
                <w:rFonts w:hint="eastAsia" w:ascii="Times New Roman" w:hAnsi="Times New Roman" w:cs="宋体"/>
                <w:bCs/>
                <w:sz w:val="18"/>
                <w:szCs w:val="18"/>
              </w:rPr>
              <w:t>√</w:t>
            </w:r>
          </w:p>
        </w:tc>
        <w:tc>
          <w:tcPr>
            <w:tcW w:w="299" w:type="pct"/>
            <w:vAlign w:val="center"/>
          </w:tcPr>
          <w:p>
            <w:pPr>
              <w:contextualSpacing/>
              <w:jc w:val="center"/>
              <w:rPr>
                <w:rFonts w:ascii="Times New Roman" w:hAnsi="Times New Roman" w:cs="宋体"/>
                <w:sz w:val="18"/>
                <w:szCs w:val="18"/>
              </w:rPr>
            </w:pPr>
            <w:r>
              <w:rPr>
                <w:rFonts w:hint="eastAsia" w:ascii="Times New Roman" w:hAnsi="Times New Roman" w:cs="宋体"/>
                <w:bCs/>
                <w:sz w:val="18"/>
                <w:szCs w:val="18"/>
              </w:rPr>
              <w:t>√</w:t>
            </w:r>
          </w:p>
        </w:tc>
        <w:tc>
          <w:tcPr>
            <w:tcW w:w="299" w:type="pct"/>
            <w:vAlign w:val="center"/>
          </w:tcPr>
          <w:p>
            <w:pPr>
              <w:contextualSpacing/>
              <w:jc w:val="center"/>
              <w:rPr>
                <w:rFonts w:ascii="Times New Roman" w:hAnsi="Times New Roman" w:cs="宋体"/>
                <w:sz w:val="18"/>
                <w:szCs w:val="18"/>
              </w:rPr>
            </w:pPr>
            <w:r>
              <w:rPr>
                <w:rFonts w:hint="eastAsia" w:ascii="Times New Roman" w:hAnsi="Times New Roman" w:cs="宋体"/>
                <w:bCs/>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69" w:type="pct"/>
            <w:vAlign w:val="center"/>
          </w:tcPr>
          <w:p>
            <w:pPr>
              <w:contextualSpacing/>
              <w:jc w:val="center"/>
              <w:rPr>
                <w:rFonts w:ascii="Times New Roman" w:hAnsi="Times New Roman" w:cs="宋体"/>
                <w:sz w:val="18"/>
                <w:szCs w:val="18"/>
              </w:rPr>
            </w:pPr>
            <w:r>
              <w:rPr>
                <w:rFonts w:ascii="Times New Roman" w:hAnsi="Times New Roman" w:cs="宋体"/>
                <w:sz w:val="18"/>
                <w:szCs w:val="18"/>
              </w:rPr>
              <w:t>22</w:t>
            </w:r>
          </w:p>
        </w:tc>
        <w:tc>
          <w:tcPr>
            <w:tcW w:w="359" w:type="pct"/>
            <w:vMerge w:val="continue"/>
            <w:vAlign w:val="center"/>
          </w:tcPr>
          <w:p/>
        </w:tc>
        <w:tc>
          <w:tcPr>
            <w:tcW w:w="517" w:type="pct"/>
            <w:vMerge w:val="restart"/>
            <w:vAlign w:val="center"/>
          </w:tcPr>
          <w:p>
            <w:pPr>
              <w:contextualSpacing/>
              <w:jc w:val="center"/>
              <w:rPr>
                <w:rFonts w:ascii="Times New Roman" w:hAnsi="Times New Roman" w:cs="宋体"/>
                <w:sz w:val="18"/>
                <w:szCs w:val="18"/>
              </w:rPr>
            </w:pPr>
            <w:r>
              <w:rPr>
                <w:rFonts w:hint="eastAsia" w:ascii="Times New Roman" w:hAnsi="Times New Roman" w:cs="宋体"/>
                <w:sz w:val="18"/>
                <w:szCs w:val="18"/>
              </w:rPr>
              <w:t>监测设备</w:t>
            </w:r>
          </w:p>
        </w:tc>
        <w:tc>
          <w:tcPr>
            <w:tcW w:w="611" w:type="pct"/>
            <w:vAlign w:val="center"/>
          </w:tcPr>
          <w:p>
            <w:pPr>
              <w:contextualSpacing/>
              <w:jc w:val="center"/>
              <w:rPr>
                <w:rFonts w:ascii="Times New Roman" w:hAnsi="Times New Roman" w:cs="宋体"/>
                <w:sz w:val="18"/>
                <w:szCs w:val="18"/>
              </w:rPr>
            </w:pPr>
            <w:r>
              <w:rPr>
                <w:rFonts w:hint="eastAsia" w:ascii="Times New Roman" w:hAnsi="Times New Roman" w:cs="宋体"/>
                <w:sz w:val="18"/>
                <w:szCs w:val="18"/>
              </w:rPr>
              <w:t>自动全站仪</w:t>
            </w:r>
          </w:p>
        </w:tc>
        <w:tc>
          <w:tcPr>
            <w:tcW w:w="2241" w:type="pct"/>
            <w:vAlign w:val="center"/>
          </w:tcPr>
          <w:p>
            <w:pPr>
              <w:contextualSpacing/>
              <w:jc w:val="left"/>
              <w:rPr>
                <w:rFonts w:ascii="Times New Roman" w:hAnsi="Times New Roman" w:cs="宋体"/>
                <w:sz w:val="18"/>
                <w:szCs w:val="18"/>
              </w:rPr>
            </w:pPr>
            <w:r>
              <w:rPr>
                <w:rFonts w:hint="eastAsia" w:ascii="Times New Roman" w:hAnsi="Times New Roman" w:cs="宋体"/>
                <w:sz w:val="18"/>
                <w:szCs w:val="18"/>
              </w:rPr>
              <w:t>自动目标识别：</w:t>
            </w:r>
            <w:r>
              <w:rPr>
                <w:rFonts w:ascii="Times New Roman" w:hAnsi="Times New Roman" w:cs="宋体"/>
                <w:sz w:val="18"/>
                <w:szCs w:val="18"/>
              </w:rPr>
              <w:t>3</w:t>
            </w:r>
            <w:r>
              <w:rPr>
                <w:rFonts w:hint="eastAsia" w:ascii="Times New Roman" w:hAnsi="Times New Roman" w:cs="宋体"/>
                <w:sz w:val="18"/>
                <w:szCs w:val="18"/>
              </w:rPr>
              <w:t xml:space="preserve"> </w:t>
            </w:r>
            <w:r>
              <w:rPr>
                <w:rFonts w:ascii="Times New Roman" w:hAnsi="Times New Roman" w:cs="宋体"/>
                <w:sz w:val="18"/>
                <w:szCs w:val="18"/>
              </w:rPr>
              <w:t>000</w:t>
            </w:r>
            <w:r>
              <w:rPr>
                <w:rFonts w:hint="eastAsia" w:ascii="Times New Roman" w:hAnsi="Times New Roman" w:cs="宋体"/>
                <w:sz w:val="18"/>
                <w:szCs w:val="18"/>
              </w:rPr>
              <w:t xml:space="preserve"> m及以上，自动识别定位精度：±</w:t>
            </w:r>
            <w:r>
              <w:rPr>
                <w:rFonts w:ascii="Times New Roman" w:hAnsi="Times New Roman" w:cs="宋体"/>
                <w:sz w:val="18"/>
                <w:szCs w:val="18"/>
              </w:rPr>
              <w:t>1</w:t>
            </w:r>
            <w:r>
              <w:rPr>
                <w:rFonts w:hint="eastAsia" w:ascii="Times New Roman" w:hAnsi="Times New Roman" w:cs="宋体"/>
                <w:sz w:val="18"/>
                <w:szCs w:val="18"/>
              </w:rPr>
              <w:t xml:space="preserve"> </w:t>
            </w:r>
            <w:r>
              <w:rPr>
                <w:rFonts w:ascii="Times New Roman" w:hAnsi="Times New Roman" w:cs="宋体"/>
                <w:sz w:val="18"/>
                <w:szCs w:val="18"/>
              </w:rPr>
              <w:t>mm</w:t>
            </w:r>
            <w:r>
              <w:rPr>
                <w:rFonts w:hint="eastAsia" w:ascii="Times New Roman" w:hAnsi="Times New Roman" w:cs="宋体"/>
                <w:sz w:val="18"/>
                <w:szCs w:val="18"/>
              </w:rPr>
              <w:t>，测角精度：</w:t>
            </w:r>
            <w:r>
              <w:rPr>
                <w:rFonts w:ascii="Times New Roman" w:hAnsi="Times New Roman" w:cs="宋体"/>
                <w:sz w:val="18"/>
                <w:szCs w:val="18"/>
              </w:rPr>
              <w:t>0.5</w:t>
            </w:r>
            <w:r>
              <w:t>°</w:t>
            </w:r>
            <w:r>
              <w:rPr>
                <w:rFonts w:hint="eastAsia" w:ascii="Times New Roman" w:hAnsi="Times New Roman" w:cs="宋体"/>
                <w:sz w:val="18"/>
                <w:szCs w:val="18"/>
              </w:rPr>
              <w:t>，测距标准精度：±</w:t>
            </w:r>
            <w:r>
              <w:rPr>
                <w:rFonts w:ascii="Times New Roman" w:hAnsi="Times New Roman" w:cs="宋体"/>
                <w:sz w:val="18"/>
                <w:szCs w:val="18"/>
              </w:rPr>
              <w:t>0.6</w:t>
            </w:r>
            <w:r>
              <w:rPr>
                <w:rFonts w:hint="eastAsia" w:ascii="Times New Roman" w:hAnsi="Times New Roman" w:cs="宋体"/>
                <w:sz w:val="18"/>
                <w:szCs w:val="18"/>
              </w:rPr>
              <w:t xml:space="preserve"> </w:t>
            </w:r>
            <w:r>
              <w:rPr>
                <w:rFonts w:ascii="Times New Roman" w:hAnsi="Times New Roman" w:cs="宋体"/>
                <w:sz w:val="18"/>
                <w:szCs w:val="18"/>
              </w:rPr>
              <w:t xml:space="preserve">mm </w:t>
            </w:r>
          </w:p>
        </w:tc>
        <w:tc>
          <w:tcPr>
            <w:tcW w:w="304" w:type="pct"/>
            <w:vAlign w:val="center"/>
          </w:tcPr>
          <w:p>
            <w:pPr>
              <w:contextualSpacing/>
              <w:jc w:val="center"/>
              <w:rPr>
                <w:rFonts w:ascii="Times New Roman" w:hAnsi="Times New Roman" w:cs="宋体"/>
                <w:sz w:val="18"/>
                <w:szCs w:val="18"/>
              </w:rPr>
            </w:pPr>
            <w:r>
              <w:rPr>
                <w:rFonts w:hint="eastAsia" w:ascii="Times New Roman" w:hAnsi="Times New Roman" w:cs="宋体"/>
                <w:bCs/>
                <w:sz w:val="18"/>
                <w:szCs w:val="18"/>
              </w:rPr>
              <w:t>√</w:t>
            </w:r>
          </w:p>
        </w:tc>
        <w:tc>
          <w:tcPr>
            <w:tcW w:w="299" w:type="pct"/>
            <w:vAlign w:val="center"/>
          </w:tcPr>
          <w:p>
            <w:pPr>
              <w:contextualSpacing/>
              <w:jc w:val="center"/>
              <w:rPr>
                <w:rFonts w:ascii="Times New Roman" w:hAnsi="Times New Roman" w:cs="宋体"/>
                <w:sz w:val="18"/>
                <w:szCs w:val="18"/>
              </w:rPr>
            </w:pPr>
            <w:r>
              <w:rPr>
                <w:rFonts w:hint="eastAsia" w:ascii="Times New Roman" w:hAnsi="Times New Roman" w:cs="宋体"/>
                <w:bCs/>
                <w:sz w:val="18"/>
                <w:szCs w:val="18"/>
              </w:rPr>
              <w:t>√</w:t>
            </w:r>
          </w:p>
        </w:tc>
        <w:tc>
          <w:tcPr>
            <w:tcW w:w="299" w:type="pct"/>
            <w:vAlign w:val="center"/>
          </w:tcPr>
          <w:p>
            <w:pPr>
              <w:ind w:firstLine="90" w:firstLineChars="50"/>
              <w:contextualSpacing/>
              <w:jc w:val="center"/>
              <w:rPr>
                <w:rFonts w:ascii="Times New Roman" w:hAnsi="Times New Roman"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69" w:type="pct"/>
            <w:vAlign w:val="center"/>
          </w:tcPr>
          <w:p>
            <w:pPr>
              <w:contextualSpacing/>
              <w:jc w:val="center"/>
              <w:rPr>
                <w:rFonts w:ascii="Times New Roman" w:hAnsi="Times New Roman" w:cs="宋体"/>
                <w:sz w:val="18"/>
                <w:szCs w:val="18"/>
              </w:rPr>
            </w:pPr>
            <w:r>
              <w:rPr>
                <w:rFonts w:ascii="Times New Roman" w:hAnsi="Times New Roman" w:cs="宋体"/>
                <w:sz w:val="18"/>
                <w:szCs w:val="18"/>
              </w:rPr>
              <w:t>23</w:t>
            </w:r>
          </w:p>
        </w:tc>
        <w:tc>
          <w:tcPr>
            <w:tcW w:w="359" w:type="pct"/>
            <w:vMerge w:val="continue"/>
            <w:vAlign w:val="center"/>
          </w:tcPr>
          <w:p/>
        </w:tc>
        <w:tc>
          <w:tcPr>
            <w:tcW w:w="517" w:type="pct"/>
            <w:vMerge w:val="continue"/>
            <w:vAlign w:val="center"/>
          </w:tcPr>
          <w:p/>
        </w:tc>
        <w:tc>
          <w:tcPr>
            <w:tcW w:w="611" w:type="pct"/>
            <w:vAlign w:val="center"/>
          </w:tcPr>
          <w:p>
            <w:pPr>
              <w:contextualSpacing/>
              <w:jc w:val="center"/>
              <w:rPr>
                <w:rFonts w:ascii="Times New Roman" w:hAnsi="Times New Roman" w:cs="宋体"/>
                <w:sz w:val="18"/>
                <w:szCs w:val="18"/>
              </w:rPr>
            </w:pPr>
            <w:r>
              <w:rPr>
                <w:rFonts w:hint="eastAsia" w:ascii="Times New Roman" w:hAnsi="Times New Roman" w:cs="宋体"/>
                <w:sz w:val="18"/>
                <w:szCs w:val="18"/>
              </w:rPr>
              <w:t>土壤含水率测定仪</w:t>
            </w:r>
          </w:p>
        </w:tc>
        <w:tc>
          <w:tcPr>
            <w:tcW w:w="2241" w:type="pct"/>
          </w:tcPr>
          <w:p>
            <w:pPr>
              <w:contextualSpacing/>
              <w:jc w:val="left"/>
              <w:rPr>
                <w:rFonts w:ascii="Times New Roman" w:hAnsi="Times New Roman" w:cs="宋体"/>
                <w:sz w:val="18"/>
                <w:szCs w:val="18"/>
              </w:rPr>
            </w:pPr>
            <w:r>
              <w:rPr>
                <w:rFonts w:hint="eastAsia" w:ascii="Times New Roman" w:hAnsi="Times New Roman" w:cs="宋体"/>
                <w:sz w:val="18"/>
                <w:szCs w:val="18"/>
              </w:rPr>
              <w:t>土壤温度技术参数：测试范围：</w:t>
            </w:r>
            <w:r>
              <w:rPr>
                <w:rFonts w:ascii="Times New Roman" w:hAnsi="Times New Roman" w:cs="宋体"/>
                <w:sz w:val="18"/>
                <w:szCs w:val="18"/>
              </w:rPr>
              <w:t>-40</w:t>
            </w:r>
            <w:r>
              <w:rPr>
                <w:rFonts w:hint="eastAsia" w:ascii="Times New Roman" w:hAnsi="Times New Roman" w:cs="宋体"/>
                <w:sz w:val="18"/>
                <w:szCs w:val="18"/>
              </w:rPr>
              <w:t>℃～</w:t>
            </w:r>
            <w:r>
              <w:rPr>
                <w:rFonts w:ascii="Times New Roman" w:hAnsi="Times New Roman" w:cs="宋体"/>
                <w:sz w:val="18"/>
                <w:szCs w:val="18"/>
              </w:rPr>
              <w:t>100</w:t>
            </w:r>
            <w:r>
              <w:rPr>
                <w:rFonts w:hint="eastAsia" w:ascii="Times New Roman" w:hAnsi="Times New Roman" w:cs="宋体"/>
                <w:sz w:val="18"/>
                <w:szCs w:val="18"/>
              </w:rPr>
              <w:t>℃，分辨率：</w:t>
            </w:r>
            <w:r>
              <w:rPr>
                <w:rFonts w:ascii="Times New Roman" w:hAnsi="Times New Roman" w:cs="宋体"/>
                <w:sz w:val="18"/>
                <w:szCs w:val="18"/>
              </w:rPr>
              <w:t>0.1</w:t>
            </w:r>
            <w:r>
              <w:rPr>
                <w:rFonts w:hint="eastAsia" w:ascii="Times New Roman" w:hAnsi="Times New Roman" w:cs="宋体"/>
                <w:sz w:val="18"/>
                <w:szCs w:val="18"/>
              </w:rPr>
              <w:t>℃</w:t>
            </w:r>
          </w:p>
          <w:p>
            <w:pPr>
              <w:contextualSpacing/>
              <w:jc w:val="left"/>
              <w:rPr>
                <w:rFonts w:ascii="Times New Roman" w:hAnsi="Times New Roman" w:cs="宋体"/>
                <w:sz w:val="18"/>
                <w:szCs w:val="18"/>
              </w:rPr>
            </w:pPr>
            <w:r>
              <w:rPr>
                <w:rFonts w:hint="eastAsia" w:ascii="Times New Roman" w:hAnsi="Times New Roman" w:cs="宋体"/>
                <w:sz w:val="18"/>
                <w:szCs w:val="18"/>
              </w:rPr>
              <w:t>土壤水分技术参数：土壤水分分辨率：</w:t>
            </w:r>
            <w:r>
              <w:rPr>
                <w:rFonts w:ascii="Times New Roman" w:hAnsi="Times New Roman" w:cs="宋体"/>
                <w:sz w:val="18"/>
                <w:szCs w:val="18"/>
              </w:rPr>
              <w:t>0.1%</w:t>
            </w:r>
            <w:r>
              <w:rPr>
                <w:rFonts w:hint="eastAsia" w:ascii="Times New Roman" w:hAnsi="Times New Roman" w:cs="宋体"/>
                <w:sz w:val="18"/>
                <w:szCs w:val="18"/>
              </w:rPr>
              <w:t>，含水率测试范围：</w:t>
            </w:r>
            <w:r>
              <w:rPr>
                <w:rFonts w:ascii="Times New Roman" w:hAnsi="Times New Roman" w:cs="宋体"/>
                <w:sz w:val="18"/>
                <w:szCs w:val="18"/>
              </w:rPr>
              <w:t>0</w:t>
            </w:r>
            <w:r>
              <w:rPr>
                <w:rFonts w:hint="eastAsia" w:ascii="Times New Roman" w:hAnsi="Times New Roman" w:cs="宋体"/>
                <w:sz w:val="18"/>
                <w:szCs w:val="18"/>
              </w:rPr>
              <w:t>-</w:t>
            </w:r>
            <w:r>
              <w:rPr>
                <w:rFonts w:ascii="Times New Roman" w:hAnsi="Times New Roman" w:cs="宋体"/>
                <w:sz w:val="18"/>
                <w:szCs w:val="18"/>
              </w:rPr>
              <w:t>100%</w:t>
            </w:r>
          </w:p>
        </w:tc>
        <w:tc>
          <w:tcPr>
            <w:tcW w:w="304" w:type="pct"/>
            <w:vAlign w:val="center"/>
          </w:tcPr>
          <w:p>
            <w:pPr>
              <w:contextualSpacing/>
              <w:jc w:val="center"/>
              <w:rPr>
                <w:rFonts w:ascii="Times New Roman" w:hAnsi="Times New Roman" w:cs="宋体"/>
                <w:sz w:val="18"/>
                <w:szCs w:val="18"/>
              </w:rPr>
            </w:pPr>
            <w:r>
              <w:rPr>
                <w:rFonts w:hint="eastAsia" w:ascii="Times New Roman" w:hAnsi="Times New Roman" w:cs="宋体"/>
                <w:bCs/>
                <w:sz w:val="18"/>
                <w:szCs w:val="18"/>
              </w:rPr>
              <w:t>√</w:t>
            </w:r>
          </w:p>
        </w:tc>
        <w:tc>
          <w:tcPr>
            <w:tcW w:w="299" w:type="pct"/>
            <w:vAlign w:val="center"/>
          </w:tcPr>
          <w:p>
            <w:pPr>
              <w:contextualSpacing/>
              <w:jc w:val="center"/>
              <w:rPr>
                <w:rFonts w:ascii="Times New Roman" w:hAnsi="Times New Roman" w:cs="宋体"/>
                <w:sz w:val="18"/>
                <w:szCs w:val="18"/>
              </w:rPr>
            </w:pPr>
            <w:r>
              <w:rPr>
                <w:rFonts w:hint="eastAsia" w:ascii="Times New Roman" w:hAnsi="Times New Roman" w:cs="宋体"/>
                <w:bCs/>
                <w:sz w:val="18"/>
                <w:szCs w:val="18"/>
              </w:rPr>
              <w:t>√</w:t>
            </w:r>
          </w:p>
        </w:tc>
        <w:tc>
          <w:tcPr>
            <w:tcW w:w="299" w:type="pct"/>
            <w:vAlign w:val="center"/>
          </w:tcPr>
          <w:p>
            <w:pPr>
              <w:contextualSpacing/>
              <w:jc w:val="center"/>
              <w:rPr>
                <w:rFonts w:ascii="Times New Roman" w:hAnsi="Times New Roman"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69" w:type="pct"/>
            <w:vAlign w:val="center"/>
          </w:tcPr>
          <w:p>
            <w:pPr>
              <w:contextualSpacing/>
              <w:jc w:val="center"/>
              <w:rPr>
                <w:rFonts w:ascii="Times New Roman" w:hAnsi="Times New Roman" w:cs="宋体"/>
                <w:sz w:val="18"/>
                <w:szCs w:val="18"/>
              </w:rPr>
            </w:pPr>
            <w:r>
              <w:rPr>
                <w:rFonts w:ascii="Times New Roman" w:hAnsi="Times New Roman" w:cs="宋体"/>
                <w:sz w:val="18"/>
                <w:szCs w:val="18"/>
              </w:rPr>
              <w:t>24</w:t>
            </w:r>
          </w:p>
        </w:tc>
        <w:tc>
          <w:tcPr>
            <w:tcW w:w="359" w:type="pct"/>
            <w:vMerge w:val="continue"/>
            <w:vAlign w:val="center"/>
          </w:tcPr>
          <w:p/>
        </w:tc>
        <w:tc>
          <w:tcPr>
            <w:tcW w:w="517" w:type="pct"/>
            <w:vMerge w:val="continue"/>
            <w:vAlign w:val="center"/>
          </w:tcPr>
          <w:p/>
        </w:tc>
        <w:tc>
          <w:tcPr>
            <w:tcW w:w="611" w:type="pct"/>
            <w:vAlign w:val="center"/>
          </w:tcPr>
          <w:p>
            <w:pPr>
              <w:contextualSpacing/>
              <w:jc w:val="center"/>
              <w:rPr>
                <w:rFonts w:ascii="Times New Roman" w:hAnsi="Times New Roman" w:cs="宋体"/>
                <w:sz w:val="18"/>
                <w:szCs w:val="18"/>
              </w:rPr>
            </w:pPr>
            <w:r>
              <w:rPr>
                <w:rFonts w:hint="eastAsia" w:ascii="Times New Roman" w:hAnsi="Times New Roman" w:cs="宋体"/>
                <w:sz w:val="18"/>
                <w:szCs w:val="18"/>
              </w:rPr>
              <w:t>倾角加速度计</w:t>
            </w:r>
          </w:p>
        </w:tc>
        <w:tc>
          <w:tcPr>
            <w:tcW w:w="2241" w:type="pct"/>
            <w:vAlign w:val="center"/>
          </w:tcPr>
          <w:p>
            <w:pPr>
              <w:contextualSpacing/>
              <w:jc w:val="left"/>
              <w:rPr>
                <w:rFonts w:ascii="Times New Roman" w:hAnsi="Times New Roman" w:cs="宋体"/>
                <w:sz w:val="18"/>
                <w:szCs w:val="18"/>
              </w:rPr>
            </w:pPr>
            <w:r>
              <w:rPr>
                <w:rFonts w:hint="eastAsia" w:ascii="Times New Roman" w:hAnsi="Times New Roman" w:cs="宋体"/>
                <w:sz w:val="18"/>
                <w:szCs w:val="18"/>
              </w:rPr>
              <w:t>一体化设备，低成本、低功耗、易安装。</w:t>
            </w:r>
          </w:p>
        </w:tc>
        <w:tc>
          <w:tcPr>
            <w:tcW w:w="304" w:type="pct"/>
            <w:vAlign w:val="center"/>
          </w:tcPr>
          <w:p>
            <w:pPr>
              <w:contextualSpacing/>
              <w:jc w:val="center"/>
              <w:rPr>
                <w:rFonts w:ascii="Times New Roman" w:hAnsi="Times New Roman" w:cs="宋体"/>
                <w:sz w:val="18"/>
                <w:szCs w:val="18"/>
              </w:rPr>
            </w:pPr>
            <w:r>
              <w:rPr>
                <w:rFonts w:hint="eastAsia" w:ascii="Times New Roman" w:hAnsi="Times New Roman" w:cs="宋体"/>
                <w:bCs/>
                <w:sz w:val="18"/>
                <w:szCs w:val="18"/>
              </w:rPr>
              <w:t>√</w:t>
            </w:r>
          </w:p>
        </w:tc>
        <w:tc>
          <w:tcPr>
            <w:tcW w:w="299" w:type="pct"/>
            <w:vAlign w:val="center"/>
          </w:tcPr>
          <w:p>
            <w:pPr>
              <w:contextualSpacing/>
              <w:jc w:val="center"/>
              <w:rPr>
                <w:rFonts w:ascii="Times New Roman" w:hAnsi="Times New Roman" w:cs="宋体"/>
                <w:sz w:val="18"/>
                <w:szCs w:val="18"/>
              </w:rPr>
            </w:pPr>
            <w:r>
              <w:rPr>
                <w:rFonts w:hint="eastAsia" w:ascii="Times New Roman" w:hAnsi="Times New Roman" w:cs="宋体"/>
                <w:bCs/>
                <w:sz w:val="18"/>
                <w:szCs w:val="18"/>
              </w:rPr>
              <w:t>√</w:t>
            </w:r>
          </w:p>
        </w:tc>
        <w:tc>
          <w:tcPr>
            <w:tcW w:w="299" w:type="pct"/>
            <w:vAlign w:val="center"/>
          </w:tcPr>
          <w:p>
            <w:pPr>
              <w:contextualSpacing/>
              <w:jc w:val="center"/>
              <w:rPr>
                <w:rFonts w:ascii="Times New Roman" w:hAnsi="Times New Roman"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69" w:type="pct"/>
            <w:vAlign w:val="center"/>
          </w:tcPr>
          <w:p>
            <w:pPr>
              <w:contextualSpacing/>
              <w:jc w:val="center"/>
              <w:rPr>
                <w:rFonts w:ascii="Times New Roman" w:hAnsi="Times New Roman" w:cs="宋体"/>
                <w:sz w:val="18"/>
                <w:szCs w:val="18"/>
              </w:rPr>
            </w:pPr>
            <w:r>
              <w:rPr>
                <w:rFonts w:ascii="Times New Roman" w:hAnsi="Times New Roman" w:cs="宋体"/>
                <w:sz w:val="18"/>
                <w:szCs w:val="18"/>
              </w:rPr>
              <w:t>25</w:t>
            </w:r>
          </w:p>
        </w:tc>
        <w:tc>
          <w:tcPr>
            <w:tcW w:w="359" w:type="pct"/>
            <w:vMerge w:val="continue"/>
            <w:vAlign w:val="center"/>
          </w:tcPr>
          <w:p/>
        </w:tc>
        <w:tc>
          <w:tcPr>
            <w:tcW w:w="517" w:type="pct"/>
            <w:vMerge w:val="continue"/>
            <w:vAlign w:val="center"/>
          </w:tcPr>
          <w:p/>
        </w:tc>
        <w:tc>
          <w:tcPr>
            <w:tcW w:w="611" w:type="pct"/>
            <w:vAlign w:val="center"/>
          </w:tcPr>
          <w:p>
            <w:pPr>
              <w:contextualSpacing/>
              <w:jc w:val="center"/>
              <w:rPr>
                <w:rFonts w:ascii="Times New Roman" w:hAnsi="Times New Roman" w:cs="宋体"/>
                <w:sz w:val="18"/>
                <w:szCs w:val="18"/>
              </w:rPr>
            </w:pPr>
            <w:r>
              <w:rPr>
                <w:rFonts w:hint="eastAsia" w:ascii="Times New Roman" w:hAnsi="Times New Roman" w:cs="宋体"/>
                <w:sz w:val="18"/>
                <w:szCs w:val="18"/>
              </w:rPr>
              <w:t>自动位移计</w:t>
            </w:r>
          </w:p>
        </w:tc>
        <w:tc>
          <w:tcPr>
            <w:tcW w:w="2241" w:type="pct"/>
            <w:vAlign w:val="center"/>
          </w:tcPr>
          <w:p>
            <w:pPr>
              <w:contextualSpacing/>
              <w:jc w:val="left"/>
              <w:rPr>
                <w:rFonts w:ascii="Times New Roman" w:hAnsi="Times New Roman" w:cs="宋体"/>
                <w:sz w:val="18"/>
                <w:szCs w:val="18"/>
              </w:rPr>
            </w:pPr>
            <w:r>
              <w:rPr>
                <w:rFonts w:hint="eastAsia" w:ascii="Times New Roman" w:hAnsi="Times New Roman" w:cs="宋体"/>
                <w:sz w:val="18"/>
                <w:szCs w:val="18"/>
              </w:rPr>
              <w:t>测量范围：</w:t>
            </w:r>
            <w:r>
              <w:rPr>
                <w:rFonts w:ascii="Times New Roman" w:hAnsi="Times New Roman" w:cs="宋体"/>
                <w:sz w:val="18"/>
                <w:szCs w:val="18"/>
              </w:rPr>
              <w:t>0-50</w:t>
            </w:r>
            <w:r>
              <w:rPr>
                <w:rFonts w:hint="eastAsia" w:ascii="Times New Roman" w:hAnsi="Times New Roman" w:cs="宋体"/>
                <w:sz w:val="18"/>
                <w:szCs w:val="18"/>
              </w:rPr>
              <w:t xml:space="preserve"> </w:t>
            </w:r>
            <w:r>
              <w:rPr>
                <w:rFonts w:ascii="Times New Roman" w:hAnsi="Times New Roman" w:cs="宋体"/>
                <w:sz w:val="18"/>
                <w:szCs w:val="18"/>
              </w:rPr>
              <w:t>mm</w:t>
            </w:r>
            <w:r>
              <w:rPr>
                <w:rFonts w:hint="eastAsia" w:ascii="Times New Roman" w:hAnsi="Times New Roman" w:cs="宋体"/>
                <w:sz w:val="18"/>
                <w:szCs w:val="18"/>
              </w:rPr>
              <w:t>，精度±</w:t>
            </w:r>
            <w:r>
              <w:rPr>
                <w:rFonts w:ascii="Times New Roman" w:hAnsi="Times New Roman" w:cs="宋体"/>
                <w:sz w:val="18"/>
                <w:szCs w:val="18"/>
              </w:rPr>
              <w:t xml:space="preserve">0.1 </w:t>
            </w:r>
            <w:r>
              <w:rPr>
                <w:rFonts w:hint="eastAsia" w:ascii="Times New Roman" w:hAnsi="Times New Roman" w:cs="宋体"/>
                <w:sz w:val="18"/>
                <w:szCs w:val="18"/>
              </w:rPr>
              <w:t>mm</w:t>
            </w:r>
          </w:p>
        </w:tc>
        <w:tc>
          <w:tcPr>
            <w:tcW w:w="304" w:type="pct"/>
            <w:vAlign w:val="center"/>
          </w:tcPr>
          <w:p>
            <w:pPr>
              <w:contextualSpacing/>
              <w:jc w:val="center"/>
              <w:rPr>
                <w:rFonts w:ascii="Times New Roman" w:hAnsi="Times New Roman" w:cs="宋体"/>
                <w:sz w:val="18"/>
                <w:szCs w:val="18"/>
              </w:rPr>
            </w:pPr>
            <w:r>
              <w:rPr>
                <w:rFonts w:hint="eastAsia" w:ascii="Times New Roman" w:hAnsi="Times New Roman" w:cs="宋体"/>
                <w:bCs/>
                <w:sz w:val="18"/>
                <w:szCs w:val="18"/>
              </w:rPr>
              <w:t>√</w:t>
            </w:r>
          </w:p>
        </w:tc>
        <w:tc>
          <w:tcPr>
            <w:tcW w:w="299" w:type="pct"/>
            <w:vAlign w:val="center"/>
          </w:tcPr>
          <w:p>
            <w:pPr>
              <w:contextualSpacing/>
              <w:jc w:val="center"/>
              <w:rPr>
                <w:rFonts w:ascii="Times New Roman" w:hAnsi="Times New Roman" w:cs="宋体"/>
                <w:sz w:val="18"/>
                <w:szCs w:val="18"/>
              </w:rPr>
            </w:pPr>
            <w:r>
              <w:rPr>
                <w:rFonts w:hint="eastAsia" w:ascii="Times New Roman" w:hAnsi="Times New Roman" w:cs="宋体"/>
                <w:bCs/>
                <w:sz w:val="18"/>
                <w:szCs w:val="18"/>
              </w:rPr>
              <w:t>√</w:t>
            </w:r>
          </w:p>
        </w:tc>
        <w:tc>
          <w:tcPr>
            <w:tcW w:w="299" w:type="pct"/>
            <w:vAlign w:val="center"/>
          </w:tcPr>
          <w:p>
            <w:pPr>
              <w:contextualSpacing/>
              <w:jc w:val="center"/>
              <w:rPr>
                <w:rFonts w:ascii="Times New Roman" w:hAnsi="Times New Roman"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69" w:type="pct"/>
            <w:vAlign w:val="center"/>
          </w:tcPr>
          <w:p>
            <w:pPr>
              <w:contextualSpacing/>
              <w:jc w:val="center"/>
              <w:rPr>
                <w:rFonts w:ascii="Times New Roman" w:hAnsi="Times New Roman" w:cs="宋体"/>
                <w:sz w:val="18"/>
                <w:szCs w:val="18"/>
              </w:rPr>
            </w:pPr>
            <w:r>
              <w:rPr>
                <w:rFonts w:ascii="Times New Roman" w:hAnsi="Times New Roman" w:cs="宋体"/>
                <w:sz w:val="18"/>
                <w:szCs w:val="18"/>
              </w:rPr>
              <w:t>26</w:t>
            </w:r>
          </w:p>
        </w:tc>
        <w:tc>
          <w:tcPr>
            <w:tcW w:w="359" w:type="pct"/>
            <w:vMerge w:val="continue"/>
            <w:vAlign w:val="center"/>
          </w:tcPr>
          <w:p/>
        </w:tc>
        <w:tc>
          <w:tcPr>
            <w:tcW w:w="517" w:type="pct"/>
            <w:vMerge w:val="continue"/>
            <w:vAlign w:val="center"/>
          </w:tcPr>
          <w:p/>
        </w:tc>
        <w:tc>
          <w:tcPr>
            <w:tcW w:w="611" w:type="pct"/>
            <w:vAlign w:val="center"/>
          </w:tcPr>
          <w:p>
            <w:pPr>
              <w:contextualSpacing/>
              <w:jc w:val="center"/>
              <w:rPr>
                <w:rFonts w:ascii="Times New Roman" w:hAnsi="Times New Roman" w:cs="宋体"/>
                <w:sz w:val="18"/>
                <w:szCs w:val="18"/>
              </w:rPr>
            </w:pPr>
            <w:r>
              <w:rPr>
                <w:rFonts w:hint="eastAsia" w:ascii="Times New Roman" w:hAnsi="Times New Roman" w:cs="宋体"/>
                <w:sz w:val="18"/>
                <w:szCs w:val="18"/>
              </w:rPr>
              <w:t>自动雨量仪</w:t>
            </w:r>
          </w:p>
        </w:tc>
        <w:tc>
          <w:tcPr>
            <w:tcW w:w="2241" w:type="pct"/>
            <w:vAlign w:val="center"/>
          </w:tcPr>
          <w:p>
            <w:pPr>
              <w:contextualSpacing/>
              <w:jc w:val="left"/>
              <w:rPr>
                <w:rFonts w:ascii="Times New Roman" w:hAnsi="Times New Roman" w:cs="宋体"/>
                <w:sz w:val="18"/>
                <w:szCs w:val="18"/>
              </w:rPr>
            </w:pPr>
            <w:r>
              <w:rPr>
                <w:rFonts w:hint="eastAsia" w:ascii="Times New Roman" w:hAnsi="Times New Roman" w:cs="宋体"/>
                <w:sz w:val="18"/>
                <w:szCs w:val="18"/>
              </w:rPr>
              <w:t>测量范围：</w:t>
            </w:r>
            <w:r>
              <w:rPr>
                <w:rFonts w:ascii="Times New Roman" w:hAnsi="Times New Roman" w:cs="宋体"/>
                <w:sz w:val="18"/>
                <w:szCs w:val="18"/>
              </w:rPr>
              <w:t>0</w:t>
            </w:r>
            <w:r>
              <w:rPr>
                <w:rFonts w:hint="eastAsia" w:ascii="Times New Roman" w:hAnsi="Times New Roman" w:cs="宋体"/>
                <w:sz w:val="18"/>
                <w:szCs w:val="18"/>
              </w:rPr>
              <w:t>-</w:t>
            </w:r>
            <w:r>
              <w:rPr>
                <w:rFonts w:ascii="Times New Roman" w:hAnsi="Times New Roman" w:cs="宋体"/>
                <w:sz w:val="18"/>
                <w:szCs w:val="18"/>
              </w:rPr>
              <w:t>999.9</w:t>
            </w:r>
            <w:r>
              <w:rPr>
                <w:rFonts w:hint="eastAsia" w:ascii="Times New Roman" w:hAnsi="Times New Roman" w:cs="宋体"/>
                <w:sz w:val="18"/>
                <w:szCs w:val="18"/>
              </w:rPr>
              <w:t xml:space="preserve"> </w:t>
            </w:r>
            <w:r>
              <w:rPr>
                <w:rFonts w:ascii="Times New Roman" w:hAnsi="Times New Roman" w:cs="宋体"/>
                <w:sz w:val="18"/>
                <w:szCs w:val="18"/>
              </w:rPr>
              <w:t>mm</w:t>
            </w:r>
            <w:r>
              <w:rPr>
                <w:rFonts w:hint="eastAsia" w:ascii="Times New Roman" w:hAnsi="Times New Roman" w:cs="宋体"/>
                <w:sz w:val="18"/>
                <w:szCs w:val="18"/>
              </w:rPr>
              <w:t>，分辨率</w:t>
            </w:r>
            <w:r>
              <w:rPr>
                <w:rFonts w:ascii="Times New Roman" w:hAnsi="Times New Roman" w:cs="宋体"/>
                <w:sz w:val="18"/>
                <w:szCs w:val="18"/>
              </w:rPr>
              <w:t>:0.2</w:t>
            </w:r>
            <w:r>
              <w:rPr>
                <w:rFonts w:hint="eastAsia" w:ascii="Times New Roman" w:hAnsi="Times New Roman" w:cs="宋体"/>
                <w:sz w:val="18"/>
                <w:szCs w:val="18"/>
              </w:rPr>
              <w:t xml:space="preserve"> </w:t>
            </w:r>
            <w:r>
              <w:rPr>
                <w:rFonts w:ascii="Times New Roman" w:hAnsi="Times New Roman" w:cs="宋体"/>
                <w:sz w:val="18"/>
                <w:szCs w:val="18"/>
              </w:rPr>
              <w:t>mm</w:t>
            </w:r>
            <w:r>
              <w:rPr>
                <w:rFonts w:hint="eastAsia" w:ascii="Times New Roman" w:hAnsi="Times New Roman" w:cs="宋体"/>
                <w:sz w:val="18"/>
                <w:szCs w:val="18"/>
              </w:rPr>
              <w:t>，准确度</w:t>
            </w:r>
            <w:r>
              <w:rPr>
                <w:rFonts w:ascii="Times New Roman" w:hAnsi="Times New Roman" w:cs="宋体"/>
                <w:sz w:val="18"/>
                <w:szCs w:val="18"/>
              </w:rPr>
              <w:t>:</w:t>
            </w:r>
            <w:r>
              <w:rPr>
                <w:rFonts w:hint="eastAsia" w:ascii="Times New Roman" w:hAnsi="Times New Roman" w:cs="宋体"/>
                <w:sz w:val="18"/>
                <w:szCs w:val="18"/>
              </w:rPr>
              <w:t>±</w:t>
            </w:r>
            <w:r>
              <w:rPr>
                <w:rFonts w:ascii="Times New Roman" w:hAnsi="Times New Roman" w:cs="宋体"/>
                <w:sz w:val="18"/>
                <w:szCs w:val="18"/>
              </w:rPr>
              <w:t>0.3</w:t>
            </w:r>
            <w:r>
              <w:rPr>
                <w:rFonts w:hint="eastAsia" w:ascii="Times New Roman" w:hAnsi="Times New Roman" w:cs="宋体"/>
                <w:sz w:val="18"/>
                <w:szCs w:val="18"/>
              </w:rPr>
              <w:t xml:space="preserve"> </w:t>
            </w:r>
            <w:r>
              <w:rPr>
                <w:rFonts w:ascii="Times New Roman" w:hAnsi="Times New Roman" w:cs="宋体"/>
                <w:sz w:val="18"/>
                <w:szCs w:val="18"/>
              </w:rPr>
              <w:t>mm</w:t>
            </w:r>
          </w:p>
        </w:tc>
        <w:tc>
          <w:tcPr>
            <w:tcW w:w="304" w:type="pct"/>
            <w:vAlign w:val="center"/>
          </w:tcPr>
          <w:p>
            <w:pPr>
              <w:contextualSpacing/>
              <w:jc w:val="center"/>
              <w:rPr>
                <w:rFonts w:ascii="Times New Roman" w:hAnsi="Times New Roman" w:cs="宋体"/>
                <w:sz w:val="18"/>
                <w:szCs w:val="18"/>
              </w:rPr>
            </w:pPr>
            <w:r>
              <w:rPr>
                <w:rFonts w:hint="eastAsia" w:ascii="Times New Roman" w:hAnsi="Times New Roman" w:cs="宋体"/>
                <w:bCs/>
                <w:sz w:val="18"/>
                <w:szCs w:val="18"/>
              </w:rPr>
              <w:t>√</w:t>
            </w:r>
          </w:p>
        </w:tc>
        <w:tc>
          <w:tcPr>
            <w:tcW w:w="299" w:type="pct"/>
            <w:vAlign w:val="center"/>
          </w:tcPr>
          <w:p>
            <w:pPr>
              <w:contextualSpacing/>
              <w:jc w:val="center"/>
              <w:rPr>
                <w:rFonts w:ascii="Times New Roman" w:hAnsi="Times New Roman" w:cs="宋体"/>
                <w:sz w:val="18"/>
                <w:szCs w:val="18"/>
              </w:rPr>
            </w:pPr>
            <w:r>
              <w:rPr>
                <w:rFonts w:hint="eastAsia" w:ascii="Times New Roman" w:hAnsi="Times New Roman" w:cs="宋体"/>
                <w:bCs/>
                <w:sz w:val="18"/>
                <w:szCs w:val="18"/>
              </w:rPr>
              <w:t>√</w:t>
            </w:r>
          </w:p>
        </w:tc>
        <w:tc>
          <w:tcPr>
            <w:tcW w:w="299" w:type="pct"/>
            <w:vAlign w:val="center"/>
          </w:tcPr>
          <w:p>
            <w:pPr>
              <w:contextualSpacing/>
              <w:jc w:val="center"/>
              <w:rPr>
                <w:rFonts w:ascii="Times New Roman" w:hAnsi="Times New Roman"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69" w:type="pct"/>
            <w:vAlign w:val="center"/>
          </w:tcPr>
          <w:p>
            <w:pPr>
              <w:contextualSpacing/>
              <w:jc w:val="center"/>
              <w:rPr>
                <w:rFonts w:ascii="Times New Roman" w:hAnsi="Times New Roman" w:cs="宋体"/>
                <w:sz w:val="18"/>
                <w:szCs w:val="18"/>
              </w:rPr>
            </w:pPr>
            <w:r>
              <w:rPr>
                <w:rFonts w:ascii="Times New Roman" w:hAnsi="Times New Roman" w:cs="宋体"/>
                <w:sz w:val="18"/>
                <w:szCs w:val="18"/>
              </w:rPr>
              <w:t>27</w:t>
            </w:r>
          </w:p>
        </w:tc>
        <w:tc>
          <w:tcPr>
            <w:tcW w:w="359" w:type="pct"/>
            <w:vMerge w:val="continue"/>
            <w:vAlign w:val="center"/>
          </w:tcPr>
          <w:p/>
        </w:tc>
        <w:tc>
          <w:tcPr>
            <w:tcW w:w="517" w:type="pct"/>
            <w:vAlign w:val="center"/>
          </w:tcPr>
          <w:p>
            <w:pPr>
              <w:contextualSpacing/>
              <w:jc w:val="center"/>
              <w:rPr>
                <w:rFonts w:ascii="Times New Roman" w:hAnsi="Times New Roman" w:cs="宋体"/>
                <w:sz w:val="18"/>
                <w:szCs w:val="18"/>
              </w:rPr>
            </w:pPr>
            <w:r>
              <w:rPr>
                <w:rFonts w:hint="eastAsia" w:ascii="Times New Roman" w:hAnsi="Times New Roman" w:cs="宋体"/>
                <w:sz w:val="18"/>
                <w:szCs w:val="18"/>
              </w:rPr>
              <w:t>交通设备</w:t>
            </w:r>
          </w:p>
        </w:tc>
        <w:tc>
          <w:tcPr>
            <w:tcW w:w="611" w:type="pct"/>
            <w:vAlign w:val="center"/>
          </w:tcPr>
          <w:p>
            <w:pPr>
              <w:contextualSpacing/>
              <w:jc w:val="center"/>
              <w:rPr>
                <w:rFonts w:ascii="Times New Roman" w:hAnsi="Times New Roman" w:cs="宋体"/>
                <w:sz w:val="18"/>
                <w:szCs w:val="18"/>
              </w:rPr>
            </w:pPr>
            <w:r>
              <w:rPr>
                <w:rFonts w:hint="eastAsia" w:ascii="Times New Roman" w:hAnsi="Times New Roman" w:cs="宋体"/>
                <w:sz w:val="18"/>
                <w:szCs w:val="18"/>
              </w:rPr>
              <w:t>越野车</w:t>
            </w:r>
          </w:p>
        </w:tc>
        <w:tc>
          <w:tcPr>
            <w:tcW w:w="2241" w:type="pct"/>
            <w:vAlign w:val="center"/>
          </w:tcPr>
          <w:p>
            <w:pPr>
              <w:contextualSpacing/>
              <w:jc w:val="left"/>
              <w:rPr>
                <w:rFonts w:ascii="Times New Roman" w:hAnsi="Times New Roman" w:cs="宋体"/>
                <w:sz w:val="18"/>
                <w:szCs w:val="18"/>
              </w:rPr>
            </w:pPr>
            <w:r>
              <w:rPr>
                <w:rFonts w:ascii="Times New Roman" w:hAnsi="Times New Roman" w:cs="宋体"/>
                <w:sz w:val="18"/>
                <w:szCs w:val="18"/>
              </w:rPr>
              <w:t>2.0</w:t>
            </w:r>
            <w:r>
              <w:rPr>
                <w:rFonts w:hint="eastAsia" w:ascii="Times New Roman" w:hAnsi="Times New Roman" w:cs="宋体"/>
                <w:sz w:val="18"/>
                <w:szCs w:val="18"/>
              </w:rPr>
              <w:t>以上大排量，四驱越野</w:t>
            </w:r>
          </w:p>
        </w:tc>
        <w:tc>
          <w:tcPr>
            <w:tcW w:w="304" w:type="pct"/>
            <w:vAlign w:val="center"/>
          </w:tcPr>
          <w:p>
            <w:pPr>
              <w:contextualSpacing/>
              <w:jc w:val="center"/>
              <w:rPr>
                <w:rFonts w:ascii="Times New Roman" w:hAnsi="Times New Roman" w:cs="宋体"/>
                <w:sz w:val="18"/>
                <w:szCs w:val="18"/>
              </w:rPr>
            </w:pPr>
            <w:r>
              <w:rPr>
                <w:rFonts w:hint="eastAsia" w:ascii="Times New Roman" w:hAnsi="Times New Roman" w:cs="宋体"/>
                <w:bCs/>
                <w:sz w:val="18"/>
                <w:szCs w:val="18"/>
              </w:rPr>
              <w:t>√</w:t>
            </w:r>
          </w:p>
        </w:tc>
        <w:tc>
          <w:tcPr>
            <w:tcW w:w="299" w:type="pct"/>
            <w:vAlign w:val="center"/>
          </w:tcPr>
          <w:p>
            <w:pPr>
              <w:contextualSpacing/>
              <w:jc w:val="center"/>
              <w:rPr>
                <w:rFonts w:ascii="Times New Roman" w:hAnsi="Times New Roman" w:cs="宋体"/>
                <w:sz w:val="18"/>
                <w:szCs w:val="18"/>
              </w:rPr>
            </w:pPr>
            <w:r>
              <w:rPr>
                <w:rFonts w:hint="eastAsia" w:ascii="Times New Roman" w:hAnsi="Times New Roman" w:cs="宋体"/>
                <w:bCs/>
                <w:sz w:val="18"/>
                <w:szCs w:val="18"/>
              </w:rPr>
              <w:t>√</w:t>
            </w:r>
          </w:p>
        </w:tc>
        <w:tc>
          <w:tcPr>
            <w:tcW w:w="299" w:type="pct"/>
            <w:vAlign w:val="center"/>
          </w:tcPr>
          <w:p>
            <w:pPr>
              <w:contextualSpacing/>
              <w:jc w:val="center"/>
              <w:rPr>
                <w:rFonts w:ascii="Times New Roman" w:hAnsi="Times New Roman" w:cs="宋体"/>
                <w:sz w:val="18"/>
                <w:szCs w:val="18"/>
              </w:rPr>
            </w:pPr>
          </w:p>
        </w:tc>
      </w:tr>
    </w:tbl>
    <w:p>
      <w:pPr>
        <w:jc w:val="center"/>
        <w:rPr>
          <w:rFonts w:ascii="黑体" w:eastAsia="黑体"/>
          <w:szCs w:val="21"/>
        </w:rPr>
      </w:pPr>
    </w:p>
    <w:p>
      <w:pPr>
        <w:spacing w:before="156" w:beforeLines="50" w:after="156" w:afterLines="50"/>
        <w:jc w:val="center"/>
        <w:rPr>
          <w:rFonts w:ascii="黑体" w:eastAsia="黑体" w:cs="宋体"/>
        </w:rPr>
      </w:pPr>
      <w:r>
        <w:rPr>
          <w:rFonts w:hint="eastAsia" w:ascii="黑体" w:eastAsia="黑体"/>
          <w:szCs w:val="21"/>
        </w:rPr>
        <w:t>表</w:t>
      </w:r>
      <w:r>
        <w:rPr>
          <w:rFonts w:ascii="黑体" w:eastAsia="黑体"/>
          <w:szCs w:val="21"/>
        </w:rPr>
        <w:t xml:space="preserve">A.3  </w:t>
      </w:r>
      <w:r>
        <w:rPr>
          <w:rFonts w:hint="eastAsia" w:ascii="黑体" w:eastAsia="黑体"/>
          <w:szCs w:val="21"/>
        </w:rPr>
        <w:t>防治人员个人装备最低配置</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0"/>
        <w:gridCol w:w="1420"/>
        <w:gridCol w:w="1987"/>
        <w:gridCol w:w="3399"/>
        <w:gridCol w:w="62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8" w:type="pct"/>
            <w:vAlign w:val="center"/>
          </w:tcPr>
          <w:p>
            <w:pPr>
              <w:widowControl/>
              <w:contextualSpacing/>
              <w:jc w:val="center"/>
              <w:rPr>
                <w:rFonts w:ascii="Times New Roman" w:hAnsi="Times New Roman" w:cs="宋体"/>
                <w:bCs/>
                <w:kern w:val="0"/>
                <w:sz w:val="18"/>
                <w:szCs w:val="18"/>
              </w:rPr>
            </w:pPr>
            <w:r>
              <w:rPr>
                <w:rFonts w:hint="eastAsia" w:ascii="Times New Roman" w:hAnsi="Times New Roman" w:cs="宋体"/>
                <w:bCs/>
                <w:kern w:val="0"/>
                <w:sz w:val="18"/>
                <w:szCs w:val="18"/>
              </w:rPr>
              <w:t>序号</w:t>
            </w:r>
          </w:p>
        </w:tc>
        <w:tc>
          <w:tcPr>
            <w:tcW w:w="501" w:type="pct"/>
            <w:vAlign w:val="center"/>
          </w:tcPr>
          <w:p>
            <w:pPr>
              <w:widowControl/>
              <w:contextualSpacing/>
              <w:jc w:val="center"/>
              <w:rPr>
                <w:rFonts w:ascii="Times New Roman" w:hAnsi="Times New Roman" w:cs="宋体"/>
                <w:bCs/>
                <w:kern w:val="0"/>
                <w:sz w:val="18"/>
                <w:szCs w:val="18"/>
              </w:rPr>
            </w:pPr>
            <w:r>
              <w:rPr>
                <w:rFonts w:hint="eastAsia" w:ascii="Times New Roman" w:hAnsi="Times New Roman" w:cs="宋体"/>
                <w:bCs/>
                <w:kern w:val="0"/>
                <w:sz w:val="18"/>
                <w:szCs w:val="18"/>
              </w:rPr>
              <w:t>工作场景</w:t>
            </w:r>
          </w:p>
        </w:tc>
        <w:tc>
          <w:tcPr>
            <w:tcW w:w="1900" w:type="pct"/>
            <w:gridSpan w:val="2"/>
            <w:vAlign w:val="center"/>
          </w:tcPr>
          <w:p>
            <w:pPr>
              <w:widowControl/>
              <w:contextualSpacing/>
              <w:jc w:val="center"/>
              <w:rPr>
                <w:rFonts w:ascii="Times New Roman" w:hAnsi="Times New Roman" w:cs="宋体"/>
                <w:bCs/>
                <w:kern w:val="0"/>
                <w:sz w:val="18"/>
                <w:szCs w:val="18"/>
              </w:rPr>
            </w:pPr>
            <w:r>
              <w:rPr>
                <w:rFonts w:hint="eastAsia" w:ascii="Times New Roman" w:hAnsi="Times New Roman" w:cs="宋体"/>
                <w:bCs/>
                <w:kern w:val="0"/>
                <w:sz w:val="18"/>
                <w:szCs w:val="18"/>
              </w:rPr>
              <w:t>建设内容</w:t>
            </w:r>
          </w:p>
        </w:tc>
        <w:tc>
          <w:tcPr>
            <w:tcW w:w="2211" w:type="pct"/>
            <w:vAlign w:val="center"/>
          </w:tcPr>
          <w:p>
            <w:pPr>
              <w:widowControl/>
              <w:contextualSpacing/>
              <w:jc w:val="center"/>
              <w:rPr>
                <w:rFonts w:ascii="Times New Roman" w:hAnsi="Times New Roman" w:cs="宋体"/>
                <w:bCs/>
                <w:kern w:val="0"/>
                <w:sz w:val="18"/>
                <w:szCs w:val="18"/>
              </w:rPr>
            </w:pPr>
            <w:r>
              <w:rPr>
                <w:rFonts w:hint="eastAsia" w:ascii="Times New Roman" w:hAnsi="Times New Roman" w:cs="宋体"/>
                <w:bCs/>
                <w:kern w:val="0"/>
                <w:sz w:val="18"/>
                <w:szCs w:val="18"/>
              </w:rPr>
              <w:t>最低配置要求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8" w:type="pct"/>
            <w:vAlign w:val="center"/>
          </w:tcPr>
          <w:p>
            <w:pPr>
              <w:contextualSpacing/>
              <w:jc w:val="center"/>
              <w:rPr>
                <w:rFonts w:ascii="Times New Roman" w:hAnsi="Times New Roman" w:cs="宋体"/>
                <w:sz w:val="18"/>
                <w:szCs w:val="18"/>
              </w:rPr>
            </w:pPr>
            <w:r>
              <w:rPr>
                <w:rFonts w:ascii="Times New Roman" w:hAnsi="Times New Roman" w:cs="宋体"/>
                <w:sz w:val="18"/>
                <w:szCs w:val="18"/>
              </w:rPr>
              <w:t>1</w:t>
            </w:r>
          </w:p>
        </w:tc>
        <w:tc>
          <w:tcPr>
            <w:tcW w:w="501" w:type="pct"/>
            <w:vMerge w:val="restart"/>
            <w:vAlign w:val="center"/>
          </w:tcPr>
          <w:p>
            <w:pPr>
              <w:contextualSpacing/>
              <w:jc w:val="center"/>
              <w:rPr>
                <w:rFonts w:ascii="Times New Roman" w:hAnsi="Times New Roman" w:cs="宋体"/>
                <w:sz w:val="18"/>
                <w:szCs w:val="18"/>
              </w:rPr>
            </w:pPr>
            <w:r>
              <w:rPr>
                <w:rFonts w:hint="eastAsia" w:ascii="Times New Roman" w:hAnsi="Times New Roman" w:cs="宋体"/>
                <w:sz w:val="18"/>
                <w:szCs w:val="18"/>
              </w:rPr>
              <w:t>灾害现场</w:t>
            </w:r>
          </w:p>
        </w:tc>
        <w:tc>
          <w:tcPr>
            <w:tcW w:w="701" w:type="pct"/>
            <w:vAlign w:val="center"/>
          </w:tcPr>
          <w:p>
            <w:pPr>
              <w:contextualSpacing/>
              <w:jc w:val="center"/>
              <w:rPr>
                <w:rFonts w:ascii="Times New Roman" w:hAnsi="Times New Roman" w:cs="宋体"/>
                <w:sz w:val="18"/>
                <w:szCs w:val="18"/>
              </w:rPr>
            </w:pPr>
            <w:r>
              <w:rPr>
                <w:rFonts w:hint="eastAsia" w:ascii="Times New Roman" w:hAnsi="Times New Roman" w:cs="宋体"/>
                <w:sz w:val="18"/>
                <w:szCs w:val="18"/>
              </w:rPr>
              <w:t>通讯装备</w:t>
            </w:r>
          </w:p>
        </w:tc>
        <w:tc>
          <w:tcPr>
            <w:tcW w:w="1199" w:type="pct"/>
            <w:vAlign w:val="center"/>
          </w:tcPr>
          <w:p>
            <w:pPr>
              <w:contextualSpacing/>
              <w:jc w:val="center"/>
              <w:rPr>
                <w:rFonts w:ascii="Times New Roman" w:hAnsi="Times New Roman" w:cs="宋体"/>
                <w:bCs/>
                <w:sz w:val="18"/>
                <w:szCs w:val="18"/>
              </w:rPr>
            </w:pPr>
            <w:r>
              <w:rPr>
                <w:rFonts w:hint="eastAsia" w:ascii="Times New Roman" w:hAnsi="Times New Roman" w:cs="宋体"/>
                <w:sz w:val="18"/>
                <w:szCs w:val="18"/>
              </w:rPr>
              <w:t>电话</w:t>
            </w:r>
          </w:p>
        </w:tc>
        <w:tc>
          <w:tcPr>
            <w:tcW w:w="2211" w:type="pct"/>
            <w:vAlign w:val="center"/>
          </w:tcPr>
          <w:p>
            <w:pPr>
              <w:contextualSpacing/>
              <w:jc w:val="left"/>
              <w:rPr>
                <w:rFonts w:ascii="Times New Roman" w:hAnsi="Times New Roman" w:cs="宋体"/>
                <w:sz w:val="18"/>
                <w:szCs w:val="18"/>
              </w:rPr>
            </w:pPr>
            <w:r>
              <w:rPr>
                <w:rFonts w:hint="eastAsia" w:ascii="Times New Roman" w:hAnsi="Times New Roman" w:cs="宋体"/>
                <w:bCs/>
                <w:sz w:val="18"/>
                <w:szCs w:val="18"/>
              </w:rPr>
              <w:t>支持</w:t>
            </w:r>
            <w:r>
              <w:rPr>
                <w:rFonts w:ascii="Times New Roman" w:hAnsi="Times New Roman" w:cs="宋体"/>
                <w:bCs/>
                <w:sz w:val="18"/>
                <w:szCs w:val="18"/>
              </w:rPr>
              <w:t>4</w:t>
            </w:r>
            <w:r>
              <w:rPr>
                <w:rFonts w:hint="eastAsia" w:ascii="Times New Roman" w:hAnsi="Times New Roman" w:cs="宋体"/>
                <w:bCs/>
                <w:sz w:val="18"/>
                <w:szCs w:val="18"/>
              </w:rPr>
              <w:t xml:space="preserve"> </w:t>
            </w:r>
            <w:r>
              <w:rPr>
                <w:rFonts w:ascii="Times New Roman" w:hAnsi="Times New Roman" w:cs="宋体"/>
                <w:bCs/>
                <w:sz w:val="18"/>
                <w:szCs w:val="18"/>
              </w:rPr>
              <w:t>G</w:t>
            </w:r>
            <w:r>
              <w:rPr>
                <w:rFonts w:hint="eastAsia" w:ascii="Times New Roman" w:hAnsi="Times New Roman" w:cs="宋体"/>
                <w:bCs/>
                <w:sz w:val="18"/>
                <w:szCs w:val="18"/>
              </w:rPr>
              <w:t>，</w:t>
            </w:r>
            <w:r>
              <w:rPr>
                <w:rFonts w:ascii="Times New Roman" w:hAnsi="Times New Roman" w:cs="宋体"/>
                <w:bCs/>
                <w:sz w:val="18"/>
                <w:szCs w:val="18"/>
              </w:rPr>
              <w:t>GPS</w:t>
            </w:r>
            <w:r>
              <w:rPr>
                <w:rFonts w:hint="eastAsia" w:ascii="Times New Roman" w:hAnsi="Times New Roman" w:cs="宋体"/>
                <w:bCs/>
                <w:sz w:val="18"/>
                <w:szCs w:val="18"/>
              </w:rPr>
              <w:t>定位，待机时间长，可使用“智慧防灾”微信公众号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8" w:type="pct"/>
            <w:vAlign w:val="center"/>
          </w:tcPr>
          <w:p>
            <w:pPr>
              <w:contextualSpacing/>
              <w:jc w:val="center"/>
              <w:rPr>
                <w:rFonts w:ascii="Times New Roman" w:hAnsi="Times New Roman" w:cs="宋体"/>
                <w:sz w:val="18"/>
                <w:szCs w:val="18"/>
              </w:rPr>
            </w:pPr>
            <w:r>
              <w:rPr>
                <w:rFonts w:ascii="Times New Roman" w:hAnsi="Times New Roman" w:cs="宋体"/>
                <w:sz w:val="18"/>
                <w:szCs w:val="18"/>
              </w:rPr>
              <w:t>2</w:t>
            </w:r>
          </w:p>
        </w:tc>
        <w:tc>
          <w:tcPr>
            <w:tcW w:w="501" w:type="pct"/>
            <w:vMerge w:val="continue"/>
            <w:vAlign w:val="center"/>
          </w:tcPr>
          <w:p/>
        </w:tc>
        <w:tc>
          <w:tcPr>
            <w:tcW w:w="701" w:type="pct"/>
            <w:vMerge w:val="restart"/>
            <w:vAlign w:val="center"/>
          </w:tcPr>
          <w:p>
            <w:pPr>
              <w:contextualSpacing/>
              <w:jc w:val="center"/>
              <w:rPr>
                <w:rFonts w:ascii="Times New Roman" w:hAnsi="Times New Roman" w:cs="宋体"/>
                <w:sz w:val="18"/>
                <w:szCs w:val="18"/>
              </w:rPr>
            </w:pPr>
            <w:r>
              <w:rPr>
                <w:rFonts w:hint="eastAsia" w:ascii="Times New Roman" w:hAnsi="Times New Roman" w:cs="宋体"/>
                <w:sz w:val="18"/>
                <w:szCs w:val="18"/>
              </w:rPr>
              <w:t>记录装备</w:t>
            </w:r>
          </w:p>
        </w:tc>
        <w:tc>
          <w:tcPr>
            <w:tcW w:w="1199" w:type="pct"/>
            <w:vAlign w:val="center"/>
          </w:tcPr>
          <w:p>
            <w:pPr>
              <w:contextualSpacing/>
              <w:jc w:val="center"/>
              <w:rPr>
                <w:rFonts w:ascii="Times New Roman" w:hAnsi="Times New Roman" w:cs="宋体"/>
                <w:sz w:val="18"/>
                <w:szCs w:val="18"/>
              </w:rPr>
            </w:pPr>
            <w:r>
              <w:rPr>
                <w:rFonts w:hint="eastAsia" w:ascii="Times New Roman" w:hAnsi="Times New Roman" w:cs="宋体"/>
                <w:bCs/>
                <w:sz w:val="18"/>
                <w:szCs w:val="18"/>
              </w:rPr>
              <w:t>笔记本电脑</w:t>
            </w:r>
          </w:p>
        </w:tc>
        <w:tc>
          <w:tcPr>
            <w:tcW w:w="2211" w:type="pct"/>
            <w:vAlign w:val="center"/>
          </w:tcPr>
          <w:p>
            <w:pPr>
              <w:contextualSpacing/>
              <w:jc w:val="left"/>
              <w:rPr>
                <w:rFonts w:ascii="Times New Roman" w:hAnsi="Times New Roman" w:cs="宋体"/>
                <w:sz w:val="18"/>
                <w:szCs w:val="18"/>
              </w:rPr>
            </w:pPr>
            <w:r>
              <w:rPr>
                <w:rFonts w:hint="eastAsia" w:ascii="Times New Roman" w:hAnsi="Times New Roman" w:cs="宋体"/>
                <w:bCs/>
                <w:sz w:val="18"/>
                <w:szCs w:val="18"/>
              </w:rPr>
              <w:t>主流配置，待机时间长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8" w:type="pct"/>
            <w:vAlign w:val="center"/>
          </w:tcPr>
          <w:p>
            <w:pPr>
              <w:contextualSpacing/>
              <w:jc w:val="center"/>
              <w:rPr>
                <w:rFonts w:ascii="Times New Roman" w:hAnsi="Times New Roman" w:cs="宋体"/>
                <w:sz w:val="18"/>
                <w:szCs w:val="18"/>
              </w:rPr>
            </w:pPr>
            <w:r>
              <w:rPr>
                <w:rFonts w:ascii="Times New Roman" w:hAnsi="Times New Roman" w:cs="宋体"/>
                <w:sz w:val="18"/>
                <w:szCs w:val="18"/>
              </w:rPr>
              <w:t>3</w:t>
            </w:r>
          </w:p>
        </w:tc>
        <w:tc>
          <w:tcPr>
            <w:tcW w:w="501" w:type="pct"/>
            <w:vMerge w:val="continue"/>
            <w:vAlign w:val="center"/>
          </w:tcPr>
          <w:p/>
        </w:tc>
        <w:tc>
          <w:tcPr>
            <w:tcW w:w="701" w:type="pct"/>
            <w:vMerge w:val="continue"/>
            <w:vAlign w:val="center"/>
          </w:tcPr>
          <w:p/>
        </w:tc>
        <w:tc>
          <w:tcPr>
            <w:tcW w:w="1199" w:type="pct"/>
            <w:vAlign w:val="center"/>
          </w:tcPr>
          <w:p>
            <w:pPr>
              <w:contextualSpacing/>
              <w:jc w:val="center"/>
              <w:rPr>
                <w:rFonts w:ascii="Times New Roman" w:hAnsi="Times New Roman" w:cs="宋体"/>
                <w:bCs/>
                <w:sz w:val="18"/>
                <w:szCs w:val="18"/>
              </w:rPr>
            </w:pPr>
            <w:r>
              <w:rPr>
                <w:rFonts w:hint="eastAsia" w:ascii="Times New Roman" w:hAnsi="Times New Roman" w:cs="宋体"/>
                <w:bCs/>
                <w:sz w:val="18"/>
                <w:szCs w:val="18"/>
              </w:rPr>
              <w:t>数码相机</w:t>
            </w:r>
          </w:p>
        </w:tc>
        <w:tc>
          <w:tcPr>
            <w:tcW w:w="2211" w:type="pct"/>
            <w:vAlign w:val="center"/>
          </w:tcPr>
          <w:p>
            <w:pPr>
              <w:contextualSpacing/>
              <w:jc w:val="left"/>
              <w:rPr>
                <w:rFonts w:ascii="Times New Roman" w:hAnsi="Times New Roman" w:cs="宋体"/>
                <w:bCs/>
                <w:sz w:val="18"/>
                <w:szCs w:val="18"/>
              </w:rPr>
            </w:pPr>
            <w:r>
              <w:rPr>
                <w:rFonts w:hint="eastAsia" w:ascii="Times New Roman" w:hAnsi="Times New Roman" w:cs="宋体"/>
                <w:bCs/>
                <w:sz w:val="18"/>
                <w:szCs w:val="18"/>
              </w:rPr>
              <w:t>便携式卡片机，支持高清拍照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8" w:type="pct"/>
            <w:vAlign w:val="center"/>
          </w:tcPr>
          <w:p>
            <w:pPr>
              <w:contextualSpacing/>
              <w:jc w:val="center"/>
              <w:rPr>
                <w:rFonts w:ascii="Times New Roman" w:hAnsi="Times New Roman" w:cs="宋体"/>
                <w:sz w:val="18"/>
                <w:szCs w:val="18"/>
              </w:rPr>
            </w:pPr>
            <w:r>
              <w:rPr>
                <w:rFonts w:ascii="Times New Roman" w:hAnsi="Times New Roman" w:cs="宋体"/>
                <w:sz w:val="18"/>
                <w:szCs w:val="18"/>
              </w:rPr>
              <w:t>4</w:t>
            </w:r>
          </w:p>
        </w:tc>
        <w:tc>
          <w:tcPr>
            <w:tcW w:w="501" w:type="pct"/>
            <w:vMerge w:val="continue"/>
            <w:vAlign w:val="center"/>
          </w:tcPr>
          <w:p/>
        </w:tc>
        <w:tc>
          <w:tcPr>
            <w:tcW w:w="701" w:type="pct"/>
            <w:vAlign w:val="center"/>
          </w:tcPr>
          <w:p>
            <w:pPr>
              <w:contextualSpacing/>
              <w:jc w:val="center"/>
              <w:rPr>
                <w:rFonts w:ascii="Times New Roman" w:hAnsi="Times New Roman" w:cs="宋体"/>
                <w:sz w:val="18"/>
                <w:szCs w:val="18"/>
              </w:rPr>
            </w:pPr>
            <w:r>
              <w:rPr>
                <w:rFonts w:hint="eastAsia" w:ascii="Times New Roman" w:hAnsi="Times New Roman" w:cs="宋体"/>
                <w:sz w:val="18"/>
                <w:szCs w:val="18"/>
              </w:rPr>
              <w:t>穿戴装备</w:t>
            </w:r>
          </w:p>
        </w:tc>
        <w:tc>
          <w:tcPr>
            <w:tcW w:w="1199" w:type="pct"/>
            <w:vAlign w:val="center"/>
          </w:tcPr>
          <w:p>
            <w:pPr>
              <w:contextualSpacing/>
              <w:jc w:val="center"/>
              <w:rPr>
                <w:rFonts w:ascii="Times New Roman" w:hAnsi="Times New Roman" w:cs="宋体"/>
                <w:sz w:val="18"/>
                <w:szCs w:val="18"/>
              </w:rPr>
            </w:pPr>
            <w:r>
              <w:rPr>
                <w:rFonts w:hint="eastAsia" w:ascii="Times New Roman" w:hAnsi="Times New Roman" w:cs="宋体"/>
                <w:bCs/>
                <w:sz w:val="18"/>
                <w:szCs w:val="18"/>
              </w:rPr>
              <w:t>冲锋衣、雨衣、雨鞋</w:t>
            </w:r>
          </w:p>
        </w:tc>
        <w:tc>
          <w:tcPr>
            <w:tcW w:w="2211" w:type="pct"/>
            <w:vAlign w:val="center"/>
          </w:tcPr>
          <w:p>
            <w:pPr>
              <w:contextualSpacing/>
              <w:jc w:val="left"/>
              <w:rPr>
                <w:rFonts w:ascii="Times New Roman" w:hAnsi="Times New Roman" w:cs="宋体"/>
                <w:sz w:val="18"/>
                <w:szCs w:val="18"/>
              </w:rPr>
            </w:pPr>
            <w:r>
              <w:rPr>
                <w:rFonts w:hint="eastAsia" w:ascii="Times New Roman" w:hAnsi="Times New Roman" w:cs="宋体"/>
                <w:sz w:val="18"/>
                <w:szCs w:val="18"/>
              </w:rPr>
              <w:t>防风、防雨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8" w:type="pct"/>
            <w:vAlign w:val="center"/>
          </w:tcPr>
          <w:p>
            <w:pPr>
              <w:contextualSpacing/>
              <w:jc w:val="center"/>
              <w:rPr>
                <w:rFonts w:ascii="Times New Roman" w:hAnsi="Times New Roman" w:cs="宋体"/>
                <w:sz w:val="18"/>
                <w:szCs w:val="18"/>
              </w:rPr>
            </w:pPr>
            <w:r>
              <w:rPr>
                <w:rFonts w:hint="eastAsia" w:ascii="Times New Roman" w:hAnsi="Times New Roman" w:cs="宋体"/>
                <w:sz w:val="18"/>
                <w:szCs w:val="18"/>
              </w:rPr>
              <w:t>5</w:t>
            </w:r>
          </w:p>
        </w:tc>
        <w:tc>
          <w:tcPr>
            <w:tcW w:w="501" w:type="pct"/>
            <w:vMerge w:val="continue"/>
            <w:vAlign w:val="center"/>
          </w:tcPr>
          <w:p/>
        </w:tc>
        <w:tc>
          <w:tcPr>
            <w:tcW w:w="701" w:type="pct"/>
            <w:vMerge w:val="restart"/>
            <w:vAlign w:val="center"/>
          </w:tcPr>
          <w:p>
            <w:pPr>
              <w:contextualSpacing/>
              <w:jc w:val="center"/>
              <w:rPr>
                <w:rFonts w:ascii="Times New Roman" w:hAnsi="Times New Roman" w:cs="宋体"/>
                <w:sz w:val="18"/>
                <w:szCs w:val="18"/>
              </w:rPr>
            </w:pPr>
            <w:r>
              <w:rPr>
                <w:rFonts w:hint="eastAsia" w:ascii="Times New Roman" w:hAnsi="Times New Roman" w:cs="宋体"/>
                <w:sz w:val="18"/>
                <w:szCs w:val="18"/>
              </w:rPr>
              <w:t>测量装备</w:t>
            </w:r>
          </w:p>
        </w:tc>
        <w:tc>
          <w:tcPr>
            <w:tcW w:w="1199" w:type="pct"/>
            <w:vAlign w:val="center"/>
          </w:tcPr>
          <w:p>
            <w:pPr>
              <w:contextualSpacing/>
              <w:jc w:val="center"/>
              <w:rPr>
                <w:rFonts w:ascii="Times New Roman" w:hAnsi="Times New Roman" w:cs="宋体"/>
                <w:bCs/>
                <w:sz w:val="18"/>
                <w:szCs w:val="18"/>
              </w:rPr>
            </w:pPr>
            <w:r>
              <w:rPr>
                <w:rFonts w:hint="eastAsia" w:ascii="Times New Roman" w:hAnsi="Times New Roman" w:cs="宋体"/>
                <w:bCs/>
                <w:sz w:val="18"/>
                <w:szCs w:val="18"/>
              </w:rPr>
              <w:t>卷尺</w:t>
            </w:r>
          </w:p>
        </w:tc>
        <w:tc>
          <w:tcPr>
            <w:tcW w:w="2211" w:type="pct"/>
            <w:vAlign w:val="center"/>
          </w:tcPr>
          <w:p>
            <w:pPr>
              <w:contextualSpacing/>
              <w:jc w:val="left"/>
              <w:rPr>
                <w:rFonts w:ascii="Times New Roman" w:hAnsi="Times New Roman" w:cs="宋体"/>
                <w:bCs/>
                <w:sz w:val="18"/>
                <w:szCs w:val="18"/>
              </w:rPr>
            </w:pPr>
            <w:r>
              <w:rPr>
                <w:rFonts w:ascii="Times New Roman" w:hAnsi="Times New Roman" w:cs="宋体"/>
                <w:bCs/>
                <w:sz w:val="18"/>
                <w:szCs w:val="18"/>
              </w:rPr>
              <w:t>3</w:t>
            </w:r>
            <w:r>
              <w:rPr>
                <w:rFonts w:hint="eastAsia" w:ascii="Times New Roman" w:hAnsi="Times New Roman" w:cs="宋体"/>
                <w:bCs/>
                <w:sz w:val="18"/>
                <w:szCs w:val="18"/>
              </w:rPr>
              <w:t xml:space="preserve"> m及以上，简易测量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8" w:type="pct"/>
            <w:vAlign w:val="center"/>
          </w:tcPr>
          <w:p>
            <w:pPr>
              <w:contextualSpacing/>
              <w:jc w:val="center"/>
              <w:rPr>
                <w:rFonts w:ascii="Times New Roman" w:hAnsi="Times New Roman" w:cs="宋体"/>
                <w:sz w:val="18"/>
                <w:szCs w:val="18"/>
              </w:rPr>
            </w:pPr>
            <w:r>
              <w:rPr>
                <w:rFonts w:hint="eastAsia" w:ascii="Times New Roman" w:hAnsi="Times New Roman" w:cs="宋体"/>
                <w:sz w:val="18"/>
                <w:szCs w:val="18"/>
              </w:rPr>
              <w:t>6</w:t>
            </w:r>
          </w:p>
        </w:tc>
        <w:tc>
          <w:tcPr>
            <w:tcW w:w="501" w:type="pct"/>
            <w:vMerge w:val="continue"/>
            <w:vAlign w:val="center"/>
          </w:tcPr>
          <w:p/>
        </w:tc>
        <w:tc>
          <w:tcPr>
            <w:tcW w:w="701" w:type="pct"/>
            <w:vMerge w:val="continue"/>
            <w:vAlign w:val="center"/>
          </w:tcPr>
          <w:p/>
        </w:tc>
        <w:tc>
          <w:tcPr>
            <w:tcW w:w="1199" w:type="pct"/>
            <w:vAlign w:val="center"/>
          </w:tcPr>
          <w:p>
            <w:pPr>
              <w:contextualSpacing/>
              <w:jc w:val="center"/>
              <w:rPr>
                <w:rFonts w:ascii="Times New Roman" w:hAnsi="Times New Roman" w:cs="宋体"/>
                <w:bCs/>
                <w:sz w:val="18"/>
                <w:szCs w:val="18"/>
              </w:rPr>
            </w:pPr>
            <w:r>
              <w:rPr>
                <w:rFonts w:hint="eastAsia" w:ascii="Times New Roman" w:hAnsi="Times New Roman" w:cs="宋体"/>
                <w:bCs/>
                <w:sz w:val="18"/>
                <w:szCs w:val="18"/>
              </w:rPr>
              <w:t>指南针</w:t>
            </w:r>
          </w:p>
        </w:tc>
        <w:tc>
          <w:tcPr>
            <w:tcW w:w="2211" w:type="pct"/>
            <w:vAlign w:val="center"/>
          </w:tcPr>
          <w:p>
            <w:pPr>
              <w:contextualSpacing/>
              <w:jc w:val="left"/>
              <w:rPr>
                <w:rFonts w:ascii="Times New Roman" w:hAnsi="Times New Roman" w:cs="宋体"/>
                <w:bCs/>
                <w:sz w:val="18"/>
                <w:szCs w:val="18"/>
              </w:rPr>
            </w:pPr>
            <w:r>
              <w:rPr>
                <w:rFonts w:hint="eastAsia" w:ascii="Times New Roman" w:hAnsi="Times New Roman" w:cs="宋体"/>
                <w:sz w:val="18"/>
                <w:szCs w:val="18"/>
              </w:rPr>
              <w:t>标定方位，数据易读取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8" w:type="pct"/>
            <w:vAlign w:val="center"/>
          </w:tcPr>
          <w:p>
            <w:pPr>
              <w:contextualSpacing/>
              <w:jc w:val="center"/>
              <w:rPr>
                <w:rFonts w:ascii="Times New Roman" w:hAnsi="Times New Roman" w:cs="宋体"/>
                <w:sz w:val="18"/>
                <w:szCs w:val="18"/>
              </w:rPr>
            </w:pPr>
            <w:r>
              <w:rPr>
                <w:rFonts w:hint="eastAsia" w:ascii="Times New Roman" w:hAnsi="Times New Roman" w:cs="宋体"/>
                <w:sz w:val="18"/>
                <w:szCs w:val="18"/>
              </w:rPr>
              <w:t>7</w:t>
            </w:r>
          </w:p>
        </w:tc>
        <w:tc>
          <w:tcPr>
            <w:tcW w:w="501" w:type="pct"/>
            <w:vMerge w:val="continue"/>
            <w:vAlign w:val="center"/>
          </w:tcPr>
          <w:p/>
        </w:tc>
        <w:tc>
          <w:tcPr>
            <w:tcW w:w="701" w:type="pct"/>
            <w:vAlign w:val="center"/>
          </w:tcPr>
          <w:p>
            <w:pPr>
              <w:contextualSpacing/>
              <w:jc w:val="center"/>
              <w:rPr>
                <w:rFonts w:ascii="Times New Roman" w:hAnsi="Times New Roman" w:cs="宋体"/>
                <w:sz w:val="18"/>
                <w:szCs w:val="18"/>
              </w:rPr>
            </w:pPr>
            <w:r>
              <w:rPr>
                <w:rFonts w:hint="eastAsia" w:ascii="Times New Roman" w:hAnsi="Times New Roman" w:cs="宋体"/>
                <w:sz w:val="18"/>
                <w:szCs w:val="18"/>
              </w:rPr>
              <w:t>照明装备</w:t>
            </w:r>
          </w:p>
        </w:tc>
        <w:tc>
          <w:tcPr>
            <w:tcW w:w="1199" w:type="pct"/>
            <w:vAlign w:val="center"/>
          </w:tcPr>
          <w:p>
            <w:pPr>
              <w:contextualSpacing/>
              <w:jc w:val="center"/>
              <w:rPr>
                <w:rFonts w:ascii="Times New Roman" w:hAnsi="Times New Roman" w:cs="宋体"/>
                <w:bCs/>
                <w:sz w:val="18"/>
                <w:szCs w:val="18"/>
              </w:rPr>
            </w:pPr>
            <w:r>
              <w:rPr>
                <w:rFonts w:hint="eastAsia" w:ascii="Times New Roman" w:hAnsi="Times New Roman" w:cs="宋体"/>
                <w:sz w:val="18"/>
                <w:szCs w:val="18"/>
              </w:rPr>
              <w:t>防水手电筒</w:t>
            </w:r>
          </w:p>
        </w:tc>
        <w:tc>
          <w:tcPr>
            <w:tcW w:w="2211" w:type="pct"/>
            <w:vAlign w:val="center"/>
          </w:tcPr>
          <w:p>
            <w:pPr>
              <w:contextualSpacing/>
              <w:jc w:val="left"/>
              <w:rPr>
                <w:rFonts w:ascii="Times New Roman" w:hAnsi="Times New Roman" w:cs="宋体"/>
                <w:sz w:val="18"/>
                <w:szCs w:val="18"/>
              </w:rPr>
            </w:pPr>
            <w:r>
              <w:rPr>
                <w:rFonts w:hint="eastAsia" w:ascii="Times New Roman" w:hAnsi="Times New Roman" w:cs="宋体"/>
                <w:sz w:val="18"/>
                <w:szCs w:val="18"/>
              </w:rPr>
              <w:t>防水，</w:t>
            </w:r>
            <w:r>
              <w:rPr>
                <w:rFonts w:ascii="Times New Roman" w:hAnsi="Times New Roman" w:cs="宋体"/>
                <w:sz w:val="18"/>
                <w:szCs w:val="18"/>
              </w:rPr>
              <w:t>LED</w:t>
            </w:r>
            <w:r>
              <w:rPr>
                <w:rFonts w:hint="eastAsia" w:ascii="Times New Roman" w:hAnsi="Times New Roman" w:cs="宋体"/>
                <w:sz w:val="18"/>
                <w:szCs w:val="18"/>
              </w:rPr>
              <w:t>光源，可充电</w:t>
            </w:r>
          </w:p>
        </w:tc>
      </w:tr>
    </w:tbl>
    <w:p>
      <w:pPr>
        <w:spacing w:before="156" w:beforeLines="50" w:after="156" w:afterLines="50"/>
        <w:jc w:val="center"/>
        <w:rPr>
          <w:rFonts w:ascii="黑体" w:eastAsia="黑体"/>
          <w:szCs w:val="21"/>
        </w:rPr>
      </w:pPr>
      <w:r>
        <w:rPr>
          <w:rFonts w:hint="eastAsia" w:ascii="黑体" w:eastAsia="黑体"/>
          <w:szCs w:val="21"/>
        </w:rPr>
        <w:t>表</w:t>
      </w:r>
      <w:r>
        <w:rPr>
          <w:rFonts w:ascii="黑体" w:eastAsia="黑体"/>
          <w:szCs w:val="21"/>
        </w:rPr>
        <w:t xml:space="preserve">A.4  </w:t>
      </w:r>
      <w:r>
        <w:rPr>
          <w:rFonts w:hint="eastAsia" w:ascii="黑体" w:eastAsia="黑体"/>
          <w:szCs w:val="21"/>
        </w:rPr>
        <w:t>群测群防人员个人装备最低配置</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6"/>
        <w:gridCol w:w="1242"/>
        <w:gridCol w:w="1985"/>
        <w:gridCol w:w="3402"/>
        <w:gridCol w:w="62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450" w:type="pct"/>
            <w:vAlign w:val="center"/>
          </w:tcPr>
          <w:p>
            <w:pPr>
              <w:widowControl/>
              <w:contextualSpacing/>
              <w:jc w:val="center"/>
              <w:rPr>
                <w:rFonts w:ascii="Times New Roman" w:hAnsi="Times New Roman" w:cs="宋体"/>
                <w:bCs/>
                <w:kern w:val="0"/>
                <w:sz w:val="18"/>
                <w:szCs w:val="18"/>
              </w:rPr>
            </w:pPr>
            <w:r>
              <w:rPr>
                <w:rFonts w:hint="eastAsia" w:ascii="Times New Roman" w:hAnsi="Times New Roman" w:cs="宋体"/>
                <w:bCs/>
                <w:kern w:val="0"/>
                <w:sz w:val="18"/>
                <w:szCs w:val="18"/>
              </w:rPr>
              <w:t>序号</w:t>
            </w:r>
          </w:p>
        </w:tc>
        <w:tc>
          <w:tcPr>
            <w:tcW w:w="438" w:type="pct"/>
            <w:vAlign w:val="center"/>
          </w:tcPr>
          <w:p>
            <w:pPr>
              <w:widowControl/>
              <w:contextualSpacing/>
              <w:jc w:val="center"/>
              <w:rPr>
                <w:rFonts w:ascii="Times New Roman" w:hAnsi="Times New Roman" w:cs="宋体"/>
                <w:bCs/>
                <w:kern w:val="0"/>
                <w:sz w:val="18"/>
                <w:szCs w:val="18"/>
              </w:rPr>
            </w:pPr>
            <w:r>
              <w:rPr>
                <w:rFonts w:hint="eastAsia" w:ascii="Times New Roman" w:hAnsi="Times New Roman" w:cs="宋体"/>
                <w:bCs/>
                <w:kern w:val="0"/>
                <w:sz w:val="18"/>
                <w:szCs w:val="18"/>
              </w:rPr>
              <w:t>工作场景</w:t>
            </w:r>
          </w:p>
        </w:tc>
        <w:tc>
          <w:tcPr>
            <w:tcW w:w="1900" w:type="pct"/>
            <w:gridSpan w:val="2"/>
            <w:vAlign w:val="center"/>
          </w:tcPr>
          <w:p>
            <w:pPr>
              <w:widowControl/>
              <w:contextualSpacing/>
              <w:jc w:val="center"/>
              <w:rPr>
                <w:rFonts w:ascii="Times New Roman" w:hAnsi="Times New Roman" w:cs="宋体"/>
                <w:bCs/>
                <w:kern w:val="0"/>
                <w:sz w:val="18"/>
                <w:szCs w:val="18"/>
              </w:rPr>
            </w:pPr>
            <w:r>
              <w:rPr>
                <w:rFonts w:hint="eastAsia" w:ascii="Times New Roman" w:hAnsi="Times New Roman" w:cs="宋体"/>
                <w:bCs/>
                <w:kern w:val="0"/>
                <w:sz w:val="18"/>
                <w:szCs w:val="18"/>
              </w:rPr>
              <w:t>建设内容</w:t>
            </w:r>
          </w:p>
        </w:tc>
        <w:tc>
          <w:tcPr>
            <w:tcW w:w="2211" w:type="pct"/>
            <w:vAlign w:val="center"/>
          </w:tcPr>
          <w:p>
            <w:pPr>
              <w:widowControl/>
              <w:contextualSpacing/>
              <w:jc w:val="center"/>
              <w:rPr>
                <w:rFonts w:ascii="Times New Roman" w:hAnsi="Times New Roman" w:cs="宋体"/>
                <w:bCs/>
                <w:kern w:val="0"/>
                <w:sz w:val="18"/>
                <w:szCs w:val="18"/>
              </w:rPr>
            </w:pPr>
            <w:r>
              <w:rPr>
                <w:rFonts w:hint="eastAsia" w:ascii="Times New Roman" w:hAnsi="Times New Roman" w:cs="宋体"/>
                <w:bCs/>
                <w:kern w:val="0"/>
                <w:sz w:val="18"/>
                <w:szCs w:val="18"/>
              </w:rPr>
              <w:t>最低配置要求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0" w:type="pct"/>
            <w:vAlign w:val="center"/>
          </w:tcPr>
          <w:p>
            <w:pPr>
              <w:contextualSpacing/>
              <w:jc w:val="center"/>
              <w:rPr>
                <w:rFonts w:ascii="Times New Roman" w:hAnsi="Times New Roman" w:cs="宋体"/>
                <w:sz w:val="18"/>
                <w:szCs w:val="18"/>
              </w:rPr>
            </w:pPr>
            <w:r>
              <w:rPr>
                <w:rFonts w:ascii="Times New Roman" w:hAnsi="Times New Roman" w:cs="宋体"/>
                <w:sz w:val="18"/>
                <w:szCs w:val="18"/>
              </w:rPr>
              <w:t>1</w:t>
            </w:r>
          </w:p>
        </w:tc>
        <w:tc>
          <w:tcPr>
            <w:tcW w:w="438" w:type="pct"/>
            <w:vMerge w:val="restart"/>
            <w:vAlign w:val="center"/>
          </w:tcPr>
          <w:p>
            <w:pPr>
              <w:contextualSpacing/>
              <w:jc w:val="center"/>
              <w:rPr>
                <w:rFonts w:ascii="Times New Roman" w:hAnsi="Times New Roman" w:cs="宋体"/>
                <w:sz w:val="18"/>
                <w:szCs w:val="18"/>
              </w:rPr>
            </w:pPr>
            <w:r>
              <w:rPr>
                <w:rFonts w:hint="eastAsia" w:ascii="Times New Roman" w:hAnsi="Times New Roman" w:cs="宋体"/>
                <w:sz w:val="18"/>
                <w:szCs w:val="18"/>
              </w:rPr>
              <w:t>地质灾害现场</w:t>
            </w:r>
          </w:p>
        </w:tc>
        <w:tc>
          <w:tcPr>
            <w:tcW w:w="700" w:type="pct"/>
            <w:vAlign w:val="center"/>
          </w:tcPr>
          <w:p>
            <w:pPr>
              <w:contextualSpacing/>
              <w:jc w:val="center"/>
              <w:rPr>
                <w:rFonts w:ascii="Times New Roman" w:hAnsi="Times New Roman" w:cs="宋体"/>
                <w:sz w:val="18"/>
                <w:szCs w:val="18"/>
              </w:rPr>
            </w:pPr>
            <w:r>
              <w:rPr>
                <w:rFonts w:hint="eastAsia" w:ascii="Times New Roman" w:hAnsi="Times New Roman" w:cs="宋体"/>
                <w:sz w:val="18"/>
                <w:szCs w:val="18"/>
              </w:rPr>
              <w:t>测量装备</w:t>
            </w:r>
          </w:p>
        </w:tc>
        <w:tc>
          <w:tcPr>
            <w:tcW w:w="1200" w:type="pct"/>
            <w:vAlign w:val="center"/>
          </w:tcPr>
          <w:p>
            <w:pPr>
              <w:contextualSpacing/>
              <w:jc w:val="center"/>
              <w:rPr>
                <w:rFonts w:ascii="Times New Roman" w:hAnsi="Times New Roman" w:cs="宋体"/>
                <w:bCs/>
                <w:sz w:val="18"/>
                <w:szCs w:val="18"/>
              </w:rPr>
            </w:pPr>
            <w:r>
              <w:rPr>
                <w:rFonts w:hint="eastAsia" w:ascii="Times New Roman" w:hAnsi="Times New Roman" w:cs="宋体"/>
                <w:sz w:val="18"/>
                <w:szCs w:val="18"/>
              </w:rPr>
              <w:t>卷（直）尺</w:t>
            </w:r>
          </w:p>
        </w:tc>
        <w:tc>
          <w:tcPr>
            <w:tcW w:w="2211" w:type="pct"/>
            <w:vAlign w:val="center"/>
          </w:tcPr>
          <w:p>
            <w:pPr>
              <w:contextualSpacing/>
              <w:jc w:val="left"/>
              <w:rPr>
                <w:rFonts w:ascii="Times New Roman" w:hAnsi="Times New Roman" w:cs="宋体"/>
                <w:sz w:val="18"/>
                <w:szCs w:val="18"/>
              </w:rPr>
            </w:pPr>
            <w:r>
              <w:rPr>
                <w:rFonts w:ascii="Times New Roman" w:hAnsi="Times New Roman" w:cs="宋体"/>
                <w:bCs/>
                <w:sz w:val="18"/>
                <w:szCs w:val="18"/>
              </w:rPr>
              <w:t>3</w:t>
            </w:r>
            <w:r>
              <w:rPr>
                <w:rFonts w:hint="eastAsia" w:ascii="Times New Roman" w:hAnsi="Times New Roman" w:cs="宋体"/>
                <w:bCs/>
                <w:sz w:val="18"/>
                <w:szCs w:val="18"/>
              </w:rPr>
              <w:t xml:space="preserve"> m及以上，简易测量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0" w:type="pct"/>
            <w:vAlign w:val="center"/>
          </w:tcPr>
          <w:p>
            <w:pPr>
              <w:contextualSpacing/>
              <w:jc w:val="center"/>
              <w:rPr>
                <w:rFonts w:ascii="Times New Roman" w:hAnsi="Times New Roman" w:cs="宋体"/>
                <w:sz w:val="18"/>
                <w:szCs w:val="18"/>
              </w:rPr>
            </w:pPr>
            <w:r>
              <w:rPr>
                <w:rFonts w:ascii="Times New Roman" w:hAnsi="Times New Roman" w:cs="宋体"/>
                <w:sz w:val="18"/>
                <w:szCs w:val="18"/>
              </w:rPr>
              <w:t>2</w:t>
            </w:r>
          </w:p>
        </w:tc>
        <w:tc>
          <w:tcPr>
            <w:tcW w:w="438" w:type="pct"/>
            <w:vMerge w:val="continue"/>
            <w:vAlign w:val="center"/>
          </w:tcPr>
          <w:p/>
        </w:tc>
        <w:tc>
          <w:tcPr>
            <w:tcW w:w="700" w:type="pct"/>
            <w:vAlign w:val="center"/>
          </w:tcPr>
          <w:p>
            <w:pPr>
              <w:contextualSpacing/>
              <w:jc w:val="center"/>
              <w:rPr>
                <w:rFonts w:ascii="Times New Roman" w:hAnsi="Times New Roman" w:cs="宋体"/>
                <w:sz w:val="18"/>
                <w:szCs w:val="18"/>
              </w:rPr>
            </w:pPr>
            <w:r>
              <w:rPr>
                <w:rFonts w:hint="eastAsia" w:ascii="Times New Roman" w:hAnsi="Times New Roman" w:cs="宋体"/>
                <w:sz w:val="18"/>
                <w:szCs w:val="18"/>
              </w:rPr>
              <w:t>照明装备</w:t>
            </w:r>
          </w:p>
        </w:tc>
        <w:tc>
          <w:tcPr>
            <w:tcW w:w="1200" w:type="pct"/>
            <w:vAlign w:val="center"/>
          </w:tcPr>
          <w:p>
            <w:pPr>
              <w:contextualSpacing/>
              <w:jc w:val="center"/>
              <w:rPr>
                <w:rFonts w:ascii="Times New Roman" w:hAnsi="Times New Roman" w:cs="宋体"/>
                <w:bCs/>
                <w:sz w:val="18"/>
                <w:szCs w:val="18"/>
              </w:rPr>
            </w:pPr>
            <w:r>
              <w:rPr>
                <w:rFonts w:hint="eastAsia" w:ascii="Times New Roman" w:hAnsi="Times New Roman" w:cs="宋体"/>
                <w:sz w:val="18"/>
                <w:szCs w:val="18"/>
              </w:rPr>
              <w:t>防水手电筒</w:t>
            </w:r>
          </w:p>
        </w:tc>
        <w:tc>
          <w:tcPr>
            <w:tcW w:w="2211" w:type="pct"/>
            <w:vAlign w:val="center"/>
          </w:tcPr>
          <w:p>
            <w:pPr>
              <w:contextualSpacing/>
              <w:jc w:val="left"/>
              <w:rPr>
                <w:rFonts w:ascii="Times New Roman" w:hAnsi="Times New Roman" w:cs="宋体"/>
                <w:sz w:val="18"/>
                <w:szCs w:val="18"/>
              </w:rPr>
            </w:pPr>
            <w:r>
              <w:rPr>
                <w:rFonts w:hint="eastAsia" w:ascii="Times New Roman" w:hAnsi="Times New Roman" w:cs="宋体"/>
                <w:sz w:val="18"/>
                <w:szCs w:val="18"/>
              </w:rPr>
              <w:t>防水，照明，</w:t>
            </w:r>
            <w:r>
              <w:rPr>
                <w:rFonts w:ascii="Times New Roman" w:hAnsi="Times New Roman" w:cs="宋体"/>
                <w:sz w:val="18"/>
                <w:szCs w:val="18"/>
              </w:rPr>
              <w:t>LED</w:t>
            </w:r>
            <w:r>
              <w:rPr>
                <w:rFonts w:hint="eastAsia" w:ascii="Times New Roman" w:hAnsi="Times New Roman" w:cs="宋体"/>
                <w:sz w:val="18"/>
                <w:szCs w:val="18"/>
              </w:rPr>
              <w:t>光源，可充电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0" w:type="pct"/>
            <w:vAlign w:val="center"/>
          </w:tcPr>
          <w:p>
            <w:pPr>
              <w:contextualSpacing/>
              <w:jc w:val="center"/>
              <w:rPr>
                <w:rFonts w:ascii="Times New Roman" w:hAnsi="Times New Roman" w:cs="宋体"/>
                <w:sz w:val="18"/>
                <w:szCs w:val="18"/>
              </w:rPr>
            </w:pPr>
            <w:r>
              <w:rPr>
                <w:rFonts w:ascii="Times New Roman" w:hAnsi="Times New Roman" w:cs="宋体"/>
                <w:sz w:val="18"/>
                <w:szCs w:val="18"/>
              </w:rPr>
              <w:t>3</w:t>
            </w:r>
          </w:p>
        </w:tc>
        <w:tc>
          <w:tcPr>
            <w:tcW w:w="438" w:type="pct"/>
            <w:vMerge w:val="continue"/>
            <w:vAlign w:val="center"/>
          </w:tcPr>
          <w:p/>
        </w:tc>
        <w:tc>
          <w:tcPr>
            <w:tcW w:w="700" w:type="pct"/>
            <w:vMerge w:val="restart"/>
            <w:vAlign w:val="center"/>
          </w:tcPr>
          <w:p>
            <w:pPr>
              <w:contextualSpacing/>
              <w:jc w:val="center"/>
              <w:rPr>
                <w:rFonts w:ascii="Times New Roman" w:hAnsi="Times New Roman" w:cs="宋体"/>
                <w:sz w:val="18"/>
                <w:szCs w:val="18"/>
              </w:rPr>
            </w:pPr>
            <w:r>
              <w:rPr>
                <w:rFonts w:hint="eastAsia" w:ascii="Times New Roman" w:hAnsi="Times New Roman" w:cs="宋体"/>
                <w:sz w:val="18"/>
                <w:szCs w:val="18"/>
              </w:rPr>
              <w:t>穿戴装备</w:t>
            </w:r>
          </w:p>
        </w:tc>
        <w:tc>
          <w:tcPr>
            <w:tcW w:w="1200" w:type="pct"/>
            <w:vAlign w:val="center"/>
          </w:tcPr>
          <w:p>
            <w:pPr>
              <w:contextualSpacing/>
              <w:jc w:val="center"/>
              <w:rPr>
                <w:rFonts w:ascii="Times New Roman" w:hAnsi="Times New Roman" w:cs="宋体"/>
                <w:bCs/>
                <w:sz w:val="18"/>
                <w:szCs w:val="18"/>
              </w:rPr>
            </w:pPr>
            <w:r>
              <w:rPr>
                <w:rFonts w:hint="eastAsia" w:ascii="Times New Roman" w:hAnsi="Times New Roman" w:cs="宋体"/>
                <w:sz w:val="18"/>
                <w:szCs w:val="18"/>
              </w:rPr>
              <w:t>雨伞、雨衣、雨鞋</w:t>
            </w:r>
          </w:p>
        </w:tc>
        <w:tc>
          <w:tcPr>
            <w:tcW w:w="2211" w:type="pct"/>
            <w:vAlign w:val="center"/>
          </w:tcPr>
          <w:p>
            <w:pPr>
              <w:contextualSpacing/>
              <w:jc w:val="left"/>
              <w:rPr>
                <w:rFonts w:ascii="Times New Roman" w:hAnsi="Times New Roman" w:cs="宋体"/>
                <w:sz w:val="18"/>
                <w:szCs w:val="18"/>
              </w:rPr>
            </w:pPr>
            <w:r>
              <w:rPr>
                <w:rFonts w:hint="eastAsia" w:ascii="Times New Roman" w:hAnsi="Times New Roman" w:cs="宋体"/>
                <w:sz w:val="18"/>
                <w:szCs w:val="18"/>
              </w:rPr>
              <w:t>防风、防雨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0" w:type="pct"/>
            <w:vAlign w:val="center"/>
          </w:tcPr>
          <w:p>
            <w:pPr>
              <w:contextualSpacing/>
              <w:jc w:val="center"/>
              <w:rPr>
                <w:rFonts w:ascii="Times New Roman" w:hAnsi="Times New Roman" w:cs="宋体"/>
                <w:sz w:val="18"/>
                <w:szCs w:val="18"/>
              </w:rPr>
            </w:pPr>
            <w:r>
              <w:rPr>
                <w:rFonts w:ascii="Times New Roman" w:hAnsi="Times New Roman" w:cs="宋体"/>
                <w:sz w:val="18"/>
                <w:szCs w:val="18"/>
              </w:rPr>
              <w:t>4</w:t>
            </w:r>
          </w:p>
        </w:tc>
        <w:tc>
          <w:tcPr>
            <w:tcW w:w="438" w:type="pct"/>
            <w:vMerge w:val="continue"/>
            <w:vAlign w:val="center"/>
          </w:tcPr>
          <w:p/>
        </w:tc>
        <w:tc>
          <w:tcPr>
            <w:tcW w:w="700" w:type="pct"/>
            <w:vMerge w:val="continue"/>
            <w:vAlign w:val="center"/>
          </w:tcPr>
          <w:p/>
        </w:tc>
        <w:tc>
          <w:tcPr>
            <w:tcW w:w="1200" w:type="pct"/>
            <w:vAlign w:val="center"/>
          </w:tcPr>
          <w:p>
            <w:pPr>
              <w:contextualSpacing/>
              <w:jc w:val="center"/>
              <w:rPr>
                <w:rFonts w:ascii="Times New Roman" w:hAnsi="Times New Roman" w:cs="宋体"/>
                <w:sz w:val="18"/>
                <w:szCs w:val="18"/>
              </w:rPr>
            </w:pPr>
            <w:r>
              <w:rPr>
                <w:rFonts w:hint="eastAsia" w:ascii="Times New Roman" w:hAnsi="Times New Roman" w:cs="宋体"/>
                <w:sz w:val="18"/>
                <w:szCs w:val="18"/>
              </w:rPr>
              <w:t>背包</w:t>
            </w:r>
          </w:p>
        </w:tc>
        <w:tc>
          <w:tcPr>
            <w:tcW w:w="2211" w:type="pct"/>
            <w:vAlign w:val="center"/>
          </w:tcPr>
          <w:p>
            <w:pPr>
              <w:contextualSpacing/>
              <w:jc w:val="left"/>
              <w:rPr>
                <w:rFonts w:ascii="Times New Roman" w:hAnsi="Times New Roman" w:cs="宋体"/>
                <w:sz w:val="18"/>
                <w:szCs w:val="18"/>
              </w:rPr>
            </w:pPr>
            <w:r>
              <w:rPr>
                <w:rFonts w:hint="eastAsia" w:ascii="Times New Roman" w:hAnsi="Times New Roman" w:cs="宋体"/>
                <w:sz w:val="18"/>
                <w:szCs w:val="18"/>
              </w:rPr>
              <w:t>可装下群测群防个人装备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0" w:type="pct"/>
            <w:vAlign w:val="center"/>
          </w:tcPr>
          <w:p>
            <w:pPr>
              <w:contextualSpacing/>
              <w:jc w:val="center"/>
              <w:rPr>
                <w:rFonts w:ascii="Times New Roman" w:hAnsi="Times New Roman" w:cs="宋体"/>
                <w:sz w:val="18"/>
                <w:szCs w:val="18"/>
              </w:rPr>
            </w:pPr>
            <w:r>
              <w:rPr>
                <w:rFonts w:ascii="Times New Roman" w:hAnsi="Times New Roman" w:cs="宋体"/>
                <w:sz w:val="18"/>
                <w:szCs w:val="18"/>
              </w:rPr>
              <w:t>5</w:t>
            </w:r>
          </w:p>
        </w:tc>
        <w:tc>
          <w:tcPr>
            <w:tcW w:w="438" w:type="pct"/>
            <w:vMerge w:val="continue"/>
            <w:vAlign w:val="center"/>
          </w:tcPr>
          <w:p/>
        </w:tc>
        <w:tc>
          <w:tcPr>
            <w:tcW w:w="700" w:type="pct"/>
            <w:vAlign w:val="center"/>
          </w:tcPr>
          <w:p>
            <w:pPr>
              <w:contextualSpacing/>
              <w:jc w:val="center"/>
              <w:rPr>
                <w:rFonts w:ascii="Times New Roman" w:hAnsi="Times New Roman" w:cs="宋体"/>
                <w:sz w:val="18"/>
                <w:szCs w:val="18"/>
              </w:rPr>
            </w:pPr>
            <w:r>
              <w:rPr>
                <w:rFonts w:hint="eastAsia" w:ascii="Times New Roman" w:hAnsi="Times New Roman" w:cs="宋体"/>
                <w:sz w:val="18"/>
                <w:szCs w:val="18"/>
              </w:rPr>
              <w:t>预警装备</w:t>
            </w:r>
          </w:p>
        </w:tc>
        <w:tc>
          <w:tcPr>
            <w:tcW w:w="1200" w:type="pct"/>
            <w:vAlign w:val="center"/>
          </w:tcPr>
          <w:p>
            <w:pPr>
              <w:contextualSpacing/>
              <w:jc w:val="center"/>
              <w:rPr>
                <w:rFonts w:ascii="Times New Roman" w:hAnsi="Times New Roman" w:cs="宋体"/>
                <w:bCs/>
                <w:sz w:val="18"/>
                <w:szCs w:val="18"/>
              </w:rPr>
            </w:pPr>
            <w:r>
              <w:rPr>
                <w:rFonts w:hint="eastAsia" w:ascii="Times New Roman" w:hAnsi="Times New Roman" w:cs="宋体"/>
                <w:sz w:val="18"/>
                <w:szCs w:val="18"/>
              </w:rPr>
              <w:t>扩音器（</w:t>
            </w:r>
            <w:r>
              <w:rPr>
                <w:rFonts w:ascii="Times New Roman" w:hAnsi="Times New Roman" w:cs="宋体"/>
                <w:sz w:val="18"/>
                <w:szCs w:val="18"/>
              </w:rPr>
              <w:t>铜锣、</w:t>
            </w:r>
            <w:r>
              <w:rPr>
                <w:rFonts w:hint="eastAsia" w:ascii="Times New Roman" w:hAnsi="Times New Roman" w:cs="宋体"/>
                <w:sz w:val="18"/>
                <w:szCs w:val="18"/>
              </w:rPr>
              <w:t>口哨）</w:t>
            </w:r>
          </w:p>
        </w:tc>
        <w:tc>
          <w:tcPr>
            <w:tcW w:w="2211" w:type="pct"/>
            <w:vAlign w:val="center"/>
          </w:tcPr>
          <w:p>
            <w:pPr>
              <w:contextualSpacing/>
              <w:jc w:val="left"/>
              <w:rPr>
                <w:rFonts w:ascii="Times New Roman" w:hAnsi="Times New Roman" w:cs="宋体"/>
                <w:sz w:val="18"/>
                <w:szCs w:val="18"/>
              </w:rPr>
            </w:pPr>
            <w:r>
              <w:rPr>
                <w:rFonts w:hint="eastAsia" w:ascii="Times New Roman" w:hAnsi="Times New Roman" w:cs="宋体"/>
                <w:sz w:val="18"/>
                <w:szCs w:val="18"/>
              </w:rPr>
              <w:t>大音量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0" w:type="pct"/>
            <w:vAlign w:val="center"/>
          </w:tcPr>
          <w:p>
            <w:pPr>
              <w:contextualSpacing/>
              <w:jc w:val="center"/>
              <w:rPr>
                <w:rFonts w:ascii="Times New Roman" w:hAnsi="Times New Roman" w:cs="宋体"/>
                <w:sz w:val="18"/>
                <w:szCs w:val="18"/>
              </w:rPr>
            </w:pPr>
            <w:r>
              <w:rPr>
                <w:rFonts w:ascii="Times New Roman" w:hAnsi="Times New Roman" w:cs="宋体"/>
                <w:sz w:val="18"/>
                <w:szCs w:val="18"/>
              </w:rPr>
              <w:t>6</w:t>
            </w:r>
          </w:p>
        </w:tc>
        <w:tc>
          <w:tcPr>
            <w:tcW w:w="438" w:type="pct"/>
            <w:vMerge w:val="continue"/>
            <w:vAlign w:val="center"/>
          </w:tcPr>
          <w:p/>
        </w:tc>
        <w:tc>
          <w:tcPr>
            <w:tcW w:w="700" w:type="pct"/>
            <w:vAlign w:val="center"/>
          </w:tcPr>
          <w:p>
            <w:pPr>
              <w:contextualSpacing/>
              <w:jc w:val="center"/>
              <w:rPr>
                <w:rFonts w:ascii="Times New Roman" w:hAnsi="Times New Roman" w:cs="宋体"/>
                <w:sz w:val="18"/>
                <w:szCs w:val="18"/>
              </w:rPr>
            </w:pPr>
            <w:r>
              <w:rPr>
                <w:rFonts w:hint="eastAsia" w:ascii="Times New Roman" w:hAnsi="Times New Roman" w:cs="宋体"/>
                <w:sz w:val="18"/>
                <w:szCs w:val="18"/>
              </w:rPr>
              <w:t>通讯装备</w:t>
            </w:r>
          </w:p>
        </w:tc>
        <w:tc>
          <w:tcPr>
            <w:tcW w:w="1200" w:type="pct"/>
            <w:vAlign w:val="center"/>
          </w:tcPr>
          <w:p>
            <w:pPr>
              <w:contextualSpacing/>
              <w:jc w:val="center"/>
              <w:rPr>
                <w:rFonts w:ascii="Times New Roman" w:hAnsi="Times New Roman" w:cs="宋体"/>
                <w:bCs/>
                <w:sz w:val="18"/>
                <w:szCs w:val="18"/>
              </w:rPr>
            </w:pPr>
            <w:r>
              <w:rPr>
                <w:rFonts w:hint="eastAsia" w:ascii="Times New Roman" w:hAnsi="Times New Roman" w:cs="宋体"/>
                <w:sz w:val="18"/>
                <w:szCs w:val="18"/>
              </w:rPr>
              <w:t>电话</w:t>
            </w:r>
          </w:p>
        </w:tc>
        <w:tc>
          <w:tcPr>
            <w:tcW w:w="2211" w:type="pct"/>
            <w:vAlign w:val="center"/>
          </w:tcPr>
          <w:p>
            <w:pPr>
              <w:contextualSpacing/>
              <w:jc w:val="left"/>
              <w:rPr>
                <w:rFonts w:ascii="Times New Roman" w:hAnsi="Times New Roman" w:cs="宋体"/>
                <w:sz w:val="18"/>
                <w:szCs w:val="18"/>
              </w:rPr>
            </w:pPr>
            <w:r>
              <w:rPr>
                <w:rFonts w:hint="eastAsia" w:ascii="Times New Roman" w:hAnsi="Times New Roman" w:cs="宋体"/>
                <w:bCs/>
                <w:sz w:val="18"/>
                <w:szCs w:val="18"/>
              </w:rPr>
              <w:t>支持</w:t>
            </w:r>
            <w:r>
              <w:rPr>
                <w:rFonts w:ascii="Times New Roman" w:hAnsi="Times New Roman" w:cs="宋体"/>
                <w:bCs/>
                <w:sz w:val="18"/>
                <w:szCs w:val="18"/>
              </w:rPr>
              <w:t>4</w:t>
            </w:r>
            <w:r>
              <w:rPr>
                <w:rFonts w:hint="eastAsia" w:ascii="Times New Roman" w:hAnsi="Times New Roman" w:cs="宋体"/>
                <w:bCs/>
                <w:sz w:val="18"/>
                <w:szCs w:val="18"/>
              </w:rPr>
              <w:t xml:space="preserve"> </w:t>
            </w:r>
            <w:r>
              <w:rPr>
                <w:rFonts w:ascii="Times New Roman" w:hAnsi="Times New Roman" w:cs="宋体"/>
                <w:bCs/>
                <w:sz w:val="18"/>
                <w:szCs w:val="18"/>
              </w:rPr>
              <w:t>G</w:t>
            </w:r>
            <w:r>
              <w:rPr>
                <w:rFonts w:hint="eastAsia" w:ascii="Times New Roman" w:hAnsi="Times New Roman" w:cs="宋体"/>
                <w:bCs/>
                <w:sz w:val="18"/>
                <w:szCs w:val="18"/>
              </w:rPr>
              <w:t>，定位和拍照，待机时间长，可使用“智慧防灾”微信公众号，</w:t>
            </w:r>
          </w:p>
        </w:tc>
      </w:tr>
    </w:tbl>
    <w:p>
      <w:pPr>
        <w:tabs>
          <w:tab w:val="left" w:pos="3090"/>
        </w:tabs>
        <w:rPr>
          <w:rFonts w:ascii="宋体" w:cs="宋体"/>
        </w:rPr>
        <w:sectPr>
          <w:pgSz w:w="16838" w:h="11906" w:orient="landscape"/>
          <w:pgMar w:top="1800" w:right="1440" w:bottom="1800" w:left="1440" w:header="851" w:footer="992" w:gutter="0"/>
          <w:cols w:space="720" w:num="1"/>
          <w:docGrid w:type="lines" w:linePitch="312" w:charSpace="0"/>
        </w:sectPr>
      </w:pPr>
    </w:p>
    <w:p>
      <w:pPr>
        <w:jc w:val="center"/>
        <w:outlineLvl w:val="0"/>
        <w:rPr>
          <w:rFonts w:hint="eastAsia" w:ascii="黑体" w:eastAsia="黑体"/>
          <w:bCs/>
          <w:lang w:eastAsia="zh-CN"/>
        </w:rPr>
      </w:pPr>
      <w:bookmarkStart w:id="56" w:name="_Toc24540548"/>
      <w:r>
        <w:rPr>
          <w:rFonts w:hint="eastAsia" w:ascii="黑体" w:eastAsia="黑体"/>
          <w:bCs/>
        </w:rPr>
        <w:t>附  录</w:t>
      </w:r>
      <w:r>
        <w:rPr>
          <w:rFonts w:ascii="黑体" w:eastAsia="黑体"/>
          <w:bCs/>
        </w:rPr>
        <w:t xml:space="preserve">  B</w:t>
      </w:r>
    </w:p>
    <w:p>
      <w:pPr>
        <w:jc w:val="center"/>
        <w:outlineLvl w:val="0"/>
        <w:rPr>
          <w:rFonts w:hint="eastAsia" w:ascii="黑体" w:eastAsia="黑体"/>
          <w:lang w:eastAsia="zh-CN"/>
        </w:rPr>
      </w:pPr>
      <w:r>
        <w:rPr>
          <w:rFonts w:hint="eastAsia" w:ascii="黑体" w:eastAsia="黑体"/>
        </w:rPr>
        <w:t>（资料性附录）</w:t>
      </w:r>
    </w:p>
    <w:p>
      <w:pPr>
        <w:jc w:val="center"/>
        <w:outlineLvl w:val="0"/>
        <w:rPr>
          <w:rFonts w:ascii="黑体" w:eastAsia="黑体"/>
        </w:rPr>
      </w:pPr>
      <w:r>
        <w:rPr>
          <w:rFonts w:hint="eastAsia" w:ascii="黑体" w:eastAsia="黑体"/>
        </w:rPr>
        <w:t>综合防灾演练示例脚本</w:t>
      </w:r>
      <w:bookmarkEnd w:id="56"/>
    </w:p>
    <w:p>
      <w:pPr>
        <w:jc w:val="center"/>
        <w:rPr>
          <w:rFonts w:ascii="黑体" w:eastAsia="黑体" w:cs="黑体"/>
          <w:szCs w:val="21"/>
        </w:rPr>
      </w:pPr>
      <w:r>
        <w:rPr>
          <w:rFonts w:ascii="黑体" w:eastAsia="黑体" w:cs="黑体"/>
          <w:szCs w:val="21"/>
        </w:rPr>
        <w:t>XX</w:t>
      </w:r>
      <w:r>
        <w:rPr>
          <w:rFonts w:hint="eastAsia" w:ascii="黑体" w:eastAsia="黑体" w:cs="黑体"/>
          <w:szCs w:val="21"/>
        </w:rPr>
        <w:t>综合防灾演练脚本</w:t>
      </w:r>
    </w:p>
    <w:p>
      <w:pPr>
        <w:spacing w:line="360" w:lineRule="auto"/>
        <w:ind w:firstLine="420" w:firstLineChars="200"/>
        <w:rPr>
          <w:rFonts w:ascii="Times New Roman" w:hAnsi="Times New Roman"/>
          <w:szCs w:val="21"/>
        </w:rPr>
      </w:pPr>
      <w:r>
        <w:rPr>
          <w:rFonts w:ascii="Times New Roman" w:hAnsi="Times New Roman"/>
          <w:szCs w:val="21"/>
        </w:rPr>
        <w:t>主办单位：XX自然资源厅</w:t>
      </w:r>
    </w:p>
    <w:p>
      <w:pPr>
        <w:spacing w:line="360" w:lineRule="auto"/>
        <w:ind w:firstLine="420" w:firstLineChars="200"/>
        <w:rPr>
          <w:rFonts w:ascii="Times New Roman" w:hAnsi="Times New Roman"/>
          <w:szCs w:val="21"/>
        </w:rPr>
      </w:pPr>
      <w:r>
        <w:rPr>
          <w:rFonts w:ascii="Times New Roman" w:hAnsi="Times New Roman"/>
          <w:szCs w:val="21"/>
        </w:rPr>
        <w:t>承办单位：XX市人民政府</w:t>
      </w:r>
    </w:p>
    <w:p>
      <w:pPr>
        <w:spacing w:line="360" w:lineRule="auto"/>
        <w:ind w:firstLine="1470" w:firstLineChars="700"/>
        <w:rPr>
          <w:rFonts w:ascii="Times New Roman" w:hAnsi="Times New Roman"/>
          <w:szCs w:val="21"/>
        </w:rPr>
      </w:pPr>
      <w:r>
        <w:rPr>
          <w:rFonts w:ascii="Times New Roman" w:hAnsi="Times New Roman"/>
          <w:szCs w:val="21"/>
        </w:rPr>
        <w:t>XX地质环境监测保护站</w:t>
      </w:r>
    </w:p>
    <w:p>
      <w:pPr>
        <w:spacing w:line="360" w:lineRule="auto"/>
        <w:ind w:firstLine="420" w:firstLineChars="200"/>
        <w:rPr>
          <w:rFonts w:ascii="Times New Roman" w:hAnsi="Times New Roman"/>
          <w:szCs w:val="21"/>
        </w:rPr>
      </w:pPr>
      <w:r>
        <w:rPr>
          <w:rFonts w:ascii="Times New Roman" w:hAnsi="Times New Roman"/>
          <w:szCs w:val="21"/>
        </w:rPr>
        <w:t>协办单位：XX市自然资源和规划局</w:t>
      </w:r>
    </w:p>
    <w:p>
      <w:pPr>
        <w:spacing w:line="360" w:lineRule="auto"/>
        <w:ind w:firstLine="1470" w:firstLineChars="700"/>
        <w:rPr>
          <w:rFonts w:ascii="Times New Roman" w:hAnsi="Times New Roman"/>
          <w:szCs w:val="21"/>
        </w:rPr>
      </w:pPr>
      <w:r>
        <w:rPr>
          <w:rFonts w:ascii="Times New Roman" w:hAnsi="Times New Roman"/>
          <w:szCs w:val="21"/>
        </w:rPr>
        <w:t>XX县自然资源和规划局</w:t>
      </w:r>
    </w:p>
    <w:p>
      <w:pPr>
        <w:spacing w:line="360" w:lineRule="auto"/>
        <w:jc w:val="center"/>
        <w:rPr>
          <w:rFonts w:ascii="黑体" w:eastAsia="黑体" w:cs="黑体"/>
          <w:szCs w:val="21"/>
        </w:rPr>
      </w:pPr>
      <w:bookmarkStart w:id="57" w:name="_Toc24397_WPSOffice_Level2"/>
      <w:bookmarkStart w:id="58" w:name="_Toc5347_WPSOffice_Level2"/>
      <w:bookmarkStart w:id="59" w:name="_Toc25982_WPSOffice_Level2"/>
      <w:bookmarkStart w:id="60" w:name="_Toc15979_WPSOffice_Level2"/>
      <w:r>
        <w:rPr>
          <w:rFonts w:hint="eastAsia" w:ascii="黑体" w:eastAsia="黑体" w:cs="黑体"/>
          <w:szCs w:val="21"/>
        </w:rPr>
        <w:t>预 备</w:t>
      </w:r>
      <w:bookmarkEnd w:id="57"/>
      <w:bookmarkEnd w:id="58"/>
      <w:bookmarkEnd w:id="59"/>
      <w:bookmarkEnd w:id="60"/>
    </w:p>
    <w:p>
      <w:pPr>
        <w:widowControl/>
        <w:spacing w:line="360" w:lineRule="auto"/>
        <w:ind w:firstLine="420" w:firstLineChars="200"/>
        <w:jc w:val="left"/>
        <w:rPr>
          <w:rFonts w:ascii="Times New Roman" w:hAnsi="Times New Roman"/>
          <w:szCs w:val="21"/>
        </w:rPr>
      </w:pPr>
      <w:r>
        <w:rPr>
          <w:rFonts w:ascii="Times New Roman" w:hAnsi="Times New Roman"/>
          <w:szCs w:val="21"/>
        </w:rPr>
        <w:t>参加演练人员在指定区域集合完毕。</w:t>
      </w:r>
    </w:p>
    <w:p>
      <w:pPr>
        <w:widowControl/>
        <w:spacing w:line="360" w:lineRule="auto"/>
        <w:ind w:firstLine="420" w:firstLineChars="200"/>
        <w:jc w:val="left"/>
        <w:rPr>
          <w:rFonts w:ascii="Times New Roman" w:hAnsi="Times New Roman"/>
          <w:szCs w:val="21"/>
        </w:rPr>
      </w:pPr>
      <w:r>
        <w:rPr>
          <w:rFonts w:ascii="Times New Roman" w:hAnsi="Times New Roman"/>
          <w:szCs w:val="21"/>
        </w:rPr>
        <w:t>工作人员引领观摩演练的领导、嘉宾就座完毕；主持人准备就绪。</w:t>
      </w:r>
    </w:p>
    <w:p>
      <w:pPr>
        <w:widowControl/>
        <w:spacing w:line="360" w:lineRule="auto"/>
        <w:ind w:firstLine="420" w:firstLineChars="200"/>
        <w:jc w:val="left"/>
        <w:rPr>
          <w:rFonts w:ascii="Times New Roman" w:hAnsi="Times New Roman"/>
          <w:szCs w:val="21"/>
        </w:rPr>
      </w:pPr>
      <w:r>
        <w:rPr>
          <w:rFonts w:ascii="Times New Roman" w:hAnsi="Times New Roman"/>
          <w:szCs w:val="21"/>
        </w:rPr>
        <w:t>现场主持人解说词：（简单介绍本县基本情况，介绍演练举办单位、参演单位和观摩领导）。</w:t>
      </w:r>
    </w:p>
    <w:p>
      <w:pPr>
        <w:spacing w:line="360" w:lineRule="auto"/>
        <w:jc w:val="center"/>
        <w:rPr>
          <w:rFonts w:ascii="黑体" w:eastAsia="黑体" w:cs="黑体"/>
          <w:szCs w:val="21"/>
        </w:rPr>
      </w:pPr>
      <w:bookmarkStart w:id="61" w:name="_Toc5749"/>
      <w:bookmarkStart w:id="62" w:name="_Toc498939771"/>
      <w:bookmarkStart w:id="63" w:name="_Toc1314_WPSOffice_Level2"/>
      <w:bookmarkStart w:id="64" w:name="_Toc4674_WPSOffice_Level2"/>
      <w:bookmarkStart w:id="65" w:name="_Toc13604_WPSOffice_Level2"/>
      <w:bookmarkStart w:id="66" w:name="_Toc15072_WPSOffice_Level2"/>
      <w:bookmarkStart w:id="67" w:name="_Toc23166"/>
      <w:r>
        <w:rPr>
          <w:rFonts w:hint="eastAsia" w:ascii="黑体" w:eastAsia="黑体" w:cs="黑体"/>
          <w:szCs w:val="21"/>
        </w:rPr>
        <w:t>第一幕  演练</w:t>
      </w:r>
      <w:bookmarkEnd w:id="61"/>
      <w:r>
        <w:rPr>
          <w:rFonts w:hint="eastAsia" w:ascii="黑体" w:eastAsia="黑体" w:cs="黑体"/>
          <w:szCs w:val="21"/>
        </w:rPr>
        <w:t>发起</w:t>
      </w:r>
      <w:bookmarkEnd w:id="62"/>
      <w:bookmarkEnd w:id="63"/>
      <w:bookmarkEnd w:id="64"/>
      <w:bookmarkEnd w:id="65"/>
      <w:bookmarkEnd w:id="66"/>
      <w:bookmarkEnd w:id="67"/>
    </w:p>
    <w:p>
      <w:pPr>
        <w:spacing w:line="360" w:lineRule="auto"/>
        <w:ind w:firstLine="420" w:firstLineChars="200"/>
        <w:rPr>
          <w:rFonts w:ascii="Times New Roman" w:hAnsi="Times New Roman"/>
          <w:szCs w:val="21"/>
        </w:rPr>
      </w:pPr>
      <w:r>
        <w:rPr>
          <w:rFonts w:ascii="Times New Roman" w:hAnsi="Times New Roman"/>
          <w:szCs w:val="21"/>
        </w:rPr>
        <w:t>【画面一】演练发起</w:t>
      </w:r>
    </w:p>
    <w:p>
      <w:pPr>
        <w:spacing w:line="360" w:lineRule="auto"/>
        <w:ind w:firstLine="420" w:firstLineChars="200"/>
        <w:rPr>
          <w:rFonts w:ascii="Times New Roman" w:hAnsi="Times New Roman"/>
          <w:szCs w:val="21"/>
        </w:rPr>
      </w:pPr>
      <w:r>
        <w:rPr>
          <w:rFonts w:ascii="Times New Roman" w:hAnsi="Times New Roman"/>
          <w:szCs w:val="21"/>
        </w:rPr>
        <w:t>参加人员：指挥长、主场指挥、现场指挥。</w:t>
      </w:r>
    </w:p>
    <w:p>
      <w:pPr>
        <w:widowControl/>
        <w:spacing w:line="360" w:lineRule="auto"/>
        <w:ind w:firstLine="420" w:firstLineChars="200"/>
        <w:jc w:val="left"/>
        <w:rPr>
          <w:rFonts w:ascii="Times New Roman" w:hAnsi="Times New Roman"/>
          <w:szCs w:val="21"/>
        </w:rPr>
      </w:pPr>
      <w:r>
        <w:rPr>
          <w:rFonts w:ascii="Times New Roman" w:hAnsi="Times New Roman"/>
          <w:szCs w:val="21"/>
        </w:rPr>
        <w:t>【镜头</w:t>
      </w:r>
      <w:r>
        <w:rPr>
          <w:rFonts w:ascii="Times New Roman" w:hAnsi="Times New Roman"/>
          <w:bCs/>
          <w:szCs w:val="21"/>
        </w:rPr>
        <w:t>1</w:t>
      </w:r>
      <w:r>
        <w:rPr>
          <w:rFonts w:ascii="Times New Roman" w:hAnsi="Times New Roman"/>
          <w:szCs w:val="21"/>
        </w:rPr>
        <w:t>】现场拍摄现场指挥部全景。</w:t>
      </w:r>
    </w:p>
    <w:p>
      <w:pPr>
        <w:widowControl/>
        <w:spacing w:line="360" w:lineRule="auto"/>
        <w:ind w:firstLine="420" w:firstLineChars="200"/>
        <w:jc w:val="left"/>
        <w:rPr>
          <w:rFonts w:ascii="Times New Roman" w:hAnsi="Times New Roman"/>
          <w:szCs w:val="21"/>
        </w:rPr>
      </w:pPr>
      <w:r>
        <w:rPr>
          <w:rFonts w:ascii="Times New Roman" w:hAnsi="Times New Roman"/>
          <w:szCs w:val="21"/>
        </w:rPr>
        <w:t>【镜头</w:t>
      </w:r>
      <w:r>
        <w:rPr>
          <w:rFonts w:ascii="Times New Roman" w:hAnsi="Times New Roman"/>
          <w:bCs/>
          <w:szCs w:val="21"/>
        </w:rPr>
        <w:t>2</w:t>
      </w:r>
      <w:r>
        <w:rPr>
          <w:rFonts w:ascii="Times New Roman" w:hAnsi="Times New Roman"/>
          <w:szCs w:val="21"/>
        </w:rPr>
        <w:t>】省厅拍摄指挥中心全景及第一排领导，镜头逐渐聚焦到主场指挥。</w:t>
      </w:r>
    </w:p>
    <w:p>
      <w:pPr>
        <w:spacing w:line="360" w:lineRule="auto"/>
        <w:ind w:firstLine="420" w:firstLineChars="200"/>
        <w:jc w:val="left"/>
        <w:rPr>
          <w:rFonts w:ascii="Times New Roman" w:hAnsi="Times New Roman"/>
          <w:szCs w:val="21"/>
        </w:rPr>
      </w:pPr>
      <w:r>
        <w:rPr>
          <w:rFonts w:ascii="Times New Roman" w:hAnsi="Times New Roman"/>
          <w:szCs w:val="21"/>
        </w:rPr>
        <w:t>主场指挥：简介本次演练的目的和意义。</w:t>
      </w:r>
    </w:p>
    <w:p>
      <w:pPr>
        <w:spacing w:line="360" w:lineRule="auto"/>
        <w:ind w:firstLine="1470" w:firstLineChars="700"/>
        <w:jc w:val="left"/>
        <w:rPr>
          <w:rFonts w:ascii="Times New Roman" w:hAnsi="Times New Roman"/>
          <w:szCs w:val="21"/>
        </w:rPr>
      </w:pPr>
      <w:r>
        <w:rPr>
          <w:rFonts w:ascii="Times New Roman" w:hAnsi="Times New Roman"/>
          <w:szCs w:val="21"/>
        </w:rPr>
        <w:t>请指挥长发布演练指令。</w:t>
      </w:r>
    </w:p>
    <w:p>
      <w:pPr>
        <w:widowControl/>
        <w:spacing w:line="360" w:lineRule="auto"/>
        <w:ind w:firstLine="420" w:firstLineChars="200"/>
        <w:jc w:val="left"/>
        <w:rPr>
          <w:rFonts w:ascii="Times New Roman" w:hAnsi="Times New Roman"/>
          <w:szCs w:val="21"/>
        </w:rPr>
      </w:pPr>
      <w:r>
        <w:rPr>
          <w:rFonts w:ascii="Times New Roman" w:hAnsi="Times New Roman"/>
          <w:szCs w:val="21"/>
        </w:rPr>
        <w:t>【镜头</w:t>
      </w:r>
      <w:r>
        <w:rPr>
          <w:rFonts w:ascii="Times New Roman" w:hAnsi="Times New Roman"/>
          <w:bCs/>
          <w:szCs w:val="21"/>
        </w:rPr>
        <w:t>3</w:t>
      </w:r>
      <w:r>
        <w:rPr>
          <w:rFonts w:ascii="Times New Roman" w:hAnsi="Times New Roman"/>
          <w:szCs w:val="21"/>
        </w:rPr>
        <w:t>】省厅拍摄镜头转到指挥长。</w:t>
      </w:r>
    </w:p>
    <w:p>
      <w:pPr>
        <w:widowControl/>
        <w:spacing w:line="360" w:lineRule="auto"/>
        <w:ind w:firstLine="420" w:firstLineChars="200"/>
        <w:jc w:val="left"/>
        <w:rPr>
          <w:rFonts w:ascii="Times New Roman" w:hAnsi="Times New Roman"/>
          <w:szCs w:val="21"/>
        </w:rPr>
      </w:pPr>
      <w:r>
        <w:rPr>
          <w:rFonts w:ascii="Times New Roman" w:hAnsi="Times New Roman"/>
          <w:szCs w:val="21"/>
        </w:rPr>
        <w:t>指挥长：宣布演练开始</w:t>
      </w:r>
    </w:p>
    <w:p>
      <w:pPr>
        <w:spacing w:line="360" w:lineRule="auto"/>
        <w:jc w:val="center"/>
        <w:rPr>
          <w:rFonts w:ascii="黑体" w:eastAsia="黑体" w:cs="黑体"/>
          <w:szCs w:val="21"/>
        </w:rPr>
      </w:pPr>
      <w:bookmarkStart w:id="68" w:name="_Toc4540"/>
      <w:bookmarkStart w:id="69" w:name="_Toc442617604"/>
      <w:bookmarkStart w:id="70" w:name="_Toc16964_WPSOffice_Level2"/>
      <w:bookmarkStart w:id="71" w:name="_Toc10672_WPSOffice_Level2"/>
      <w:bookmarkStart w:id="72" w:name="_Toc17601_WPSOffice_Level2"/>
      <w:bookmarkStart w:id="73" w:name="_Toc498939772"/>
      <w:bookmarkStart w:id="74" w:name="_Toc27991_WPSOffice_Level2"/>
      <w:r>
        <w:rPr>
          <w:rFonts w:hint="eastAsia" w:ascii="黑体" w:eastAsia="黑体" w:cs="黑体"/>
          <w:szCs w:val="21"/>
        </w:rPr>
        <w:t>第二幕  气象预警</w:t>
      </w:r>
      <w:bookmarkEnd w:id="68"/>
      <w:bookmarkEnd w:id="69"/>
      <w:r>
        <w:rPr>
          <w:rFonts w:hint="eastAsia" w:ascii="黑体" w:eastAsia="黑体" w:cs="黑体"/>
          <w:szCs w:val="21"/>
        </w:rPr>
        <w:t>响应</w:t>
      </w:r>
      <w:bookmarkEnd w:id="70"/>
      <w:bookmarkEnd w:id="71"/>
      <w:bookmarkEnd w:id="72"/>
      <w:bookmarkEnd w:id="73"/>
      <w:bookmarkEnd w:id="74"/>
    </w:p>
    <w:p>
      <w:pPr>
        <w:spacing w:line="360" w:lineRule="auto"/>
        <w:ind w:firstLine="420" w:firstLineChars="200"/>
        <w:rPr>
          <w:rFonts w:ascii="Times New Roman" w:hAnsi="Times New Roman"/>
          <w:szCs w:val="21"/>
        </w:rPr>
      </w:pPr>
      <w:bookmarkStart w:id="75" w:name="_Toc442617612"/>
      <w:bookmarkStart w:id="76" w:name="_Toc442608511"/>
      <w:r>
        <w:rPr>
          <w:rFonts w:ascii="Times New Roman" w:hAnsi="Times New Roman"/>
          <w:szCs w:val="21"/>
        </w:rPr>
        <w:t>【画面二】气象预警响应</w:t>
      </w:r>
    </w:p>
    <w:p>
      <w:pPr>
        <w:spacing w:line="360" w:lineRule="auto"/>
        <w:ind w:firstLine="420" w:firstLineChars="200"/>
        <w:rPr>
          <w:rFonts w:ascii="Times New Roman" w:hAnsi="Times New Roman"/>
          <w:szCs w:val="21"/>
        </w:rPr>
      </w:pPr>
      <w:r>
        <w:rPr>
          <w:rFonts w:ascii="Times New Roman" w:hAnsi="Times New Roman"/>
          <w:szCs w:val="21"/>
        </w:rPr>
        <w:t>参加人员：市局应急值班员。</w:t>
      </w:r>
    </w:p>
    <w:p>
      <w:pPr>
        <w:spacing w:line="360" w:lineRule="auto"/>
        <w:ind w:firstLine="601"/>
        <w:rPr>
          <w:rFonts w:ascii="Times New Roman" w:hAnsi="Times New Roman"/>
          <w:bCs/>
          <w:szCs w:val="21"/>
        </w:rPr>
      </w:pPr>
      <w:r>
        <w:rPr>
          <w:rFonts w:ascii="Times New Roman" w:hAnsi="Times New Roman"/>
          <w:bCs/>
          <w:szCs w:val="21"/>
        </w:rPr>
        <w:t>现场主持人解说词：根据省气象部门天气预报，未来24小时，XX地区有暴雨发生。省厅为此发布了地质灾害气象风险预警：未来24小时，XX地区地质灾害气象风险较高，预警等级为黄色。</w:t>
      </w:r>
    </w:p>
    <w:p>
      <w:pPr>
        <w:tabs>
          <w:tab w:val="left" w:pos="975"/>
        </w:tabs>
        <w:spacing w:line="360" w:lineRule="auto"/>
        <w:ind w:firstLine="420" w:firstLineChars="200"/>
        <w:rPr>
          <w:rFonts w:ascii="Times New Roman" w:hAnsi="Times New Roman"/>
          <w:szCs w:val="21"/>
        </w:rPr>
      </w:pPr>
      <w:r>
        <w:rPr>
          <w:rFonts w:ascii="Times New Roman" w:hAnsi="Times New Roman"/>
          <w:bCs/>
          <w:szCs w:val="21"/>
        </w:rPr>
        <w:t>【镜头</w:t>
      </w:r>
      <w:r>
        <w:rPr>
          <w:rFonts w:ascii="Times New Roman" w:hAnsi="Times New Roman"/>
          <w:bCs/>
          <w:szCs w:val="21"/>
        </w:rPr>
        <w:t>1</w:t>
      </w:r>
      <w:r>
        <w:rPr>
          <w:rFonts w:ascii="Times New Roman" w:hAnsi="Times New Roman"/>
          <w:bCs/>
          <w:szCs w:val="21"/>
        </w:rPr>
        <w:t>】市局拍摄从市局会场全景聚焦至市局应</w:t>
      </w:r>
      <w:r>
        <w:rPr>
          <w:rFonts w:ascii="Times New Roman" w:hAnsi="Times New Roman"/>
          <w:szCs w:val="21"/>
        </w:rPr>
        <w:t>急值班员。</w:t>
      </w:r>
    </w:p>
    <w:p>
      <w:pPr>
        <w:spacing w:line="360" w:lineRule="auto"/>
        <w:ind w:firstLine="420" w:firstLineChars="200"/>
        <w:rPr>
          <w:rFonts w:ascii="Times New Roman" w:hAnsi="Times New Roman"/>
          <w:szCs w:val="21"/>
        </w:rPr>
      </w:pPr>
      <w:r>
        <w:rPr>
          <w:rFonts w:ascii="Times New Roman" w:hAnsi="Times New Roman"/>
          <w:szCs w:val="21"/>
        </w:rPr>
        <w:t>市局应急值班员拨打县局应急值班员电话。强调预警级别，加强巡查工作。</w:t>
      </w:r>
    </w:p>
    <w:p>
      <w:pPr>
        <w:spacing w:line="360" w:lineRule="auto"/>
        <w:jc w:val="center"/>
        <w:rPr>
          <w:rFonts w:ascii="宋体"/>
          <w:bCs/>
          <w:iCs/>
          <w:szCs w:val="21"/>
        </w:rPr>
      </w:pPr>
      <w:bookmarkStart w:id="77" w:name="_Toc3888_WPSOffice_Level2"/>
      <w:bookmarkStart w:id="78" w:name="_Toc15614_WPSOffice_Level2"/>
      <w:bookmarkStart w:id="79" w:name="_Toc24581_WPSOffice_Level2"/>
      <w:bookmarkStart w:id="80" w:name="_Toc498939773"/>
      <w:bookmarkStart w:id="81" w:name="_Toc3068_WPSOffice_Level2"/>
      <w:r>
        <w:rPr>
          <w:rFonts w:hint="eastAsia" w:ascii="黑体" w:eastAsia="黑体" w:cs="黑体"/>
          <w:szCs w:val="21"/>
        </w:rPr>
        <w:t>第三幕  险情速报</w:t>
      </w:r>
      <w:bookmarkEnd w:id="77"/>
      <w:bookmarkEnd w:id="78"/>
      <w:bookmarkEnd w:id="79"/>
      <w:bookmarkEnd w:id="80"/>
      <w:bookmarkEnd w:id="81"/>
    </w:p>
    <w:bookmarkEnd w:id="75"/>
    <w:bookmarkEnd w:id="76"/>
    <w:p>
      <w:pPr>
        <w:spacing w:line="360" w:lineRule="auto"/>
        <w:ind w:firstLine="420" w:firstLineChars="200"/>
        <w:rPr>
          <w:rFonts w:ascii="Times New Roman" w:hAnsi="Times New Roman"/>
          <w:szCs w:val="21"/>
        </w:rPr>
      </w:pPr>
      <w:bookmarkStart w:id="82" w:name="_Toc442608512"/>
      <w:bookmarkStart w:id="83" w:name="_Toc442617613"/>
      <w:r>
        <w:rPr>
          <w:rFonts w:ascii="Times New Roman" w:hAnsi="Times New Roman"/>
          <w:szCs w:val="21"/>
        </w:rPr>
        <w:t>【画面三】地质灾害现场，地质灾害险情排查</w:t>
      </w:r>
      <w:bookmarkEnd w:id="82"/>
      <w:bookmarkEnd w:id="83"/>
      <w:r>
        <w:rPr>
          <w:rFonts w:ascii="Times New Roman" w:hAnsi="Times New Roman"/>
          <w:szCs w:val="21"/>
        </w:rPr>
        <w:t>、上报</w:t>
      </w:r>
    </w:p>
    <w:p>
      <w:pPr>
        <w:tabs>
          <w:tab w:val="left" w:pos="825"/>
        </w:tabs>
        <w:spacing w:line="360" w:lineRule="auto"/>
        <w:ind w:firstLine="420" w:firstLineChars="200"/>
        <w:rPr>
          <w:rFonts w:ascii="Times New Roman" w:hAnsi="Times New Roman"/>
          <w:szCs w:val="21"/>
        </w:rPr>
      </w:pPr>
      <w:r>
        <w:rPr>
          <w:rFonts w:ascii="Times New Roman" w:hAnsi="Times New Roman"/>
          <w:szCs w:val="21"/>
        </w:rPr>
        <w:t>参加人员：网格专管员、协管员、管理员、责任人。</w:t>
      </w:r>
    </w:p>
    <w:p>
      <w:pPr>
        <w:spacing w:line="360" w:lineRule="auto"/>
        <w:ind w:firstLine="420" w:firstLineChars="200"/>
        <w:rPr>
          <w:rFonts w:ascii="Times New Roman" w:hAnsi="Times New Roman"/>
          <w:bCs/>
          <w:szCs w:val="21"/>
        </w:rPr>
      </w:pPr>
      <w:r>
        <w:rPr>
          <w:rFonts w:ascii="Times New Roman" w:hAnsi="Times New Roman"/>
          <w:bCs/>
          <w:szCs w:val="21"/>
        </w:rPr>
        <w:t>现场主持人解说词：XX网格专管员正在现场进行巡查，发现该处隐患点有新的变形迹象，立即通知网格管理员和网格协管员、网格责任人到现场核实情况。现在他们正前往地质灾害隐患点对地质灾害现场进行调查核实。</w:t>
      </w:r>
    </w:p>
    <w:p>
      <w:pPr>
        <w:spacing w:line="360" w:lineRule="auto"/>
        <w:ind w:firstLine="420" w:firstLineChars="200"/>
        <w:rPr>
          <w:rFonts w:ascii="Times New Roman" w:hAnsi="Times New Roman"/>
          <w:bCs/>
          <w:szCs w:val="21"/>
        </w:rPr>
      </w:pPr>
      <w:r>
        <w:rPr>
          <w:rFonts w:ascii="Times New Roman" w:hAnsi="Times New Roman"/>
          <w:bCs/>
          <w:szCs w:val="21"/>
        </w:rPr>
        <w:t>【镜头1】现场拍摄正对地质灾害，巡查人员身穿应急服装在地质灾害区域进行调查。</w:t>
      </w:r>
    </w:p>
    <w:p>
      <w:pPr>
        <w:spacing w:line="360" w:lineRule="auto"/>
        <w:ind w:firstLine="420" w:firstLineChars="200"/>
        <w:rPr>
          <w:rFonts w:ascii="Times New Roman" w:hAnsi="Times New Roman"/>
          <w:bCs/>
          <w:szCs w:val="21"/>
        </w:rPr>
      </w:pPr>
      <w:r>
        <w:rPr>
          <w:rFonts w:ascii="Times New Roman" w:hAnsi="Times New Roman"/>
          <w:bCs/>
          <w:szCs w:val="21"/>
        </w:rPr>
        <w:t>责任人向网格人员了解该灾害点实际变形情况，询问威胁对象及具体人数。</w:t>
      </w:r>
    </w:p>
    <w:p>
      <w:pPr>
        <w:spacing w:line="360" w:lineRule="auto"/>
        <w:ind w:firstLine="420" w:firstLineChars="200"/>
        <w:rPr>
          <w:rFonts w:ascii="Times New Roman" w:hAnsi="Times New Roman"/>
          <w:bCs/>
          <w:szCs w:val="21"/>
        </w:rPr>
      </w:pPr>
      <w:r>
        <w:rPr>
          <w:rFonts w:ascii="Times New Roman" w:hAnsi="Times New Roman"/>
          <w:bCs/>
          <w:szCs w:val="21"/>
        </w:rPr>
        <w:t>现场主持人解说词：接到网格责任人报告后，县政府马上启动了突发地质灾害应急预案Ⅲ级响应，在现场拉起了警戒线，灾害点威胁人员开展应急避险撤离。</w:t>
      </w:r>
    </w:p>
    <w:p>
      <w:pPr>
        <w:spacing w:line="360" w:lineRule="auto"/>
        <w:ind w:firstLine="420" w:firstLineChars="200"/>
        <w:rPr>
          <w:rFonts w:ascii="Times New Roman" w:hAnsi="Times New Roman"/>
          <w:bCs/>
          <w:szCs w:val="21"/>
        </w:rPr>
      </w:pPr>
      <w:r>
        <w:rPr>
          <w:rFonts w:ascii="Times New Roman" w:hAnsi="Times New Roman"/>
          <w:bCs/>
          <w:szCs w:val="21"/>
        </w:rPr>
        <w:t>【画面四】</w:t>
      </w:r>
      <w:r>
        <w:rPr>
          <w:rFonts w:ascii="Times New Roman" w:hAnsi="Times New Roman"/>
          <w:szCs w:val="21"/>
        </w:rPr>
        <w:t>地质灾害</w:t>
      </w:r>
      <w:r>
        <w:rPr>
          <w:rFonts w:ascii="Times New Roman" w:hAnsi="Times New Roman"/>
          <w:bCs/>
          <w:szCs w:val="21"/>
        </w:rPr>
        <w:t>险情上报</w:t>
      </w:r>
    </w:p>
    <w:p>
      <w:pPr>
        <w:spacing w:line="360" w:lineRule="auto"/>
        <w:ind w:firstLine="420" w:firstLineChars="200"/>
        <w:rPr>
          <w:rFonts w:ascii="Times New Roman" w:hAnsi="Times New Roman"/>
          <w:bCs/>
          <w:szCs w:val="21"/>
        </w:rPr>
      </w:pPr>
      <w:r>
        <w:rPr>
          <w:rFonts w:ascii="Times New Roman" w:hAnsi="Times New Roman"/>
          <w:bCs/>
          <w:szCs w:val="21"/>
        </w:rPr>
        <w:t>参加人员：县局应急值班员。</w:t>
      </w:r>
    </w:p>
    <w:p>
      <w:pPr>
        <w:spacing w:line="360" w:lineRule="auto"/>
        <w:ind w:firstLine="420" w:firstLineChars="200"/>
        <w:rPr>
          <w:rFonts w:ascii="Times New Roman" w:hAnsi="Times New Roman"/>
          <w:szCs w:val="21"/>
        </w:rPr>
      </w:pPr>
      <w:r>
        <w:rPr>
          <w:rFonts w:ascii="Times New Roman" w:hAnsi="Times New Roman"/>
          <w:bCs/>
          <w:szCs w:val="21"/>
        </w:rPr>
        <w:t>现场主持人解说词：接到网格责任人电话后，县局应急值班员查看了现场发过来的照片</w:t>
      </w:r>
      <w:r>
        <w:rPr>
          <w:rFonts w:ascii="Times New Roman" w:hAnsi="Times New Roman"/>
          <w:szCs w:val="21"/>
        </w:rPr>
        <w:t>资料，马上向市局应急值班员电话报告情况。</w:t>
      </w:r>
    </w:p>
    <w:p>
      <w:pPr>
        <w:spacing w:line="360" w:lineRule="auto"/>
        <w:ind w:firstLine="420" w:firstLineChars="200"/>
        <w:rPr>
          <w:rFonts w:ascii="Times New Roman" w:hAnsi="Times New Roman"/>
          <w:szCs w:val="21"/>
        </w:rPr>
      </w:pPr>
      <w:r>
        <w:rPr>
          <w:rFonts w:ascii="Times New Roman" w:hAnsi="Times New Roman"/>
          <w:szCs w:val="21"/>
        </w:rPr>
        <w:t>【镜头1】县局摄像从县局会场全景，聚焦县局应急值班员。</w:t>
      </w:r>
    </w:p>
    <w:p>
      <w:pPr>
        <w:spacing w:line="360" w:lineRule="auto"/>
        <w:ind w:firstLine="420" w:firstLineChars="200"/>
        <w:rPr>
          <w:rFonts w:ascii="Times New Roman" w:hAnsi="Times New Roman"/>
          <w:bCs/>
          <w:szCs w:val="21"/>
        </w:rPr>
      </w:pPr>
      <w:r>
        <w:rPr>
          <w:rFonts w:ascii="Times New Roman" w:hAnsi="Times New Roman"/>
          <w:bCs/>
          <w:szCs w:val="21"/>
        </w:rPr>
        <w:t>县局应急值班员向市局应急值班员汇报灾险情具体情况</w:t>
      </w:r>
    </w:p>
    <w:p>
      <w:pPr>
        <w:spacing w:line="360" w:lineRule="auto"/>
        <w:jc w:val="center"/>
        <w:rPr>
          <w:rFonts w:ascii="黑体" w:eastAsia="黑体" w:cs="黑体"/>
          <w:szCs w:val="21"/>
        </w:rPr>
      </w:pPr>
      <w:bookmarkStart w:id="84" w:name="_Toc1481_WPSOffice_Level2"/>
      <w:bookmarkStart w:id="85" w:name="_Toc498939774"/>
      <w:bookmarkStart w:id="86" w:name="_Toc17745_WPSOffice_Level2"/>
      <w:bookmarkStart w:id="87" w:name="_Toc10966_WPSOffice_Level2"/>
      <w:bookmarkStart w:id="88" w:name="_Toc13927_WPSOffice_Level2"/>
      <w:r>
        <w:rPr>
          <w:rFonts w:hint="eastAsia" w:ascii="黑体" w:eastAsia="黑体" w:cs="黑体"/>
          <w:szCs w:val="21"/>
        </w:rPr>
        <w:t>第四幕  县级应急预案实施</w:t>
      </w:r>
      <w:bookmarkEnd w:id="84"/>
      <w:bookmarkEnd w:id="85"/>
      <w:bookmarkEnd w:id="86"/>
      <w:bookmarkEnd w:id="87"/>
      <w:bookmarkEnd w:id="88"/>
    </w:p>
    <w:p>
      <w:pPr>
        <w:spacing w:line="360" w:lineRule="auto"/>
        <w:ind w:firstLine="420" w:firstLineChars="200"/>
        <w:rPr>
          <w:rFonts w:ascii="Times New Roman" w:hAnsi="Times New Roman"/>
          <w:szCs w:val="21"/>
        </w:rPr>
      </w:pPr>
      <w:r>
        <w:rPr>
          <w:rFonts w:ascii="Times New Roman" w:hAnsi="Times New Roman"/>
          <w:szCs w:val="21"/>
        </w:rPr>
        <w:t>【画面五】地质灾害现场，县级预案实施</w:t>
      </w:r>
    </w:p>
    <w:p>
      <w:pPr>
        <w:spacing w:line="360" w:lineRule="auto"/>
        <w:ind w:firstLine="420" w:firstLineChars="200"/>
        <w:rPr>
          <w:rFonts w:ascii="Times New Roman" w:hAnsi="Times New Roman"/>
          <w:szCs w:val="21"/>
        </w:rPr>
      </w:pPr>
      <w:r>
        <w:rPr>
          <w:rFonts w:ascii="Times New Roman" w:hAnsi="Times New Roman"/>
          <w:szCs w:val="21"/>
        </w:rPr>
        <w:t>现场主持人解说词：政府启动了县级地质灾害应急预案Ⅲ级响应。</w:t>
      </w:r>
    </w:p>
    <w:p>
      <w:pPr>
        <w:spacing w:line="360" w:lineRule="auto"/>
        <w:ind w:firstLine="420" w:firstLineChars="200"/>
        <w:rPr>
          <w:rFonts w:ascii="Times New Roman" w:hAnsi="Times New Roman"/>
          <w:szCs w:val="21"/>
        </w:rPr>
      </w:pPr>
      <w:r>
        <w:rPr>
          <w:rFonts w:ascii="Times New Roman" w:hAnsi="Times New Roman"/>
          <w:szCs w:val="21"/>
        </w:rPr>
        <w:t>【镜头1】中景，现场拍摄镜头正对现场应急指挥部，镜头拍摄指挥部人员会商画面及现场指挥发布应急撤离命令。</w:t>
      </w:r>
    </w:p>
    <w:p>
      <w:pPr>
        <w:spacing w:line="360" w:lineRule="auto"/>
        <w:ind w:firstLine="420" w:firstLineChars="200"/>
        <w:rPr>
          <w:rFonts w:ascii="Times New Roman" w:hAnsi="Times New Roman"/>
          <w:szCs w:val="21"/>
        </w:rPr>
      </w:pPr>
      <w:r>
        <w:rPr>
          <w:rFonts w:ascii="Times New Roman" w:hAnsi="Times New Roman"/>
          <w:szCs w:val="21"/>
        </w:rPr>
        <w:t>现场指挥：我宣布，立即组织受威胁人员撤离到安全区。</w:t>
      </w:r>
    </w:p>
    <w:p>
      <w:pPr>
        <w:spacing w:line="360" w:lineRule="auto"/>
        <w:ind w:firstLine="420" w:firstLineChars="200"/>
        <w:rPr>
          <w:rFonts w:ascii="Times New Roman" w:hAnsi="Times New Roman"/>
          <w:szCs w:val="21"/>
        </w:rPr>
      </w:pPr>
      <w:r>
        <w:rPr>
          <w:rFonts w:ascii="Times New Roman" w:hAnsi="Times New Roman"/>
          <w:szCs w:val="21"/>
        </w:rPr>
        <w:t>（警报声响起，10秒）</w:t>
      </w:r>
    </w:p>
    <w:p>
      <w:pPr>
        <w:spacing w:line="360" w:lineRule="auto"/>
        <w:ind w:firstLine="420" w:firstLineChars="200"/>
        <w:rPr>
          <w:rFonts w:ascii="Times New Roman" w:hAnsi="Times New Roman"/>
          <w:szCs w:val="21"/>
        </w:rPr>
      </w:pPr>
      <w:r>
        <w:rPr>
          <w:rFonts w:ascii="Times New Roman" w:hAnsi="Times New Roman"/>
          <w:szCs w:val="21"/>
        </w:rPr>
        <w:t>【镜头2】现场拍摄正对撤离路线，镜头拍摄拉起的警戒线以及群众撤离的画面。</w:t>
      </w:r>
    </w:p>
    <w:p>
      <w:pPr>
        <w:spacing w:line="360" w:lineRule="auto"/>
        <w:ind w:firstLine="420" w:firstLineChars="200"/>
        <w:rPr>
          <w:rFonts w:ascii="Times New Roman" w:hAnsi="Times New Roman"/>
          <w:szCs w:val="21"/>
        </w:rPr>
      </w:pPr>
      <w:r>
        <w:rPr>
          <w:rFonts w:ascii="Times New Roman" w:hAnsi="Times New Roman"/>
          <w:szCs w:val="21"/>
        </w:rPr>
        <w:t>现场主持人解说词：应急指挥部内，现场指挥与保护站专家讨论地质灾害发展趋势。</w:t>
      </w:r>
    </w:p>
    <w:p>
      <w:pPr>
        <w:spacing w:line="360" w:lineRule="auto"/>
        <w:ind w:firstLine="420" w:firstLineChars="200"/>
        <w:rPr>
          <w:rFonts w:ascii="Times New Roman" w:hAnsi="Times New Roman"/>
          <w:szCs w:val="21"/>
        </w:rPr>
      </w:pPr>
      <w:r>
        <w:rPr>
          <w:rFonts w:ascii="Times New Roman" w:hAnsi="Times New Roman"/>
          <w:szCs w:val="21"/>
        </w:rPr>
        <w:t>【镜头3】现场拍摄正对现场应急指挥部。镜头拍摄指挥部人员会商画面。</w:t>
      </w:r>
    </w:p>
    <w:p>
      <w:pPr>
        <w:spacing w:line="360" w:lineRule="auto"/>
        <w:ind w:firstLine="420" w:firstLineChars="200"/>
        <w:rPr>
          <w:rFonts w:ascii="Times New Roman" w:hAnsi="Times New Roman"/>
          <w:szCs w:val="21"/>
        </w:rPr>
      </w:pPr>
      <w:r>
        <w:rPr>
          <w:rFonts w:ascii="Times New Roman" w:hAnsi="Times New Roman"/>
          <w:szCs w:val="21"/>
        </w:rPr>
        <w:t>现场指挥与保护站专家讨论地质灾害发展趋势。</w:t>
      </w:r>
    </w:p>
    <w:p>
      <w:pPr>
        <w:spacing w:line="360" w:lineRule="auto"/>
        <w:jc w:val="center"/>
        <w:rPr>
          <w:rFonts w:ascii="黑体" w:eastAsia="黑体" w:cs="黑体"/>
          <w:szCs w:val="21"/>
        </w:rPr>
      </w:pPr>
      <w:bookmarkStart w:id="89" w:name="_Toc498939775"/>
      <w:bookmarkStart w:id="90" w:name="_Toc19385"/>
      <w:bookmarkStart w:id="91" w:name="_Toc10938_WPSOffice_Level2"/>
      <w:bookmarkStart w:id="92" w:name="_Toc19841_WPSOffice_Level2"/>
      <w:bookmarkStart w:id="93" w:name="_Toc3477_WPSOffice_Level2"/>
      <w:bookmarkStart w:id="94" w:name="_Toc27684_WPSOffice_Level2"/>
      <w:r>
        <w:rPr>
          <w:rFonts w:hint="eastAsia" w:ascii="黑体" w:eastAsia="黑体" w:cs="黑体"/>
          <w:szCs w:val="21"/>
        </w:rPr>
        <w:t>第五幕  远程会商与应急指挥</w:t>
      </w:r>
      <w:bookmarkEnd w:id="89"/>
      <w:bookmarkEnd w:id="90"/>
      <w:bookmarkEnd w:id="91"/>
      <w:bookmarkEnd w:id="92"/>
      <w:bookmarkEnd w:id="93"/>
      <w:bookmarkEnd w:id="94"/>
    </w:p>
    <w:p>
      <w:pPr>
        <w:widowControl/>
        <w:spacing w:line="360" w:lineRule="auto"/>
        <w:ind w:firstLine="420" w:firstLineChars="200"/>
        <w:rPr>
          <w:rFonts w:ascii="Times New Roman" w:hAnsi="Times New Roman"/>
          <w:szCs w:val="21"/>
        </w:rPr>
      </w:pPr>
      <w:bookmarkStart w:id="95" w:name="_Toc16677_WPSOffice_Level2"/>
      <w:bookmarkStart w:id="96" w:name="_Toc4790_WPSOffice_Level2"/>
      <w:bookmarkStart w:id="97" w:name="_Toc19829_WPSOffice_Level2"/>
      <w:bookmarkStart w:id="98" w:name="_Toc23636_WPSOffice_Level2"/>
      <w:bookmarkStart w:id="99" w:name="_Toc442617617"/>
      <w:r>
        <w:rPr>
          <w:rFonts w:ascii="Times New Roman" w:hAnsi="Times New Roman"/>
          <w:szCs w:val="21"/>
        </w:rPr>
        <w:t>第一场：启动市级预案</w:t>
      </w:r>
      <w:bookmarkEnd w:id="95"/>
      <w:bookmarkEnd w:id="96"/>
      <w:bookmarkEnd w:id="97"/>
      <w:bookmarkEnd w:id="98"/>
    </w:p>
    <w:p>
      <w:pPr>
        <w:widowControl/>
        <w:spacing w:line="360" w:lineRule="auto"/>
        <w:ind w:firstLine="420" w:firstLineChars="200"/>
        <w:rPr>
          <w:rFonts w:ascii="Times New Roman" w:hAnsi="Times New Roman"/>
          <w:szCs w:val="21"/>
        </w:rPr>
      </w:pPr>
      <w:r>
        <w:rPr>
          <w:rFonts w:ascii="Times New Roman" w:hAnsi="Times New Roman"/>
          <w:szCs w:val="21"/>
        </w:rPr>
        <w:t>【画面六】</w:t>
      </w:r>
      <w:bookmarkEnd w:id="99"/>
      <w:r>
        <w:rPr>
          <w:rFonts w:ascii="Times New Roman" w:hAnsi="Times New Roman"/>
          <w:szCs w:val="21"/>
        </w:rPr>
        <w:t>报告险情，启动市级预案</w:t>
      </w:r>
    </w:p>
    <w:p>
      <w:pPr>
        <w:widowControl/>
        <w:spacing w:line="360" w:lineRule="auto"/>
        <w:ind w:firstLine="420" w:firstLineChars="200"/>
        <w:rPr>
          <w:rFonts w:ascii="Times New Roman" w:hAnsi="Times New Roman"/>
          <w:szCs w:val="21"/>
        </w:rPr>
      </w:pPr>
      <w:r>
        <w:rPr>
          <w:rFonts w:ascii="Times New Roman" w:hAnsi="Times New Roman"/>
          <w:szCs w:val="21"/>
        </w:rPr>
        <w:t>现场主持人解说词：市局应急值班员立即向市局报告地质灾害险情，根据局长批示，迅速启动市级应急预案Ⅲ级响应，并报告省厅。</w:t>
      </w:r>
    </w:p>
    <w:p>
      <w:pPr>
        <w:spacing w:line="360" w:lineRule="auto"/>
        <w:ind w:firstLine="420" w:firstLineChars="200"/>
        <w:rPr>
          <w:rFonts w:ascii="Times New Roman" w:hAnsi="Times New Roman"/>
          <w:szCs w:val="21"/>
        </w:rPr>
      </w:pPr>
      <w:r>
        <w:rPr>
          <w:rFonts w:ascii="Times New Roman" w:hAnsi="Times New Roman"/>
          <w:szCs w:val="21"/>
        </w:rPr>
        <w:t>【镜头1】市局拍摄聚焦到市局局长。</w:t>
      </w:r>
    </w:p>
    <w:p>
      <w:pPr>
        <w:spacing w:line="360" w:lineRule="auto"/>
        <w:ind w:firstLine="420" w:firstLineChars="200"/>
        <w:rPr>
          <w:rFonts w:ascii="Times New Roman" w:hAnsi="Times New Roman"/>
          <w:szCs w:val="21"/>
        </w:rPr>
      </w:pPr>
      <w:r>
        <w:rPr>
          <w:rFonts w:ascii="Times New Roman" w:hAnsi="Times New Roman"/>
          <w:szCs w:val="21"/>
        </w:rPr>
        <w:t>市局应急值班员向局长报告地质灾害险情具体情况。</w:t>
      </w:r>
    </w:p>
    <w:p>
      <w:pPr>
        <w:widowControl/>
        <w:spacing w:line="360" w:lineRule="auto"/>
        <w:ind w:firstLine="420" w:firstLineChars="200"/>
        <w:rPr>
          <w:rFonts w:ascii="Times New Roman" w:hAnsi="Times New Roman"/>
          <w:szCs w:val="21"/>
        </w:rPr>
      </w:pPr>
      <w:bookmarkStart w:id="100" w:name="_Toc12941_WPSOffice_Level2"/>
      <w:bookmarkStart w:id="101" w:name="_Toc25456_WPSOffice_Level2"/>
      <w:bookmarkStart w:id="102" w:name="_Toc27853_WPSOffice_Level2"/>
      <w:bookmarkStart w:id="103" w:name="_Toc31209_WPSOffice_Level2"/>
      <w:r>
        <w:rPr>
          <w:rFonts w:ascii="Times New Roman" w:hAnsi="Times New Roman"/>
          <w:szCs w:val="21"/>
        </w:rPr>
        <w:t>第二场：启动省级预案</w:t>
      </w:r>
      <w:bookmarkEnd w:id="100"/>
      <w:bookmarkEnd w:id="101"/>
      <w:bookmarkEnd w:id="102"/>
      <w:bookmarkEnd w:id="103"/>
    </w:p>
    <w:p>
      <w:pPr>
        <w:spacing w:line="360" w:lineRule="auto"/>
        <w:ind w:firstLine="420" w:firstLineChars="200"/>
        <w:rPr>
          <w:rFonts w:ascii="Times New Roman" w:hAnsi="Times New Roman"/>
          <w:szCs w:val="21"/>
        </w:rPr>
      </w:pPr>
      <w:r>
        <w:rPr>
          <w:rFonts w:ascii="Times New Roman" w:hAnsi="Times New Roman"/>
          <w:szCs w:val="21"/>
        </w:rPr>
        <w:t>【画面七】：启动省级预案</w:t>
      </w:r>
    </w:p>
    <w:p>
      <w:pPr>
        <w:spacing w:line="360" w:lineRule="auto"/>
        <w:ind w:firstLine="420" w:firstLineChars="200"/>
        <w:rPr>
          <w:rFonts w:ascii="Times New Roman" w:hAnsi="Times New Roman"/>
          <w:szCs w:val="21"/>
        </w:rPr>
      </w:pPr>
      <w:r>
        <w:rPr>
          <w:rFonts w:ascii="Times New Roman" w:hAnsi="Times New Roman"/>
          <w:szCs w:val="21"/>
        </w:rPr>
        <w:t>参加人员：指挥长、主场指挥、相关领导、专家及观摩嘉宾。</w:t>
      </w:r>
    </w:p>
    <w:p>
      <w:pPr>
        <w:spacing w:line="360" w:lineRule="auto"/>
        <w:ind w:firstLine="420" w:firstLineChars="200"/>
        <w:rPr>
          <w:rFonts w:ascii="Times New Roman" w:hAnsi="Times New Roman"/>
          <w:szCs w:val="21"/>
        </w:rPr>
      </w:pPr>
      <w:r>
        <w:rPr>
          <w:rFonts w:ascii="Times New Roman" w:hAnsi="Times New Roman"/>
          <w:szCs w:val="21"/>
        </w:rPr>
        <w:t>现场主持人解说词：省厅应急中心接到报告后，立即请专家通过地质环境信息平台了解地质灾害点的基本信息和历史调查情况，研判该地质灾害变形趋势，进一步核实危险区范围。</w:t>
      </w:r>
    </w:p>
    <w:p>
      <w:pPr>
        <w:spacing w:line="360" w:lineRule="auto"/>
        <w:ind w:firstLine="420" w:firstLineChars="200"/>
        <w:rPr>
          <w:rFonts w:ascii="Times New Roman" w:hAnsi="Times New Roman"/>
          <w:szCs w:val="21"/>
        </w:rPr>
      </w:pPr>
      <w:bookmarkStart w:id="104" w:name="_Toc442617620"/>
      <w:r>
        <w:rPr>
          <w:rFonts w:ascii="Times New Roman" w:hAnsi="Times New Roman"/>
          <w:szCs w:val="21"/>
        </w:rPr>
        <w:t>【镜头1】省厅地质处向主场指挥汇报险情。</w:t>
      </w:r>
    </w:p>
    <w:p>
      <w:pPr>
        <w:spacing w:line="360" w:lineRule="auto"/>
        <w:ind w:firstLine="420" w:firstLineChars="200"/>
        <w:rPr>
          <w:rFonts w:ascii="Times New Roman" w:hAnsi="Times New Roman"/>
          <w:szCs w:val="21"/>
        </w:rPr>
      </w:pPr>
      <w:r>
        <w:rPr>
          <w:rFonts w:ascii="Times New Roman" w:hAnsi="Times New Roman"/>
          <w:szCs w:val="21"/>
        </w:rPr>
        <w:t>省厅领导主持指挥汇报地质灾害险情的具体情况。</w:t>
      </w:r>
    </w:p>
    <w:p>
      <w:pPr>
        <w:spacing w:line="360" w:lineRule="auto"/>
        <w:ind w:firstLine="420" w:firstLineChars="200"/>
        <w:rPr>
          <w:rFonts w:ascii="Times New Roman" w:hAnsi="Times New Roman"/>
          <w:szCs w:val="21"/>
        </w:rPr>
      </w:pPr>
      <w:r>
        <w:rPr>
          <w:rFonts w:ascii="Times New Roman" w:hAnsi="Times New Roman"/>
          <w:szCs w:val="21"/>
        </w:rPr>
        <w:t>主场指挥启动突发地质灾害应急预案，向省政府应急办报告，联系技术支撑单位，组织开展应急调查和应急会商。</w:t>
      </w:r>
    </w:p>
    <w:p>
      <w:pPr>
        <w:widowControl/>
        <w:spacing w:line="360" w:lineRule="auto"/>
        <w:ind w:firstLine="420" w:firstLineChars="200"/>
        <w:rPr>
          <w:rFonts w:ascii="Times New Roman" w:hAnsi="Times New Roman"/>
          <w:szCs w:val="21"/>
        </w:rPr>
      </w:pPr>
      <w:bookmarkStart w:id="105" w:name="_Toc22615_WPSOffice_Level2"/>
      <w:bookmarkStart w:id="106" w:name="_Toc21449_WPSOffice_Level2"/>
      <w:bookmarkStart w:id="107" w:name="_Toc17098_WPSOffice_Level2"/>
      <w:bookmarkStart w:id="108" w:name="_Toc766_WPSOffice_Level2"/>
      <w:r>
        <w:rPr>
          <w:rFonts w:ascii="Times New Roman" w:hAnsi="Times New Roman"/>
          <w:szCs w:val="21"/>
        </w:rPr>
        <w:t>第三场：现场应急调查</w:t>
      </w:r>
      <w:bookmarkEnd w:id="105"/>
      <w:bookmarkEnd w:id="106"/>
      <w:bookmarkEnd w:id="107"/>
      <w:bookmarkEnd w:id="108"/>
    </w:p>
    <w:p>
      <w:pPr>
        <w:spacing w:line="360" w:lineRule="auto"/>
        <w:ind w:firstLine="420" w:firstLineChars="200"/>
        <w:rPr>
          <w:rFonts w:ascii="Times New Roman" w:hAnsi="Times New Roman"/>
          <w:szCs w:val="21"/>
        </w:rPr>
      </w:pPr>
      <w:r>
        <w:rPr>
          <w:rFonts w:ascii="Times New Roman" w:hAnsi="Times New Roman"/>
          <w:szCs w:val="21"/>
        </w:rPr>
        <w:t>【画面八】应急调查组现场调查、应急航拍</w:t>
      </w:r>
    </w:p>
    <w:bookmarkEnd w:id="104"/>
    <w:p>
      <w:pPr>
        <w:spacing w:line="360" w:lineRule="auto"/>
        <w:ind w:firstLine="420" w:firstLineChars="200"/>
        <w:rPr>
          <w:rFonts w:ascii="Times New Roman" w:hAnsi="Times New Roman"/>
          <w:szCs w:val="21"/>
        </w:rPr>
      </w:pPr>
      <w:r>
        <w:rPr>
          <w:rFonts w:ascii="Times New Roman" w:hAnsi="Times New Roman"/>
          <w:szCs w:val="21"/>
        </w:rPr>
        <w:t>参加人员：应急调查组、单兵人员、无人机操作员等。</w:t>
      </w:r>
    </w:p>
    <w:p>
      <w:pPr>
        <w:spacing w:line="360" w:lineRule="auto"/>
        <w:ind w:firstLine="420" w:firstLineChars="200"/>
        <w:rPr>
          <w:rFonts w:ascii="Times New Roman" w:hAnsi="Times New Roman"/>
          <w:szCs w:val="21"/>
        </w:rPr>
      </w:pPr>
      <w:r>
        <w:rPr>
          <w:rFonts w:ascii="Times New Roman" w:hAnsi="Times New Roman"/>
          <w:szCs w:val="21"/>
        </w:rPr>
        <w:t>现场主持人解说词：接到省突发地质灾害应急指挥部命令后，技术支撑单位立即组织专家赶赴现场，进行应急调查。</w:t>
      </w:r>
    </w:p>
    <w:p>
      <w:pPr>
        <w:spacing w:line="360" w:lineRule="auto"/>
        <w:ind w:firstLine="420" w:firstLineChars="200"/>
        <w:rPr>
          <w:rFonts w:ascii="Times New Roman" w:hAnsi="Times New Roman"/>
          <w:szCs w:val="21"/>
        </w:rPr>
      </w:pPr>
      <w:r>
        <w:rPr>
          <w:rFonts w:ascii="Times New Roman" w:hAnsi="Times New Roman"/>
          <w:szCs w:val="21"/>
        </w:rPr>
        <w:t>请看，调查组正在地质灾害现场进行调查。</w:t>
      </w:r>
    </w:p>
    <w:p>
      <w:pPr>
        <w:spacing w:line="360" w:lineRule="auto"/>
        <w:ind w:firstLine="420" w:firstLineChars="200"/>
        <w:rPr>
          <w:rFonts w:ascii="Times New Roman" w:hAnsi="Times New Roman"/>
          <w:szCs w:val="21"/>
        </w:rPr>
      </w:pPr>
      <w:r>
        <w:rPr>
          <w:rFonts w:ascii="Times New Roman" w:hAnsi="Times New Roman"/>
          <w:szCs w:val="21"/>
        </w:rPr>
        <w:t>【镜头</w:t>
      </w:r>
      <w:r>
        <w:rPr>
          <w:rFonts w:ascii="Times New Roman" w:hAnsi="Times New Roman"/>
          <w:szCs w:val="21"/>
        </w:rPr>
        <w:t>1】单兵拍摄应急调查组调查情况（调查组员两人拉皮尺，1人测产状，1人做记录）。</w:t>
      </w:r>
    </w:p>
    <w:p>
      <w:pPr>
        <w:spacing w:line="360" w:lineRule="auto"/>
        <w:ind w:firstLine="420" w:firstLineChars="200"/>
        <w:rPr>
          <w:rFonts w:ascii="Times New Roman" w:hAnsi="Times New Roman"/>
          <w:szCs w:val="21"/>
        </w:rPr>
      </w:pPr>
      <w:r>
        <w:rPr>
          <w:rFonts w:ascii="Times New Roman" w:hAnsi="Times New Roman"/>
          <w:szCs w:val="21"/>
        </w:rPr>
        <w:t>现场主持人解说词：现场调查人员正操控无人机对地质灾害进行实时影像采集。</w:t>
      </w:r>
    </w:p>
    <w:p>
      <w:pPr>
        <w:spacing w:line="360" w:lineRule="auto"/>
        <w:ind w:firstLine="420" w:firstLineChars="200"/>
        <w:rPr>
          <w:rFonts w:ascii="Times New Roman" w:hAnsi="Times New Roman"/>
          <w:szCs w:val="21"/>
        </w:rPr>
      </w:pPr>
      <w:r>
        <w:rPr>
          <w:rFonts w:ascii="Times New Roman" w:hAnsi="Times New Roman"/>
          <w:szCs w:val="21"/>
        </w:rPr>
        <w:t>【镜头2】现场拍摄无人机操作员操作无人机，跟踪无人机起飞航拍（30秒）。</w:t>
      </w:r>
    </w:p>
    <w:p>
      <w:pPr>
        <w:spacing w:line="360" w:lineRule="auto"/>
        <w:ind w:firstLine="420" w:firstLineChars="200"/>
        <w:rPr>
          <w:rFonts w:ascii="Times New Roman" w:hAnsi="Times New Roman"/>
          <w:szCs w:val="21"/>
        </w:rPr>
      </w:pPr>
      <w:r>
        <w:rPr>
          <w:rFonts w:ascii="Times New Roman" w:hAnsi="Times New Roman"/>
          <w:szCs w:val="21"/>
        </w:rPr>
        <w:t>【镜头3</w:t>
      </w:r>
      <w:r>
        <w:rPr>
          <w:rFonts w:ascii="Times New Roman" w:hAnsi="Times New Roman"/>
          <w:szCs w:val="21"/>
        </w:rPr>
        <w:t>】信息平台播上传的无人机航拍视频。</w:t>
      </w:r>
    </w:p>
    <w:p>
      <w:pPr>
        <w:widowControl/>
        <w:spacing w:line="360" w:lineRule="auto"/>
        <w:ind w:firstLine="420" w:firstLineChars="200"/>
        <w:rPr>
          <w:rFonts w:ascii="Times New Roman" w:hAnsi="Times New Roman"/>
          <w:szCs w:val="21"/>
        </w:rPr>
      </w:pPr>
      <w:bookmarkStart w:id="109" w:name="_Toc442617628"/>
      <w:bookmarkStart w:id="110" w:name="_Toc22653_WPSOffice_Level2"/>
      <w:bookmarkStart w:id="111" w:name="_Toc1116_WPSOffice_Level2"/>
      <w:bookmarkStart w:id="112" w:name="_Toc15051"/>
      <w:bookmarkStart w:id="113" w:name="_Toc16488_WPSOffice_Level2"/>
      <w:bookmarkStart w:id="114" w:name="_Toc5023_WPSOffice_Level2"/>
      <w:r>
        <w:rPr>
          <w:rFonts w:ascii="Times New Roman" w:hAnsi="Times New Roman"/>
          <w:szCs w:val="21"/>
        </w:rPr>
        <w:t>第四场远程会商</w:t>
      </w:r>
      <w:bookmarkEnd w:id="109"/>
      <w:bookmarkEnd w:id="110"/>
      <w:bookmarkEnd w:id="111"/>
      <w:bookmarkEnd w:id="112"/>
      <w:bookmarkEnd w:id="113"/>
      <w:bookmarkEnd w:id="114"/>
    </w:p>
    <w:p>
      <w:pPr>
        <w:widowControl/>
        <w:spacing w:line="360" w:lineRule="auto"/>
        <w:ind w:firstLine="420" w:firstLineChars="200"/>
        <w:rPr>
          <w:rFonts w:ascii="Times New Roman" w:hAnsi="Times New Roman"/>
          <w:szCs w:val="21"/>
        </w:rPr>
      </w:pPr>
      <w:bookmarkStart w:id="115" w:name="_Toc442617621"/>
      <w:bookmarkStart w:id="116" w:name="_Toc442617629"/>
      <w:bookmarkStart w:id="117" w:name="_Toc442608528"/>
      <w:r>
        <w:rPr>
          <w:rFonts w:ascii="Times New Roman" w:hAnsi="Times New Roman"/>
          <w:szCs w:val="21"/>
        </w:rPr>
        <w:t>【画面九】应急会商，</w:t>
      </w:r>
      <w:bookmarkEnd w:id="115"/>
      <w:r>
        <w:rPr>
          <w:rFonts w:ascii="Times New Roman" w:hAnsi="Times New Roman"/>
          <w:szCs w:val="21"/>
        </w:rPr>
        <w:t>情况介绍</w:t>
      </w:r>
    </w:p>
    <w:p>
      <w:pPr>
        <w:spacing w:line="360" w:lineRule="auto"/>
        <w:ind w:firstLine="420" w:firstLineChars="200"/>
        <w:rPr>
          <w:rFonts w:ascii="Times New Roman" w:hAnsi="Times New Roman"/>
          <w:szCs w:val="21"/>
        </w:rPr>
      </w:pPr>
      <w:r>
        <w:rPr>
          <w:rFonts w:ascii="Times New Roman" w:hAnsi="Times New Roman"/>
          <w:szCs w:val="21"/>
        </w:rPr>
        <w:t>参加人员：省级领导、会商专家组人员。</w:t>
      </w:r>
    </w:p>
    <w:p>
      <w:pPr>
        <w:spacing w:line="360" w:lineRule="auto"/>
        <w:ind w:firstLine="420" w:firstLineChars="200"/>
        <w:rPr>
          <w:rFonts w:ascii="Times New Roman" w:hAnsi="Times New Roman"/>
          <w:szCs w:val="21"/>
        </w:rPr>
      </w:pPr>
      <w:r>
        <w:rPr>
          <w:rFonts w:ascii="Times New Roman" w:hAnsi="Times New Roman"/>
          <w:kern w:val="0"/>
          <w:szCs w:val="21"/>
        </w:rPr>
        <w:t>现场主持人解说词：</w:t>
      </w:r>
      <w:r>
        <w:rPr>
          <w:rFonts w:ascii="Times New Roman" w:hAnsi="Times New Roman"/>
          <w:szCs w:val="21"/>
        </w:rPr>
        <w:t>现场调查组通过应急调查平板将获得的资料数据上传到湖北省地质环境综合业务平台，专家组通过平台在会商中心研究资料。</w:t>
      </w:r>
    </w:p>
    <w:p>
      <w:pPr>
        <w:widowControl/>
        <w:spacing w:line="360" w:lineRule="auto"/>
        <w:ind w:firstLine="420" w:firstLineChars="200"/>
        <w:rPr>
          <w:rFonts w:ascii="Times New Roman" w:hAnsi="Times New Roman"/>
          <w:szCs w:val="21"/>
        </w:rPr>
      </w:pPr>
      <w:r>
        <w:rPr>
          <w:rFonts w:ascii="Times New Roman" w:hAnsi="Times New Roman"/>
          <w:szCs w:val="21"/>
        </w:rPr>
        <w:t>【镜头</w:t>
      </w:r>
      <w:r>
        <w:rPr>
          <w:rFonts w:ascii="Times New Roman" w:hAnsi="Times New Roman"/>
          <w:szCs w:val="21"/>
        </w:rPr>
        <w:t>1</w:t>
      </w:r>
      <w:r>
        <w:rPr>
          <w:rFonts w:ascii="Times New Roman" w:hAnsi="Times New Roman"/>
          <w:szCs w:val="21"/>
        </w:rPr>
        <w:t>】会商中心拍摄，会商专家查看历史资料和现场传来的资料。</w:t>
      </w:r>
    </w:p>
    <w:p>
      <w:pPr>
        <w:widowControl/>
        <w:spacing w:line="360" w:lineRule="auto"/>
        <w:ind w:firstLine="420" w:firstLineChars="200"/>
        <w:rPr>
          <w:rFonts w:ascii="Times New Roman" w:hAnsi="Times New Roman"/>
          <w:szCs w:val="21"/>
        </w:rPr>
      </w:pPr>
      <w:r>
        <w:rPr>
          <w:rFonts w:ascii="Times New Roman" w:hAnsi="Times New Roman"/>
          <w:szCs w:val="21"/>
        </w:rPr>
        <w:t>【镜头2】播放无人机拍摄的照片、平面图、剖面图等。</w:t>
      </w:r>
    </w:p>
    <w:p>
      <w:pPr>
        <w:spacing w:line="360" w:lineRule="auto"/>
        <w:ind w:firstLine="420" w:firstLineChars="200"/>
        <w:rPr>
          <w:rFonts w:ascii="Times New Roman" w:hAnsi="Times New Roman"/>
          <w:szCs w:val="21"/>
        </w:rPr>
      </w:pPr>
      <w:r>
        <w:rPr>
          <w:rFonts w:ascii="Times New Roman" w:hAnsi="Times New Roman"/>
          <w:szCs w:val="21"/>
        </w:rPr>
        <w:t>（处置动作）会商中心后台人员调用航拍照片、图片给省厅指挥中心、应急指挥车及现场显示屏。</w:t>
      </w:r>
    </w:p>
    <w:p>
      <w:pPr>
        <w:widowControl/>
        <w:spacing w:line="360" w:lineRule="auto"/>
        <w:ind w:firstLine="420" w:firstLineChars="200"/>
        <w:rPr>
          <w:rFonts w:hint="eastAsia" w:ascii="宋体"/>
          <w:szCs w:val="21"/>
        </w:rPr>
      </w:pPr>
      <w:r>
        <w:rPr>
          <w:rFonts w:hint="eastAsia" w:ascii="宋体"/>
          <w:szCs w:val="21"/>
        </w:rPr>
        <w:t>省厅领导</w:t>
      </w:r>
      <w:r>
        <w:rPr>
          <w:rFonts w:ascii="宋体"/>
          <w:szCs w:val="21"/>
        </w:rPr>
        <w:t>：</w:t>
      </w:r>
      <w:r>
        <w:rPr>
          <w:rFonts w:hint="eastAsia" w:ascii="宋体"/>
          <w:szCs w:val="21"/>
        </w:rPr>
        <w:t>“请现场调查组的同志介绍一下地质灾害的基本情况。”</w:t>
      </w:r>
    </w:p>
    <w:p>
      <w:pPr>
        <w:spacing w:line="360" w:lineRule="auto"/>
        <w:ind w:firstLine="420" w:firstLineChars="200"/>
        <w:rPr>
          <w:rFonts w:ascii="Times New Roman" w:hAnsi="Times New Roman"/>
          <w:szCs w:val="21"/>
        </w:rPr>
      </w:pPr>
      <w:r>
        <w:rPr>
          <w:rFonts w:ascii="Times New Roman" w:hAnsi="Times New Roman"/>
          <w:szCs w:val="21"/>
        </w:rPr>
        <w:t>应急调查组组长在现场通过视频会议介绍该地质灾害基本情况，以及调查现场结果。</w:t>
      </w:r>
    </w:p>
    <w:bookmarkEnd w:id="116"/>
    <w:bookmarkEnd w:id="117"/>
    <w:p>
      <w:pPr>
        <w:widowControl/>
        <w:spacing w:line="360" w:lineRule="auto"/>
        <w:ind w:firstLine="420" w:firstLineChars="200"/>
        <w:rPr>
          <w:rFonts w:ascii="Times New Roman" w:hAnsi="Times New Roman"/>
          <w:szCs w:val="21"/>
        </w:rPr>
      </w:pPr>
      <w:bookmarkStart w:id="118" w:name="_Toc442617631"/>
      <w:r>
        <w:rPr>
          <w:rFonts w:ascii="Times New Roman" w:hAnsi="Times New Roman"/>
          <w:szCs w:val="21"/>
        </w:rPr>
        <w:t>【画面十】会商中心，</w:t>
      </w:r>
      <w:bookmarkEnd w:id="118"/>
      <w:r>
        <w:rPr>
          <w:rFonts w:ascii="Times New Roman" w:hAnsi="Times New Roman"/>
          <w:szCs w:val="21"/>
        </w:rPr>
        <w:t>专家会商</w:t>
      </w:r>
    </w:p>
    <w:p>
      <w:pPr>
        <w:spacing w:line="360" w:lineRule="auto"/>
        <w:ind w:firstLine="420" w:firstLineChars="200"/>
        <w:rPr>
          <w:rFonts w:ascii="Times New Roman" w:hAnsi="Times New Roman"/>
          <w:szCs w:val="21"/>
        </w:rPr>
      </w:pPr>
      <w:r>
        <w:rPr>
          <w:rFonts w:ascii="Times New Roman" w:hAnsi="Times New Roman"/>
          <w:szCs w:val="21"/>
        </w:rPr>
        <w:t>参加人员：省级领导、会商专家组人员。</w:t>
      </w:r>
    </w:p>
    <w:p>
      <w:pPr>
        <w:spacing w:line="360" w:lineRule="auto"/>
        <w:ind w:firstLine="420" w:firstLineChars="200"/>
        <w:rPr>
          <w:rFonts w:ascii="Times New Roman" w:hAnsi="Times New Roman"/>
          <w:szCs w:val="21"/>
        </w:rPr>
      </w:pPr>
      <w:r>
        <w:rPr>
          <w:rFonts w:ascii="Times New Roman" w:hAnsi="Times New Roman"/>
          <w:szCs w:val="21"/>
        </w:rPr>
        <w:t>现场主持人解说词：会商中心专家组针对地质灾害变形情况，结合监测数据及降雨趋势，展开讨论。</w:t>
      </w:r>
    </w:p>
    <w:p>
      <w:pPr>
        <w:widowControl/>
        <w:spacing w:line="360" w:lineRule="auto"/>
        <w:ind w:firstLine="420" w:firstLineChars="200"/>
        <w:rPr>
          <w:rFonts w:ascii="Times New Roman" w:hAnsi="Times New Roman"/>
          <w:szCs w:val="21"/>
        </w:rPr>
      </w:pPr>
      <w:r>
        <w:rPr>
          <w:rFonts w:ascii="Times New Roman" w:hAnsi="Times New Roman"/>
          <w:szCs w:val="21"/>
        </w:rPr>
        <w:t>【镜头1】会商中心摄像会商中心全景，大屏上显示信息平台，地质灾害基本信息和平剖面地质图，专家同步解说。</w:t>
      </w:r>
    </w:p>
    <w:p>
      <w:pPr>
        <w:spacing w:line="360" w:lineRule="auto"/>
        <w:ind w:firstLine="420" w:firstLineChars="200"/>
        <w:rPr>
          <w:rFonts w:ascii="Times New Roman" w:hAnsi="Times New Roman"/>
          <w:szCs w:val="21"/>
        </w:rPr>
      </w:pPr>
      <w:bookmarkStart w:id="119" w:name="_Toc442617635"/>
      <w:r>
        <w:rPr>
          <w:rFonts w:ascii="Times New Roman" w:hAnsi="Times New Roman"/>
          <w:szCs w:val="21"/>
        </w:rPr>
        <w:t>【镜头2】会商中心摄像。</w:t>
      </w:r>
    </w:p>
    <w:p>
      <w:pPr>
        <w:spacing w:line="360" w:lineRule="auto"/>
        <w:ind w:firstLine="420" w:firstLineChars="200"/>
        <w:rPr>
          <w:rFonts w:ascii="Times New Roman" w:hAnsi="Times New Roman"/>
          <w:szCs w:val="21"/>
        </w:rPr>
      </w:pPr>
      <w:r>
        <w:rPr>
          <w:rFonts w:ascii="Times New Roman" w:hAnsi="Times New Roman"/>
          <w:szCs w:val="21"/>
        </w:rPr>
        <w:t>会商专家组长汇报后建议启动省级应急预案Ⅱ级响应。</w:t>
      </w:r>
    </w:p>
    <w:bookmarkEnd w:id="119"/>
    <w:p>
      <w:pPr>
        <w:widowControl/>
        <w:spacing w:line="360" w:lineRule="auto"/>
        <w:ind w:firstLine="420" w:firstLineChars="200"/>
        <w:rPr>
          <w:rFonts w:ascii="Times New Roman" w:hAnsi="Times New Roman"/>
          <w:szCs w:val="21"/>
        </w:rPr>
      </w:pPr>
      <w:bookmarkStart w:id="120" w:name="_Toc30541"/>
      <w:bookmarkStart w:id="121" w:name="_Toc11682_WPSOffice_Level2"/>
      <w:bookmarkStart w:id="122" w:name="_Toc14212_WPSOffice_Level2"/>
      <w:bookmarkStart w:id="123" w:name="_Toc4767_WPSOffice_Level2"/>
      <w:bookmarkStart w:id="124" w:name="_Toc16171_WPSOffice_Level2"/>
      <w:r>
        <w:rPr>
          <w:rFonts w:ascii="Times New Roman" w:hAnsi="Times New Roman"/>
          <w:szCs w:val="21"/>
        </w:rPr>
        <w:t>第五场</w:t>
      </w:r>
      <w:bookmarkEnd w:id="120"/>
      <w:r>
        <w:rPr>
          <w:rFonts w:ascii="Times New Roman" w:hAnsi="Times New Roman"/>
          <w:szCs w:val="21"/>
        </w:rPr>
        <w:t>应急指挥</w:t>
      </w:r>
      <w:bookmarkEnd w:id="121"/>
      <w:bookmarkEnd w:id="122"/>
      <w:bookmarkEnd w:id="123"/>
      <w:bookmarkEnd w:id="124"/>
    </w:p>
    <w:p>
      <w:pPr>
        <w:widowControl/>
        <w:spacing w:line="360" w:lineRule="auto"/>
        <w:ind w:firstLine="420" w:firstLineChars="200"/>
        <w:rPr>
          <w:rFonts w:ascii="Times New Roman" w:hAnsi="Times New Roman"/>
          <w:szCs w:val="21"/>
        </w:rPr>
      </w:pPr>
      <w:bookmarkStart w:id="125" w:name="_Toc442617636"/>
      <w:r>
        <w:rPr>
          <w:rFonts w:ascii="Times New Roman" w:hAnsi="Times New Roman"/>
          <w:szCs w:val="21"/>
        </w:rPr>
        <w:t>【画面十一】中心会场，发布指令</w:t>
      </w:r>
    </w:p>
    <w:p>
      <w:pPr>
        <w:spacing w:line="360" w:lineRule="auto"/>
        <w:ind w:firstLine="420" w:firstLineChars="200"/>
        <w:rPr>
          <w:rFonts w:ascii="Times New Roman" w:hAnsi="Times New Roman"/>
          <w:szCs w:val="21"/>
        </w:rPr>
      </w:pPr>
      <w:r>
        <w:rPr>
          <w:rFonts w:ascii="Times New Roman" w:hAnsi="Times New Roman"/>
          <w:szCs w:val="21"/>
        </w:rPr>
        <w:t>参加人员：指挥长、主场指挥、相关领导、专家及观摩嘉宾。</w:t>
      </w:r>
    </w:p>
    <w:bookmarkEnd w:id="125"/>
    <w:p>
      <w:pPr>
        <w:spacing w:line="360" w:lineRule="auto"/>
        <w:ind w:firstLine="420" w:firstLineChars="200"/>
        <w:rPr>
          <w:rFonts w:ascii="Times New Roman" w:hAnsi="Times New Roman"/>
          <w:szCs w:val="21"/>
        </w:rPr>
      </w:pPr>
      <w:r>
        <w:rPr>
          <w:rFonts w:ascii="Times New Roman" w:hAnsi="Times New Roman"/>
          <w:szCs w:val="21"/>
        </w:rPr>
        <w:t>【镜头1】主场指挥发布命</w:t>
      </w:r>
      <w:r>
        <w:rPr>
          <w:rFonts w:ascii="Times New Roman" w:hAnsi="Times New Roman"/>
          <w:szCs w:val="21"/>
        </w:rPr>
        <w:t>令（30秒）。</w:t>
      </w:r>
    </w:p>
    <w:p>
      <w:pPr>
        <w:widowControl/>
        <w:spacing w:line="360" w:lineRule="auto"/>
        <w:ind w:firstLine="420" w:firstLineChars="200"/>
        <w:rPr>
          <w:rFonts w:ascii="Times New Roman" w:hAnsi="Times New Roman"/>
          <w:szCs w:val="21"/>
        </w:rPr>
      </w:pPr>
      <w:r>
        <w:rPr>
          <w:rFonts w:ascii="Times New Roman" w:hAnsi="Times New Roman"/>
          <w:szCs w:val="21"/>
        </w:rPr>
        <w:t>主场指挥启动地质灾害应急Ⅱ级响应，请现场指挥部立即组织实施。</w:t>
      </w:r>
    </w:p>
    <w:p>
      <w:pPr>
        <w:spacing w:line="360" w:lineRule="auto"/>
        <w:jc w:val="center"/>
        <w:rPr>
          <w:rFonts w:ascii="Times New Roman" w:hAnsi="Times New Roman" w:eastAsia="黑体"/>
          <w:szCs w:val="21"/>
        </w:rPr>
      </w:pPr>
      <w:bookmarkStart w:id="126" w:name="_Toc13108"/>
      <w:bookmarkStart w:id="127" w:name="_Toc8450"/>
      <w:bookmarkStart w:id="128" w:name="_Toc498939776"/>
      <w:bookmarkStart w:id="129" w:name="_Toc1902_WPSOffice_Level2"/>
      <w:bookmarkStart w:id="130" w:name="_Toc28290_WPSOffice_Level2"/>
      <w:bookmarkStart w:id="131" w:name="_Toc14388_WPSOffice_Level2"/>
      <w:bookmarkStart w:id="132" w:name="_Toc20855_WPSOffice_Level2"/>
      <w:r>
        <w:rPr>
          <w:rFonts w:ascii="Times New Roman" w:hAnsi="Times New Roman" w:eastAsia="黑体"/>
          <w:szCs w:val="21"/>
        </w:rPr>
        <w:t>第六幕  应急</w:t>
      </w:r>
      <w:bookmarkEnd w:id="126"/>
      <w:bookmarkEnd w:id="127"/>
      <w:r>
        <w:rPr>
          <w:rFonts w:ascii="Times New Roman" w:hAnsi="Times New Roman" w:eastAsia="黑体"/>
          <w:szCs w:val="21"/>
        </w:rPr>
        <w:t>响应</w:t>
      </w:r>
      <w:bookmarkEnd w:id="128"/>
      <w:bookmarkEnd w:id="129"/>
      <w:bookmarkEnd w:id="130"/>
      <w:bookmarkEnd w:id="131"/>
      <w:bookmarkEnd w:id="132"/>
    </w:p>
    <w:p>
      <w:pPr>
        <w:widowControl/>
        <w:spacing w:line="360" w:lineRule="auto"/>
        <w:ind w:firstLine="420" w:firstLineChars="200"/>
        <w:rPr>
          <w:rFonts w:ascii="Times New Roman" w:hAnsi="Times New Roman"/>
          <w:szCs w:val="21"/>
        </w:rPr>
      </w:pPr>
      <w:bookmarkStart w:id="133" w:name="_Toc20711"/>
      <w:r>
        <w:rPr>
          <w:rFonts w:ascii="Times New Roman" w:hAnsi="Times New Roman"/>
          <w:szCs w:val="21"/>
        </w:rPr>
        <w:t>【画面十二】接受应急指令，</w:t>
      </w:r>
      <w:bookmarkEnd w:id="133"/>
      <w:r>
        <w:rPr>
          <w:rFonts w:ascii="Times New Roman" w:hAnsi="Times New Roman"/>
          <w:szCs w:val="21"/>
        </w:rPr>
        <w:t>现场发布指令</w:t>
      </w:r>
    </w:p>
    <w:p>
      <w:pPr>
        <w:spacing w:line="360" w:lineRule="auto"/>
        <w:ind w:firstLine="420" w:firstLineChars="200"/>
        <w:rPr>
          <w:rFonts w:ascii="Times New Roman" w:hAnsi="Times New Roman"/>
          <w:szCs w:val="21"/>
        </w:rPr>
      </w:pPr>
      <w:r>
        <w:rPr>
          <w:rFonts w:ascii="Times New Roman" w:hAnsi="Times New Roman"/>
          <w:szCs w:val="21"/>
        </w:rPr>
        <w:t>参加人员：现场指挥及工作组组长。</w:t>
      </w:r>
    </w:p>
    <w:p>
      <w:pPr>
        <w:widowControl/>
        <w:spacing w:line="360" w:lineRule="auto"/>
        <w:ind w:firstLine="420" w:firstLineChars="200"/>
        <w:rPr>
          <w:rFonts w:ascii="Times New Roman" w:hAnsi="Times New Roman"/>
          <w:szCs w:val="21"/>
        </w:rPr>
      </w:pPr>
      <w:r>
        <w:rPr>
          <w:rFonts w:ascii="Times New Roman" w:hAnsi="Times New Roman"/>
          <w:szCs w:val="21"/>
        </w:rPr>
        <w:t>【镜头1】现场拍摄现场指挥发布指令（定格时间XX）。</w:t>
      </w:r>
    </w:p>
    <w:p>
      <w:pPr>
        <w:widowControl/>
        <w:spacing w:line="360" w:lineRule="auto"/>
        <w:ind w:firstLine="420" w:firstLineChars="200"/>
        <w:rPr>
          <w:rFonts w:ascii="Times New Roman" w:hAnsi="Times New Roman"/>
          <w:szCs w:val="21"/>
        </w:rPr>
      </w:pPr>
      <w:r>
        <w:rPr>
          <w:rFonts w:ascii="Times New Roman" w:hAnsi="Times New Roman"/>
          <w:szCs w:val="21"/>
        </w:rPr>
        <w:t>现场指挥经省应急指挥部研究决定，立即启动省级地质灾害应急预案Ⅱ级响应，请各工作小组根据专家的意见和预案实施避险撤离和应急处置工作。”</w:t>
      </w:r>
    </w:p>
    <w:p>
      <w:pPr>
        <w:spacing w:line="360" w:lineRule="auto"/>
        <w:ind w:firstLine="420" w:firstLineChars="200"/>
        <w:rPr>
          <w:rFonts w:ascii="Times New Roman" w:hAnsi="Times New Roman"/>
          <w:szCs w:val="21"/>
        </w:rPr>
      </w:pPr>
      <w:r>
        <w:rPr>
          <w:rFonts w:ascii="Times New Roman" w:hAnsi="Times New Roman"/>
          <w:szCs w:val="21"/>
        </w:rPr>
        <w:t>拉防空警报三次。</w:t>
      </w:r>
    </w:p>
    <w:p>
      <w:pPr>
        <w:widowControl/>
        <w:spacing w:line="360" w:lineRule="auto"/>
        <w:ind w:firstLine="420" w:firstLineChars="200"/>
        <w:rPr>
          <w:rFonts w:ascii="Times New Roman" w:hAnsi="Times New Roman"/>
          <w:szCs w:val="21"/>
        </w:rPr>
      </w:pPr>
      <w:r>
        <w:rPr>
          <w:rFonts w:ascii="Times New Roman" w:hAnsi="Times New Roman"/>
          <w:szCs w:val="21"/>
        </w:rPr>
        <w:t>【画面十三】交通管制</w:t>
      </w:r>
    </w:p>
    <w:p>
      <w:pPr>
        <w:spacing w:line="360" w:lineRule="auto"/>
        <w:ind w:firstLine="420" w:firstLineChars="200"/>
        <w:rPr>
          <w:rFonts w:ascii="Times New Roman" w:hAnsi="Times New Roman"/>
          <w:szCs w:val="21"/>
        </w:rPr>
      </w:pPr>
      <w:r>
        <w:rPr>
          <w:rFonts w:ascii="Times New Roman" w:hAnsi="Times New Roman"/>
          <w:szCs w:val="21"/>
        </w:rPr>
        <w:t>人员：交通治安管制组。</w:t>
      </w:r>
    </w:p>
    <w:p>
      <w:pPr>
        <w:spacing w:line="360" w:lineRule="auto"/>
        <w:ind w:firstLine="420" w:firstLineChars="200"/>
        <w:rPr>
          <w:rFonts w:ascii="Times New Roman" w:hAnsi="Times New Roman"/>
          <w:szCs w:val="21"/>
        </w:rPr>
      </w:pPr>
      <w:r>
        <w:rPr>
          <w:rFonts w:ascii="Times New Roman" w:hAnsi="Times New Roman"/>
          <w:szCs w:val="21"/>
        </w:rPr>
        <w:t>现场主持人解说词：接到指令后，交通治安管制小队进入灾区实施交通管制和治安巡逻，保证灾区安全。</w:t>
      </w:r>
    </w:p>
    <w:p>
      <w:pPr>
        <w:spacing w:line="360" w:lineRule="auto"/>
        <w:ind w:firstLine="420" w:firstLineChars="200"/>
        <w:rPr>
          <w:rFonts w:ascii="Times New Roman" w:hAnsi="Times New Roman"/>
          <w:szCs w:val="21"/>
        </w:rPr>
      </w:pPr>
      <w:r>
        <w:rPr>
          <w:rFonts w:ascii="Times New Roman" w:hAnsi="Times New Roman"/>
          <w:szCs w:val="21"/>
        </w:rPr>
        <w:t>【镜头1】现场拍摄警车进入到指定路口、放置交通管制标识等。</w:t>
      </w:r>
    </w:p>
    <w:p>
      <w:pPr>
        <w:widowControl/>
        <w:spacing w:line="360" w:lineRule="auto"/>
        <w:ind w:firstLine="420" w:firstLineChars="200"/>
        <w:rPr>
          <w:rFonts w:ascii="Times New Roman" w:hAnsi="Times New Roman"/>
          <w:szCs w:val="21"/>
        </w:rPr>
      </w:pPr>
      <w:r>
        <w:rPr>
          <w:rFonts w:ascii="Times New Roman" w:hAnsi="Times New Roman"/>
          <w:szCs w:val="21"/>
        </w:rPr>
        <w:t>【镜头2】现场拍摄交通治安管制小组组长向现场指挥报告。</w:t>
      </w:r>
    </w:p>
    <w:p>
      <w:pPr>
        <w:widowControl/>
        <w:spacing w:line="360" w:lineRule="auto"/>
        <w:ind w:firstLine="420" w:firstLineChars="200"/>
        <w:rPr>
          <w:rFonts w:ascii="Times New Roman" w:hAnsi="Times New Roman"/>
          <w:szCs w:val="21"/>
        </w:rPr>
      </w:pPr>
      <w:r>
        <w:rPr>
          <w:rFonts w:ascii="Times New Roman" w:hAnsi="Times New Roman"/>
          <w:szCs w:val="21"/>
        </w:rPr>
        <w:t>【画面十四】人员避险转移和安置</w:t>
      </w:r>
    </w:p>
    <w:p>
      <w:pPr>
        <w:spacing w:line="360" w:lineRule="auto"/>
        <w:ind w:firstLine="420" w:firstLineChars="200"/>
        <w:rPr>
          <w:rFonts w:ascii="Times New Roman" w:hAnsi="Times New Roman"/>
          <w:szCs w:val="21"/>
        </w:rPr>
      </w:pPr>
      <w:r>
        <w:rPr>
          <w:rFonts w:ascii="Times New Roman" w:hAnsi="Times New Roman"/>
          <w:szCs w:val="21"/>
        </w:rPr>
        <w:t>人员：人员撤离组人员。</w:t>
      </w:r>
    </w:p>
    <w:p>
      <w:pPr>
        <w:spacing w:line="360" w:lineRule="auto"/>
        <w:ind w:firstLine="420" w:firstLineChars="200"/>
        <w:rPr>
          <w:rFonts w:ascii="Times New Roman" w:hAnsi="Times New Roman"/>
          <w:szCs w:val="21"/>
        </w:rPr>
      </w:pPr>
      <w:r>
        <w:rPr>
          <w:rFonts w:ascii="Times New Roman" w:hAnsi="Times New Roman"/>
          <w:szCs w:val="21"/>
        </w:rPr>
        <w:t>现场主持人解说词：避险撤离队正进入灾区组织群众转移。</w:t>
      </w:r>
    </w:p>
    <w:p>
      <w:pPr>
        <w:widowControl/>
        <w:spacing w:line="360" w:lineRule="auto"/>
        <w:ind w:firstLine="420" w:firstLineChars="200"/>
        <w:rPr>
          <w:rFonts w:ascii="Times New Roman" w:hAnsi="Times New Roman"/>
          <w:szCs w:val="21"/>
        </w:rPr>
      </w:pPr>
      <w:r>
        <w:rPr>
          <w:rFonts w:ascii="Times New Roman" w:hAnsi="Times New Roman"/>
          <w:szCs w:val="21"/>
        </w:rPr>
        <w:t>【镜头1】现场拍摄拍摄避险撤离队沿进入路线跑步进入灾区。</w:t>
      </w:r>
    </w:p>
    <w:p>
      <w:pPr>
        <w:widowControl/>
        <w:spacing w:line="360" w:lineRule="auto"/>
        <w:ind w:firstLine="420" w:firstLineChars="200"/>
        <w:rPr>
          <w:rFonts w:ascii="Times New Roman" w:hAnsi="Times New Roman"/>
          <w:szCs w:val="21"/>
        </w:rPr>
      </w:pPr>
      <w:r>
        <w:rPr>
          <w:rFonts w:ascii="Times New Roman" w:hAnsi="Times New Roman"/>
          <w:szCs w:val="21"/>
        </w:rPr>
        <w:t>【镜头2】单兵拍摄网格专管员在居民区敲锣喊话。</w:t>
      </w:r>
    </w:p>
    <w:p>
      <w:pPr>
        <w:widowControl/>
        <w:spacing w:line="360" w:lineRule="auto"/>
        <w:ind w:firstLine="420" w:firstLineChars="200"/>
        <w:rPr>
          <w:rFonts w:ascii="Times New Roman" w:hAnsi="Times New Roman"/>
          <w:szCs w:val="21"/>
        </w:rPr>
      </w:pPr>
      <w:r>
        <w:rPr>
          <w:rFonts w:ascii="Times New Roman" w:hAnsi="Times New Roman"/>
          <w:szCs w:val="21"/>
        </w:rPr>
        <w:t>【镜头3】现场拍摄避险撤离组人员组织群众沿撤离路线撤离至安全区域。</w:t>
      </w:r>
    </w:p>
    <w:p>
      <w:pPr>
        <w:widowControl/>
        <w:spacing w:line="360" w:lineRule="auto"/>
        <w:ind w:firstLine="420" w:firstLineChars="200"/>
        <w:rPr>
          <w:rFonts w:ascii="Times New Roman" w:hAnsi="Times New Roman"/>
          <w:szCs w:val="21"/>
        </w:rPr>
      </w:pPr>
      <w:bookmarkStart w:id="134" w:name="_Toc21130"/>
      <w:r>
        <w:rPr>
          <w:rFonts w:ascii="Times New Roman" w:hAnsi="Times New Roman"/>
          <w:szCs w:val="21"/>
        </w:rPr>
        <w:t>【镜头4】现场拍摄避险撤离组长向现场应急指挥部报告情况。</w:t>
      </w:r>
    </w:p>
    <w:bookmarkEnd w:id="134"/>
    <w:p>
      <w:pPr>
        <w:widowControl/>
        <w:spacing w:line="360" w:lineRule="auto"/>
        <w:ind w:firstLine="420" w:firstLineChars="200"/>
        <w:rPr>
          <w:rFonts w:ascii="Times New Roman" w:hAnsi="Times New Roman"/>
          <w:szCs w:val="21"/>
        </w:rPr>
      </w:pPr>
      <w:bookmarkStart w:id="135" w:name="_Toc4254"/>
      <w:r>
        <w:rPr>
          <w:rFonts w:ascii="Times New Roman" w:hAnsi="Times New Roman"/>
          <w:szCs w:val="21"/>
        </w:rPr>
        <w:t>【画面十五】工程抢险</w:t>
      </w:r>
      <w:bookmarkEnd w:id="135"/>
    </w:p>
    <w:p>
      <w:pPr>
        <w:spacing w:line="360" w:lineRule="auto"/>
        <w:ind w:firstLine="420" w:firstLineChars="200"/>
        <w:rPr>
          <w:rFonts w:ascii="Times New Roman" w:hAnsi="Times New Roman"/>
          <w:szCs w:val="21"/>
        </w:rPr>
      </w:pPr>
      <w:r>
        <w:rPr>
          <w:rFonts w:ascii="Times New Roman" w:hAnsi="Times New Roman"/>
          <w:szCs w:val="21"/>
        </w:rPr>
        <w:t>人员：抢险救援队。</w:t>
      </w:r>
    </w:p>
    <w:p>
      <w:pPr>
        <w:spacing w:line="360" w:lineRule="auto"/>
        <w:ind w:firstLine="420" w:firstLineChars="200"/>
        <w:rPr>
          <w:rFonts w:ascii="Times New Roman" w:hAnsi="Times New Roman"/>
          <w:szCs w:val="21"/>
        </w:rPr>
      </w:pPr>
      <w:r>
        <w:rPr>
          <w:rFonts w:ascii="Times New Roman" w:hAnsi="Times New Roman"/>
          <w:szCs w:val="21"/>
        </w:rPr>
        <w:t>现场主持人解说词：请看，我们的抢险救援队正进入灾区进行抢险救援工作。</w:t>
      </w:r>
    </w:p>
    <w:p>
      <w:pPr>
        <w:widowControl/>
        <w:spacing w:line="360" w:lineRule="auto"/>
        <w:ind w:firstLine="420" w:firstLineChars="200"/>
        <w:rPr>
          <w:rFonts w:ascii="Times New Roman" w:hAnsi="Times New Roman"/>
          <w:szCs w:val="21"/>
        </w:rPr>
      </w:pPr>
      <w:r>
        <w:rPr>
          <w:rFonts w:ascii="Times New Roman" w:hAnsi="Times New Roman"/>
          <w:szCs w:val="21"/>
        </w:rPr>
        <w:t>【镜头1】现场拍摄拍摄抢险救援队抬沙包压脚、爬梯子铺设雨布。</w:t>
      </w:r>
    </w:p>
    <w:p>
      <w:pPr>
        <w:spacing w:line="360" w:lineRule="auto"/>
        <w:ind w:firstLine="420" w:firstLineChars="200"/>
        <w:rPr>
          <w:rFonts w:ascii="Times New Roman" w:hAnsi="Times New Roman"/>
          <w:szCs w:val="21"/>
        </w:rPr>
      </w:pPr>
      <w:bookmarkStart w:id="136" w:name="_Toc7012"/>
      <w:r>
        <w:rPr>
          <w:rFonts w:ascii="Times New Roman" w:hAnsi="Times New Roman"/>
          <w:szCs w:val="21"/>
        </w:rPr>
        <w:t>现场主持人解说词：我们的抢险救援队完成了应急抢险救援工作。</w:t>
      </w:r>
    </w:p>
    <w:p>
      <w:pPr>
        <w:widowControl/>
        <w:spacing w:line="360" w:lineRule="auto"/>
        <w:ind w:firstLine="420" w:firstLineChars="200"/>
        <w:rPr>
          <w:rFonts w:ascii="Times New Roman" w:hAnsi="Times New Roman"/>
          <w:szCs w:val="21"/>
        </w:rPr>
      </w:pPr>
      <w:r>
        <w:rPr>
          <w:rFonts w:ascii="Times New Roman" w:hAnsi="Times New Roman"/>
          <w:szCs w:val="21"/>
        </w:rPr>
        <w:t>【镜头2】现场拍摄抢险救援队队长向现场应急指挥部报告情况。</w:t>
      </w:r>
    </w:p>
    <w:p>
      <w:pPr>
        <w:widowControl/>
        <w:spacing w:line="360" w:lineRule="auto"/>
        <w:ind w:firstLine="420" w:firstLineChars="200"/>
        <w:rPr>
          <w:rFonts w:ascii="Times New Roman" w:hAnsi="Times New Roman"/>
          <w:szCs w:val="21"/>
        </w:rPr>
      </w:pPr>
      <w:r>
        <w:rPr>
          <w:rFonts w:ascii="Times New Roman" w:hAnsi="Times New Roman"/>
          <w:szCs w:val="21"/>
        </w:rPr>
        <w:t>【画面十六】医疗救助</w:t>
      </w:r>
      <w:bookmarkEnd w:id="136"/>
    </w:p>
    <w:p>
      <w:pPr>
        <w:spacing w:line="360" w:lineRule="auto"/>
        <w:ind w:firstLine="420" w:firstLineChars="200"/>
        <w:rPr>
          <w:rFonts w:ascii="Times New Roman" w:hAnsi="Times New Roman"/>
          <w:szCs w:val="21"/>
        </w:rPr>
      </w:pPr>
      <w:r>
        <w:rPr>
          <w:rFonts w:ascii="Times New Roman" w:hAnsi="Times New Roman"/>
          <w:szCs w:val="21"/>
        </w:rPr>
        <w:t>人员：医疗救护队。</w:t>
      </w:r>
    </w:p>
    <w:p>
      <w:pPr>
        <w:widowControl/>
        <w:spacing w:line="360" w:lineRule="auto"/>
        <w:ind w:firstLine="420" w:firstLineChars="200"/>
        <w:rPr>
          <w:rFonts w:ascii="Times New Roman" w:hAnsi="Times New Roman"/>
          <w:szCs w:val="21"/>
        </w:rPr>
      </w:pPr>
      <w:r>
        <w:rPr>
          <w:rFonts w:ascii="Times New Roman" w:hAnsi="Times New Roman"/>
          <w:szCs w:val="21"/>
        </w:rPr>
        <w:t>现场主持人解说词：避险撤离组在全面清查灾区时，发现有一重病患者卧病在床。</w:t>
      </w:r>
    </w:p>
    <w:p>
      <w:pPr>
        <w:widowControl/>
        <w:spacing w:line="360" w:lineRule="auto"/>
        <w:ind w:firstLine="420" w:firstLineChars="200"/>
        <w:rPr>
          <w:rFonts w:ascii="Times New Roman" w:hAnsi="Times New Roman"/>
          <w:szCs w:val="21"/>
        </w:rPr>
      </w:pPr>
      <w:r>
        <w:rPr>
          <w:rFonts w:ascii="Times New Roman" w:hAnsi="Times New Roman"/>
          <w:szCs w:val="21"/>
        </w:rPr>
        <w:t>【镜头1】现场拍摄现场指挥接到避险撤离组人员对讲机报告伤病员情况。</w:t>
      </w:r>
    </w:p>
    <w:p>
      <w:pPr>
        <w:spacing w:line="360" w:lineRule="auto"/>
        <w:ind w:firstLine="420" w:firstLineChars="200"/>
        <w:rPr>
          <w:rFonts w:ascii="Times New Roman" w:hAnsi="Times New Roman"/>
          <w:szCs w:val="21"/>
        </w:rPr>
      </w:pPr>
      <w:r>
        <w:rPr>
          <w:rFonts w:ascii="Times New Roman" w:hAnsi="Times New Roman"/>
          <w:szCs w:val="21"/>
        </w:rPr>
        <w:t>【镜头2】现场拍摄救护车拉响警报并驶向居民区，医疗卫生人员取出担架，跑步进入灾区。</w:t>
      </w:r>
    </w:p>
    <w:p>
      <w:pPr>
        <w:spacing w:line="360" w:lineRule="auto"/>
        <w:ind w:firstLine="420" w:firstLineChars="200"/>
        <w:rPr>
          <w:rFonts w:ascii="Times New Roman" w:hAnsi="Times New Roman"/>
          <w:szCs w:val="21"/>
        </w:rPr>
      </w:pPr>
      <w:r>
        <w:rPr>
          <w:rFonts w:ascii="Times New Roman" w:hAnsi="Times New Roman"/>
          <w:szCs w:val="21"/>
        </w:rPr>
        <w:t>【镜头3】单兵拍摄医疗救护人员将居民楼前将其抬上担架。</w:t>
      </w:r>
    </w:p>
    <w:p>
      <w:pPr>
        <w:spacing w:line="360" w:lineRule="auto"/>
        <w:ind w:firstLine="420" w:firstLineChars="200"/>
        <w:rPr>
          <w:rFonts w:ascii="Times New Roman" w:hAnsi="Times New Roman"/>
          <w:szCs w:val="21"/>
        </w:rPr>
      </w:pPr>
      <w:r>
        <w:rPr>
          <w:rFonts w:ascii="Times New Roman" w:hAnsi="Times New Roman"/>
          <w:szCs w:val="21"/>
        </w:rPr>
        <w:t>【镜头4】现场拍摄医疗救护人员抬着病人从撤离路线出来，转移到救护车上。</w:t>
      </w:r>
    </w:p>
    <w:p>
      <w:pPr>
        <w:widowControl/>
        <w:spacing w:line="360" w:lineRule="auto"/>
        <w:ind w:firstLine="420" w:firstLineChars="200"/>
        <w:rPr>
          <w:rFonts w:ascii="Times New Roman" w:hAnsi="Times New Roman"/>
          <w:szCs w:val="21"/>
        </w:rPr>
      </w:pPr>
      <w:r>
        <w:rPr>
          <w:rFonts w:ascii="Times New Roman" w:hAnsi="Times New Roman"/>
          <w:szCs w:val="21"/>
        </w:rPr>
        <w:t>【画面十七】灾民安置</w:t>
      </w:r>
    </w:p>
    <w:p>
      <w:pPr>
        <w:spacing w:line="360" w:lineRule="auto"/>
        <w:ind w:firstLine="420" w:firstLineChars="200"/>
        <w:rPr>
          <w:rFonts w:ascii="Times New Roman" w:hAnsi="Times New Roman"/>
          <w:szCs w:val="21"/>
        </w:rPr>
      </w:pPr>
      <w:r>
        <w:rPr>
          <w:rFonts w:ascii="Times New Roman" w:hAnsi="Times New Roman"/>
          <w:szCs w:val="21"/>
        </w:rPr>
        <w:t>人员：灾民安置队、卫生防疫员。</w:t>
      </w:r>
    </w:p>
    <w:p>
      <w:pPr>
        <w:widowControl/>
        <w:spacing w:line="360" w:lineRule="auto"/>
        <w:ind w:firstLine="420" w:firstLineChars="200"/>
        <w:rPr>
          <w:rFonts w:ascii="Times New Roman" w:hAnsi="Times New Roman"/>
          <w:szCs w:val="21"/>
        </w:rPr>
      </w:pPr>
      <w:r>
        <w:rPr>
          <w:rFonts w:ascii="Times New Roman" w:hAnsi="Times New Roman"/>
          <w:szCs w:val="21"/>
        </w:rPr>
        <w:t>现场主持人解说词：灾民安置组在安置点搭好帐篷，做好灾民安置工作。</w:t>
      </w:r>
    </w:p>
    <w:p>
      <w:pPr>
        <w:widowControl/>
        <w:spacing w:line="360" w:lineRule="auto"/>
        <w:ind w:firstLine="420" w:firstLineChars="200"/>
        <w:rPr>
          <w:rFonts w:ascii="Times New Roman" w:hAnsi="Times New Roman"/>
          <w:szCs w:val="21"/>
        </w:rPr>
      </w:pPr>
      <w:r>
        <w:rPr>
          <w:rFonts w:ascii="Times New Roman" w:hAnsi="Times New Roman"/>
          <w:szCs w:val="21"/>
        </w:rPr>
        <w:t>【镜头1】现场拍摄卫生防疫人员正在对安置区进行消毒。灾民安置组给安置点处的灾民发放面包、水等物资。</w:t>
      </w:r>
    </w:p>
    <w:p>
      <w:pPr>
        <w:spacing w:line="360" w:lineRule="auto"/>
        <w:jc w:val="center"/>
        <w:rPr>
          <w:rFonts w:ascii="宋体"/>
          <w:bCs/>
          <w:iCs/>
          <w:szCs w:val="21"/>
        </w:rPr>
      </w:pPr>
      <w:bookmarkStart w:id="137" w:name="_Toc498939777"/>
      <w:bookmarkStart w:id="138" w:name="_Toc8663_WPSOffice_Level2"/>
      <w:bookmarkStart w:id="139" w:name="_Toc9013_WPSOffice_Level2"/>
      <w:bookmarkStart w:id="140" w:name="_Toc25772_WPSOffice_Level2"/>
      <w:bookmarkStart w:id="141" w:name="_Toc10_WPSOffice_Level2"/>
      <w:r>
        <w:rPr>
          <w:rFonts w:hint="eastAsia" w:ascii="黑体" w:eastAsia="黑体" w:cs="黑体"/>
          <w:szCs w:val="21"/>
        </w:rPr>
        <w:t>第七幕  警报解除</w:t>
      </w:r>
      <w:bookmarkEnd w:id="137"/>
      <w:r>
        <w:rPr>
          <w:rFonts w:hint="eastAsia" w:ascii="黑体" w:eastAsia="黑体" w:cs="黑体"/>
          <w:szCs w:val="21"/>
        </w:rPr>
        <w:t>、响应终止</w:t>
      </w:r>
      <w:bookmarkEnd w:id="138"/>
      <w:bookmarkEnd w:id="139"/>
      <w:bookmarkEnd w:id="140"/>
      <w:bookmarkEnd w:id="141"/>
    </w:p>
    <w:p>
      <w:pPr>
        <w:widowControl/>
        <w:spacing w:line="360" w:lineRule="auto"/>
        <w:ind w:firstLine="420" w:firstLineChars="200"/>
        <w:rPr>
          <w:rFonts w:ascii="Times New Roman" w:hAnsi="Times New Roman"/>
          <w:szCs w:val="21"/>
        </w:rPr>
      </w:pPr>
      <w:r>
        <w:rPr>
          <w:rFonts w:ascii="Times New Roman" w:hAnsi="Times New Roman"/>
          <w:szCs w:val="21"/>
        </w:rPr>
        <w:t>【画面十八】现场各小组汇报应急处置工作</w:t>
      </w:r>
    </w:p>
    <w:p>
      <w:pPr>
        <w:spacing w:line="360" w:lineRule="auto"/>
        <w:ind w:firstLine="420" w:firstLineChars="200"/>
        <w:rPr>
          <w:rFonts w:ascii="Times New Roman" w:hAnsi="Times New Roman"/>
          <w:szCs w:val="21"/>
        </w:rPr>
      </w:pPr>
      <w:r>
        <w:rPr>
          <w:rFonts w:ascii="Times New Roman" w:hAnsi="Times New Roman"/>
          <w:szCs w:val="21"/>
        </w:rPr>
        <w:t>人员：指挥部成员。</w:t>
      </w:r>
    </w:p>
    <w:p>
      <w:pPr>
        <w:spacing w:line="360" w:lineRule="auto"/>
        <w:ind w:firstLine="420" w:firstLineChars="200"/>
        <w:rPr>
          <w:rFonts w:ascii="Times New Roman" w:hAnsi="Times New Roman"/>
          <w:szCs w:val="21"/>
        </w:rPr>
      </w:pPr>
      <w:r>
        <w:rPr>
          <w:rFonts w:ascii="Times New Roman" w:hAnsi="Times New Roman"/>
          <w:szCs w:val="21"/>
        </w:rPr>
        <w:t>现场主持人解说词：经过各抢险救援单位的共同努力，灾区所有群众已撤离完毕，全部安全转移至临时安置点，伤员已得到救治，灾后相关工作正常开展，群众生活安置妥当。</w:t>
      </w:r>
    </w:p>
    <w:p>
      <w:pPr>
        <w:widowControl/>
        <w:spacing w:line="360" w:lineRule="auto"/>
        <w:ind w:firstLine="420" w:firstLineChars="200"/>
        <w:rPr>
          <w:rFonts w:ascii="Times New Roman" w:hAnsi="Times New Roman"/>
          <w:szCs w:val="21"/>
        </w:rPr>
      </w:pPr>
      <w:r>
        <w:rPr>
          <w:rFonts w:ascii="Times New Roman" w:hAnsi="Times New Roman"/>
          <w:szCs w:val="21"/>
        </w:rPr>
        <w:t>【镜头1】现场拍摄现场指挥通过对讲机与各救灾小组组长联系，报告处置情况。</w:t>
      </w:r>
    </w:p>
    <w:p>
      <w:pPr>
        <w:widowControl/>
        <w:spacing w:line="360" w:lineRule="auto"/>
        <w:ind w:firstLine="420" w:firstLineChars="200"/>
        <w:rPr>
          <w:rFonts w:ascii="Times New Roman" w:hAnsi="Times New Roman"/>
          <w:szCs w:val="21"/>
        </w:rPr>
      </w:pPr>
      <w:r>
        <w:rPr>
          <w:rFonts w:ascii="Times New Roman" w:hAnsi="Times New Roman"/>
          <w:szCs w:val="21"/>
        </w:rPr>
        <w:t>【镜头2】现场拍摄现场指挥部内，现场指挥向主场指挥报告应急处置工作。</w:t>
      </w:r>
    </w:p>
    <w:p>
      <w:pPr>
        <w:spacing w:line="360" w:lineRule="auto"/>
        <w:ind w:firstLine="420" w:firstLineChars="200"/>
        <w:rPr>
          <w:rFonts w:ascii="Times New Roman" w:hAnsi="Times New Roman"/>
          <w:szCs w:val="21"/>
        </w:rPr>
      </w:pPr>
      <w:r>
        <w:rPr>
          <w:rFonts w:ascii="Times New Roman" w:hAnsi="Times New Roman"/>
          <w:szCs w:val="21"/>
        </w:rPr>
        <w:t>【画面十九】会商组讨论，警报解除</w:t>
      </w:r>
    </w:p>
    <w:p>
      <w:pPr>
        <w:spacing w:line="360" w:lineRule="auto"/>
        <w:ind w:firstLine="420" w:firstLineChars="200"/>
        <w:rPr>
          <w:rFonts w:ascii="Times New Roman" w:hAnsi="Times New Roman"/>
          <w:szCs w:val="21"/>
        </w:rPr>
      </w:pPr>
      <w:r>
        <w:rPr>
          <w:rFonts w:ascii="Times New Roman" w:hAnsi="Times New Roman"/>
          <w:szCs w:val="21"/>
        </w:rPr>
        <w:t>人员：会商专家组。</w:t>
      </w:r>
    </w:p>
    <w:p>
      <w:pPr>
        <w:widowControl/>
        <w:spacing w:line="360" w:lineRule="auto"/>
        <w:ind w:firstLine="420" w:firstLineChars="200"/>
        <w:rPr>
          <w:rFonts w:ascii="Times New Roman" w:hAnsi="Times New Roman"/>
          <w:szCs w:val="21"/>
        </w:rPr>
      </w:pPr>
      <w:r>
        <w:rPr>
          <w:rFonts w:ascii="Times New Roman" w:hAnsi="Times New Roman"/>
          <w:szCs w:val="21"/>
        </w:rPr>
        <w:t>【镜头1】会商中心会场，专家讨论是否解除警报。</w:t>
      </w:r>
    </w:p>
    <w:p>
      <w:pPr>
        <w:spacing w:line="360" w:lineRule="auto"/>
        <w:ind w:firstLine="420" w:firstLineChars="200"/>
        <w:rPr>
          <w:rFonts w:ascii="Times New Roman" w:hAnsi="Times New Roman"/>
          <w:szCs w:val="21"/>
          <w:u w:val="single"/>
        </w:rPr>
      </w:pPr>
      <w:r>
        <w:rPr>
          <w:rFonts w:ascii="Times New Roman" w:hAnsi="Times New Roman"/>
          <w:szCs w:val="21"/>
        </w:rPr>
        <w:t>会商专家组组长通过应急监测组传过来的监测数据分析，地质灾害点经过应急处置已处于基本稳定状态，且未来几天天气情况将好转，专家组建议解除警报。</w:t>
      </w:r>
    </w:p>
    <w:p>
      <w:pPr>
        <w:widowControl/>
        <w:spacing w:line="360" w:lineRule="auto"/>
        <w:ind w:firstLine="420" w:firstLineChars="200"/>
        <w:rPr>
          <w:rFonts w:ascii="Times New Roman" w:hAnsi="Times New Roman"/>
          <w:szCs w:val="21"/>
        </w:rPr>
      </w:pPr>
      <w:r>
        <w:rPr>
          <w:rFonts w:ascii="Times New Roman" w:hAnsi="Times New Roman"/>
          <w:kern w:val="0"/>
          <w:szCs w:val="21"/>
        </w:rPr>
        <w:t>【画面二十】</w:t>
      </w:r>
      <w:r>
        <w:rPr>
          <w:rFonts w:ascii="Times New Roman" w:hAnsi="Times New Roman"/>
          <w:szCs w:val="21"/>
        </w:rPr>
        <w:t>【镜头1】指挥中心摄像聚焦主场指挥。</w:t>
      </w:r>
    </w:p>
    <w:p>
      <w:pPr>
        <w:spacing w:line="360" w:lineRule="auto"/>
        <w:ind w:firstLine="420" w:firstLineChars="200"/>
        <w:rPr>
          <w:rFonts w:ascii="Times New Roman" w:hAnsi="Times New Roman"/>
          <w:szCs w:val="21"/>
        </w:rPr>
      </w:pPr>
      <w:r>
        <w:rPr>
          <w:rFonts w:ascii="Times New Roman" w:hAnsi="Times New Roman"/>
          <w:szCs w:val="21"/>
        </w:rPr>
        <w:t>主场指挥根据专家会商意见和建议，宣布解除警报，应急响应终止。</w:t>
      </w:r>
    </w:p>
    <w:p>
      <w:pPr>
        <w:spacing w:line="360" w:lineRule="auto"/>
        <w:jc w:val="center"/>
        <w:rPr>
          <w:rFonts w:ascii="黑体" w:eastAsia="黑体" w:cs="黑体"/>
          <w:szCs w:val="21"/>
        </w:rPr>
      </w:pPr>
      <w:bookmarkStart w:id="142" w:name="_Toc498939778"/>
      <w:bookmarkStart w:id="143" w:name="_Toc10524"/>
      <w:bookmarkStart w:id="144" w:name="_Toc449381386"/>
      <w:bookmarkStart w:id="145" w:name="_Toc451497253"/>
      <w:bookmarkStart w:id="146" w:name="_Toc451780083"/>
      <w:bookmarkStart w:id="147" w:name="_Toc14057_WPSOffice_Level2"/>
      <w:bookmarkStart w:id="148" w:name="_Toc16828_WPSOffice_Level2"/>
      <w:bookmarkStart w:id="149" w:name="_Toc32233_WPSOffice_Level2"/>
      <w:bookmarkStart w:id="150" w:name="_Toc13673"/>
      <w:bookmarkStart w:id="151" w:name="_Toc27153_WPSOffice_Level2"/>
      <w:r>
        <w:rPr>
          <w:rFonts w:hint="eastAsia" w:ascii="黑体" w:eastAsia="黑体" w:cs="黑体"/>
          <w:szCs w:val="21"/>
        </w:rPr>
        <w:t>第八幕  演练总结点评</w:t>
      </w:r>
      <w:bookmarkEnd w:id="142"/>
      <w:bookmarkEnd w:id="143"/>
      <w:bookmarkEnd w:id="144"/>
      <w:bookmarkEnd w:id="145"/>
      <w:bookmarkEnd w:id="146"/>
      <w:bookmarkEnd w:id="147"/>
      <w:bookmarkEnd w:id="148"/>
      <w:bookmarkEnd w:id="149"/>
      <w:bookmarkEnd w:id="150"/>
      <w:bookmarkEnd w:id="151"/>
    </w:p>
    <w:p>
      <w:pPr>
        <w:widowControl/>
        <w:spacing w:line="360" w:lineRule="auto"/>
        <w:ind w:firstLine="420" w:firstLineChars="200"/>
        <w:rPr>
          <w:rFonts w:ascii="Times New Roman" w:hAnsi="Times New Roman"/>
          <w:szCs w:val="21"/>
        </w:rPr>
      </w:pPr>
      <w:r>
        <w:rPr>
          <w:rFonts w:ascii="Times New Roman" w:hAnsi="Times New Roman"/>
          <w:szCs w:val="21"/>
        </w:rPr>
        <w:t>【画面二十一】全员集合</w:t>
      </w:r>
    </w:p>
    <w:p>
      <w:pPr>
        <w:widowControl/>
        <w:spacing w:line="360" w:lineRule="auto"/>
        <w:ind w:firstLine="420" w:firstLineChars="200"/>
        <w:rPr>
          <w:rFonts w:ascii="Times New Roman" w:hAnsi="Times New Roman"/>
          <w:szCs w:val="21"/>
        </w:rPr>
      </w:pPr>
      <w:r>
        <w:rPr>
          <w:rFonts w:ascii="Times New Roman" w:hAnsi="Times New Roman"/>
          <w:szCs w:val="21"/>
        </w:rPr>
        <w:t>人员：全体人员。</w:t>
      </w:r>
    </w:p>
    <w:p>
      <w:pPr>
        <w:spacing w:line="360" w:lineRule="auto"/>
        <w:ind w:firstLine="420" w:firstLineChars="200"/>
        <w:rPr>
          <w:rFonts w:ascii="Times New Roman" w:hAnsi="Times New Roman"/>
          <w:szCs w:val="21"/>
        </w:rPr>
      </w:pPr>
      <w:r>
        <w:rPr>
          <w:rFonts w:ascii="Times New Roman" w:hAnsi="Times New Roman"/>
          <w:szCs w:val="21"/>
        </w:rPr>
        <w:t>【镜头1】现场拍摄现场参演人员到主席台前集合。</w:t>
      </w:r>
    </w:p>
    <w:p>
      <w:pPr>
        <w:widowControl/>
        <w:spacing w:line="360" w:lineRule="auto"/>
        <w:ind w:firstLine="420" w:firstLineChars="200"/>
        <w:rPr>
          <w:rFonts w:ascii="Times New Roman" w:hAnsi="Times New Roman"/>
          <w:szCs w:val="21"/>
        </w:rPr>
      </w:pPr>
      <w:r>
        <w:rPr>
          <w:rFonts w:ascii="Times New Roman" w:hAnsi="Times New Roman"/>
          <w:szCs w:val="21"/>
        </w:rPr>
        <w:t>【画面二十二】演练总结</w:t>
      </w:r>
    </w:p>
    <w:p>
      <w:pPr>
        <w:spacing w:line="360" w:lineRule="auto"/>
        <w:ind w:firstLine="396" w:firstLineChars="200"/>
        <w:rPr>
          <w:rFonts w:ascii="Times New Roman" w:hAnsi="Times New Roman"/>
          <w:szCs w:val="21"/>
        </w:rPr>
      </w:pPr>
      <w:r>
        <w:rPr>
          <w:rFonts w:ascii="Times New Roman" w:hAnsi="Times New Roman"/>
          <w:spacing w:val="-6"/>
          <w:szCs w:val="21"/>
        </w:rPr>
        <w:t>人员：</w:t>
      </w:r>
      <w:r>
        <w:rPr>
          <w:rFonts w:ascii="Times New Roman" w:hAnsi="Times New Roman"/>
          <w:szCs w:val="21"/>
        </w:rPr>
        <w:t>指挥长、主场指挥、相关领导、专家及观摩嘉宾。</w:t>
      </w:r>
    </w:p>
    <w:p>
      <w:pPr>
        <w:spacing w:line="360" w:lineRule="auto"/>
        <w:ind w:firstLine="420" w:firstLineChars="200"/>
        <w:rPr>
          <w:rFonts w:ascii="Times New Roman" w:hAnsi="Times New Roman"/>
          <w:szCs w:val="21"/>
        </w:rPr>
      </w:pPr>
      <w:r>
        <w:rPr>
          <w:rFonts w:ascii="Times New Roman" w:hAnsi="Times New Roman"/>
          <w:szCs w:val="21"/>
        </w:rPr>
        <w:t>现场主持人解说词：各参演单位已集合完毕。</w:t>
      </w:r>
    </w:p>
    <w:p>
      <w:pPr>
        <w:spacing w:line="360" w:lineRule="auto"/>
        <w:ind w:firstLine="420" w:firstLineChars="200"/>
        <w:rPr>
          <w:rFonts w:ascii="Times New Roman" w:hAnsi="Times New Roman"/>
          <w:szCs w:val="21"/>
        </w:rPr>
      </w:pPr>
      <w:r>
        <w:rPr>
          <w:rFonts w:ascii="Times New Roman" w:hAnsi="Times New Roman"/>
          <w:szCs w:val="21"/>
        </w:rPr>
        <w:t>【镜头1】省厅摄像镜头由指挥中心会场全景聚焦至指挥长。</w:t>
      </w:r>
    </w:p>
    <w:p>
      <w:pPr>
        <w:spacing w:line="360" w:lineRule="auto"/>
        <w:ind w:firstLine="420" w:firstLineChars="200"/>
        <w:rPr>
          <w:rFonts w:ascii="Times New Roman" w:hAnsi="Times New Roman"/>
          <w:szCs w:val="21"/>
        </w:rPr>
      </w:pPr>
      <w:r>
        <w:rPr>
          <w:rFonts w:ascii="Times New Roman" w:hAnsi="Times New Roman"/>
          <w:szCs w:val="21"/>
        </w:rPr>
        <w:t>指挥长对本次演练进行点评总结。</w:t>
      </w:r>
    </w:p>
    <w:p/>
    <w:p/>
    <w:p>
      <w:pPr>
        <w:jc w:val="center"/>
        <w:outlineLvl w:val="0"/>
        <w:rPr>
          <w:rFonts w:hint="eastAsia" w:ascii="黑体" w:eastAsia="黑体"/>
          <w:lang w:eastAsia="zh-CN"/>
        </w:rPr>
      </w:pPr>
      <w:r>
        <w:rPr>
          <w:rFonts w:ascii="宋体" w:cs="宋体"/>
        </w:rPr>
        <w:br w:type="page"/>
      </w:r>
      <w:bookmarkStart w:id="152" w:name="_Toc24540549"/>
      <w:r>
        <w:rPr>
          <w:rFonts w:hint="eastAsia" w:ascii="黑体" w:eastAsia="黑体"/>
        </w:rPr>
        <w:t>附  录</w:t>
      </w:r>
      <w:r>
        <w:rPr>
          <w:rFonts w:ascii="黑体" w:eastAsia="黑体"/>
        </w:rPr>
        <w:t xml:space="preserve">  C</w:t>
      </w:r>
    </w:p>
    <w:p>
      <w:pPr>
        <w:jc w:val="center"/>
        <w:outlineLvl w:val="0"/>
        <w:rPr>
          <w:rFonts w:hint="eastAsia" w:ascii="黑体" w:eastAsia="黑体"/>
          <w:lang w:eastAsia="zh-CN"/>
        </w:rPr>
      </w:pPr>
      <w:r>
        <w:rPr>
          <w:rFonts w:hint="eastAsia" w:ascii="黑体" w:eastAsia="黑体"/>
        </w:rPr>
        <w:t>（资料性附录）</w:t>
      </w:r>
    </w:p>
    <w:p>
      <w:pPr>
        <w:jc w:val="center"/>
        <w:outlineLvl w:val="0"/>
        <w:rPr>
          <w:rFonts w:ascii="黑体" w:eastAsia="黑体"/>
        </w:rPr>
      </w:pPr>
      <w:r>
        <w:rPr>
          <w:rFonts w:hint="eastAsia" w:ascii="黑体" w:eastAsia="黑体"/>
        </w:rPr>
        <w:t>地质灾害防灾预案编写提纲</w:t>
      </w:r>
      <w:bookmarkEnd w:id="152"/>
    </w:p>
    <w:p>
      <w:pPr>
        <w:spacing w:line="360" w:lineRule="auto"/>
        <w:jc w:val="left"/>
        <w:rPr>
          <w:rFonts w:ascii="宋体" w:eastAsia="宋体"/>
        </w:rPr>
      </w:pPr>
      <w:r>
        <w:rPr>
          <w:rFonts w:hint="eastAsia" w:ascii="宋体" w:eastAsia="宋体"/>
        </w:rPr>
        <w:t>第一章  总则</w:t>
      </w:r>
    </w:p>
    <w:p>
      <w:pPr>
        <w:tabs>
          <w:tab w:val="left" w:pos="0"/>
        </w:tabs>
        <w:spacing w:line="360" w:lineRule="auto"/>
        <w:ind w:firstLine="420" w:firstLineChars="200"/>
        <w:jc w:val="left"/>
        <w:rPr>
          <w:rFonts w:ascii="宋体" w:eastAsia="宋体"/>
          <w:szCs w:val="21"/>
        </w:rPr>
      </w:pPr>
      <w:r>
        <w:rPr>
          <w:rFonts w:hint="eastAsia" w:ascii="宋体" w:eastAsia="宋体"/>
          <w:szCs w:val="21"/>
        </w:rPr>
        <w:t>第一节  编制目的</w:t>
      </w:r>
    </w:p>
    <w:p>
      <w:pPr>
        <w:tabs>
          <w:tab w:val="left" w:pos="960"/>
        </w:tabs>
        <w:spacing w:line="360" w:lineRule="auto"/>
        <w:ind w:firstLine="420" w:firstLineChars="200"/>
        <w:jc w:val="left"/>
        <w:rPr>
          <w:rFonts w:ascii="宋体" w:eastAsia="宋体"/>
          <w:szCs w:val="21"/>
        </w:rPr>
      </w:pPr>
      <w:r>
        <w:rPr>
          <w:rFonts w:hint="eastAsia" w:ascii="宋体" w:eastAsia="宋体"/>
          <w:szCs w:val="21"/>
        </w:rPr>
        <w:t>第二节  编制依据</w:t>
      </w:r>
    </w:p>
    <w:p>
      <w:pPr>
        <w:tabs>
          <w:tab w:val="left" w:pos="960"/>
        </w:tabs>
        <w:spacing w:line="360" w:lineRule="auto"/>
        <w:ind w:firstLine="420" w:firstLineChars="200"/>
        <w:jc w:val="left"/>
        <w:rPr>
          <w:rFonts w:ascii="宋体" w:eastAsia="宋体"/>
          <w:szCs w:val="21"/>
        </w:rPr>
      </w:pPr>
      <w:r>
        <w:rPr>
          <w:rFonts w:hint="eastAsia" w:ascii="宋体" w:eastAsia="宋体"/>
          <w:szCs w:val="21"/>
        </w:rPr>
        <w:t xml:space="preserve">第三节 </w:t>
      </w:r>
      <w:r>
        <w:rPr>
          <w:rFonts w:ascii="宋体" w:eastAsia="宋体"/>
          <w:szCs w:val="21"/>
        </w:rPr>
        <w:t xml:space="preserve"> </w:t>
      </w:r>
      <w:r>
        <w:rPr>
          <w:rFonts w:hint="eastAsia" w:ascii="宋体" w:eastAsia="宋体"/>
          <w:szCs w:val="21"/>
        </w:rPr>
        <w:t>适用范围</w:t>
      </w:r>
    </w:p>
    <w:p>
      <w:pPr>
        <w:tabs>
          <w:tab w:val="left" w:pos="960"/>
        </w:tabs>
        <w:spacing w:line="360" w:lineRule="auto"/>
        <w:ind w:firstLine="420" w:firstLineChars="200"/>
        <w:jc w:val="left"/>
        <w:rPr>
          <w:rFonts w:ascii="宋体" w:eastAsia="宋体"/>
          <w:szCs w:val="21"/>
        </w:rPr>
      </w:pPr>
      <w:r>
        <w:rPr>
          <w:rFonts w:hint="eastAsia" w:ascii="宋体" w:eastAsia="宋体"/>
          <w:szCs w:val="21"/>
        </w:rPr>
        <w:t>第四节  工作原则</w:t>
      </w:r>
    </w:p>
    <w:p>
      <w:pPr>
        <w:spacing w:line="360" w:lineRule="auto"/>
        <w:jc w:val="left"/>
        <w:rPr>
          <w:rFonts w:ascii="宋体" w:eastAsia="宋体"/>
        </w:rPr>
      </w:pPr>
      <w:r>
        <w:rPr>
          <w:rFonts w:hint="eastAsia" w:ascii="宋体" w:eastAsia="宋体"/>
        </w:rPr>
        <w:t>第二章  组织体系和职责</w:t>
      </w:r>
    </w:p>
    <w:p>
      <w:pPr>
        <w:tabs>
          <w:tab w:val="left" w:pos="960"/>
        </w:tabs>
        <w:spacing w:line="360" w:lineRule="auto"/>
        <w:ind w:firstLine="420" w:firstLineChars="200"/>
        <w:jc w:val="left"/>
        <w:rPr>
          <w:rFonts w:ascii="宋体" w:eastAsia="宋体"/>
          <w:szCs w:val="21"/>
        </w:rPr>
      </w:pPr>
      <w:r>
        <w:rPr>
          <w:rFonts w:hint="eastAsia" w:ascii="宋体" w:eastAsia="宋体"/>
          <w:szCs w:val="21"/>
        </w:rPr>
        <w:t>第一节  组织体系</w:t>
      </w:r>
    </w:p>
    <w:p>
      <w:pPr>
        <w:tabs>
          <w:tab w:val="left" w:pos="960"/>
        </w:tabs>
        <w:spacing w:line="360" w:lineRule="auto"/>
        <w:ind w:firstLine="420" w:firstLineChars="200"/>
        <w:jc w:val="left"/>
        <w:rPr>
          <w:rFonts w:ascii="宋体" w:eastAsia="宋体"/>
          <w:szCs w:val="21"/>
        </w:rPr>
      </w:pPr>
      <w:r>
        <w:rPr>
          <w:rFonts w:hint="eastAsia" w:ascii="宋体" w:eastAsia="宋体"/>
          <w:szCs w:val="21"/>
        </w:rPr>
        <w:t>第二节  职责</w:t>
      </w:r>
    </w:p>
    <w:p>
      <w:pPr>
        <w:spacing w:line="360" w:lineRule="auto"/>
        <w:jc w:val="left"/>
        <w:rPr>
          <w:rFonts w:ascii="宋体" w:eastAsia="宋体"/>
        </w:rPr>
      </w:pPr>
      <w:r>
        <w:rPr>
          <w:rFonts w:hint="eastAsia" w:ascii="宋体" w:eastAsia="宋体"/>
        </w:rPr>
        <w:t>第三章  地质灾害分级</w:t>
      </w:r>
    </w:p>
    <w:p>
      <w:pPr>
        <w:tabs>
          <w:tab w:val="left" w:pos="960"/>
        </w:tabs>
        <w:spacing w:line="360" w:lineRule="auto"/>
        <w:ind w:firstLine="420" w:firstLineChars="200"/>
        <w:jc w:val="left"/>
        <w:rPr>
          <w:rFonts w:ascii="宋体" w:eastAsia="宋体"/>
          <w:szCs w:val="21"/>
        </w:rPr>
      </w:pPr>
      <w:r>
        <w:rPr>
          <w:rFonts w:hint="eastAsia" w:ascii="宋体" w:eastAsia="宋体"/>
          <w:szCs w:val="21"/>
        </w:rPr>
        <w:t>第一节  特大型地质灾害</w:t>
      </w:r>
    </w:p>
    <w:p>
      <w:pPr>
        <w:tabs>
          <w:tab w:val="left" w:pos="960"/>
        </w:tabs>
        <w:spacing w:line="360" w:lineRule="auto"/>
        <w:ind w:firstLine="420" w:firstLineChars="200"/>
        <w:jc w:val="left"/>
        <w:rPr>
          <w:rFonts w:ascii="宋体" w:eastAsia="宋体"/>
          <w:szCs w:val="21"/>
        </w:rPr>
      </w:pPr>
      <w:r>
        <w:rPr>
          <w:rFonts w:hint="eastAsia" w:ascii="宋体" w:eastAsia="宋体"/>
          <w:szCs w:val="21"/>
        </w:rPr>
        <w:t>第二节  大型地质灾害</w:t>
      </w:r>
    </w:p>
    <w:p>
      <w:pPr>
        <w:tabs>
          <w:tab w:val="left" w:pos="960"/>
        </w:tabs>
        <w:spacing w:line="360" w:lineRule="auto"/>
        <w:ind w:firstLine="420" w:firstLineChars="200"/>
        <w:jc w:val="left"/>
        <w:rPr>
          <w:rFonts w:ascii="宋体" w:eastAsia="宋体"/>
          <w:szCs w:val="21"/>
        </w:rPr>
      </w:pPr>
      <w:r>
        <w:rPr>
          <w:rFonts w:hint="eastAsia" w:ascii="宋体" w:eastAsia="宋体"/>
          <w:szCs w:val="21"/>
        </w:rPr>
        <w:t>第三节  中型地质灾害</w:t>
      </w:r>
    </w:p>
    <w:p>
      <w:pPr>
        <w:tabs>
          <w:tab w:val="left" w:pos="960"/>
        </w:tabs>
        <w:spacing w:line="360" w:lineRule="auto"/>
        <w:ind w:firstLine="420" w:firstLineChars="200"/>
        <w:jc w:val="left"/>
        <w:rPr>
          <w:rFonts w:ascii="宋体" w:eastAsia="宋体"/>
          <w:szCs w:val="21"/>
        </w:rPr>
      </w:pPr>
      <w:r>
        <w:rPr>
          <w:rFonts w:hint="eastAsia" w:ascii="宋体" w:eastAsia="宋体"/>
          <w:szCs w:val="21"/>
        </w:rPr>
        <w:t>第四节  小型地质灾害</w:t>
      </w:r>
    </w:p>
    <w:p>
      <w:pPr>
        <w:spacing w:line="360" w:lineRule="auto"/>
        <w:jc w:val="left"/>
        <w:rPr>
          <w:rFonts w:ascii="宋体" w:eastAsia="宋体"/>
        </w:rPr>
      </w:pPr>
      <w:r>
        <w:rPr>
          <w:rFonts w:hint="eastAsia" w:ascii="宋体" w:eastAsia="宋体"/>
        </w:rPr>
        <w:t>第四章  监测预警</w:t>
      </w:r>
    </w:p>
    <w:p>
      <w:pPr>
        <w:tabs>
          <w:tab w:val="left" w:pos="960"/>
        </w:tabs>
        <w:spacing w:line="360" w:lineRule="auto"/>
        <w:ind w:firstLine="420" w:firstLineChars="200"/>
        <w:jc w:val="left"/>
        <w:rPr>
          <w:rFonts w:ascii="宋体" w:eastAsia="宋体"/>
          <w:szCs w:val="21"/>
        </w:rPr>
      </w:pPr>
      <w:r>
        <w:rPr>
          <w:rFonts w:hint="eastAsia" w:ascii="宋体" w:eastAsia="宋体"/>
          <w:szCs w:val="21"/>
        </w:rPr>
        <w:t>第一节  监测预警信息</w:t>
      </w:r>
    </w:p>
    <w:p>
      <w:pPr>
        <w:tabs>
          <w:tab w:val="left" w:pos="960"/>
        </w:tabs>
        <w:spacing w:line="360" w:lineRule="auto"/>
        <w:ind w:firstLine="420" w:firstLineChars="200"/>
        <w:jc w:val="left"/>
        <w:rPr>
          <w:rFonts w:ascii="宋体" w:eastAsia="宋体"/>
          <w:szCs w:val="21"/>
        </w:rPr>
      </w:pPr>
      <w:r>
        <w:rPr>
          <w:rFonts w:hint="eastAsia" w:ascii="宋体" w:eastAsia="宋体"/>
          <w:szCs w:val="21"/>
        </w:rPr>
        <w:t>第二节  预防与预警</w:t>
      </w:r>
    </w:p>
    <w:p>
      <w:pPr>
        <w:spacing w:line="360" w:lineRule="auto"/>
        <w:jc w:val="left"/>
        <w:rPr>
          <w:rFonts w:ascii="宋体" w:eastAsia="宋体"/>
        </w:rPr>
      </w:pPr>
      <w:r>
        <w:rPr>
          <w:rFonts w:hint="eastAsia" w:ascii="宋体" w:eastAsia="宋体"/>
        </w:rPr>
        <w:t>第五章  防灾处置</w:t>
      </w:r>
    </w:p>
    <w:p>
      <w:pPr>
        <w:tabs>
          <w:tab w:val="left" w:pos="960"/>
        </w:tabs>
        <w:spacing w:line="360" w:lineRule="auto"/>
        <w:ind w:firstLine="420" w:firstLineChars="200"/>
        <w:jc w:val="left"/>
        <w:rPr>
          <w:rFonts w:ascii="宋体" w:eastAsia="宋体"/>
          <w:szCs w:val="21"/>
        </w:rPr>
      </w:pPr>
      <w:r>
        <w:rPr>
          <w:rFonts w:hint="eastAsia" w:ascii="宋体" w:eastAsia="宋体"/>
          <w:szCs w:val="21"/>
        </w:rPr>
        <w:t>第一节  灾害速报</w:t>
      </w:r>
    </w:p>
    <w:p>
      <w:pPr>
        <w:tabs>
          <w:tab w:val="left" w:pos="960"/>
        </w:tabs>
        <w:spacing w:line="360" w:lineRule="auto"/>
        <w:ind w:firstLine="420" w:firstLineChars="200"/>
        <w:jc w:val="left"/>
        <w:rPr>
          <w:rFonts w:ascii="宋体" w:eastAsia="宋体"/>
          <w:szCs w:val="21"/>
        </w:rPr>
      </w:pPr>
      <w:r>
        <w:rPr>
          <w:rFonts w:hint="eastAsia" w:ascii="宋体" w:eastAsia="宋体"/>
          <w:szCs w:val="21"/>
        </w:rPr>
        <w:t>第二节  先期处置</w:t>
      </w:r>
    </w:p>
    <w:p>
      <w:pPr>
        <w:tabs>
          <w:tab w:val="left" w:pos="960"/>
        </w:tabs>
        <w:spacing w:line="360" w:lineRule="auto"/>
        <w:ind w:firstLine="420" w:firstLineChars="200"/>
        <w:jc w:val="left"/>
        <w:rPr>
          <w:rFonts w:ascii="宋体" w:eastAsia="宋体"/>
          <w:szCs w:val="21"/>
        </w:rPr>
      </w:pPr>
      <w:r>
        <w:rPr>
          <w:rFonts w:hint="eastAsia" w:ascii="宋体" w:eastAsia="宋体"/>
          <w:szCs w:val="21"/>
        </w:rPr>
        <w:t>第三节  应急响应</w:t>
      </w:r>
    </w:p>
    <w:p>
      <w:pPr>
        <w:tabs>
          <w:tab w:val="left" w:pos="960"/>
        </w:tabs>
        <w:spacing w:line="360" w:lineRule="auto"/>
        <w:ind w:firstLine="420" w:firstLineChars="200"/>
        <w:jc w:val="left"/>
        <w:rPr>
          <w:rFonts w:ascii="宋体" w:eastAsia="宋体"/>
          <w:szCs w:val="21"/>
        </w:rPr>
      </w:pPr>
      <w:r>
        <w:rPr>
          <w:rFonts w:hint="eastAsia" w:ascii="宋体" w:eastAsia="宋体"/>
          <w:szCs w:val="21"/>
        </w:rPr>
        <w:t>第四节  响应结束</w:t>
      </w:r>
    </w:p>
    <w:p>
      <w:pPr>
        <w:tabs>
          <w:tab w:val="left" w:pos="960"/>
        </w:tabs>
        <w:spacing w:line="360" w:lineRule="auto"/>
        <w:jc w:val="left"/>
        <w:rPr>
          <w:rFonts w:ascii="宋体" w:eastAsia="宋体"/>
        </w:rPr>
      </w:pPr>
      <w:r>
        <w:rPr>
          <w:rFonts w:hint="eastAsia" w:ascii="宋体" w:eastAsia="宋体"/>
        </w:rPr>
        <w:t>第六章  信息发布</w:t>
      </w:r>
    </w:p>
    <w:p>
      <w:pPr>
        <w:tabs>
          <w:tab w:val="left" w:pos="960"/>
        </w:tabs>
        <w:spacing w:line="360" w:lineRule="auto"/>
        <w:ind w:firstLine="420" w:firstLineChars="200"/>
        <w:jc w:val="left"/>
        <w:rPr>
          <w:rFonts w:ascii="宋体" w:eastAsia="宋体"/>
          <w:szCs w:val="21"/>
        </w:rPr>
      </w:pPr>
      <w:r>
        <w:rPr>
          <w:rFonts w:hint="eastAsia" w:ascii="宋体" w:eastAsia="宋体"/>
          <w:szCs w:val="21"/>
        </w:rPr>
        <w:t>按《湖北省突发事件新闻发布应急预案》执行。</w:t>
      </w:r>
    </w:p>
    <w:p>
      <w:pPr>
        <w:spacing w:line="360" w:lineRule="auto"/>
        <w:jc w:val="left"/>
        <w:rPr>
          <w:rFonts w:ascii="宋体" w:eastAsia="宋体"/>
        </w:rPr>
      </w:pPr>
      <w:r>
        <w:rPr>
          <w:rFonts w:hint="eastAsia" w:ascii="宋体" w:eastAsia="宋体"/>
        </w:rPr>
        <w:t>第七章  防灾保障</w:t>
      </w:r>
    </w:p>
    <w:p>
      <w:pPr>
        <w:tabs>
          <w:tab w:val="left" w:pos="960"/>
        </w:tabs>
        <w:spacing w:line="360" w:lineRule="auto"/>
        <w:ind w:firstLine="420" w:firstLineChars="200"/>
        <w:jc w:val="left"/>
        <w:rPr>
          <w:rFonts w:ascii="宋体" w:eastAsia="宋体"/>
          <w:szCs w:val="21"/>
        </w:rPr>
      </w:pPr>
      <w:r>
        <w:rPr>
          <w:rFonts w:hint="eastAsia" w:ascii="宋体" w:eastAsia="宋体"/>
          <w:szCs w:val="21"/>
        </w:rPr>
        <w:t>第一节  防灾准备</w:t>
      </w:r>
    </w:p>
    <w:p>
      <w:pPr>
        <w:tabs>
          <w:tab w:val="left" w:pos="960"/>
        </w:tabs>
        <w:spacing w:line="360" w:lineRule="auto"/>
        <w:ind w:firstLine="420" w:firstLineChars="200"/>
        <w:jc w:val="left"/>
        <w:rPr>
          <w:rFonts w:ascii="宋体" w:eastAsia="宋体"/>
          <w:szCs w:val="21"/>
        </w:rPr>
      </w:pPr>
      <w:r>
        <w:rPr>
          <w:rFonts w:hint="eastAsia" w:ascii="宋体" w:eastAsia="宋体"/>
          <w:szCs w:val="21"/>
        </w:rPr>
        <w:t>第二节  技术保障</w:t>
      </w:r>
    </w:p>
    <w:p>
      <w:pPr>
        <w:tabs>
          <w:tab w:val="left" w:pos="960"/>
        </w:tabs>
        <w:spacing w:line="360" w:lineRule="auto"/>
        <w:ind w:firstLine="420" w:firstLineChars="200"/>
        <w:jc w:val="left"/>
        <w:rPr>
          <w:rFonts w:ascii="宋体" w:eastAsia="宋体"/>
          <w:szCs w:val="21"/>
        </w:rPr>
      </w:pPr>
      <w:r>
        <w:rPr>
          <w:rFonts w:hint="eastAsia" w:ascii="宋体" w:eastAsia="宋体"/>
          <w:szCs w:val="21"/>
        </w:rPr>
        <w:t>第三节  宣传与培训</w:t>
      </w:r>
    </w:p>
    <w:p>
      <w:pPr>
        <w:tabs>
          <w:tab w:val="left" w:pos="960"/>
        </w:tabs>
        <w:spacing w:line="360" w:lineRule="auto"/>
        <w:ind w:firstLine="420" w:firstLineChars="200"/>
        <w:jc w:val="left"/>
        <w:rPr>
          <w:rFonts w:ascii="宋体" w:eastAsia="宋体"/>
          <w:szCs w:val="21"/>
        </w:rPr>
      </w:pPr>
      <w:r>
        <w:rPr>
          <w:rFonts w:hint="eastAsia" w:ascii="宋体" w:eastAsia="宋体"/>
          <w:szCs w:val="21"/>
        </w:rPr>
        <w:t>第四节  通信与信息</w:t>
      </w:r>
    </w:p>
    <w:p>
      <w:pPr>
        <w:tabs>
          <w:tab w:val="left" w:pos="960"/>
        </w:tabs>
        <w:spacing w:line="360" w:lineRule="auto"/>
        <w:ind w:firstLine="420" w:firstLineChars="200"/>
        <w:jc w:val="left"/>
        <w:rPr>
          <w:rFonts w:ascii="宋体" w:eastAsia="宋体"/>
          <w:szCs w:val="21"/>
        </w:rPr>
      </w:pPr>
      <w:r>
        <w:rPr>
          <w:rFonts w:hint="eastAsia" w:ascii="宋体" w:eastAsia="宋体"/>
          <w:szCs w:val="21"/>
        </w:rPr>
        <w:t>第五节  监督检查</w:t>
      </w:r>
    </w:p>
    <w:p>
      <w:pPr>
        <w:spacing w:line="360" w:lineRule="auto"/>
        <w:jc w:val="left"/>
        <w:rPr>
          <w:rFonts w:ascii="宋体" w:eastAsia="宋体"/>
        </w:rPr>
      </w:pPr>
      <w:r>
        <w:rPr>
          <w:rFonts w:hint="eastAsia" w:ascii="宋体" w:eastAsia="宋体"/>
        </w:rPr>
        <w:t>第八章  表彰奖励和责任追究</w:t>
      </w:r>
    </w:p>
    <w:p>
      <w:pPr>
        <w:tabs>
          <w:tab w:val="left" w:pos="960"/>
        </w:tabs>
        <w:spacing w:line="360" w:lineRule="auto"/>
        <w:ind w:firstLine="420" w:firstLineChars="200"/>
        <w:jc w:val="left"/>
        <w:rPr>
          <w:rFonts w:ascii="宋体" w:eastAsia="宋体"/>
          <w:szCs w:val="21"/>
        </w:rPr>
      </w:pPr>
      <w:r>
        <w:rPr>
          <w:rFonts w:hint="eastAsia" w:ascii="宋体" w:eastAsia="宋体"/>
          <w:szCs w:val="21"/>
        </w:rPr>
        <w:t>第一节  表彰奖励</w:t>
      </w:r>
    </w:p>
    <w:p>
      <w:pPr>
        <w:tabs>
          <w:tab w:val="left" w:pos="960"/>
        </w:tabs>
        <w:spacing w:line="360" w:lineRule="auto"/>
        <w:ind w:firstLine="420" w:firstLineChars="200"/>
        <w:jc w:val="left"/>
        <w:rPr>
          <w:rFonts w:ascii="宋体" w:eastAsia="宋体"/>
          <w:szCs w:val="21"/>
        </w:rPr>
      </w:pPr>
      <w:r>
        <w:rPr>
          <w:rFonts w:hint="eastAsia" w:ascii="宋体" w:eastAsia="宋体"/>
          <w:szCs w:val="21"/>
        </w:rPr>
        <w:t>第二节  责任追究</w:t>
      </w:r>
    </w:p>
    <w:p>
      <w:pPr>
        <w:spacing w:line="360" w:lineRule="auto"/>
        <w:jc w:val="left"/>
        <w:rPr>
          <w:rFonts w:ascii="宋体" w:eastAsia="宋体"/>
        </w:rPr>
      </w:pPr>
      <w:r>
        <w:rPr>
          <w:rFonts w:hint="eastAsia" w:ascii="宋体" w:eastAsia="宋体"/>
        </w:rPr>
        <w:t>第九章  附则</w:t>
      </w:r>
    </w:p>
    <w:p>
      <w:pPr>
        <w:tabs>
          <w:tab w:val="left" w:pos="960"/>
        </w:tabs>
        <w:spacing w:line="360" w:lineRule="auto"/>
        <w:ind w:firstLine="420" w:firstLineChars="200"/>
        <w:jc w:val="left"/>
        <w:rPr>
          <w:rFonts w:ascii="宋体" w:eastAsia="宋体"/>
          <w:szCs w:val="21"/>
        </w:rPr>
      </w:pPr>
      <w:r>
        <w:rPr>
          <w:rFonts w:hint="eastAsia" w:ascii="宋体" w:eastAsia="宋体"/>
          <w:szCs w:val="21"/>
        </w:rPr>
        <w:t>第一节  名词术语</w:t>
      </w:r>
    </w:p>
    <w:p>
      <w:pPr>
        <w:tabs>
          <w:tab w:val="left" w:pos="960"/>
        </w:tabs>
        <w:spacing w:line="360" w:lineRule="auto"/>
        <w:ind w:firstLine="420" w:firstLineChars="200"/>
        <w:jc w:val="left"/>
        <w:rPr>
          <w:rFonts w:ascii="宋体" w:eastAsia="宋体"/>
          <w:szCs w:val="21"/>
        </w:rPr>
      </w:pPr>
      <w:r>
        <w:rPr>
          <w:rFonts w:hint="eastAsia" w:ascii="宋体" w:eastAsia="宋体"/>
          <w:szCs w:val="21"/>
        </w:rPr>
        <w:t>第二节  预案管理</w:t>
      </w:r>
    </w:p>
    <w:p>
      <w:pPr>
        <w:jc w:val="center"/>
        <w:outlineLvl w:val="0"/>
        <w:rPr>
          <w:rFonts w:hint="eastAsia" w:ascii="黑体" w:eastAsia="黑体"/>
          <w:lang w:eastAsia="zh-CN"/>
        </w:rPr>
      </w:pPr>
      <w:r>
        <w:rPr>
          <w:rFonts w:ascii="宋体"/>
          <w:szCs w:val="21"/>
        </w:rPr>
        <w:br w:type="page"/>
      </w:r>
      <w:bookmarkStart w:id="153" w:name="_Toc24540550"/>
      <w:r>
        <w:rPr>
          <w:rFonts w:hint="eastAsia" w:ascii="黑体" w:eastAsia="黑体"/>
        </w:rPr>
        <w:t>附  录</w:t>
      </w:r>
      <w:r>
        <w:rPr>
          <w:rFonts w:ascii="黑体" w:eastAsia="黑体"/>
        </w:rPr>
        <w:t xml:space="preserve">  D</w:t>
      </w:r>
    </w:p>
    <w:p>
      <w:pPr>
        <w:jc w:val="center"/>
        <w:outlineLvl w:val="0"/>
        <w:rPr>
          <w:rFonts w:hint="eastAsia" w:ascii="黑体" w:eastAsia="黑体"/>
          <w:lang w:eastAsia="zh-CN"/>
        </w:rPr>
      </w:pPr>
      <w:r>
        <w:rPr>
          <w:rFonts w:hint="eastAsia" w:ascii="黑体" w:eastAsia="黑体"/>
        </w:rPr>
        <w:t>（资料性附录）</w:t>
      </w:r>
    </w:p>
    <w:p>
      <w:pPr>
        <w:jc w:val="center"/>
        <w:outlineLvl w:val="0"/>
        <w:rPr>
          <w:rFonts w:ascii="黑体" w:eastAsia="黑体"/>
        </w:rPr>
      </w:pPr>
      <w:r>
        <w:rPr>
          <w:rFonts w:hint="eastAsia" w:ascii="黑体" w:eastAsia="黑体"/>
        </w:rPr>
        <w:t>地质灾害防治规划编写提纲</w:t>
      </w:r>
      <w:bookmarkEnd w:id="153"/>
    </w:p>
    <w:p>
      <w:pPr>
        <w:spacing w:line="360" w:lineRule="auto"/>
        <w:rPr>
          <w:rFonts w:ascii="宋体"/>
        </w:rPr>
      </w:pPr>
      <w:r>
        <w:rPr>
          <w:rFonts w:hint="eastAsia" w:ascii="宋体"/>
        </w:rPr>
        <w:t>前言</w:t>
      </w:r>
    </w:p>
    <w:p>
      <w:pPr>
        <w:spacing w:line="360" w:lineRule="auto"/>
        <w:rPr>
          <w:rFonts w:ascii="宋体"/>
        </w:rPr>
      </w:pPr>
      <w:r>
        <w:rPr>
          <w:rFonts w:hint="eastAsia" w:ascii="宋体"/>
        </w:rPr>
        <w:t>第一章  地质灾害防治现状与形势</w:t>
      </w:r>
    </w:p>
    <w:p>
      <w:pPr>
        <w:spacing w:line="360" w:lineRule="auto"/>
        <w:ind w:firstLine="420" w:firstLineChars="200"/>
        <w:rPr>
          <w:rFonts w:ascii="宋体"/>
        </w:rPr>
      </w:pPr>
      <w:r>
        <w:rPr>
          <w:rFonts w:hint="eastAsia" w:ascii="宋体"/>
        </w:rPr>
        <w:t>第一节  防治现状</w:t>
      </w:r>
    </w:p>
    <w:p>
      <w:pPr>
        <w:spacing w:line="360" w:lineRule="auto"/>
        <w:ind w:firstLine="420" w:firstLineChars="200"/>
        <w:rPr>
          <w:rFonts w:ascii="宋体"/>
        </w:rPr>
      </w:pPr>
      <w:r>
        <w:rPr>
          <w:rFonts w:hint="eastAsia" w:ascii="宋体"/>
        </w:rPr>
        <w:t>第二节  防治成效</w:t>
      </w:r>
    </w:p>
    <w:p>
      <w:pPr>
        <w:spacing w:line="360" w:lineRule="auto"/>
        <w:ind w:firstLine="420" w:firstLineChars="200"/>
        <w:rPr>
          <w:rFonts w:ascii="宋体"/>
        </w:rPr>
      </w:pPr>
      <w:r>
        <w:rPr>
          <w:rFonts w:hint="eastAsia" w:ascii="宋体"/>
        </w:rPr>
        <w:t>第三节  防治形势</w:t>
      </w:r>
    </w:p>
    <w:p>
      <w:pPr>
        <w:spacing w:line="360" w:lineRule="auto"/>
        <w:rPr>
          <w:rFonts w:ascii="宋体"/>
        </w:rPr>
      </w:pPr>
      <w:r>
        <w:rPr>
          <w:rFonts w:hint="eastAsia" w:ascii="宋体"/>
        </w:rPr>
        <w:t>第二章  规划指导思想、原则与目标</w:t>
      </w:r>
    </w:p>
    <w:p>
      <w:pPr>
        <w:spacing w:line="360" w:lineRule="auto"/>
        <w:ind w:firstLine="420" w:firstLineChars="200"/>
        <w:rPr>
          <w:rFonts w:ascii="宋体"/>
        </w:rPr>
      </w:pPr>
      <w:r>
        <w:rPr>
          <w:rFonts w:hint="eastAsia" w:ascii="宋体"/>
        </w:rPr>
        <w:t>第一节  指导思想</w:t>
      </w:r>
    </w:p>
    <w:p>
      <w:pPr>
        <w:spacing w:line="360" w:lineRule="auto"/>
        <w:ind w:firstLine="420" w:firstLineChars="200"/>
        <w:rPr>
          <w:rFonts w:ascii="宋体"/>
        </w:rPr>
      </w:pPr>
      <w:r>
        <w:rPr>
          <w:rFonts w:hint="eastAsia" w:ascii="宋体"/>
        </w:rPr>
        <w:t>第二节  原则</w:t>
      </w:r>
    </w:p>
    <w:p>
      <w:pPr>
        <w:spacing w:line="360" w:lineRule="auto"/>
        <w:ind w:firstLine="420" w:firstLineChars="200"/>
        <w:rPr>
          <w:rFonts w:ascii="宋体"/>
        </w:rPr>
      </w:pPr>
      <w:r>
        <w:rPr>
          <w:rFonts w:hint="eastAsia" w:ascii="宋体"/>
        </w:rPr>
        <w:t>第三节  目标</w:t>
      </w:r>
    </w:p>
    <w:p>
      <w:pPr>
        <w:spacing w:line="360" w:lineRule="auto"/>
        <w:ind w:firstLine="420" w:firstLineChars="200"/>
        <w:rPr>
          <w:rFonts w:ascii="宋体"/>
        </w:rPr>
      </w:pPr>
      <w:r>
        <w:rPr>
          <w:rFonts w:hint="eastAsia" w:ascii="宋体"/>
        </w:rPr>
        <w:t>第四节  任务</w:t>
      </w:r>
    </w:p>
    <w:p>
      <w:pPr>
        <w:spacing w:line="360" w:lineRule="auto"/>
        <w:rPr>
          <w:rFonts w:ascii="宋体"/>
        </w:rPr>
      </w:pPr>
      <w:r>
        <w:rPr>
          <w:rFonts w:hint="eastAsia" w:ascii="宋体"/>
        </w:rPr>
        <w:t>第三章  地质灾害易发区和重点防治区</w:t>
      </w:r>
    </w:p>
    <w:p>
      <w:pPr>
        <w:spacing w:line="360" w:lineRule="auto"/>
        <w:ind w:firstLine="420"/>
        <w:rPr>
          <w:rFonts w:ascii="宋体"/>
        </w:rPr>
      </w:pPr>
      <w:r>
        <w:rPr>
          <w:rFonts w:hint="eastAsia" w:ascii="宋体"/>
        </w:rPr>
        <w:t>第一节  防治易发区</w:t>
      </w:r>
    </w:p>
    <w:p>
      <w:pPr>
        <w:spacing w:line="360" w:lineRule="auto"/>
        <w:ind w:firstLine="420"/>
        <w:rPr>
          <w:rFonts w:ascii="宋体"/>
        </w:rPr>
      </w:pPr>
      <w:r>
        <w:rPr>
          <w:rFonts w:hint="eastAsia" w:ascii="宋体"/>
        </w:rPr>
        <w:t>第二节  重点防治区</w:t>
      </w:r>
    </w:p>
    <w:p>
      <w:pPr>
        <w:spacing w:line="360" w:lineRule="auto"/>
        <w:rPr>
          <w:rFonts w:ascii="宋体"/>
        </w:rPr>
      </w:pPr>
      <w:r>
        <w:rPr>
          <w:rFonts w:hint="eastAsia" w:ascii="宋体"/>
        </w:rPr>
        <w:t>第四章  地质灾害防治工作部署</w:t>
      </w:r>
    </w:p>
    <w:p>
      <w:pPr>
        <w:spacing w:line="360" w:lineRule="auto"/>
        <w:ind w:firstLine="420" w:firstLineChars="200"/>
        <w:rPr>
          <w:rFonts w:ascii="宋体"/>
        </w:rPr>
      </w:pPr>
      <w:r>
        <w:rPr>
          <w:rFonts w:hint="eastAsia" w:ascii="宋体"/>
        </w:rPr>
        <w:t>第一节  网格化管理</w:t>
      </w:r>
    </w:p>
    <w:p>
      <w:pPr>
        <w:spacing w:line="360" w:lineRule="auto"/>
        <w:ind w:firstLine="420"/>
        <w:rPr>
          <w:rFonts w:ascii="宋体"/>
        </w:rPr>
      </w:pPr>
      <w:r>
        <w:rPr>
          <w:rFonts w:hint="eastAsia" w:ascii="宋体"/>
        </w:rPr>
        <w:t>第二节  调查评价</w:t>
      </w:r>
    </w:p>
    <w:p>
      <w:pPr>
        <w:spacing w:line="360" w:lineRule="auto"/>
        <w:ind w:firstLine="420"/>
        <w:rPr>
          <w:rFonts w:ascii="宋体"/>
        </w:rPr>
      </w:pPr>
      <w:r>
        <w:rPr>
          <w:rFonts w:hint="eastAsia" w:ascii="宋体"/>
        </w:rPr>
        <w:t>第三节  监测预警</w:t>
      </w:r>
    </w:p>
    <w:p>
      <w:pPr>
        <w:spacing w:line="360" w:lineRule="auto"/>
        <w:ind w:firstLine="420"/>
        <w:rPr>
          <w:rFonts w:ascii="宋体"/>
        </w:rPr>
      </w:pPr>
      <w:r>
        <w:rPr>
          <w:rFonts w:hint="eastAsia" w:ascii="宋体"/>
        </w:rPr>
        <w:t>第四节  综合治理</w:t>
      </w:r>
    </w:p>
    <w:p>
      <w:pPr>
        <w:spacing w:line="360" w:lineRule="auto"/>
        <w:ind w:firstLine="420"/>
        <w:rPr>
          <w:rFonts w:ascii="宋体"/>
        </w:rPr>
      </w:pPr>
      <w:r>
        <w:rPr>
          <w:rFonts w:hint="eastAsia" w:ascii="宋体"/>
        </w:rPr>
        <w:t>第五节  应急防治</w:t>
      </w:r>
    </w:p>
    <w:p>
      <w:pPr>
        <w:spacing w:line="360" w:lineRule="auto"/>
        <w:ind w:firstLine="420"/>
        <w:rPr>
          <w:rFonts w:ascii="宋体"/>
        </w:rPr>
      </w:pPr>
      <w:r>
        <w:rPr>
          <w:rFonts w:hint="eastAsia" w:ascii="宋体"/>
        </w:rPr>
        <w:t>第六节  防灾能力</w:t>
      </w:r>
    </w:p>
    <w:p>
      <w:pPr>
        <w:spacing w:line="360" w:lineRule="auto"/>
        <w:rPr>
          <w:rFonts w:ascii="宋体"/>
        </w:rPr>
      </w:pPr>
      <w:r>
        <w:rPr>
          <w:rFonts w:hint="eastAsia" w:ascii="宋体"/>
        </w:rPr>
        <w:t>第五章  资金筹措及实施安排</w:t>
      </w:r>
    </w:p>
    <w:p>
      <w:pPr>
        <w:spacing w:line="360" w:lineRule="auto"/>
        <w:ind w:firstLine="420" w:firstLineChars="200"/>
        <w:rPr>
          <w:rFonts w:ascii="宋体"/>
        </w:rPr>
      </w:pPr>
      <w:r>
        <w:rPr>
          <w:rFonts w:hint="eastAsia" w:ascii="宋体"/>
        </w:rPr>
        <w:t>第一节  资金来源</w:t>
      </w:r>
    </w:p>
    <w:p>
      <w:pPr>
        <w:spacing w:line="360" w:lineRule="auto"/>
        <w:ind w:firstLine="420" w:firstLineChars="200"/>
        <w:rPr>
          <w:rFonts w:ascii="宋体"/>
        </w:rPr>
      </w:pPr>
      <w:r>
        <w:rPr>
          <w:rFonts w:hint="eastAsia" w:ascii="宋体"/>
        </w:rPr>
        <w:t>第二节  资金使用</w:t>
      </w:r>
    </w:p>
    <w:p>
      <w:pPr>
        <w:spacing w:line="360" w:lineRule="auto"/>
        <w:rPr>
          <w:rFonts w:ascii="宋体"/>
        </w:rPr>
      </w:pPr>
      <w:r>
        <w:rPr>
          <w:rFonts w:hint="eastAsia" w:ascii="宋体"/>
        </w:rPr>
        <w:t>第六章  保障措施</w:t>
      </w:r>
    </w:p>
    <w:p>
      <w:pPr>
        <w:spacing w:line="360" w:lineRule="auto"/>
        <w:ind w:firstLine="420" w:firstLineChars="200"/>
        <w:rPr>
          <w:rFonts w:ascii="宋体"/>
        </w:rPr>
      </w:pPr>
      <w:r>
        <w:rPr>
          <w:rFonts w:hint="eastAsia" w:ascii="宋体"/>
        </w:rPr>
        <w:t>第一节  健全机构</w:t>
      </w:r>
    </w:p>
    <w:p>
      <w:pPr>
        <w:spacing w:line="360" w:lineRule="auto"/>
        <w:ind w:firstLine="420"/>
        <w:rPr>
          <w:rFonts w:ascii="宋体"/>
        </w:rPr>
      </w:pPr>
      <w:r>
        <w:rPr>
          <w:rFonts w:hint="eastAsia" w:ascii="宋体"/>
        </w:rPr>
        <w:t>第二节  统一领导</w:t>
      </w:r>
    </w:p>
    <w:p>
      <w:pPr>
        <w:spacing w:line="360" w:lineRule="auto"/>
        <w:ind w:firstLine="420"/>
        <w:rPr>
          <w:rFonts w:ascii="宋体"/>
        </w:rPr>
      </w:pPr>
      <w:r>
        <w:rPr>
          <w:rFonts w:hint="eastAsia" w:ascii="宋体"/>
        </w:rPr>
        <w:t>第三节  落实网格化管理</w:t>
      </w:r>
    </w:p>
    <w:p>
      <w:pPr>
        <w:spacing w:line="360" w:lineRule="auto"/>
        <w:ind w:firstLine="420"/>
        <w:rPr>
          <w:rFonts w:ascii="宋体"/>
        </w:rPr>
      </w:pPr>
      <w:r>
        <w:rPr>
          <w:rFonts w:hint="eastAsia" w:ascii="宋体"/>
        </w:rPr>
        <w:t>第四节  防治队伍建设</w:t>
      </w:r>
    </w:p>
    <w:p>
      <w:pPr>
        <w:spacing w:line="360" w:lineRule="auto"/>
        <w:ind w:firstLine="420"/>
        <w:rPr>
          <w:rFonts w:ascii="宋体"/>
        </w:rPr>
      </w:pPr>
      <w:r>
        <w:rPr>
          <w:rFonts w:hint="eastAsia" w:ascii="宋体"/>
        </w:rPr>
        <w:t>第五节  科学防治</w:t>
      </w:r>
    </w:p>
    <w:p>
      <w:pPr>
        <w:spacing w:line="360" w:lineRule="auto"/>
        <w:ind w:firstLine="420"/>
        <w:rPr>
          <w:rFonts w:ascii="宋体"/>
        </w:rPr>
      </w:pPr>
      <w:r>
        <w:rPr>
          <w:rFonts w:hint="eastAsia" w:ascii="宋体"/>
        </w:rPr>
        <w:t>第六节  筹措资金</w:t>
      </w:r>
    </w:p>
    <w:p>
      <w:pPr>
        <w:spacing w:line="360" w:lineRule="auto"/>
        <w:ind w:firstLine="420"/>
        <w:rPr>
          <w:rFonts w:ascii="宋体"/>
        </w:rPr>
      </w:pPr>
      <w:r>
        <w:rPr>
          <w:rFonts w:hint="eastAsia" w:ascii="宋体"/>
        </w:rPr>
        <w:t>第七节  提升防灾减灾意识</w:t>
      </w:r>
    </w:p>
    <w:p>
      <w:pPr>
        <w:spacing w:line="360" w:lineRule="auto"/>
        <w:rPr>
          <w:rFonts w:ascii="宋体"/>
        </w:rPr>
      </w:pPr>
      <w:r>
        <w:rPr>
          <w:rFonts w:hint="eastAsia" w:ascii="宋体"/>
        </w:rPr>
        <w:t xml:space="preserve">附件 </w:t>
      </w:r>
      <w:r>
        <w:rPr>
          <w:rFonts w:ascii="宋体"/>
        </w:rPr>
        <w:t xml:space="preserve"> XX</w:t>
      </w:r>
      <w:r>
        <w:rPr>
          <w:rFonts w:hint="eastAsia" w:ascii="宋体"/>
        </w:rPr>
        <w:t>地质灾害防治规划附表</w:t>
      </w:r>
    </w:p>
    <w:p>
      <w:pPr>
        <w:spacing w:line="360" w:lineRule="auto"/>
        <w:rPr>
          <w:rFonts w:ascii="宋体"/>
        </w:rPr>
      </w:pPr>
      <w:r>
        <w:rPr>
          <w:rFonts w:ascii="宋体"/>
        </w:rPr>
        <w:t xml:space="preserve">    </w:t>
      </w:r>
      <w:r>
        <w:rPr>
          <w:rFonts w:hint="eastAsia" w:ascii="宋体"/>
        </w:rPr>
        <w:t xml:space="preserve"> </w:t>
      </w:r>
      <w:r>
        <w:rPr>
          <w:rFonts w:ascii="宋体"/>
        </w:rPr>
        <w:t xml:space="preserve"> XX</w:t>
      </w:r>
      <w:r>
        <w:rPr>
          <w:rFonts w:hint="eastAsia" w:ascii="宋体"/>
        </w:rPr>
        <w:t>地质灾害易发分区图</w:t>
      </w:r>
    </w:p>
    <w:p>
      <w:pPr>
        <w:spacing w:line="360" w:lineRule="auto"/>
        <w:rPr>
          <w:rFonts w:ascii="宋体"/>
        </w:rPr>
      </w:pPr>
      <w:r>
        <w:rPr>
          <w:rFonts w:ascii="宋体"/>
        </w:rPr>
        <w:t xml:space="preserve">   </w:t>
      </w:r>
      <w:r>
        <w:rPr>
          <w:rFonts w:hint="eastAsia" w:ascii="宋体"/>
        </w:rPr>
        <w:t xml:space="preserve"> </w:t>
      </w:r>
      <w:r>
        <w:rPr>
          <w:rFonts w:ascii="宋体"/>
        </w:rPr>
        <w:t xml:space="preserve">  XX</w:t>
      </w:r>
      <w:r>
        <w:rPr>
          <w:rFonts w:hint="eastAsia" w:ascii="宋体"/>
        </w:rPr>
        <w:t>地质</w:t>
      </w:r>
      <w:r>
        <w:rPr>
          <w:rFonts w:ascii="宋体"/>
        </w:rPr>
        <w:t>灾害</w:t>
      </w:r>
      <w:r>
        <w:rPr>
          <w:rFonts w:hint="eastAsia" w:ascii="宋体"/>
        </w:rPr>
        <w:t>防治规划图</w:t>
      </w:r>
    </w:p>
    <w:p>
      <w:pPr>
        <w:jc w:val="center"/>
        <w:outlineLvl w:val="0"/>
        <w:rPr>
          <w:rFonts w:hint="eastAsia" w:ascii="黑体" w:eastAsia="黑体"/>
          <w:lang w:eastAsia="zh-CN"/>
        </w:rPr>
      </w:pPr>
      <w:r>
        <w:br w:type="page"/>
      </w:r>
      <w:bookmarkStart w:id="154" w:name="_Toc24540551"/>
      <w:r>
        <w:rPr>
          <w:rFonts w:hint="eastAsia" w:ascii="黑体" w:eastAsia="黑体"/>
        </w:rPr>
        <w:t>附  录</w:t>
      </w:r>
      <w:r>
        <w:rPr>
          <w:rFonts w:ascii="黑体" w:eastAsia="黑体"/>
        </w:rPr>
        <w:t xml:space="preserve">  E</w:t>
      </w:r>
    </w:p>
    <w:p>
      <w:pPr>
        <w:jc w:val="center"/>
        <w:outlineLvl w:val="0"/>
        <w:rPr>
          <w:rFonts w:hint="eastAsia" w:ascii="黑体" w:eastAsia="黑体"/>
          <w:lang w:eastAsia="zh-CN"/>
        </w:rPr>
      </w:pPr>
      <w:r>
        <w:rPr>
          <w:rFonts w:hint="eastAsia" w:ascii="黑体" w:eastAsia="黑体"/>
        </w:rPr>
        <w:t>（资料性附录）</w:t>
      </w:r>
    </w:p>
    <w:p>
      <w:pPr>
        <w:jc w:val="center"/>
        <w:outlineLvl w:val="0"/>
        <w:rPr>
          <w:rFonts w:ascii="黑体" w:eastAsia="黑体"/>
        </w:rPr>
      </w:pPr>
      <w:r>
        <w:rPr>
          <w:rFonts w:hint="eastAsia" w:ascii="黑体" w:eastAsia="黑体"/>
        </w:rPr>
        <w:t>地质灾害防治方案编制提纲</w:t>
      </w:r>
      <w:bookmarkEnd w:id="154"/>
    </w:p>
    <w:p>
      <w:pPr>
        <w:spacing w:line="360" w:lineRule="auto"/>
        <w:jc w:val="left"/>
        <w:rPr>
          <w:rFonts w:ascii="宋体" w:eastAsia="宋体"/>
          <w:szCs w:val="21"/>
        </w:rPr>
      </w:pPr>
      <w:r>
        <w:rPr>
          <w:rFonts w:hint="eastAsia" w:ascii="宋体" w:eastAsia="宋体"/>
          <w:szCs w:val="21"/>
        </w:rPr>
        <w:t>第一章  年度地质灾害防治目标任务</w:t>
      </w:r>
    </w:p>
    <w:p>
      <w:pPr>
        <w:spacing w:line="360" w:lineRule="auto"/>
        <w:ind w:firstLine="424" w:firstLineChars="202"/>
        <w:rPr>
          <w:rFonts w:ascii="宋体" w:eastAsia="宋体"/>
          <w:szCs w:val="21"/>
        </w:rPr>
      </w:pPr>
      <w:r>
        <w:rPr>
          <w:rFonts w:hint="eastAsia" w:ascii="宋体" w:eastAsia="宋体"/>
          <w:szCs w:val="21"/>
        </w:rPr>
        <w:t>第一节  目标</w:t>
      </w:r>
    </w:p>
    <w:p>
      <w:pPr>
        <w:spacing w:line="360" w:lineRule="auto"/>
        <w:ind w:firstLine="424" w:firstLineChars="202"/>
        <w:rPr>
          <w:rFonts w:hint="eastAsia" w:ascii="宋体" w:eastAsia="宋体"/>
          <w:szCs w:val="21"/>
          <w:lang w:eastAsia="zh-CN"/>
        </w:rPr>
      </w:pPr>
      <w:r>
        <w:rPr>
          <w:rFonts w:hint="eastAsia" w:ascii="宋体" w:eastAsia="宋体"/>
          <w:szCs w:val="21"/>
        </w:rPr>
        <w:t xml:space="preserve">第二节 </w:t>
      </w:r>
      <w:r>
        <w:rPr>
          <w:rFonts w:ascii="宋体" w:eastAsia="宋体"/>
          <w:szCs w:val="21"/>
        </w:rPr>
        <w:t xml:space="preserve"> </w:t>
      </w:r>
      <w:r>
        <w:rPr>
          <w:rFonts w:hint="eastAsia" w:ascii="宋体" w:eastAsia="宋体"/>
          <w:szCs w:val="21"/>
        </w:rPr>
        <w:t>任务</w:t>
      </w:r>
    </w:p>
    <w:p>
      <w:pPr>
        <w:spacing w:line="360" w:lineRule="auto"/>
        <w:ind w:firstLine="424" w:firstLineChars="202"/>
        <w:rPr>
          <w:rFonts w:ascii="宋体" w:eastAsia="宋体"/>
          <w:szCs w:val="21"/>
        </w:rPr>
      </w:pPr>
      <w:r>
        <w:rPr>
          <w:rFonts w:hint="eastAsia" w:ascii="宋体" w:eastAsia="宋体"/>
          <w:szCs w:val="21"/>
        </w:rPr>
        <w:t>第二章  年度地质灾害趋势分析</w:t>
      </w:r>
    </w:p>
    <w:p>
      <w:pPr>
        <w:spacing w:line="360" w:lineRule="auto"/>
        <w:ind w:left="420" w:leftChars="200" w:firstLine="4" w:firstLineChars="2"/>
        <w:rPr>
          <w:rFonts w:hint="eastAsia" w:ascii="宋体" w:eastAsia="宋体"/>
          <w:szCs w:val="21"/>
          <w:lang w:eastAsia="zh-CN"/>
        </w:rPr>
      </w:pPr>
      <w:r>
        <w:rPr>
          <w:rFonts w:hint="eastAsia" w:ascii="宋体" w:eastAsia="宋体"/>
          <w:szCs w:val="21"/>
        </w:rPr>
        <w:t>第一节  汛期降雨趋势预测</w:t>
      </w:r>
    </w:p>
    <w:p>
      <w:pPr>
        <w:spacing w:line="360" w:lineRule="auto"/>
        <w:ind w:left="420" w:leftChars="200" w:firstLine="4" w:firstLineChars="2"/>
        <w:rPr>
          <w:rFonts w:ascii="宋体" w:eastAsia="宋体"/>
          <w:szCs w:val="21"/>
        </w:rPr>
      </w:pPr>
      <w:r>
        <w:rPr>
          <w:rFonts w:hint="eastAsia" w:ascii="宋体" w:eastAsia="宋体"/>
          <w:szCs w:val="21"/>
        </w:rPr>
        <w:t>第二节  地质灾害趋势预测</w:t>
      </w:r>
    </w:p>
    <w:p>
      <w:pPr>
        <w:spacing w:line="360" w:lineRule="auto"/>
        <w:jc w:val="left"/>
        <w:rPr>
          <w:rFonts w:ascii="宋体" w:eastAsia="宋体"/>
          <w:szCs w:val="21"/>
        </w:rPr>
      </w:pPr>
      <w:r>
        <w:rPr>
          <w:rFonts w:hint="eastAsia" w:ascii="宋体" w:eastAsia="宋体"/>
          <w:szCs w:val="21"/>
        </w:rPr>
        <w:t>第三章  地质灾害防护重点和重点防范期</w:t>
      </w:r>
    </w:p>
    <w:p>
      <w:pPr>
        <w:spacing w:line="360" w:lineRule="auto"/>
        <w:ind w:firstLine="424" w:firstLineChars="202"/>
        <w:rPr>
          <w:rFonts w:ascii="宋体" w:eastAsia="宋体"/>
          <w:szCs w:val="21"/>
        </w:rPr>
      </w:pPr>
      <w:r>
        <w:rPr>
          <w:rFonts w:hint="eastAsia" w:ascii="宋体" w:eastAsia="宋体"/>
          <w:szCs w:val="21"/>
        </w:rPr>
        <w:t>第一节  重点防护区</w:t>
      </w:r>
    </w:p>
    <w:p>
      <w:pPr>
        <w:spacing w:line="360" w:lineRule="auto"/>
        <w:ind w:firstLine="424" w:firstLineChars="202"/>
        <w:rPr>
          <w:rFonts w:ascii="宋体" w:eastAsia="宋体"/>
          <w:szCs w:val="21"/>
        </w:rPr>
      </w:pPr>
      <w:r>
        <w:rPr>
          <w:rFonts w:hint="eastAsia" w:ascii="宋体" w:eastAsia="宋体"/>
          <w:szCs w:val="21"/>
        </w:rPr>
        <w:t>第二节  重要地质灾害点</w:t>
      </w:r>
    </w:p>
    <w:p>
      <w:pPr>
        <w:spacing w:line="360" w:lineRule="auto"/>
        <w:ind w:firstLine="424" w:firstLineChars="202"/>
        <w:rPr>
          <w:rFonts w:hint="eastAsia" w:ascii="宋体" w:eastAsia="宋体"/>
          <w:szCs w:val="21"/>
          <w:lang w:eastAsia="zh-CN"/>
        </w:rPr>
      </w:pPr>
      <w:r>
        <w:rPr>
          <w:rFonts w:hint="eastAsia" w:ascii="宋体" w:eastAsia="宋体"/>
          <w:szCs w:val="21"/>
        </w:rPr>
        <w:t>第三节  重点防范期</w:t>
      </w:r>
    </w:p>
    <w:p>
      <w:pPr>
        <w:spacing w:line="360" w:lineRule="auto"/>
        <w:ind w:firstLine="424" w:firstLineChars="202"/>
        <w:rPr>
          <w:rFonts w:ascii="宋体" w:eastAsia="宋体"/>
          <w:szCs w:val="21"/>
        </w:rPr>
      </w:pPr>
      <w:r>
        <w:rPr>
          <w:rFonts w:hint="eastAsia" w:ascii="宋体" w:eastAsia="宋体"/>
          <w:szCs w:val="21"/>
        </w:rPr>
        <w:t>第四章  地质灾害防治主要措施</w:t>
      </w:r>
    </w:p>
    <w:p>
      <w:pPr>
        <w:spacing w:line="360" w:lineRule="auto"/>
        <w:ind w:firstLine="420" w:firstLineChars="200"/>
        <w:rPr>
          <w:rFonts w:ascii="宋体" w:eastAsia="宋体"/>
          <w:szCs w:val="21"/>
        </w:rPr>
      </w:pPr>
      <w:r>
        <w:rPr>
          <w:rFonts w:hint="eastAsia" w:ascii="宋体" w:eastAsia="宋体"/>
          <w:szCs w:val="21"/>
        </w:rPr>
        <w:t>第一节  制定年度防治方案</w:t>
      </w:r>
    </w:p>
    <w:p>
      <w:pPr>
        <w:spacing w:line="360" w:lineRule="auto"/>
        <w:ind w:firstLine="420" w:firstLineChars="200"/>
        <w:rPr>
          <w:rFonts w:ascii="宋体" w:eastAsia="宋体"/>
          <w:szCs w:val="21"/>
        </w:rPr>
      </w:pPr>
      <w:r>
        <w:rPr>
          <w:rFonts w:hint="eastAsia" w:ascii="宋体" w:eastAsia="宋体"/>
          <w:szCs w:val="21"/>
        </w:rPr>
        <w:t>第二节  完善网格化管理体系</w:t>
      </w:r>
    </w:p>
    <w:p>
      <w:pPr>
        <w:spacing w:line="360" w:lineRule="auto"/>
        <w:ind w:firstLine="420" w:firstLineChars="200"/>
        <w:rPr>
          <w:rFonts w:ascii="宋体" w:eastAsia="宋体"/>
          <w:szCs w:val="21"/>
        </w:rPr>
      </w:pPr>
      <w:r>
        <w:rPr>
          <w:rFonts w:hint="eastAsia" w:ascii="宋体" w:eastAsia="宋体"/>
          <w:szCs w:val="21"/>
        </w:rPr>
        <w:t>第三节  做好预防预报工作</w:t>
      </w:r>
    </w:p>
    <w:p>
      <w:pPr>
        <w:spacing w:line="360" w:lineRule="auto"/>
        <w:ind w:firstLine="420" w:firstLineChars="200"/>
        <w:rPr>
          <w:rFonts w:ascii="宋体" w:eastAsia="宋体"/>
          <w:szCs w:val="21"/>
        </w:rPr>
      </w:pPr>
      <w:r>
        <w:rPr>
          <w:rFonts w:hint="eastAsia" w:ascii="宋体" w:eastAsia="宋体"/>
          <w:szCs w:val="21"/>
        </w:rPr>
        <w:t>第四节  保障地质灾害防治经费</w:t>
      </w:r>
    </w:p>
    <w:p>
      <w:pPr>
        <w:spacing w:line="360" w:lineRule="auto"/>
        <w:ind w:firstLine="420" w:firstLineChars="200"/>
        <w:rPr>
          <w:rFonts w:ascii="宋体" w:eastAsia="宋体"/>
          <w:szCs w:val="21"/>
        </w:rPr>
      </w:pPr>
      <w:r>
        <w:rPr>
          <w:rFonts w:hint="eastAsia" w:ascii="宋体" w:eastAsia="宋体"/>
          <w:szCs w:val="21"/>
        </w:rPr>
        <w:t>第五节  开展地质灾害防治知识宣传培训</w:t>
      </w:r>
    </w:p>
    <w:p>
      <w:pPr>
        <w:spacing w:line="360" w:lineRule="auto"/>
        <w:rPr>
          <w:rFonts w:ascii="宋体" w:eastAsia="宋体"/>
          <w:szCs w:val="21"/>
        </w:rPr>
      </w:pPr>
      <w:r>
        <w:rPr>
          <w:rFonts w:hint="eastAsia" w:ascii="宋体" w:eastAsia="宋体"/>
          <w:szCs w:val="21"/>
        </w:rPr>
        <w:t>附件  地质灾害灾险情、规模分级数据参照表</w:t>
      </w:r>
    </w:p>
    <w:p>
      <w:pPr>
        <w:spacing w:line="360" w:lineRule="auto"/>
        <w:ind w:left="630" w:leftChars="300"/>
        <w:rPr>
          <w:rFonts w:hint="eastAsia" w:ascii="宋体" w:eastAsia="宋体"/>
          <w:szCs w:val="21"/>
          <w:lang w:eastAsia="zh-CN"/>
        </w:rPr>
      </w:pPr>
      <w:r>
        <w:rPr>
          <w:rFonts w:hint="eastAsia" w:ascii="宋体" w:eastAsia="宋体"/>
          <w:szCs w:val="21"/>
        </w:rPr>
        <w:t>重点地质灾害危险点统计表</w:t>
      </w:r>
    </w:p>
    <w:p>
      <w:pPr>
        <w:spacing w:line="360" w:lineRule="auto"/>
        <w:ind w:left="630" w:leftChars="300"/>
        <w:rPr>
          <w:rFonts w:ascii="宋体" w:eastAsia="宋体"/>
          <w:szCs w:val="21"/>
        </w:rPr>
      </w:pPr>
      <w:r>
        <w:rPr>
          <w:rFonts w:hint="eastAsia" w:ascii="宋体" w:eastAsia="宋体"/>
          <w:szCs w:val="21"/>
        </w:rPr>
        <w:t>列入省、市重要地质灾害危险点一览表</w:t>
      </w:r>
    </w:p>
    <w:p>
      <w:pPr>
        <w:pStyle w:val="7"/>
        <w:spacing w:after="0"/>
        <w:ind w:firstLine="0" w:firstLineChars="0"/>
        <w:jc w:val="center"/>
        <w:outlineLvl w:val="0"/>
        <w:rPr>
          <w:rFonts w:hint="eastAsia" w:ascii="黑体" w:eastAsia="黑体" w:cs="黑体"/>
          <w:sz w:val="21"/>
          <w:szCs w:val="21"/>
          <w:lang w:eastAsia="zh-CN"/>
        </w:rPr>
      </w:pPr>
      <w:r>
        <w:br w:type="page"/>
      </w:r>
      <w:bookmarkStart w:id="155" w:name="_Toc24540552"/>
      <w:r>
        <w:rPr>
          <w:rFonts w:hint="eastAsia" w:ascii="黑体" w:eastAsia="黑体" w:cs="黑体"/>
          <w:sz w:val="21"/>
          <w:szCs w:val="21"/>
        </w:rPr>
        <w:t>附  录</w:t>
      </w:r>
      <w:r>
        <w:rPr>
          <w:rFonts w:ascii="黑体" w:eastAsia="黑体" w:cs="黑体"/>
          <w:sz w:val="21"/>
          <w:szCs w:val="21"/>
        </w:rPr>
        <w:t xml:space="preserve">  F</w:t>
      </w:r>
    </w:p>
    <w:p>
      <w:pPr>
        <w:pStyle w:val="7"/>
        <w:spacing w:after="0"/>
        <w:ind w:firstLine="0" w:firstLineChars="0"/>
        <w:jc w:val="center"/>
        <w:outlineLvl w:val="0"/>
        <w:rPr>
          <w:rFonts w:hint="eastAsia" w:ascii="黑体" w:eastAsia="黑体" w:cs="黑体"/>
          <w:sz w:val="21"/>
          <w:szCs w:val="21"/>
          <w:lang w:eastAsia="zh-CN"/>
        </w:rPr>
      </w:pPr>
      <w:r>
        <w:rPr>
          <w:rFonts w:hint="eastAsia" w:ascii="黑体" w:eastAsia="黑体" w:cs="黑体"/>
          <w:sz w:val="21"/>
          <w:szCs w:val="21"/>
        </w:rPr>
        <w:t>（规范性附录）</w:t>
      </w:r>
    </w:p>
    <w:p>
      <w:pPr>
        <w:pStyle w:val="7"/>
        <w:spacing w:after="0"/>
        <w:ind w:firstLine="0" w:firstLineChars="0"/>
        <w:jc w:val="center"/>
        <w:outlineLvl w:val="0"/>
        <w:rPr>
          <w:rFonts w:ascii="黑体" w:eastAsia="黑体" w:cs="黑体"/>
          <w:sz w:val="21"/>
          <w:szCs w:val="21"/>
        </w:rPr>
      </w:pPr>
      <w:r>
        <w:rPr>
          <w:rFonts w:hint="eastAsia" w:ascii="黑体" w:eastAsia="黑体" w:cs="黑体"/>
          <w:sz w:val="21"/>
          <w:szCs w:val="21"/>
        </w:rPr>
        <w:t>部分地质灾害防治政策及制度清单</w:t>
      </w:r>
    </w:p>
    <w:p>
      <w:pPr>
        <w:spacing w:before="156" w:beforeLines="50" w:after="156" w:afterLines="50"/>
        <w:jc w:val="center"/>
        <w:rPr>
          <w:rFonts w:ascii="黑体" w:eastAsia="黑体" w:cs="宋体"/>
          <w:szCs w:val="21"/>
        </w:rPr>
      </w:pPr>
      <w:r>
        <w:rPr>
          <w:rFonts w:hint="eastAsia" w:ascii="黑体" w:eastAsia="黑体"/>
          <w:szCs w:val="21"/>
        </w:rPr>
        <w:t>表</w:t>
      </w:r>
      <w:r>
        <w:rPr>
          <w:rFonts w:ascii="黑体" w:eastAsia="黑体"/>
          <w:szCs w:val="21"/>
        </w:rPr>
        <w:t xml:space="preserve">F.1  </w:t>
      </w:r>
      <w:r>
        <w:rPr>
          <w:rFonts w:hint="eastAsia" w:ascii="黑体" w:eastAsia="黑体"/>
          <w:szCs w:val="21"/>
        </w:rPr>
        <w:t>已颁发部分地质灾害防治政策及制度清单</w:t>
      </w:r>
      <w:bookmarkEnd w:id="155"/>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3"/>
        <w:gridCol w:w="5236"/>
        <w:gridCol w:w="26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1" w:type="pct"/>
            <w:vAlign w:val="center"/>
          </w:tcPr>
          <w:p>
            <w:pPr>
              <w:widowControl/>
              <w:contextualSpacing/>
              <w:jc w:val="center"/>
              <w:rPr>
                <w:rFonts w:ascii="Times New Roman" w:hAnsi="Times New Roman" w:cs="宋体"/>
                <w:bCs/>
                <w:kern w:val="0"/>
                <w:sz w:val="18"/>
                <w:szCs w:val="18"/>
              </w:rPr>
            </w:pPr>
            <w:r>
              <w:rPr>
                <w:rFonts w:hint="eastAsia" w:ascii="Times New Roman" w:hAnsi="Times New Roman" w:cs="宋体"/>
                <w:bCs/>
                <w:kern w:val="0"/>
                <w:sz w:val="18"/>
                <w:szCs w:val="18"/>
              </w:rPr>
              <w:t>类型</w:t>
            </w:r>
          </w:p>
        </w:tc>
        <w:tc>
          <w:tcPr>
            <w:tcW w:w="3072" w:type="pct"/>
            <w:vAlign w:val="center"/>
          </w:tcPr>
          <w:p>
            <w:pPr>
              <w:widowControl/>
              <w:contextualSpacing/>
              <w:jc w:val="center"/>
              <w:rPr>
                <w:rFonts w:ascii="Times New Roman" w:hAnsi="Times New Roman" w:cs="宋体"/>
                <w:bCs/>
                <w:kern w:val="0"/>
                <w:sz w:val="18"/>
                <w:szCs w:val="18"/>
              </w:rPr>
            </w:pPr>
            <w:r>
              <w:rPr>
                <w:rFonts w:hint="eastAsia" w:ascii="Times New Roman" w:hAnsi="Times New Roman" w:cs="宋体"/>
                <w:bCs/>
                <w:kern w:val="0"/>
                <w:sz w:val="18"/>
                <w:szCs w:val="18"/>
              </w:rPr>
              <w:t>法规文件名称</w:t>
            </w:r>
          </w:p>
        </w:tc>
        <w:tc>
          <w:tcPr>
            <w:tcW w:w="1527" w:type="pct"/>
            <w:vAlign w:val="center"/>
          </w:tcPr>
          <w:p>
            <w:pPr>
              <w:widowControl/>
              <w:contextualSpacing/>
              <w:jc w:val="center"/>
              <w:rPr>
                <w:rFonts w:ascii="Times New Roman" w:hAnsi="Times New Roman" w:cs="宋体"/>
                <w:bCs/>
                <w:kern w:val="0"/>
                <w:sz w:val="18"/>
                <w:szCs w:val="18"/>
              </w:rPr>
            </w:pPr>
            <w:r>
              <w:rPr>
                <w:rFonts w:hint="eastAsia" w:ascii="Times New Roman" w:hAnsi="Times New Roman" w:cs="宋体"/>
                <w:bCs/>
                <w:kern w:val="0"/>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1" w:type="pct"/>
            <w:vMerge w:val="restart"/>
            <w:vAlign w:val="center"/>
          </w:tcPr>
          <w:p>
            <w:pPr>
              <w:widowControl/>
              <w:contextualSpacing/>
              <w:jc w:val="center"/>
              <w:rPr>
                <w:rFonts w:ascii="Times New Roman" w:hAnsi="Times New Roman" w:cs="宋体"/>
                <w:kern w:val="0"/>
                <w:sz w:val="18"/>
                <w:szCs w:val="18"/>
              </w:rPr>
            </w:pPr>
            <w:r>
              <w:rPr>
                <w:rFonts w:hint="eastAsia" w:ascii="Times New Roman" w:hAnsi="Times New Roman" w:cs="宋体"/>
                <w:kern w:val="0"/>
                <w:sz w:val="18"/>
                <w:szCs w:val="18"/>
              </w:rPr>
              <w:t>法规政策</w:t>
            </w:r>
          </w:p>
        </w:tc>
        <w:tc>
          <w:tcPr>
            <w:tcW w:w="3072"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湖北省地质环境管理条例</w:t>
            </w:r>
          </w:p>
        </w:tc>
        <w:tc>
          <w:tcPr>
            <w:tcW w:w="1527"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湖北省第九届人民代表大会常务委员会第二十五次会议通过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1" w:type="pct"/>
            <w:vMerge w:val="continue"/>
            <w:vAlign w:val="center"/>
          </w:tcPr>
          <w:p/>
        </w:tc>
        <w:tc>
          <w:tcPr>
            <w:tcW w:w="3072"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湖北省人民政府关于加强地质灾害防治工作的实施意见</w:t>
            </w:r>
          </w:p>
        </w:tc>
        <w:tc>
          <w:tcPr>
            <w:tcW w:w="1527"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鄂政发〔</w:t>
            </w:r>
            <w:r>
              <w:rPr>
                <w:rFonts w:ascii="Times New Roman" w:hAnsi="Times New Roman" w:cs="宋体"/>
                <w:kern w:val="0"/>
                <w:sz w:val="18"/>
                <w:szCs w:val="18"/>
              </w:rPr>
              <w:t>2012</w:t>
            </w:r>
            <w:r>
              <w:rPr>
                <w:rFonts w:hint="eastAsia" w:ascii="Times New Roman" w:hAnsi="Times New Roman" w:cs="宋体"/>
                <w:kern w:val="0"/>
                <w:sz w:val="18"/>
                <w:szCs w:val="18"/>
              </w:rPr>
              <w:t>〕</w:t>
            </w:r>
            <w:r>
              <w:rPr>
                <w:rFonts w:ascii="Times New Roman" w:hAnsi="Times New Roman" w:cs="宋体"/>
                <w:kern w:val="0"/>
                <w:sz w:val="18"/>
                <w:szCs w:val="18"/>
              </w:rPr>
              <w:t>32</w:t>
            </w:r>
            <w:r>
              <w:rPr>
                <w:rFonts w:hint="eastAsia" w:ascii="Times New Roman" w:hAnsi="Times New Roman" w:cs="宋体"/>
                <w:kern w:val="0"/>
                <w:sz w:val="18"/>
                <w:szCs w:val="18"/>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1" w:type="pct"/>
            <w:vMerge w:val="continue"/>
            <w:vAlign w:val="center"/>
          </w:tcPr>
          <w:p/>
        </w:tc>
        <w:tc>
          <w:tcPr>
            <w:tcW w:w="3072"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湖北省人民政府办公厅贯彻落实省人民政府关于加强地质灾害防治工作实施意见重点工作分工方案</w:t>
            </w:r>
          </w:p>
        </w:tc>
        <w:tc>
          <w:tcPr>
            <w:tcW w:w="1527"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鄂政办函〔</w:t>
            </w:r>
            <w:r>
              <w:rPr>
                <w:rFonts w:ascii="Times New Roman" w:hAnsi="Times New Roman" w:cs="宋体"/>
                <w:kern w:val="0"/>
                <w:sz w:val="18"/>
                <w:szCs w:val="18"/>
              </w:rPr>
              <w:t>2012</w:t>
            </w:r>
            <w:r>
              <w:rPr>
                <w:rFonts w:hint="eastAsia" w:ascii="Times New Roman" w:hAnsi="Times New Roman" w:cs="宋体"/>
                <w:kern w:val="0"/>
                <w:sz w:val="18"/>
                <w:szCs w:val="18"/>
              </w:rPr>
              <w:t>〕</w:t>
            </w:r>
            <w:r>
              <w:rPr>
                <w:rFonts w:ascii="Times New Roman" w:hAnsi="Times New Roman" w:cs="宋体"/>
                <w:kern w:val="0"/>
                <w:sz w:val="18"/>
                <w:szCs w:val="18"/>
              </w:rPr>
              <w:t>55</w:t>
            </w:r>
            <w:r>
              <w:rPr>
                <w:rFonts w:hint="eastAsia" w:ascii="Times New Roman" w:hAnsi="Times New Roman" w:cs="宋体"/>
                <w:kern w:val="0"/>
                <w:sz w:val="18"/>
                <w:szCs w:val="18"/>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1" w:type="pct"/>
            <w:vMerge w:val="continue"/>
            <w:vAlign w:val="center"/>
          </w:tcPr>
          <w:p/>
        </w:tc>
        <w:tc>
          <w:tcPr>
            <w:tcW w:w="3072"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湖北省地质灾害治理项目管理暂行办法</w:t>
            </w:r>
          </w:p>
        </w:tc>
        <w:tc>
          <w:tcPr>
            <w:tcW w:w="1527"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鄂土资发〔</w:t>
            </w:r>
            <w:r>
              <w:rPr>
                <w:rFonts w:ascii="Times New Roman" w:hAnsi="Times New Roman" w:cs="宋体"/>
                <w:kern w:val="0"/>
                <w:sz w:val="18"/>
                <w:szCs w:val="18"/>
              </w:rPr>
              <w:t>2011</w:t>
            </w:r>
            <w:r>
              <w:rPr>
                <w:rFonts w:hint="eastAsia" w:ascii="Times New Roman" w:hAnsi="Times New Roman" w:cs="宋体"/>
                <w:kern w:val="0"/>
                <w:sz w:val="18"/>
                <w:szCs w:val="18"/>
              </w:rPr>
              <w:t>〕</w:t>
            </w:r>
            <w:r>
              <w:rPr>
                <w:rFonts w:ascii="Times New Roman" w:hAnsi="Times New Roman" w:cs="宋体"/>
                <w:kern w:val="0"/>
                <w:sz w:val="18"/>
                <w:szCs w:val="18"/>
              </w:rPr>
              <w:t>137</w:t>
            </w:r>
            <w:r>
              <w:rPr>
                <w:rFonts w:hint="eastAsia" w:ascii="Times New Roman" w:hAnsi="Times New Roman" w:cs="宋体"/>
                <w:kern w:val="0"/>
                <w:sz w:val="18"/>
                <w:szCs w:val="18"/>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1" w:type="pct"/>
            <w:vMerge w:val="continue"/>
            <w:vAlign w:val="center"/>
          </w:tcPr>
          <w:p/>
        </w:tc>
        <w:tc>
          <w:tcPr>
            <w:tcW w:w="3072"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湖北省地质灾害治理工程竣工验收实施细则（试行）</w:t>
            </w:r>
          </w:p>
        </w:tc>
        <w:tc>
          <w:tcPr>
            <w:tcW w:w="1527"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鄂土资发〔</w:t>
            </w:r>
            <w:r>
              <w:rPr>
                <w:rFonts w:ascii="Times New Roman" w:hAnsi="Times New Roman" w:cs="宋体"/>
                <w:kern w:val="0"/>
                <w:sz w:val="18"/>
                <w:szCs w:val="18"/>
              </w:rPr>
              <w:t>2011</w:t>
            </w:r>
            <w:r>
              <w:rPr>
                <w:rFonts w:hint="eastAsia" w:ascii="Times New Roman" w:hAnsi="Times New Roman" w:cs="宋体"/>
                <w:kern w:val="0"/>
                <w:sz w:val="18"/>
                <w:szCs w:val="18"/>
              </w:rPr>
              <w:t>〕</w:t>
            </w:r>
            <w:r>
              <w:rPr>
                <w:rFonts w:ascii="Times New Roman" w:hAnsi="Times New Roman" w:cs="宋体"/>
                <w:kern w:val="0"/>
                <w:sz w:val="18"/>
                <w:szCs w:val="18"/>
              </w:rPr>
              <w:t>137</w:t>
            </w:r>
            <w:r>
              <w:rPr>
                <w:rFonts w:hint="eastAsia" w:ascii="Times New Roman" w:hAnsi="Times New Roman" w:cs="宋体"/>
                <w:kern w:val="0"/>
                <w:sz w:val="18"/>
                <w:szCs w:val="18"/>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1" w:type="pct"/>
            <w:vMerge w:val="continue"/>
            <w:vAlign w:val="center"/>
          </w:tcPr>
          <w:p/>
        </w:tc>
        <w:tc>
          <w:tcPr>
            <w:tcW w:w="3072"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湖北省地质环境治理项目文件归档整理实施细则（试行）</w:t>
            </w:r>
          </w:p>
        </w:tc>
        <w:tc>
          <w:tcPr>
            <w:tcW w:w="1527"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鄂土资发〔</w:t>
            </w:r>
            <w:r>
              <w:rPr>
                <w:rFonts w:ascii="Times New Roman" w:hAnsi="Times New Roman" w:cs="宋体"/>
                <w:kern w:val="0"/>
                <w:sz w:val="18"/>
                <w:szCs w:val="18"/>
              </w:rPr>
              <w:t>2011</w:t>
            </w:r>
            <w:r>
              <w:rPr>
                <w:rFonts w:hint="eastAsia" w:ascii="Times New Roman" w:hAnsi="Times New Roman" w:cs="宋体"/>
                <w:kern w:val="0"/>
                <w:sz w:val="18"/>
                <w:szCs w:val="18"/>
              </w:rPr>
              <w:t>〕</w:t>
            </w:r>
            <w:r>
              <w:rPr>
                <w:rFonts w:ascii="Times New Roman" w:hAnsi="Times New Roman" w:cs="宋体"/>
                <w:kern w:val="0"/>
                <w:sz w:val="18"/>
                <w:szCs w:val="18"/>
              </w:rPr>
              <w:t>137</w:t>
            </w:r>
            <w:r>
              <w:rPr>
                <w:rFonts w:hint="eastAsia" w:ascii="Times New Roman" w:hAnsi="Times New Roman" w:cs="宋体"/>
                <w:kern w:val="0"/>
                <w:sz w:val="18"/>
                <w:szCs w:val="18"/>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1" w:type="pct"/>
            <w:vMerge w:val="continue"/>
            <w:vAlign w:val="center"/>
          </w:tcPr>
          <w:p/>
        </w:tc>
        <w:tc>
          <w:tcPr>
            <w:tcW w:w="3072"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湖北省地质环境治理项目（管理）通用表式</w:t>
            </w:r>
          </w:p>
        </w:tc>
        <w:tc>
          <w:tcPr>
            <w:tcW w:w="1527"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鄂土资发〔</w:t>
            </w:r>
            <w:r>
              <w:rPr>
                <w:rFonts w:ascii="Times New Roman" w:hAnsi="Times New Roman" w:cs="宋体"/>
                <w:kern w:val="0"/>
                <w:sz w:val="18"/>
                <w:szCs w:val="18"/>
              </w:rPr>
              <w:t>2011</w:t>
            </w:r>
            <w:r>
              <w:rPr>
                <w:rFonts w:hint="eastAsia" w:ascii="Times New Roman" w:hAnsi="Times New Roman" w:cs="宋体"/>
                <w:kern w:val="0"/>
                <w:sz w:val="18"/>
                <w:szCs w:val="18"/>
              </w:rPr>
              <w:t>〕</w:t>
            </w:r>
            <w:r>
              <w:rPr>
                <w:rFonts w:ascii="Times New Roman" w:hAnsi="Times New Roman" w:cs="宋体"/>
                <w:kern w:val="0"/>
                <w:sz w:val="18"/>
                <w:szCs w:val="18"/>
              </w:rPr>
              <w:t>137</w:t>
            </w:r>
            <w:r>
              <w:rPr>
                <w:rFonts w:hint="eastAsia" w:ascii="Times New Roman" w:hAnsi="Times New Roman" w:cs="宋体"/>
                <w:kern w:val="0"/>
                <w:sz w:val="18"/>
                <w:szCs w:val="18"/>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1" w:type="pct"/>
            <w:vMerge w:val="continue"/>
            <w:vAlign w:val="center"/>
          </w:tcPr>
          <w:p/>
        </w:tc>
        <w:tc>
          <w:tcPr>
            <w:tcW w:w="3072"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湖北省突发地质灾害信息报送工作规程（试行）</w:t>
            </w:r>
          </w:p>
        </w:tc>
        <w:tc>
          <w:tcPr>
            <w:tcW w:w="1527"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鄂土资办文〔</w:t>
            </w:r>
            <w:r>
              <w:rPr>
                <w:rFonts w:ascii="Times New Roman" w:hAnsi="Times New Roman" w:cs="宋体"/>
                <w:kern w:val="0"/>
                <w:sz w:val="18"/>
                <w:szCs w:val="18"/>
              </w:rPr>
              <w:t>2017</w:t>
            </w:r>
            <w:r>
              <w:rPr>
                <w:rFonts w:hint="eastAsia" w:ascii="Times New Roman" w:hAnsi="Times New Roman" w:cs="宋体"/>
                <w:kern w:val="0"/>
                <w:sz w:val="18"/>
                <w:szCs w:val="18"/>
              </w:rPr>
              <w:t>〕</w:t>
            </w:r>
            <w:r>
              <w:rPr>
                <w:rFonts w:ascii="Times New Roman" w:hAnsi="Times New Roman" w:cs="宋体"/>
                <w:kern w:val="0"/>
                <w:sz w:val="18"/>
                <w:szCs w:val="18"/>
              </w:rPr>
              <w:t>30</w:t>
            </w:r>
            <w:r>
              <w:rPr>
                <w:rFonts w:hint="eastAsia" w:ascii="Times New Roman" w:hAnsi="Times New Roman" w:cs="宋体"/>
                <w:kern w:val="0"/>
                <w:sz w:val="18"/>
                <w:szCs w:val="18"/>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1" w:type="pct"/>
            <w:vMerge w:val="continue"/>
            <w:vAlign w:val="center"/>
          </w:tcPr>
          <w:p/>
        </w:tc>
        <w:tc>
          <w:tcPr>
            <w:tcW w:w="3072"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湖北省三峡后续工作规划实施管理细则</w:t>
            </w:r>
          </w:p>
        </w:tc>
        <w:tc>
          <w:tcPr>
            <w:tcW w:w="1527"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鄂三峡后续〔</w:t>
            </w:r>
            <w:r>
              <w:rPr>
                <w:rFonts w:ascii="Times New Roman" w:hAnsi="Times New Roman" w:cs="宋体"/>
                <w:kern w:val="0"/>
                <w:sz w:val="18"/>
                <w:szCs w:val="18"/>
              </w:rPr>
              <w:t>2012</w:t>
            </w:r>
            <w:r>
              <w:rPr>
                <w:rFonts w:hint="eastAsia" w:ascii="Times New Roman" w:hAnsi="Times New Roman" w:cs="宋体"/>
                <w:kern w:val="0"/>
                <w:sz w:val="18"/>
                <w:szCs w:val="18"/>
              </w:rPr>
              <w:t>〕</w:t>
            </w:r>
            <w:r>
              <w:rPr>
                <w:rFonts w:ascii="Times New Roman" w:hAnsi="Times New Roman" w:cs="宋体"/>
                <w:kern w:val="0"/>
                <w:sz w:val="18"/>
                <w:szCs w:val="18"/>
              </w:rPr>
              <w:t>1</w:t>
            </w:r>
            <w:r>
              <w:rPr>
                <w:rFonts w:hint="eastAsia" w:ascii="Times New Roman" w:hAnsi="Times New Roman" w:cs="宋体"/>
                <w:kern w:val="0"/>
                <w:sz w:val="18"/>
                <w:szCs w:val="18"/>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1" w:type="pct"/>
            <w:vMerge w:val="continue"/>
            <w:vAlign w:val="center"/>
          </w:tcPr>
          <w:p/>
        </w:tc>
        <w:tc>
          <w:tcPr>
            <w:tcW w:w="3072"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湖北省三峡库区地质灾害治理工程维护与监测管理暂行办法</w:t>
            </w:r>
          </w:p>
        </w:tc>
        <w:tc>
          <w:tcPr>
            <w:tcW w:w="1527"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鄂政办发〔</w:t>
            </w:r>
            <w:r>
              <w:rPr>
                <w:rFonts w:ascii="Times New Roman" w:hAnsi="Times New Roman" w:cs="宋体"/>
                <w:kern w:val="0"/>
                <w:sz w:val="18"/>
                <w:szCs w:val="18"/>
              </w:rPr>
              <w:t>2004</w:t>
            </w:r>
            <w:r>
              <w:rPr>
                <w:rFonts w:hint="eastAsia" w:ascii="Times New Roman" w:hAnsi="Times New Roman" w:cs="宋体"/>
                <w:kern w:val="0"/>
                <w:sz w:val="18"/>
                <w:szCs w:val="18"/>
              </w:rPr>
              <w:t>〕</w:t>
            </w:r>
            <w:r>
              <w:rPr>
                <w:rFonts w:ascii="Times New Roman" w:hAnsi="Times New Roman" w:cs="宋体"/>
                <w:kern w:val="0"/>
                <w:sz w:val="18"/>
                <w:szCs w:val="18"/>
              </w:rPr>
              <w:t>101</w:t>
            </w:r>
            <w:r>
              <w:rPr>
                <w:rFonts w:hint="eastAsia" w:ascii="Times New Roman" w:hAnsi="Times New Roman" w:cs="宋体"/>
                <w:kern w:val="0"/>
                <w:sz w:val="18"/>
                <w:szCs w:val="18"/>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1" w:type="pct"/>
            <w:vMerge w:val="restart"/>
            <w:vAlign w:val="center"/>
          </w:tcPr>
          <w:p>
            <w:pPr>
              <w:contextualSpacing/>
              <w:jc w:val="center"/>
              <w:rPr>
                <w:rFonts w:ascii="Times New Roman" w:hAnsi="Times New Roman" w:cs="宋体"/>
                <w:kern w:val="0"/>
                <w:sz w:val="18"/>
                <w:szCs w:val="18"/>
              </w:rPr>
            </w:pPr>
            <w:r>
              <w:rPr>
                <w:rFonts w:hint="eastAsia" w:ascii="Times New Roman" w:hAnsi="Times New Roman" w:cs="宋体"/>
                <w:kern w:val="0"/>
                <w:sz w:val="18"/>
                <w:szCs w:val="18"/>
              </w:rPr>
              <w:t>组织管理</w:t>
            </w:r>
          </w:p>
        </w:tc>
        <w:tc>
          <w:tcPr>
            <w:tcW w:w="3072"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sz w:val="18"/>
                <w:szCs w:val="18"/>
              </w:rPr>
              <w:t>湖北省地质专家管理办法（试行）</w:t>
            </w:r>
          </w:p>
        </w:tc>
        <w:tc>
          <w:tcPr>
            <w:tcW w:w="1527" w:type="pct"/>
            <w:vAlign w:val="center"/>
          </w:tcPr>
          <w:p>
            <w:pPr>
              <w:widowControl/>
              <w:contextualSpacing/>
              <w:jc w:val="left"/>
              <w:rPr>
                <w:rFonts w:ascii="Times New Roman" w:hAnsi="Times New Roman" w:cs="宋体"/>
                <w:kern w:val="0"/>
                <w:sz w:val="18"/>
                <w:szCs w:val="18"/>
              </w:rPr>
            </w:pPr>
            <w:r>
              <w:rPr>
                <w:rFonts w:ascii="Times New Roman" w:hAnsi="Times New Roman" w:cs="宋体"/>
                <w:kern w:val="0"/>
                <w:sz w:val="18"/>
                <w:szCs w:val="18"/>
              </w:rPr>
              <w:t>2019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1" w:type="pct"/>
            <w:vMerge w:val="continue"/>
            <w:vAlign w:val="center"/>
          </w:tcPr>
          <w:p/>
        </w:tc>
        <w:tc>
          <w:tcPr>
            <w:tcW w:w="3072"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湖北省地质灾害抢险救灾指挥部暨省地质灾害防治领导小组</w:t>
            </w:r>
          </w:p>
        </w:tc>
        <w:tc>
          <w:tcPr>
            <w:tcW w:w="1527"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鄂地灾防办〔</w:t>
            </w:r>
            <w:r>
              <w:rPr>
                <w:rFonts w:ascii="Times New Roman" w:hAnsi="Times New Roman" w:cs="宋体"/>
                <w:kern w:val="0"/>
                <w:sz w:val="18"/>
                <w:szCs w:val="18"/>
              </w:rPr>
              <w:t>2017</w:t>
            </w:r>
            <w:r>
              <w:rPr>
                <w:rFonts w:hint="eastAsia" w:ascii="Times New Roman" w:hAnsi="Times New Roman" w:cs="宋体"/>
                <w:kern w:val="0"/>
                <w:sz w:val="18"/>
                <w:szCs w:val="18"/>
              </w:rPr>
              <w:t>〕</w:t>
            </w:r>
            <w:r>
              <w:rPr>
                <w:rFonts w:ascii="Times New Roman" w:hAnsi="Times New Roman" w:cs="宋体"/>
                <w:kern w:val="0"/>
                <w:sz w:val="18"/>
                <w:szCs w:val="18"/>
              </w:rPr>
              <w:t>4</w:t>
            </w:r>
            <w:r>
              <w:rPr>
                <w:rFonts w:hint="eastAsia" w:ascii="Times New Roman" w:hAnsi="Times New Roman" w:cs="宋体"/>
                <w:kern w:val="0"/>
                <w:sz w:val="18"/>
                <w:szCs w:val="18"/>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1" w:type="pct"/>
            <w:vMerge w:val="continue"/>
            <w:vAlign w:val="center"/>
          </w:tcPr>
          <w:p/>
        </w:tc>
        <w:tc>
          <w:tcPr>
            <w:tcW w:w="3072"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湖北省三峡库区地质灾害防治后续规划实施领导小组</w:t>
            </w:r>
          </w:p>
        </w:tc>
        <w:tc>
          <w:tcPr>
            <w:tcW w:w="1527"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鄂土资函〔</w:t>
            </w:r>
            <w:r>
              <w:rPr>
                <w:rFonts w:ascii="Times New Roman" w:hAnsi="Times New Roman" w:cs="宋体"/>
                <w:kern w:val="0"/>
                <w:sz w:val="18"/>
                <w:szCs w:val="18"/>
              </w:rPr>
              <w:t>2016</w:t>
            </w:r>
            <w:r>
              <w:rPr>
                <w:rFonts w:hint="eastAsia" w:ascii="Times New Roman" w:hAnsi="Times New Roman" w:cs="宋体"/>
                <w:kern w:val="0"/>
                <w:sz w:val="18"/>
                <w:szCs w:val="18"/>
              </w:rPr>
              <w:t>〕</w:t>
            </w:r>
            <w:r>
              <w:rPr>
                <w:rFonts w:ascii="Times New Roman" w:hAnsi="Times New Roman" w:cs="宋体"/>
                <w:kern w:val="0"/>
                <w:sz w:val="18"/>
                <w:szCs w:val="18"/>
              </w:rPr>
              <w:t>1009</w:t>
            </w:r>
            <w:r>
              <w:rPr>
                <w:rFonts w:hint="eastAsia" w:ascii="Times New Roman" w:hAnsi="Times New Roman" w:cs="宋体"/>
                <w:kern w:val="0"/>
                <w:sz w:val="18"/>
                <w:szCs w:val="18"/>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1" w:type="pct"/>
            <w:vMerge w:val="continue"/>
            <w:vAlign w:val="center"/>
          </w:tcPr>
          <w:p/>
        </w:tc>
        <w:tc>
          <w:tcPr>
            <w:tcW w:w="3072"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湖北省地质灾害防治网格化管理工作领导小组</w:t>
            </w:r>
          </w:p>
        </w:tc>
        <w:tc>
          <w:tcPr>
            <w:tcW w:w="1527"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鄂土资函</w:t>
            </w:r>
            <w:r>
              <w:rPr>
                <w:rFonts w:ascii="Times New Roman" w:hAnsi="Times New Roman" w:cs="宋体"/>
                <w:kern w:val="0"/>
                <w:sz w:val="18"/>
                <w:szCs w:val="18"/>
              </w:rPr>
              <w:t>〔2016〕695</w:t>
            </w:r>
            <w:r>
              <w:rPr>
                <w:rFonts w:hint="eastAsia" w:ascii="Times New Roman" w:hAnsi="Times New Roman" w:cs="宋体"/>
                <w:kern w:val="0"/>
                <w:sz w:val="18"/>
                <w:szCs w:val="18"/>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1" w:type="pct"/>
            <w:vMerge w:val="continue"/>
            <w:vAlign w:val="center"/>
          </w:tcPr>
          <w:p/>
        </w:tc>
        <w:tc>
          <w:tcPr>
            <w:tcW w:w="3072"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湖北省地质灾害防治专家库</w:t>
            </w:r>
          </w:p>
        </w:tc>
        <w:tc>
          <w:tcPr>
            <w:tcW w:w="1527"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鄂土资函〔</w:t>
            </w:r>
            <w:r>
              <w:rPr>
                <w:rFonts w:ascii="Times New Roman" w:hAnsi="Times New Roman" w:cs="宋体"/>
                <w:kern w:val="0"/>
                <w:sz w:val="18"/>
                <w:szCs w:val="18"/>
              </w:rPr>
              <w:t>2011</w:t>
            </w:r>
            <w:r>
              <w:rPr>
                <w:rFonts w:hint="eastAsia" w:ascii="Times New Roman" w:hAnsi="Times New Roman" w:cs="宋体"/>
                <w:kern w:val="0"/>
                <w:sz w:val="18"/>
                <w:szCs w:val="18"/>
              </w:rPr>
              <w:t>〕</w:t>
            </w:r>
            <w:r>
              <w:rPr>
                <w:rFonts w:ascii="Times New Roman" w:hAnsi="Times New Roman" w:cs="宋体"/>
                <w:kern w:val="0"/>
                <w:sz w:val="18"/>
                <w:szCs w:val="18"/>
              </w:rPr>
              <w:t>134</w:t>
            </w:r>
            <w:r>
              <w:rPr>
                <w:rFonts w:hint="eastAsia" w:ascii="Times New Roman" w:hAnsi="Times New Roman" w:cs="宋体"/>
                <w:kern w:val="0"/>
                <w:sz w:val="18"/>
                <w:szCs w:val="18"/>
              </w:rPr>
              <w:t>号、</w:t>
            </w:r>
          </w:p>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鄂土资函〔</w:t>
            </w:r>
            <w:r>
              <w:rPr>
                <w:rFonts w:ascii="Times New Roman" w:hAnsi="Times New Roman" w:cs="宋体"/>
                <w:kern w:val="0"/>
                <w:sz w:val="18"/>
                <w:szCs w:val="18"/>
              </w:rPr>
              <w:t>2014</w:t>
            </w:r>
            <w:r>
              <w:rPr>
                <w:rFonts w:hint="eastAsia" w:ascii="Times New Roman" w:hAnsi="Times New Roman" w:cs="宋体"/>
                <w:kern w:val="0"/>
                <w:sz w:val="18"/>
                <w:szCs w:val="18"/>
              </w:rPr>
              <w:t>〕</w:t>
            </w:r>
            <w:r>
              <w:rPr>
                <w:rFonts w:ascii="Times New Roman" w:hAnsi="Times New Roman" w:cs="宋体"/>
                <w:kern w:val="0"/>
                <w:sz w:val="18"/>
                <w:szCs w:val="18"/>
              </w:rPr>
              <w:t>161</w:t>
            </w:r>
            <w:r>
              <w:rPr>
                <w:rFonts w:hint="eastAsia" w:ascii="Times New Roman" w:hAnsi="Times New Roman" w:cs="宋体"/>
                <w:kern w:val="0"/>
                <w:sz w:val="18"/>
                <w:szCs w:val="18"/>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1" w:type="pct"/>
            <w:vMerge w:val="continue"/>
            <w:vAlign w:val="center"/>
          </w:tcPr>
          <w:p/>
        </w:tc>
        <w:tc>
          <w:tcPr>
            <w:tcW w:w="3072"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湖北省地质灾害应急专家库</w:t>
            </w:r>
          </w:p>
        </w:tc>
        <w:tc>
          <w:tcPr>
            <w:tcW w:w="1527"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鄂土资函〔</w:t>
            </w:r>
            <w:r>
              <w:rPr>
                <w:rFonts w:ascii="Times New Roman" w:hAnsi="Times New Roman" w:cs="宋体"/>
                <w:kern w:val="0"/>
                <w:sz w:val="18"/>
                <w:szCs w:val="18"/>
              </w:rPr>
              <w:t>2016</w:t>
            </w:r>
            <w:r>
              <w:rPr>
                <w:rFonts w:hint="eastAsia" w:ascii="Times New Roman" w:hAnsi="Times New Roman" w:cs="宋体"/>
                <w:kern w:val="0"/>
                <w:sz w:val="18"/>
                <w:szCs w:val="18"/>
              </w:rPr>
              <w:t>〕</w:t>
            </w:r>
            <w:r>
              <w:rPr>
                <w:rFonts w:ascii="Times New Roman" w:hAnsi="Times New Roman" w:cs="宋体"/>
                <w:kern w:val="0"/>
                <w:sz w:val="18"/>
                <w:szCs w:val="18"/>
              </w:rPr>
              <w:t>1145</w:t>
            </w:r>
            <w:r>
              <w:rPr>
                <w:rFonts w:hint="eastAsia" w:ascii="Times New Roman" w:hAnsi="Times New Roman" w:cs="宋体"/>
                <w:kern w:val="0"/>
                <w:sz w:val="18"/>
                <w:szCs w:val="18"/>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1" w:type="pct"/>
            <w:vMerge w:val="restart"/>
            <w:vAlign w:val="center"/>
          </w:tcPr>
          <w:p>
            <w:pPr>
              <w:widowControl/>
              <w:contextualSpacing/>
              <w:jc w:val="center"/>
              <w:rPr>
                <w:rFonts w:ascii="Times New Roman" w:hAnsi="Times New Roman" w:cs="宋体"/>
                <w:kern w:val="0"/>
                <w:sz w:val="18"/>
                <w:szCs w:val="18"/>
              </w:rPr>
            </w:pPr>
            <w:r>
              <w:rPr>
                <w:rFonts w:hint="eastAsia" w:ascii="Times New Roman" w:hAnsi="Times New Roman" w:cs="宋体"/>
                <w:kern w:val="0"/>
                <w:sz w:val="18"/>
                <w:szCs w:val="18"/>
              </w:rPr>
              <w:t>资金管理</w:t>
            </w:r>
          </w:p>
        </w:tc>
        <w:tc>
          <w:tcPr>
            <w:tcW w:w="3072" w:type="pct"/>
            <w:vAlign w:val="center"/>
          </w:tcPr>
          <w:p>
            <w:pPr>
              <w:contextualSpacing/>
              <w:jc w:val="left"/>
              <w:rPr>
                <w:rFonts w:ascii="Times New Roman" w:hAnsi="Times New Roman" w:cs="宋体"/>
                <w:kern w:val="0"/>
                <w:sz w:val="18"/>
                <w:szCs w:val="18"/>
              </w:rPr>
            </w:pPr>
            <w:r>
              <w:rPr>
                <w:rFonts w:hint="eastAsia" w:ascii="Times New Roman" w:hAnsi="Times New Roman" w:cs="宋体"/>
                <w:kern w:val="0"/>
                <w:sz w:val="18"/>
                <w:szCs w:val="18"/>
              </w:rPr>
              <w:t>省国土资源厅关于公布征地补偿安置倍数、修正系数的青苗补偿标准的函</w:t>
            </w:r>
          </w:p>
        </w:tc>
        <w:tc>
          <w:tcPr>
            <w:tcW w:w="1527" w:type="pct"/>
            <w:vAlign w:val="center"/>
          </w:tcPr>
          <w:p>
            <w:pPr>
              <w:contextualSpacing/>
              <w:jc w:val="left"/>
              <w:rPr>
                <w:rFonts w:ascii="Times New Roman" w:hAnsi="Times New Roman" w:cs="宋体"/>
                <w:kern w:val="0"/>
                <w:sz w:val="18"/>
                <w:szCs w:val="18"/>
              </w:rPr>
            </w:pPr>
            <w:r>
              <w:rPr>
                <w:rFonts w:hint="eastAsia" w:ascii="Times New Roman" w:hAnsi="Times New Roman" w:cs="宋体"/>
                <w:kern w:val="0"/>
                <w:sz w:val="18"/>
                <w:szCs w:val="18"/>
              </w:rPr>
              <w:t>鄂土资函〔</w:t>
            </w:r>
            <w:r>
              <w:rPr>
                <w:rFonts w:ascii="Times New Roman" w:hAnsi="Times New Roman" w:cs="宋体"/>
                <w:kern w:val="0"/>
                <w:sz w:val="18"/>
                <w:szCs w:val="18"/>
              </w:rPr>
              <w:t>2014</w:t>
            </w:r>
            <w:r>
              <w:rPr>
                <w:rFonts w:hint="eastAsia" w:ascii="Times New Roman" w:hAnsi="Times New Roman" w:cs="宋体"/>
                <w:kern w:val="0"/>
                <w:sz w:val="18"/>
                <w:szCs w:val="18"/>
              </w:rPr>
              <w:t>〕</w:t>
            </w:r>
            <w:r>
              <w:rPr>
                <w:rFonts w:ascii="Times New Roman" w:hAnsi="Times New Roman" w:cs="宋体"/>
                <w:kern w:val="0"/>
                <w:sz w:val="18"/>
                <w:szCs w:val="18"/>
              </w:rPr>
              <w:t>242</w:t>
            </w:r>
            <w:r>
              <w:rPr>
                <w:rFonts w:hint="eastAsia" w:ascii="Times New Roman" w:hAnsi="Times New Roman" w:cs="宋体"/>
                <w:kern w:val="0"/>
                <w:sz w:val="18"/>
                <w:szCs w:val="18"/>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1" w:type="pct"/>
            <w:vMerge w:val="continue"/>
            <w:vAlign w:val="center"/>
          </w:tcPr>
          <w:p/>
        </w:tc>
        <w:tc>
          <w:tcPr>
            <w:tcW w:w="3072"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湖北省三峡后续工作专项资金使用管理办法</w:t>
            </w:r>
          </w:p>
        </w:tc>
        <w:tc>
          <w:tcPr>
            <w:tcW w:w="1527"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鄂财企〔</w:t>
            </w:r>
            <w:r>
              <w:rPr>
                <w:rFonts w:ascii="Times New Roman" w:hAnsi="Times New Roman" w:cs="宋体"/>
                <w:kern w:val="0"/>
                <w:sz w:val="18"/>
                <w:szCs w:val="18"/>
              </w:rPr>
              <w:t>2016</w:t>
            </w:r>
            <w:r>
              <w:rPr>
                <w:rFonts w:hint="eastAsia" w:ascii="Times New Roman" w:hAnsi="Times New Roman" w:cs="宋体"/>
                <w:kern w:val="0"/>
                <w:sz w:val="18"/>
                <w:szCs w:val="18"/>
              </w:rPr>
              <w:t>〕</w:t>
            </w:r>
            <w:r>
              <w:rPr>
                <w:rFonts w:ascii="Times New Roman" w:hAnsi="Times New Roman" w:cs="宋体"/>
                <w:kern w:val="0"/>
                <w:sz w:val="18"/>
                <w:szCs w:val="18"/>
              </w:rPr>
              <w:t>6</w:t>
            </w:r>
            <w:r>
              <w:rPr>
                <w:rFonts w:hint="eastAsia" w:ascii="Times New Roman" w:hAnsi="Times New Roman" w:cs="宋体"/>
                <w:kern w:val="0"/>
                <w:sz w:val="18"/>
                <w:szCs w:val="18"/>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1" w:type="pct"/>
            <w:vMerge w:val="continue"/>
            <w:vAlign w:val="center"/>
          </w:tcPr>
          <w:p/>
        </w:tc>
        <w:tc>
          <w:tcPr>
            <w:tcW w:w="3072"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湖北省三峡库区后续地质灾害工程治理项目投资概（预）算编制要求（暂行）</w:t>
            </w:r>
          </w:p>
        </w:tc>
        <w:tc>
          <w:tcPr>
            <w:tcW w:w="1527"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鄂土资函〔</w:t>
            </w:r>
            <w:r>
              <w:rPr>
                <w:rFonts w:ascii="Times New Roman" w:hAnsi="Times New Roman" w:cs="宋体"/>
                <w:kern w:val="0"/>
                <w:sz w:val="18"/>
                <w:szCs w:val="18"/>
              </w:rPr>
              <w:t>2016</w:t>
            </w:r>
            <w:r>
              <w:rPr>
                <w:rFonts w:hint="eastAsia" w:ascii="Times New Roman" w:hAnsi="Times New Roman" w:cs="宋体"/>
                <w:kern w:val="0"/>
                <w:sz w:val="18"/>
                <w:szCs w:val="18"/>
              </w:rPr>
              <w:t>〕</w:t>
            </w:r>
            <w:r>
              <w:rPr>
                <w:rFonts w:ascii="Times New Roman" w:hAnsi="Times New Roman" w:cs="宋体"/>
                <w:kern w:val="0"/>
                <w:sz w:val="18"/>
                <w:szCs w:val="18"/>
              </w:rPr>
              <w:t>1401</w:t>
            </w:r>
            <w:r>
              <w:rPr>
                <w:rFonts w:hint="eastAsia" w:ascii="Times New Roman" w:hAnsi="Times New Roman" w:cs="宋体"/>
                <w:kern w:val="0"/>
                <w:sz w:val="18"/>
                <w:szCs w:val="18"/>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1" w:type="pct"/>
            <w:vMerge w:val="continue"/>
            <w:vAlign w:val="center"/>
          </w:tcPr>
          <w:p/>
        </w:tc>
        <w:tc>
          <w:tcPr>
            <w:tcW w:w="3072"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湖北省三峡库区后续地质灾害工程治理项目投资概（预）算编制要求（试行）</w:t>
            </w:r>
          </w:p>
        </w:tc>
        <w:tc>
          <w:tcPr>
            <w:tcW w:w="1527"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鄂土资函〔</w:t>
            </w:r>
            <w:r>
              <w:rPr>
                <w:rFonts w:ascii="Times New Roman" w:hAnsi="Times New Roman" w:cs="宋体"/>
                <w:kern w:val="0"/>
                <w:sz w:val="18"/>
                <w:szCs w:val="18"/>
              </w:rPr>
              <w:t>2014</w:t>
            </w:r>
            <w:r>
              <w:rPr>
                <w:rFonts w:hint="eastAsia" w:ascii="Times New Roman" w:hAnsi="Times New Roman" w:cs="宋体"/>
                <w:kern w:val="0"/>
                <w:sz w:val="18"/>
                <w:szCs w:val="18"/>
              </w:rPr>
              <w:t>〕</w:t>
            </w:r>
            <w:r>
              <w:rPr>
                <w:rFonts w:ascii="Times New Roman" w:hAnsi="Times New Roman" w:cs="宋体"/>
                <w:kern w:val="0"/>
                <w:sz w:val="18"/>
                <w:szCs w:val="18"/>
              </w:rPr>
              <w:t>111</w:t>
            </w:r>
            <w:r>
              <w:rPr>
                <w:rFonts w:hint="eastAsia" w:ascii="Times New Roman" w:hAnsi="Times New Roman" w:cs="宋体"/>
                <w:kern w:val="0"/>
                <w:sz w:val="18"/>
                <w:szCs w:val="18"/>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1" w:type="pct"/>
            <w:vMerge w:val="continue"/>
            <w:vAlign w:val="center"/>
          </w:tcPr>
          <w:p/>
        </w:tc>
        <w:tc>
          <w:tcPr>
            <w:tcW w:w="3072"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湖北省三峡库区后续地质灾害工程治理监测预警项目投资概（预）算编制要求（试行）</w:t>
            </w:r>
          </w:p>
        </w:tc>
        <w:tc>
          <w:tcPr>
            <w:tcW w:w="1527"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鄂土资函〔</w:t>
            </w:r>
            <w:r>
              <w:rPr>
                <w:rFonts w:ascii="Times New Roman" w:hAnsi="Times New Roman" w:cs="宋体"/>
                <w:kern w:val="0"/>
                <w:sz w:val="18"/>
                <w:szCs w:val="18"/>
              </w:rPr>
              <w:t>2014</w:t>
            </w:r>
            <w:r>
              <w:rPr>
                <w:rFonts w:hint="eastAsia" w:ascii="Times New Roman" w:hAnsi="Times New Roman" w:cs="宋体"/>
                <w:kern w:val="0"/>
                <w:sz w:val="18"/>
                <w:szCs w:val="18"/>
              </w:rPr>
              <w:t>〕</w:t>
            </w:r>
            <w:r>
              <w:rPr>
                <w:rFonts w:ascii="Times New Roman" w:hAnsi="Times New Roman" w:cs="宋体"/>
                <w:kern w:val="0"/>
                <w:sz w:val="18"/>
                <w:szCs w:val="18"/>
              </w:rPr>
              <w:t>111</w:t>
            </w:r>
            <w:r>
              <w:rPr>
                <w:rFonts w:hint="eastAsia" w:ascii="Times New Roman" w:hAnsi="Times New Roman" w:cs="宋体"/>
                <w:kern w:val="0"/>
                <w:sz w:val="18"/>
                <w:szCs w:val="18"/>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1" w:type="pct"/>
            <w:vMerge w:val="continue"/>
            <w:vAlign w:val="center"/>
          </w:tcPr>
          <w:p/>
        </w:tc>
        <w:tc>
          <w:tcPr>
            <w:tcW w:w="3072"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湖北省三峡库区后续地质灾害监测预警项目运行资金使用范围（试行）</w:t>
            </w:r>
          </w:p>
        </w:tc>
        <w:tc>
          <w:tcPr>
            <w:tcW w:w="1527"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鄂土资函〔</w:t>
            </w:r>
            <w:r>
              <w:rPr>
                <w:rFonts w:ascii="Times New Roman" w:hAnsi="Times New Roman" w:cs="宋体"/>
                <w:kern w:val="0"/>
                <w:sz w:val="18"/>
                <w:szCs w:val="18"/>
              </w:rPr>
              <w:t>2014</w:t>
            </w:r>
            <w:r>
              <w:rPr>
                <w:rFonts w:hint="eastAsia" w:ascii="Times New Roman" w:hAnsi="Times New Roman" w:cs="宋体"/>
                <w:kern w:val="0"/>
                <w:sz w:val="18"/>
                <w:szCs w:val="18"/>
              </w:rPr>
              <w:t>〕</w:t>
            </w:r>
            <w:r>
              <w:rPr>
                <w:rFonts w:ascii="Times New Roman" w:hAnsi="Times New Roman" w:cs="宋体"/>
                <w:kern w:val="0"/>
                <w:sz w:val="18"/>
                <w:szCs w:val="18"/>
              </w:rPr>
              <w:t>111</w:t>
            </w:r>
            <w:r>
              <w:rPr>
                <w:rFonts w:hint="eastAsia" w:ascii="Times New Roman" w:hAnsi="Times New Roman" w:cs="宋体"/>
                <w:kern w:val="0"/>
                <w:sz w:val="18"/>
                <w:szCs w:val="18"/>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1" w:type="pct"/>
            <w:vMerge w:val="restart"/>
            <w:vAlign w:val="center"/>
          </w:tcPr>
          <w:p>
            <w:pPr>
              <w:widowControl/>
              <w:contextualSpacing/>
              <w:jc w:val="center"/>
              <w:rPr>
                <w:rFonts w:ascii="Times New Roman" w:hAnsi="Times New Roman" w:cs="宋体"/>
                <w:kern w:val="0"/>
                <w:sz w:val="18"/>
                <w:szCs w:val="18"/>
              </w:rPr>
            </w:pPr>
            <w:r>
              <w:rPr>
                <w:rFonts w:hint="eastAsia" w:ascii="Times New Roman" w:hAnsi="Times New Roman" w:cs="宋体"/>
                <w:kern w:val="0"/>
                <w:sz w:val="18"/>
                <w:szCs w:val="18"/>
              </w:rPr>
              <w:t>规划管理</w:t>
            </w:r>
          </w:p>
        </w:tc>
        <w:tc>
          <w:tcPr>
            <w:tcW w:w="3072" w:type="pct"/>
            <w:vAlign w:val="center"/>
          </w:tcPr>
          <w:p>
            <w:pPr>
              <w:widowControl/>
              <w:contextualSpacing/>
              <w:jc w:val="left"/>
              <w:rPr>
                <w:rFonts w:ascii="Times New Roman" w:hAnsi="Times New Roman" w:cs="宋体"/>
                <w:kern w:val="0"/>
                <w:sz w:val="18"/>
                <w:szCs w:val="18"/>
              </w:rPr>
            </w:pPr>
            <w:r>
              <w:rPr>
                <w:rFonts w:ascii="Times New Roman" w:hAnsi="Times New Roman" w:cs="宋体"/>
                <w:kern w:val="0"/>
                <w:sz w:val="18"/>
                <w:szCs w:val="18"/>
              </w:rPr>
              <w:t>2018</w:t>
            </w:r>
            <w:r>
              <w:rPr>
                <w:rFonts w:hint="eastAsia" w:ascii="Times New Roman" w:hAnsi="Times New Roman" w:cs="宋体"/>
                <w:kern w:val="0"/>
                <w:sz w:val="18"/>
                <w:szCs w:val="18"/>
              </w:rPr>
              <w:t>年度湖北省地质灾害防治方案</w:t>
            </w:r>
          </w:p>
        </w:tc>
        <w:tc>
          <w:tcPr>
            <w:tcW w:w="1527"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鄂地灾防办〔</w:t>
            </w:r>
            <w:r>
              <w:rPr>
                <w:rFonts w:ascii="Times New Roman" w:hAnsi="Times New Roman" w:cs="宋体"/>
                <w:kern w:val="0"/>
                <w:sz w:val="18"/>
                <w:szCs w:val="18"/>
              </w:rPr>
              <w:t>2018</w:t>
            </w:r>
            <w:r>
              <w:rPr>
                <w:rFonts w:hint="eastAsia" w:ascii="Times New Roman" w:hAnsi="Times New Roman" w:cs="宋体"/>
                <w:kern w:val="0"/>
                <w:sz w:val="18"/>
                <w:szCs w:val="18"/>
              </w:rPr>
              <w:t>〕</w:t>
            </w:r>
            <w:r>
              <w:rPr>
                <w:rFonts w:ascii="Times New Roman" w:hAnsi="Times New Roman" w:cs="宋体"/>
                <w:kern w:val="0"/>
                <w:sz w:val="18"/>
                <w:szCs w:val="18"/>
              </w:rPr>
              <w:t>10</w:t>
            </w:r>
            <w:r>
              <w:rPr>
                <w:rFonts w:hint="eastAsia" w:ascii="Times New Roman" w:hAnsi="Times New Roman" w:cs="宋体"/>
                <w:kern w:val="0"/>
                <w:sz w:val="18"/>
                <w:szCs w:val="18"/>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1" w:type="pct"/>
            <w:vMerge w:val="continue"/>
            <w:vAlign w:val="center"/>
          </w:tcPr>
          <w:p/>
        </w:tc>
        <w:tc>
          <w:tcPr>
            <w:tcW w:w="3072" w:type="pct"/>
            <w:vAlign w:val="center"/>
          </w:tcPr>
          <w:p>
            <w:pPr>
              <w:widowControl/>
              <w:contextualSpacing/>
              <w:jc w:val="left"/>
              <w:rPr>
                <w:rFonts w:ascii="Times New Roman" w:hAnsi="Times New Roman" w:cs="宋体"/>
                <w:kern w:val="0"/>
                <w:sz w:val="18"/>
                <w:szCs w:val="18"/>
              </w:rPr>
            </w:pPr>
            <w:r>
              <w:rPr>
                <w:rFonts w:ascii="Times New Roman" w:hAnsi="Times New Roman" w:cs="宋体"/>
                <w:kern w:val="0"/>
                <w:sz w:val="18"/>
                <w:szCs w:val="18"/>
              </w:rPr>
              <w:t>2017</w:t>
            </w:r>
            <w:r>
              <w:rPr>
                <w:rFonts w:hint="eastAsia" w:ascii="Times New Roman" w:hAnsi="Times New Roman" w:cs="宋体"/>
                <w:kern w:val="0"/>
                <w:sz w:val="18"/>
                <w:szCs w:val="18"/>
              </w:rPr>
              <w:t>年度湖北省地质灾害防治方案</w:t>
            </w:r>
          </w:p>
        </w:tc>
        <w:tc>
          <w:tcPr>
            <w:tcW w:w="1527"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鄂地灾防〔</w:t>
            </w:r>
            <w:r>
              <w:rPr>
                <w:rFonts w:ascii="Times New Roman" w:hAnsi="Times New Roman" w:cs="宋体"/>
                <w:kern w:val="0"/>
                <w:sz w:val="18"/>
                <w:szCs w:val="18"/>
              </w:rPr>
              <w:t>2017</w:t>
            </w:r>
            <w:r>
              <w:rPr>
                <w:rFonts w:hint="eastAsia" w:ascii="Times New Roman" w:hAnsi="Times New Roman" w:cs="宋体"/>
                <w:kern w:val="0"/>
                <w:sz w:val="18"/>
                <w:szCs w:val="18"/>
              </w:rPr>
              <w:t>〕</w:t>
            </w:r>
            <w:r>
              <w:rPr>
                <w:rFonts w:ascii="Times New Roman" w:hAnsi="Times New Roman" w:cs="宋体"/>
                <w:kern w:val="0"/>
                <w:sz w:val="18"/>
                <w:szCs w:val="18"/>
              </w:rPr>
              <w:t>1</w:t>
            </w:r>
            <w:r>
              <w:rPr>
                <w:rFonts w:hint="eastAsia" w:ascii="Times New Roman" w:hAnsi="Times New Roman" w:cs="宋体"/>
                <w:kern w:val="0"/>
                <w:sz w:val="18"/>
                <w:szCs w:val="18"/>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1" w:type="pct"/>
            <w:vMerge w:val="continue"/>
            <w:vAlign w:val="center"/>
          </w:tcPr>
          <w:p/>
        </w:tc>
        <w:tc>
          <w:tcPr>
            <w:tcW w:w="3072"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湖北省地质灾害防治“十三五”规划</w:t>
            </w:r>
          </w:p>
        </w:tc>
        <w:tc>
          <w:tcPr>
            <w:tcW w:w="1527"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鄂土资发〔</w:t>
            </w:r>
            <w:r>
              <w:rPr>
                <w:rFonts w:ascii="Times New Roman" w:hAnsi="Times New Roman" w:cs="宋体"/>
                <w:kern w:val="0"/>
                <w:sz w:val="18"/>
                <w:szCs w:val="18"/>
              </w:rPr>
              <w:t>2017</w:t>
            </w:r>
            <w:r>
              <w:rPr>
                <w:rFonts w:hint="eastAsia" w:ascii="Times New Roman" w:hAnsi="Times New Roman" w:cs="宋体"/>
                <w:kern w:val="0"/>
                <w:sz w:val="18"/>
                <w:szCs w:val="18"/>
              </w:rPr>
              <w:t>〕</w:t>
            </w:r>
            <w:r>
              <w:rPr>
                <w:rFonts w:ascii="Times New Roman" w:hAnsi="Times New Roman" w:cs="宋体"/>
                <w:kern w:val="0"/>
                <w:sz w:val="18"/>
                <w:szCs w:val="18"/>
              </w:rPr>
              <w:t>29</w:t>
            </w:r>
            <w:r>
              <w:rPr>
                <w:rFonts w:hint="eastAsia" w:ascii="Times New Roman" w:hAnsi="Times New Roman" w:cs="宋体"/>
                <w:kern w:val="0"/>
                <w:sz w:val="18"/>
                <w:szCs w:val="18"/>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1" w:type="pct"/>
            <w:vMerge w:val="continue"/>
            <w:vAlign w:val="center"/>
          </w:tcPr>
          <w:p/>
        </w:tc>
        <w:tc>
          <w:tcPr>
            <w:tcW w:w="3072"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加强“十三五”期间全省地质灾害应急体系建设的实施意见</w:t>
            </w:r>
          </w:p>
        </w:tc>
        <w:tc>
          <w:tcPr>
            <w:tcW w:w="1527"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鄂土资发〔</w:t>
            </w:r>
            <w:r>
              <w:rPr>
                <w:rFonts w:ascii="Times New Roman" w:hAnsi="Times New Roman" w:cs="宋体"/>
                <w:kern w:val="0"/>
                <w:sz w:val="18"/>
                <w:szCs w:val="18"/>
              </w:rPr>
              <w:t>2017</w:t>
            </w:r>
            <w:r>
              <w:rPr>
                <w:rFonts w:hint="eastAsia" w:ascii="Times New Roman" w:hAnsi="Times New Roman" w:cs="宋体"/>
                <w:kern w:val="0"/>
                <w:sz w:val="18"/>
                <w:szCs w:val="18"/>
              </w:rPr>
              <w:t>〕</w:t>
            </w:r>
            <w:r>
              <w:rPr>
                <w:rFonts w:ascii="Times New Roman" w:hAnsi="Times New Roman" w:cs="宋体"/>
                <w:kern w:val="0"/>
                <w:sz w:val="18"/>
                <w:szCs w:val="18"/>
              </w:rPr>
              <w:t>21</w:t>
            </w:r>
            <w:r>
              <w:rPr>
                <w:rFonts w:hint="eastAsia" w:ascii="Times New Roman" w:hAnsi="Times New Roman" w:cs="宋体"/>
                <w:kern w:val="0"/>
                <w:sz w:val="18"/>
                <w:szCs w:val="18"/>
              </w:rPr>
              <w:t>号</w:t>
            </w:r>
          </w:p>
        </w:tc>
      </w:tr>
    </w:tbl>
    <w:p>
      <w:pPr>
        <w:spacing w:before="156" w:beforeLines="50" w:after="156" w:afterLines="50"/>
        <w:jc w:val="center"/>
        <w:rPr>
          <w:rFonts w:ascii="黑体" w:eastAsia="黑体" w:cs="宋体"/>
          <w:b/>
          <w:szCs w:val="21"/>
        </w:rPr>
      </w:pPr>
      <w:r>
        <w:rPr>
          <w:rFonts w:ascii="黑体" w:eastAsia="黑体" w:cs="宋体"/>
          <w:b/>
          <w:szCs w:val="21"/>
        </w:rPr>
        <w:br w:type="page"/>
      </w:r>
      <w:r>
        <w:rPr>
          <w:rFonts w:hint="eastAsia" w:ascii="黑体" w:eastAsia="黑体"/>
          <w:szCs w:val="21"/>
        </w:rPr>
        <w:t>表</w:t>
      </w:r>
      <w:r>
        <w:rPr>
          <w:rFonts w:ascii="黑体" w:eastAsia="黑体"/>
          <w:szCs w:val="21"/>
        </w:rPr>
        <w:t>F.1</w:t>
      </w:r>
      <w:r>
        <w:rPr>
          <w:rFonts w:hint="eastAsia" w:ascii="黑体" w:eastAsia="黑体"/>
          <w:szCs w:val="21"/>
        </w:rPr>
        <w:t>（续</w:t>
      </w:r>
      <w:r>
        <w:rPr>
          <w:rFonts w:ascii="黑体" w:eastAsia="黑体"/>
          <w:szCs w:val="21"/>
        </w:rPr>
        <w:t>）</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3"/>
        <w:gridCol w:w="5236"/>
        <w:gridCol w:w="26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1" w:type="pct"/>
            <w:vAlign w:val="center"/>
          </w:tcPr>
          <w:p>
            <w:pPr>
              <w:widowControl/>
              <w:contextualSpacing/>
              <w:jc w:val="center"/>
              <w:rPr>
                <w:rFonts w:ascii="Times New Roman" w:hAnsi="Times New Roman" w:cs="宋体"/>
                <w:bCs/>
                <w:kern w:val="0"/>
                <w:sz w:val="18"/>
                <w:szCs w:val="18"/>
              </w:rPr>
            </w:pPr>
            <w:r>
              <w:rPr>
                <w:rFonts w:hint="eastAsia" w:ascii="Times New Roman" w:hAnsi="Times New Roman" w:cs="宋体"/>
                <w:bCs/>
                <w:kern w:val="0"/>
                <w:sz w:val="18"/>
                <w:szCs w:val="18"/>
              </w:rPr>
              <w:t>类型</w:t>
            </w:r>
          </w:p>
        </w:tc>
        <w:tc>
          <w:tcPr>
            <w:tcW w:w="3072" w:type="pct"/>
            <w:vAlign w:val="center"/>
          </w:tcPr>
          <w:p>
            <w:pPr>
              <w:widowControl/>
              <w:contextualSpacing/>
              <w:jc w:val="center"/>
              <w:rPr>
                <w:rFonts w:ascii="Times New Roman" w:hAnsi="Times New Roman" w:cs="宋体"/>
                <w:bCs/>
                <w:kern w:val="0"/>
                <w:sz w:val="18"/>
                <w:szCs w:val="18"/>
              </w:rPr>
            </w:pPr>
            <w:r>
              <w:rPr>
                <w:rFonts w:hint="eastAsia" w:ascii="Times New Roman" w:hAnsi="Times New Roman" w:cs="宋体"/>
                <w:bCs/>
                <w:kern w:val="0"/>
                <w:sz w:val="18"/>
                <w:szCs w:val="18"/>
              </w:rPr>
              <w:t>法规文件名称</w:t>
            </w:r>
          </w:p>
        </w:tc>
        <w:tc>
          <w:tcPr>
            <w:tcW w:w="1527" w:type="pct"/>
            <w:vAlign w:val="center"/>
          </w:tcPr>
          <w:p>
            <w:pPr>
              <w:widowControl/>
              <w:contextualSpacing/>
              <w:jc w:val="center"/>
              <w:rPr>
                <w:rFonts w:ascii="Times New Roman" w:hAnsi="Times New Roman" w:cs="宋体"/>
                <w:bCs/>
                <w:kern w:val="0"/>
                <w:sz w:val="18"/>
                <w:szCs w:val="18"/>
              </w:rPr>
            </w:pPr>
            <w:r>
              <w:rPr>
                <w:rFonts w:hint="eastAsia" w:ascii="Times New Roman" w:hAnsi="Times New Roman" w:cs="宋体"/>
                <w:bCs/>
                <w:kern w:val="0"/>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1" w:type="pct"/>
            <w:vMerge w:val="restart"/>
            <w:vAlign w:val="center"/>
          </w:tcPr>
          <w:p>
            <w:pPr>
              <w:widowControl/>
              <w:contextualSpacing/>
              <w:jc w:val="center"/>
              <w:rPr>
                <w:rFonts w:ascii="Times New Roman" w:hAnsi="Times New Roman" w:cs="宋体"/>
                <w:kern w:val="0"/>
                <w:sz w:val="18"/>
                <w:szCs w:val="18"/>
              </w:rPr>
            </w:pPr>
            <w:r>
              <w:rPr>
                <w:rFonts w:hint="eastAsia" w:ascii="Times New Roman" w:hAnsi="Times New Roman" w:cs="宋体"/>
                <w:kern w:val="0"/>
                <w:sz w:val="18"/>
                <w:szCs w:val="18"/>
              </w:rPr>
              <w:t>网格化管理</w:t>
            </w:r>
          </w:p>
        </w:tc>
        <w:tc>
          <w:tcPr>
            <w:tcW w:w="3072"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省国土资源厅、省地质局关于开展地质灾害防治网格化管理工作的通知</w:t>
            </w:r>
            <w:r>
              <w:rPr>
                <w:rFonts w:ascii="Times New Roman" w:hAnsi="Times New Roman" w:cs="宋体"/>
                <w:kern w:val="0"/>
                <w:sz w:val="18"/>
                <w:szCs w:val="18"/>
              </w:rPr>
              <w:t>—</w:t>
            </w:r>
            <w:r>
              <w:rPr>
                <w:rFonts w:hint="eastAsia" w:ascii="Times New Roman" w:hAnsi="Times New Roman" w:cs="宋体"/>
                <w:kern w:val="0"/>
                <w:sz w:val="18"/>
                <w:szCs w:val="18"/>
              </w:rPr>
              <w:t>地质灾害防治网格化管理工作方案</w:t>
            </w:r>
          </w:p>
        </w:tc>
        <w:tc>
          <w:tcPr>
            <w:tcW w:w="1527"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鄂土资发〔</w:t>
            </w:r>
            <w:r>
              <w:rPr>
                <w:rFonts w:ascii="Times New Roman" w:hAnsi="Times New Roman" w:cs="宋体"/>
                <w:kern w:val="0"/>
                <w:sz w:val="18"/>
                <w:szCs w:val="18"/>
              </w:rPr>
              <w:t>2016</w:t>
            </w:r>
            <w:r>
              <w:rPr>
                <w:rFonts w:hint="eastAsia" w:ascii="Times New Roman" w:hAnsi="Times New Roman" w:cs="宋体"/>
                <w:kern w:val="0"/>
                <w:sz w:val="18"/>
                <w:szCs w:val="18"/>
              </w:rPr>
              <w:t>〕</w:t>
            </w:r>
            <w:r>
              <w:rPr>
                <w:rFonts w:ascii="Times New Roman" w:hAnsi="Times New Roman" w:cs="宋体"/>
                <w:kern w:val="0"/>
                <w:sz w:val="18"/>
                <w:szCs w:val="18"/>
              </w:rPr>
              <w:t>12</w:t>
            </w:r>
            <w:r>
              <w:rPr>
                <w:rFonts w:hint="eastAsia" w:ascii="Times New Roman" w:hAnsi="Times New Roman" w:cs="宋体"/>
                <w:kern w:val="0"/>
                <w:sz w:val="18"/>
                <w:szCs w:val="18"/>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1" w:type="pct"/>
            <w:vMerge w:val="continue"/>
            <w:vAlign w:val="center"/>
          </w:tcPr>
          <w:p/>
        </w:tc>
        <w:tc>
          <w:tcPr>
            <w:tcW w:w="3072"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地质灾害防治网格化管理规范图表</w:t>
            </w:r>
          </w:p>
        </w:tc>
        <w:tc>
          <w:tcPr>
            <w:tcW w:w="1527"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鄂土资函</w:t>
            </w:r>
            <w:r>
              <w:rPr>
                <w:rFonts w:ascii="Times New Roman" w:hAnsi="Times New Roman" w:cs="宋体"/>
                <w:kern w:val="0"/>
                <w:sz w:val="18"/>
                <w:szCs w:val="18"/>
              </w:rPr>
              <w:t>〔2016〕793</w:t>
            </w:r>
            <w:r>
              <w:rPr>
                <w:rFonts w:hint="eastAsia" w:ascii="Times New Roman" w:hAnsi="Times New Roman" w:cs="宋体"/>
                <w:kern w:val="0"/>
                <w:sz w:val="18"/>
                <w:szCs w:val="18"/>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1" w:type="pct"/>
            <w:vMerge w:val="continue"/>
            <w:vAlign w:val="center"/>
          </w:tcPr>
          <w:p/>
        </w:tc>
        <w:tc>
          <w:tcPr>
            <w:tcW w:w="3072"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省国土资源厅关于深入推进地质灾害防治“四位一体、网格化管理”工作的通知</w:t>
            </w:r>
          </w:p>
        </w:tc>
        <w:tc>
          <w:tcPr>
            <w:tcW w:w="1527"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鄂土资发〔</w:t>
            </w:r>
            <w:r>
              <w:rPr>
                <w:rFonts w:ascii="Times New Roman" w:hAnsi="Times New Roman" w:cs="宋体"/>
                <w:kern w:val="0"/>
                <w:sz w:val="18"/>
                <w:szCs w:val="18"/>
              </w:rPr>
              <w:t>2017</w:t>
            </w:r>
            <w:r>
              <w:rPr>
                <w:rFonts w:hint="eastAsia" w:ascii="Times New Roman" w:hAnsi="Times New Roman" w:cs="宋体"/>
                <w:kern w:val="0"/>
                <w:sz w:val="18"/>
                <w:szCs w:val="18"/>
              </w:rPr>
              <w:t>〕</w:t>
            </w:r>
            <w:r>
              <w:rPr>
                <w:rFonts w:ascii="Times New Roman" w:hAnsi="Times New Roman" w:cs="宋体"/>
                <w:kern w:val="0"/>
                <w:sz w:val="18"/>
                <w:szCs w:val="18"/>
              </w:rPr>
              <w:t>12</w:t>
            </w:r>
            <w:r>
              <w:rPr>
                <w:rFonts w:hint="eastAsia" w:ascii="Times New Roman" w:hAnsi="Times New Roman" w:cs="宋体"/>
                <w:kern w:val="0"/>
                <w:sz w:val="18"/>
                <w:szCs w:val="18"/>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1" w:type="pct"/>
            <w:vMerge w:val="continue"/>
            <w:vAlign w:val="center"/>
          </w:tcPr>
          <w:p/>
        </w:tc>
        <w:tc>
          <w:tcPr>
            <w:tcW w:w="3072"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“四位一体”网格地质灾害隐患点核查及数据更新工作方案</w:t>
            </w:r>
          </w:p>
        </w:tc>
        <w:tc>
          <w:tcPr>
            <w:tcW w:w="1527"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鄂土资办文〔</w:t>
            </w:r>
            <w:r>
              <w:rPr>
                <w:rFonts w:ascii="Times New Roman" w:hAnsi="Times New Roman" w:cs="宋体"/>
                <w:kern w:val="0"/>
                <w:sz w:val="18"/>
                <w:szCs w:val="18"/>
              </w:rPr>
              <w:t>2017</w:t>
            </w:r>
            <w:r>
              <w:rPr>
                <w:rFonts w:hint="eastAsia" w:ascii="Times New Roman" w:hAnsi="Times New Roman" w:cs="宋体"/>
                <w:kern w:val="0"/>
                <w:sz w:val="18"/>
                <w:szCs w:val="18"/>
              </w:rPr>
              <w:t>〕</w:t>
            </w:r>
            <w:r>
              <w:rPr>
                <w:rFonts w:ascii="Times New Roman" w:hAnsi="Times New Roman" w:cs="宋体"/>
                <w:kern w:val="0"/>
                <w:sz w:val="18"/>
                <w:szCs w:val="18"/>
              </w:rPr>
              <w:t>16</w:t>
            </w:r>
            <w:r>
              <w:rPr>
                <w:rFonts w:hint="eastAsia" w:ascii="Times New Roman" w:hAnsi="Times New Roman" w:cs="宋体"/>
                <w:kern w:val="0"/>
                <w:sz w:val="18"/>
                <w:szCs w:val="18"/>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1" w:type="pct"/>
            <w:vMerge w:val="continue"/>
            <w:vAlign w:val="center"/>
          </w:tcPr>
          <w:p/>
        </w:tc>
        <w:tc>
          <w:tcPr>
            <w:tcW w:w="3072"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进一步强化地质灾害防治网格责任人责任的通知</w:t>
            </w:r>
          </w:p>
        </w:tc>
        <w:tc>
          <w:tcPr>
            <w:tcW w:w="1527"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鄂土资办函〔</w:t>
            </w:r>
            <w:r>
              <w:rPr>
                <w:rFonts w:ascii="Times New Roman" w:hAnsi="Times New Roman" w:cs="宋体"/>
                <w:kern w:val="0"/>
                <w:sz w:val="18"/>
                <w:szCs w:val="18"/>
              </w:rPr>
              <w:t>2018</w:t>
            </w:r>
            <w:r>
              <w:rPr>
                <w:rFonts w:hint="eastAsia" w:ascii="Times New Roman" w:hAnsi="Times New Roman" w:cs="宋体"/>
                <w:kern w:val="0"/>
                <w:sz w:val="18"/>
                <w:szCs w:val="18"/>
              </w:rPr>
              <w:t>〕</w:t>
            </w:r>
            <w:r>
              <w:rPr>
                <w:rFonts w:ascii="Times New Roman" w:hAnsi="Times New Roman" w:cs="宋体"/>
                <w:kern w:val="0"/>
                <w:sz w:val="18"/>
                <w:szCs w:val="18"/>
              </w:rPr>
              <w:t>67</w:t>
            </w:r>
            <w:r>
              <w:rPr>
                <w:rFonts w:hint="eastAsia" w:ascii="Times New Roman" w:hAnsi="Times New Roman" w:cs="宋体"/>
                <w:kern w:val="0"/>
                <w:sz w:val="18"/>
                <w:szCs w:val="18"/>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1" w:type="pct"/>
            <w:vMerge w:val="restart"/>
            <w:vAlign w:val="center"/>
          </w:tcPr>
          <w:p>
            <w:pPr>
              <w:widowControl/>
              <w:contextualSpacing/>
              <w:jc w:val="center"/>
              <w:rPr>
                <w:rFonts w:ascii="Times New Roman" w:hAnsi="Times New Roman" w:cs="宋体"/>
                <w:kern w:val="0"/>
                <w:sz w:val="18"/>
                <w:szCs w:val="18"/>
              </w:rPr>
            </w:pPr>
            <w:r>
              <w:rPr>
                <w:rFonts w:hint="eastAsia" w:ascii="Times New Roman" w:hAnsi="Times New Roman" w:cs="宋体"/>
                <w:kern w:val="0"/>
                <w:sz w:val="18"/>
                <w:szCs w:val="18"/>
              </w:rPr>
              <w:t>实施管理</w:t>
            </w:r>
          </w:p>
        </w:tc>
        <w:tc>
          <w:tcPr>
            <w:tcW w:w="3072"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开展地质环境治理与保护“项目监管年”活动的通知</w:t>
            </w:r>
          </w:p>
        </w:tc>
        <w:tc>
          <w:tcPr>
            <w:tcW w:w="1527"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鄂土资办文〔</w:t>
            </w:r>
            <w:r>
              <w:rPr>
                <w:rFonts w:ascii="Times New Roman" w:hAnsi="Times New Roman" w:cs="宋体"/>
                <w:kern w:val="0"/>
                <w:sz w:val="18"/>
                <w:szCs w:val="18"/>
              </w:rPr>
              <w:t>2017</w:t>
            </w:r>
            <w:r>
              <w:rPr>
                <w:rFonts w:hint="eastAsia" w:ascii="Times New Roman" w:hAnsi="Times New Roman" w:cs="宋体"/>
                <w:kern w:val="0"/>
                <w:sz w:val="18"/>
                <w:szCs w:val="18"/>
              </w:rPr>
              <w:t>〕</w:t>
            </w:r>
            <w:r>
              <w:rPr>
                <w:rFonts w:ascii="Times New Roman" w:hAnsi="Times New Roman" w:cs="宋体"/>
                <w:kern w:val="0"/>
                <w:sz w:val="18"/>
                <w:szCs w:val="18"/>
              </w:rPr>
              <w:t>17</w:t>
            </w:r>
            <w:r>
              <w:rPr>
                <w:rFonts w:hint="eastAsia" w:ascii="Times New Roman" w:hAnsi="Times New Roman" w:cs="宋体"/>
                <w:kern w:val="0"/>
                <w:sz w:val="18"/>
                <w:szCs w:val="18"/>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1" w:type="pct"/>
            <w:vMerge w:val="continue"/>
            <w:vAlign w:val="center"/>
          </w:tcPr>
          <w:p/>
        </w:tc>
        <w:tc>
          <w:tcPr>
            <w:tcW w:w="3072"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省财政厅关于</w:t>
            </w:r>
            <w:r>
              <w:rPr>
                <w:rFonts w:ascii="Times New Roman" w:hAnsi="Times New Roman" w:cs="宋体"/>
                <w:kern w:val="0"/>
                <w:sz w:val="18"/>
                <w:szCs w:val="18"/>
              </w:rPr>
              <w:t>2018</w:t>
            </w:r>
            <w:r>
              <w:rPr>
                <w:rFonts w:hint="eastAsia" w:ascii="Times New Roman" w:hAnsi="Times New Roman" w:cs="宋体"/>
                <w:kern w:val="0"/>
                <w:sz w:val="18"/>
                <w:szCs w:val="18"/>
              </w:rPr>
              <w:t>年开展财政支出绩效评价工作的通知</w:t>
            </w:r>
          </w:p>
        </w:tc>
        <w:tc>
          <w:tcPr>
            <w:tcW w:w="1527"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鄂财绩发〔</w:t>
            </w:r>
            <w:r>
              <w:rPr>
                <w:rFonts w:ascii="Times New Roman" w:hAnsi="Times New Roman" w:cs="宋体"/>
                <w:kern w:val="0"/>
                <w:sz w:val="18"/>
                <w:szCs w:val="18"/>
              </w:rPr>
              <w:t>2018</w:t>
            </w:r>
            <w:r>
              <w:rPr>
                <w:rFonts w:hint="eastAsia" w:ascii="Times New Roman" w:hAnsi="Times New Roman" w:cs="宋体"/>
                <w:kern w:val="0"/>
                <w:sz w:val="18"/>
                <w:szCs w:val="18"/>
              </w:rPr>
              <w:t>〕</w:t>
            </w:r>
            <w:r>
              <w:rPr>
                <w:rFonts w:ascii="Times New Roman" w:hAnsi="Times New Roman" w:cs="宋体"/>
                <w:kern w:val="0"/>
                <w:sz w:val="18"/>
                <w:szCs w:val="18"/>
              </w:rPr>
              <w:t>5</w:t>
            </w:r>
            <w:r>
              <w:rPr>
                <w:rFonts w:hint="eastAsia" w:ascii="Times New Roman" w:hAnsi="Times New Roman" w:cs="宋体"/>
                <w:kern w:val="0"/>
                <w:sz w:val="18"/>
                <w:szCs w:val="18"/>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1" w:type="pct"/>
            <w:vMerge w:val="continue"/>
            <w:vAlign w:val="center"/>
          </w:tcPr>
          <w:p/>
        </w:tc>
        <w:tc>
          <w:tcPr>
            <w:tcW w:w="3072"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湖北省地质灾害防治领导小组办公室开展在建工程地质灾害防治检查工作的函</w:t>
            </w:r>
          </w:p>
        </w:tc>
        <w:tc>
          <w:tcPr>
            <w:tcW w:w="1527"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鄂地灾防办〔</w:t>
            </w:r>
            <w:r>
              <w:rPr>
                <w:rFonts w:ascii="Times New Roman" w:hAnsi="Times New Roman" w:cs="宋体"/>
                <w:kern w:val="0"/>
                <w:sz w:val="18"/>
                <w:szCs w:val="18"/>
              </w:rPr>
              <w:t>2018</w:t>
            </w:r>
            <w:r>
              <w:rPr>
                <w:rFonts w:hint="eastAsia" w:ascii="Times New Roman" w:hAnsi="Times New Roman" w:cs="宋体"/>
                <w:kern w:val="0"/>
                <w:sz w:val="18"/>
                <w:szCs w:val="18"/>
              </w:rPr>
              <w:t>〕</w:t>
            </w:r>
            <w:r>
              <w:rPr>
                <w:rFonts w:ascii="Times New Roman" w:hAnsi="Times New Roman" w:cs="宋体"/>
                <w:kern w:val="0"/>
                <w:sz w:val="18"/>
                <w:szCs w:val="18"/>
              </w:rPr>
              <w:t>13</w:t>
            </w:r>
            <w:r>
              <w:rPr>
                <w:rFonts w:hint="eastAsia" w:ascii="Times New Roman" w:hAnsi="Times New Roman" w:cs="宋体"/>
                <w:kern w:val="0"/>
                <w:sz w:val="18"/>
                <w:szCs w:val="18"/>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1" w:type="pct"/>
            <w:vMerge w:val="continue"/>
            <w:vAlign w:val="center"/>
          </w:tcPr>
          <w:p/>
        </w:tc>
        <w:tc>
          <w:tcPr>
            <w:tcW w:w="3072"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省地质灾害防治领导小组办公室关于全面开展地质灾害应急演练工作的通知</w:t>
            </w:r>
          </w:p>
        </w:tc>
        <w:tc>
          <w:tcPr>
            <w:tcW w:w="1527"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鄂地灾防办〔</w:t>
            </w:r>
            <w:r>
              <w:rPr>
                <w:rFonts w:ascii="Times New Roman" w:hAnsi="Times New Roman" w:cs="宋体"/>
                <w:kern w:val="0"/>
                <w:sz w:val="18"/>
                <w:szCs w:val="18"/>
              </w:rPr>
              <w:t>2018</w:t>
            </w:r>
            <w:r>
              <w:rPr>
                <w:rFonts w:hint="eastAsia" w:ascii="Times New Roman" w:hAnsi="Times New Roman" w:cs="宋体"/>
                <w:kern w:val="0"/>
                <w:sz w:val="18"/>
                <w:szCs w:val="18"/>
              </w:rPr>
              <w:t>〕</w:t>
            </w:r>
            <w:r>
              <w:rPr>
                <w:rFonts w:ascii="Times New Roman" w:hAnsi="Times New Roman" w:cs="宋体"/>
                <w:kern w:val="0"/>
                <w:sz w:val="18"/>
                <w:szCs w:val="18"/>
              </w:rPr>
              <w:t>17</w:t>
            </w:r>
            <w:r>
              <w:rPr>
                <w:rFonts w:hint="eastAsia" w:ascii="Times New Roman" w:hAnsi="Times New Roman" w:cs="宋体"/>
                <w:kern w:val="0"/>
                <w:sz w:val="18"/>
                <w:szCs w:val="18"/>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1" w:type="pct"/>
            <w:vMerge w:val="continue"/>
            <w:vAlign w:val="center"/>
          </w:tcPr>
          <w:p/>
        </w:tc>
        <w:tc>
          <w:tcPr>
            <w:tcW w:w="3072"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省财政厅关于开展</w:t>
            </w:r>
            <w:r>
              <w:rPr>
                <w:rFonts w:ascii="Times New Roman" w:hAnsi="Times New Roman" w:cs="宋体"/>
                <w:kern w:val="0"/>
                <w:sz w:val="18"/>
                <w:szCs w:val="18"/>
              </w:rPr>
              <w:t>2017</w:t>
            </w:r>
            <w:r>
              <w:rPr>
                <w:rFonts w:hint="eastAsia" w:ascii="Times New Roman" w:hAnsi="Times New Roman" w:cs="宋体"/>
                <w:kern w:val="0"/>
                <w:sz w:val="18"/>
                <w:szCs w:val="18"/>
              </w:rPr>
              <w:t>年省级财政支出绩效评价工作的通知</w:t>
            </w:r>
          </w:p>
        </w:tc>
        <w:tc>
          <w:tcPr>
            <w:tcW w:w="1527"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鄂财绩发</w:t>
            </w:r>
            <w:r>
              <w:rPr>
                <w:rFonts w:ascii="Times New Roman" w:hAnsi="Times New Roman" w:cs="宋体"/>
                <w:kern w:val="0"/>
                <w:sz w:val="18"/>
                <w:szCs w:val="18"/>
              </w:rPr>
              <w:t>〔2017〕8</w:t>
            </w:r>
            <w:r>
              <w:rPr>
                <w:rFonts w:hint="eastAsia" w:ascii="Times New Roman" w:hAnsi="Times New Roman" w:cs="宋体"/>
                <w:kern w:val="0"/>
                <w:sz w:val="18"/>
                <w:szCs w:val="18"/>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1" w:type="pct"/>
            <w:vMerge w:val="continue"/>
            <w:vAlign w:val="center"/>
          </w:tcPr>
          <w:p/>
        </w:tc>
        <w:tc>
          <w:tcPr>
            <w:tcW w:w="3072"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省领导小组办公室关于在建工程地质灾害防治监督检查情况的通报</w:t>
            </w:r>
          </w:p>
        </w:tc>
        <w:tc>
          <w:tcPr>
            <w:tcW w:w="1527"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鄂地灾防办〔</w:t>
            </w:r>
            <w:r>
              <w:rPr>
                <w:rFonts w:ascii="Times New Roman" w:hAnsi="Times New Roman" w:cs="宋体"/>
                <w:kern w:val="0"/>
                <w:sz w:val="18"/>
                <w:szCs w:val="18"/>
              </w:rPr>
              <w:t>2018</w:t>
            </w:r>
            <w:r>
              <w:rPr>
                <w:rFonts w:hint="eastAsia" w:ascii="Times New Roman" w:hAnsi="Times New Roman" w:cs="宋体"/>
                <w:kern w:val="0"/>
                <w:sz w:val="18"/>
                <w:szCs w:val="18"/>
              </w:rPr>
              <w:t>〕</w:t>
            </w:r>
            <w:r>
              <w:rPr>
                <w:rFonts w:ascii="Times New Roman" w:hAnsi="Times New Roman" w:cs="宋体"/>
                <w:kern w:val="0"/>
                <w:sz w:val="18"/>
                <w:szCs w:val="18"/>
              </w:rPr>
              <w:t>15</w:t>
            </w:r>
            <w:r>
              <w:rPr>
                <w:rFonts w:hint="eastAsia" w:ascii="Times New Roman" w:hAnsi="Times New Roman" w:cs="宋体"/>
                <w:kern w:val="0"/>
                <w:sz w:val="18"/>
                <w:szCs w:val="18"/>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1" w:type="pct"/>
            <w:vMerge w:val="continue"/>
            <w:vAlign w:val="center"/>
          </w:tcPr>
          <w:p/>
        </w:tc>
        <w:tc>
          <w:tcPr>
            <w:tcW w:w="3072"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省国土资源厅关于加强地质灾害防治项目实施和管理的通知</w:t>
            </w:r>
          </w:p>
        </w:tc>
        <w:tc>
          <w:tcPr>
            <w:tcW w:w="1527"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鄂土资函〔</w:t>
            </w:r>
            <w:r>
              <w:rPr>
                <w:rFonts w:ascii="Times New Roman" w:hAnsi="Times New Roman" w:cs="宋体"/>
                <w:kern w:val="0"/>
                <w:sz w:val="18"/>
                <w:szCs w:val="18"/>
              </w:rPr>
              <w:t>2012</w:t>
            </w:r>
            <w:r>
              <w:rPr>
                <w:rFonts w:hint="eastAsia" w:ascii="Times New Roman" w:hAnsi="Times New Roman" w:cs="宋体"/>
                <w:kern w:val="0"/>
                <w:sz w:val="18"/>
                <w:szCs w:val="18"/>
              </w:rPr>
              <w:t>〕</w:t>
            </w:r>
            <w:r>
              <w:rPr>
                <w:rFonts w:ascii="Times New Roman" w:hAnsi="Times New Roman" w:cs="宋体"/>
                <w:kern w:val="0"/>
                <w:sz w:val="18"/>
                <w:szCs w:val="18"/>
              </w:rPr>
              <w:t>761</w:t>
            </w:r>
            <w:r>
              <w:rPr>
                <w:rFonts w:hint="eastAsia" w:ascii="Times New Roman" w:hAnsi="Times New Roman" w:cs="宋体"/>
                <w:kern w:val="0"/>
                <w:sz w:val="18"/>
                <w:szCs w:val="18"/>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1" w:type="pct"/>
            <w:vMerge w:val="continue"/>
            <w:vAlign w:val="center"/>
          </w:tcPr>
          <w:p/>
        </w:tc>
        <w:tc>
          <w:tcPr>
            <w:tcW w:w="3072"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开展地质灾害防治等工作督导检查的通知</w:t>
            </w:r>
          </w:p>
        </w:tc>
        <w:tc>
          <w:tcPr>
            <w:tcW w:w="1527"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鄂土资办函〔</w:t>
            </w:r>
            <w:r>
              <w:rPr>
                <w:rFonts w:ascii="Times New Roman" w:hAnsi="Times New Roman" w:cs="宋体"/>
                <w:kern w:val="0"/>
                <w:sz w:val="18"/>
                <w:szCs w:val="18"/>
              </w:rPr>
              <w:t>2017</w:t>
            </w:r>
            <w:r>
              <w:rPr>
                <w:rFonts w:hint="eastAsia" w:ascii="Times New Roman" w:hAnsi="Times New Roman" w:cs="宋体"/>
                <w:kern w:val="0"/>
                <w:sz w:val="18"/>
                <w:szCs w:val="18"/>
              </w:rPr>
              <w:t>〕</w:t>
            </w:r>
            <w:r>
              <w:rPr>
                <w:rFonts w:ascii="Times New Roman" w:hAnsi="Times New Roman" w:cs="宋体"/>
                <w:kern w:val="0"/>
                <w:sz w:val="18"/>
                <w:szCs w:val="18"/>
              </w:rPr>
              <w:t>56</w:t>
            </w:r>
            <w:r>
              <w:rPr>
                <w:rFonts w:hint="eastAsia" w:ascii="Times New Roman" w:hAnsi="Times New Roman" w:cs="宋体"/>
                <w:kern w:val="0"/>
                <w:sz w:val="18"/>
                <w:szCs w:val="18"/>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1" w:type="pct"/>
            <w:vMerge w:val="continue"/>
            <w:vAlign w:val="center"/>
          </w:tcPr>
          <w:p/>
        </w:tc>
        <w:tc>
          <w:tcPr>
            <w:tcW w:w="3072"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省国土资源厅关于挂牌督办重大地质灾害隐患点的通知</w:t>
            </w:r>
          </w:p>
        </w:tc>
        <w:tc>
          <w:tcPr>
            <w:tcW w:w="1527"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鄂土资函〔</w:t>
            </w:r>
            <w:r>
              <w:rPr>
                <w:rFonts w:ascii="Times New Roman" w:hAnsi="Times New Roman" w:cs="宋体"/>
                <w:kern w:val="0"/>
                <w:sz w:val="18"/>
                <w:szCs w:val="18"/>
              </w:rPr>
              <w:t>2017</w:t>
            </w:r>
            <w:r>
              <w:rPr>
                <w:rFonts w:hint="eastAsia" w:ascii="Times New Roman" w:hAnsi="Times New Roman" w:cs="宋体"/>
                <w:kern w:val="0"/>
                <w:sz w:val="18"/>
                <w:szCs w:val="18"/>
              </w:rPr>
              <w:t>〕</w:t>
            </w:r>
            <w:r>
              <w:rPr>
                <w:rFonts w:ascii="Times New Roman" w:hAnsi="Times New Roman" w:cs="宋体"/>
                <w:kern w:val="0"/>
                <w:sz w:val="18"/>
                <w:szCs w:val="18"/>
              </w:rPr>
              <w:t>447</w:t>
            </w:r>
            <w:r>
              <w:rPr>
                <w:rFonts w:hint="eastAsia" w:ascii="Times New Roman" w:hAnsi="Times New Roman" w:cs="宋体"/>
                <w:kern w:val="0"/>
                <w:sz w:val="18"/>
                <w:szCs w:val="18"/>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1" w:type="pct"/>
            <w:vMerge w:val="continue"/>
            <w:vAlign w:val="center"/>
          </w:tcPr>
          <w:p/>
        </w:tc>
        <w:tc>
          <w:tcPr>
            <w:tcW w:w="3072"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省国土资源厅关于切实做好易地扶贫搬迁集中安置点重大地质灾害隐患整治的通知</w:t>
            </w:r>
          </w:p>
        </w:tc>
        <w:tc>
          <w:tcPr>
            <w:tcW w:w="1527"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鄂土资函〔</w:t>
            </w:r>
            <w:r>
              <w:rPr>
                <w:rFonts w:ascii="Times New Roman" w:hAnsi="Times New Roman" w:cs="宋体"/>
                <w:kern w:val="0"/>
                <w:sz w:val="18"/>
                <w:szCs w:val="18"/>
              </w:rPr>
              <w:t>2017</w:t>
            </w:r>
            <w:r>
              <w:rPr>
                <w:rFonts w:hint="eastAsia" w:ascii="Times New Roman" w:hAnsi="Times New Roman" w:cs="宋体"/>
                <w:kern w:val="0"/>
                <w:sz w:val="18"/>
                <w:szCs w:val="18"/>
              </w:rPr>
              <w:t>〕</w:t>
            </w:r>
            <w:r>
              <w:rPr>
                <w:rFonts w:ascii="Times New Roman" w:hAnsi="Times New Roman" w:cs="宋体"/>
                <w:kern w:val="0"/>
                <w:sz w:val="18"/>
                <w:szCs w:val="18"/>
              </w:rPr>
              <w:t>744</w:t>
            </w:r>
            <w:r>
              <w:rPr>
                <w:rFonts w:hint="eastAsia" w:ascii="Times New Roman" w:hAnsi="Times New Roman" w:cs="宋体"/>
                <w:kern w:val="0"/>
                <w:sz w:val="18"/>
                <w:szCs w:val="18"/>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1" w:type="pct"/>
            <w:vMerge w:val="continue"/>
            <w:vAlign w:val="center"/>
          </w:tcPr>
          <w:p/>
        </w:tc>
        <w:tc>
          <w:tcPr>
            <w:tcW w:w="3072"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省国土资源厅关于开展地质灾害类资质“</w:t>
            </w:r>
            <w:bookmarkStart w:id="205" w:name="_GoBack"/>
            <w:bookmarkEnd w:id="205"/>
            <w:r>
              <w:rPr>
                <w:rFonts w:hint="eastAsia" w:ascii="Times New Roman" w:hAnsi="Times New Roman" w:cs="宋体"/>
                <w:kern w:val="0"/>
                <w:sz w:val="18"/>
                <w:szCs w:val="18"/>
              </w:rPr>
              <w:t>双随机</w:t>
            </w:r>
            <w:r>
              <w:rPr>
                <w:rFonts w:hint="eastAsia" w:ascii="Times New Roman" w:hAnsi="Times New Roman" w:cs="宋体"/>
                <w:kern w:val="0"/>
                <w:sz w:val="18"/>
                <w:szCs w:val="18"/>
                <w:lang w:eastAsia="zh-CN"/>
              </w:rPr>
              <w:t>、</w:t>
            </w:r>
            <w:r>
              <w:rPr>
                <w:rFonts w:hint="eastAsia" w:ascii="Times New Roman" w:hAnsi="Times New Roman" w:cs="宋体"/>
                <w:kern w:val="0"/>
                <w:sz w:val="18"/>
                <w:szCs w:val="18"/>
              </w:rPr>
              <w:t>一公开”监督检查的通知</w:t>
            </w:r>
          </w:p>
        </w:tc>
        <w:tc>
          <w:tcPr>
            <w:tcW w:w="1527"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鄂土资办函〔</w:t>
            </w:r>
            <w:r>
              <w:rPr>
                <w:rFonts w:ascii="Times New Roman" w:hAnsi="Times New Roman" w:cs="宋体"/>
                <w:kern w:val="0"/>
                <w:sz w:val="18"/>
                <w:szCs w:val="18"/>
              </w:rPr>
              <w:t>2017</w:t>
            </w:r>
            <w:r>
              <w:rPr>
                <w:rFonts w:hint="eastAsia" w:ascii="Times New Roman" w:hAnsi="Times New Roman" w:cs="宋体"/>
                <w:kern w:val="0"/>
                <w:sz w:val="18"/>
                <w:szCs w:val="18"/>
              </w:rPr>
              <w:t>〕</w:t>
            </w:r>
            <w:r>
              <w:rPr>
                <w:rFonts w:ascii="Times New Roman" w:hAnsi="Times New Roman" w:cs="宋体"/>
                <w:kern w:val="0"/>
                <w:sz w:val="18"/>
                <w:szCs w:val="18"/>
              </w:rPr>
              <w:t>78</w:t>
            </w:r>
            <w:r>
              <w:rPr>
                <w:rFonts w:hint="eastAsia" w:ascii="Times New Roman" w:hAnsi="Times New Roman" w:cs="宋体"/>
                <w:kern w:val="0"/>
                <w:sz w:val="18"/>
                <w:szCs w:val="18"/>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1" w:type="pct"/>
            <w:vMerge w:val="continue"/>
            <w:vAlign w:val="center"/>
          </w:tcPr>
          <w:p/>
        </w:tc>
        <w:tc>
          <w:tcPr>
            <w:tcW w:w="3072"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省国土资源厅关于“双随机”选择</w:t>
            </w:r>
            <w:r>
              <w:rPr>
                <w:rFonts w:ascii="Times New Roman" w:hAnsi="Times New Roman" w:cs="宋体"/>
                <w:kern w:val="0"/>
                <w:sz w:val="18"/>
                <w:szCs w:val="18"/>
              </w:rPr>
              <w:t>2017</w:t>
            </w:r>
            <w:r>
              <w:rPr>
                <w:rFonts w:hint="eastAsia" w:ascii="Times New Roman" w:hAnsi="Times New Roman" w:cs="宋体"/>
                <w:kern w:val="0"/>
                <w:sz w:val="18"/>
                <w:szCs w:val="18"/>
              </w:rPr>
              <w:t>年度地质灾害治理工程勘查、设计、施工、监理及地质灾害危险性评估单位资质检查对象和执法人员结果的公告</w:t>
            </w:r>
          </w:p>
        </w:tc>
        <w:tc>
          <w:tcPr>
            <w:tcW w:w="1527"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鄂土资公告〔</w:t>
            </w:r>
            <w:r>
              <w:rPr>
                <w:rFonts w:ascii="Times New Roman" w:hAnsi="Times New Roman" w:cs="宋体"/>
                <w:kern w:val="0"/>
                <w:sz w:val="18"/>
                <w:szCs w:val="18"/>
              </w:rPr>
              <w:t>2017</w:t>
            </w:r>
            <w:r>
              <w:rPr>
                <w:rFonts w:hint="eastAsia" w:ascii="Times New Roman" w:hAnsi="Times New Roman" w:cs="宋体"/>
                <w:kern w:val="0"/>
                <w:sz w:val="18"/>
                <w:szCs w:val="18"/>
              </w:rPr>
              <w:t>〕</w:t>
            </w:r>
            <w:r>
              <w:rPr>
                <w:rFonts w:ascii="Times New Roman" w:hAnsi="Times New Roman" w:cs="宋体"/>
                <w:kern w:val="0"/>
                <w:sz w:val="18"/>
                <w:szCs w:val="18"/>
              </w:rPr>
              <w:t>15</w:t>
            </w:r>
            <w:r>
              <w:rPr>
                <w:rFonts w:hint="eastAsia" w:ascii="Times New Roman" w:hAnsi="Times New Roman" w:cs="宋体"/>
                <w:kern w:val="0"/>
                <w:sz w:val="18"/>
                <w:szCs w:val="18"/>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1" w:type="pct"/>
            <w:vMerge w:val="continue"/>
            <w:vAlign w:val="center"/>
          </w:tcPr>
          <w:p/>
        </w:tc>
        <w:tc>
          <w:tcPr>
            <w:tcW w:w="3072"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省国土资源厅关于进一步优化完善三峡库区后续地质灾害防治工程治理项目管理的通知</w:t>
            </w:r>
          </w:p>
        </w:tc>
        <w:tc>
          <w:tcPr>
            <w:tcW w:w="1527" w:type="pct"/>
            <w:vAlign w:val="center"/>
          </w:tcPr>
          <w:p>
            <w:pPr>
              <w:widowControl/>
              <w:contextualSpacing/>
              <w:jc w:val="left"/>
              <w:rPr>
                <w:rFonts w:ascii="Times New Roman" w:hAnsi="Times New Roman" w:cs="宋体"/>
                <w:kern w:val="0"/>
                <w:sz w:val="18"/>
                <w:szCs w:val="18"/>
              </w:rPr>
            </w:pPr>
            <w:r>
              <w:rPr>
                <w:rFonts w:hint="eastAsia" w:ascii="Times New Roman" w:hAnsi="Times New Roman" w:cs="宋体"/>
                <w:kern w:val="0"/>
                <w:sz w:val="18"/>
                <w:szCs w:val="18"/>
              </w:rPr>
              <w:t>鄂土资函〔</w:t>
            </w:r>
            <w:r>
              <w:rPr>
                <w:rFonts w:ascii="Times New Roman" w:hAnsi="Times New Roman" w:cs="宋体"/>
                <w:kern w:val="0"/>
                <w:sz w:val="18"/>
                <w:szCs w:val="18"/>
              </w:rPr>
              <w:t>2016</w:t>
            </w:r>
            <w:r>
              <w:rPr>
                <w:rFonts w:hint="eastAsia" w:ascii="Times New Roman" w:hAnsi="Times New Roman" w:cs="宋体"/>
                <w:kern w:val="0"/>
                <w:sz w:val="18"/>
                <w:szCs w:val="18"/>
              </w:rPr>
              <w:t>〕</w:t>
            </w:r>
            <w:r>
              <w:rPr>
                <w:rFonts w:ascii="Times New Roman" w:hAnsi="Times New Roman" w:cs="宋体"/>
                <w:kern w:val="0"/>
                <w:sz w:val="18"/>
                <w:szCs w:val="18"/>
              </w:rPr>
              <w:t>462</w:t>
            </w:r>
            <w:r>
              <w:rPr>
                <w:rFonts w:hint="eastAsia" w:ascii="Times New Roman" w:hAnsi="Times New Roman" w:cs="宋体"/>
                <w:kern w:val="0"/>
                <w:sz w:val="18"/>
                <w:szCs w:val="18"/>
              </w:rPr>
              <w:t>号</w:t>
            </w:r>
          </w:p>
        </w:tc>
      </w:tr>
    </w:tbl>
    <w:p>
      <w:pPr>
        <w:jc w:val="center"/>
        <w:outlineLvl w:val="0"/>
        <w:rPr>
          <w:rFonts w:hint="eastAsia" w:ascii="黑体" w:eastAsia="黑体"/>
          <w:lang w:eastAsia="zh-CN"/>
        </w:rPr>
      </w:pPr>
      <w:r>
        <w:rPr>
          <w:rFonts w:ascii="黑体" w:eastAsia="黑体" w:cs="宋体"/>
          <w:b/>
          <w:szCs w:val="21"/>
        </w:rPr>
        <w:br w:type="page"/>
      </w:r>
      <w:bookmarkStart w:id="156" w:name="_Toc24540553"/>
      <w:r>
        <w:rPr>
          <w:rFonts w:hint="eastAsia" w:ascii="黑体" w:eastAsia="黑体"/>
        </w:rPr>
        <w:t>附  录</w:t>
      </w:r>
      <w:r>
        <w:rPr>
          <w:rFonts w:ascii="黑体" w:eastAsia="黑体"/>
        </w:rPr>
        <w:t xml:space="preserve">  G</w:t>
      </w:r>
    </w:p>
    <w:p>
      <w:pPr>
        <w:jc w:val="center"/>
        <w:outlineLvl w:val="0"/>
        <w:rPr>
          <w:rFonts w:hint="eastAsia" w:ascii="黑体" w:eastAsia="黑体"/>
          <w:lang w:eastAsia="zh-CN"/>
        </w:rPr>
      </w:pPr>
      <w:r>
        <w:rPr>
          <w:rFonts w:hint="eastAsia" w:ascii="黑体" w:eastAsia="黑体"/>
        </w:rPr>
        <w:t>（资料性附录）</w:t>
      </w:r>
    </w:p>
    <w:p>
      <w:pPr>
        <w:jc w:val="center"/>
        <w:outlineLvl w:val="0"/>
        <w:rPr>
          <w:rFonts w:ascii="黑体" w:eastAsia="黑体"/>
        </w:rPr>
      </w:pPr>
      <w:r>
        <w:rPr>
          <w:rFonts w:hint="eastAsia" w:ascii="黑体" w:eastAsia="黑体"/>
        </w:rPr>
        <w:t>设计报告编写提纲</w:t>
      </w:r>
      <w:bookmarkEnd w:id="156"/>
    </w:p>
    <w:p>
      <w:pPr>
        <w:spacing w:line="360" w:lineRule="auto"/>
        <w:jc w:val="left"/>
        <w:rPr>
          <w:rFonts w:ascii="宋体" w:eastAsia="宋体"/>
          <w:szCs w:val="21"/>
        </w:rPr>
      </w:pPr>
      <w:bookmarkStart w:id="157" w:name="_Toc18633_WPSOffice_Level1"/>
      <w:bookmarkStart w:id="158" w:name="_Toc6132_WPSOffice_Level1"/>
      <w:bookmarkStart w:id="159" w:name="_Toc16123_WPSOffice_Level1"/>
      <w:bookmarkStart w:id="160" w:name="_Toc2241_WPSOffice_Level1"/>
      <w:r>
        <w:rPr>
          <w:rFonts w:hint="eastAsia" w:ascii="宋体" w:eastAsia="宋体"/>
          <w:szCs w:val="21"/>
        </w:rPr>
        <w:t>第一章  建设背景</w:t>
      </w:r>
    </w:p>
    <w:bookmarkEnd w:id="157"/>
    <w:bookmarkEnd w:id="158"/>
    <w:bookmarkEnd w:id="159"/>
    <w:bookmarkEnd w:id="160"/>
    <w:p>
      <w:pPr>
        <w:spacing w:line="360" w:lineRule="auto"/>
        <w:jc w:val="left"/>
        <w:rPr>
          <w:rFonts w:ascii="宋体" w:eastAsia="宋体"/>
          <w:szCs w:val="21"/>
        </w:rPr>
      </w:pPr>
      <w:bookmarkStart w:id="161" w:name="_Toc10393_WPSOffice_Level1"/>
      <w:bookmarkStart w:id="162" w:name="_Toc16102_WPSOffice_Level1"/>
      <w:bookmarkStart w:id="163" w:name="_Toc32294_WPSOffice_Level1"/>
      <w:bookmarkStart w:id="164" w:name="_Toc16028_WPSOffice_Level1"/>
      <w:r>
        <w:rPr>
          <w:rFonts w:hint="eastAsia" w:ascii="宋体" w:eastAsia="宋体"/>
          <w:szCs w:val="21"/>
        </w:rPr>
        <w:t>第二章  建设目标任务</w:t>
      </w:r>
    </w:p>
    <w:bookmarkEnd w:id="161"/>
    <w:bookmarkEnd w:id="162"/>
    <w:bookmarkEnd w:id="163"/>
    <w:bookmarkEnd w:id="164"/>
    <w:p>
      <w:pPr>
        <w:spacing w:line="360" w:lineRule="auto"/>
        <w:ind w:firstLine="424" w:firstLineChars="202"/>
        <w:rPr>
          <w:rFonts w:ascii="宋体" w:eastAsia="宋体" w:cs="宋体"/>
          <w:szCs w:val="21"/>
        </w:rPr>
      </w:pPr>
      <w:r>
        <w:rPr>
          <w:rFonts w:hint="eastAsia" w:ascii="宋体" w:eastAsia="宋体"/>
          <w:szCs w:val="21"/>
        </w:rPr>
        <w:t xml:space="preserve">第一节  </w:t>
      </w:r>
      <w:r>
        <w:rPr>
          <w:rFonts w:hint="eastAsia" w:ascii="宋体" w:eastAsia="宋体" w:cs="宋体"/>
          <w:szCs w:val="21"/>
        </w:rPr>
        <w:t>建设目标</w:t>
      </w:r>
    </w:p>
    <w:p>
      <w:pPr>
        <w:spacing w:line="360" w:lineRule="auto"/>
        <w:ind w:firstLine="424" w:firstLineChars="202"/>
        <w:rPr>
          <w:rFonts w:ascii="宋体" w:eastAsia="宋体" w:cs="宋体"/>
          <w:szCs w:val="21"/>
        </w:rPr>
      </w:pPr>
      <w:r>
        <w:rPr>
          <w:rFonts w:hint="eastAsia" w:ascii="宋体" w:eastAsia="宋体"/>
          <w:szCs w:val="21"/>
        </w:rPr>
        <w:t xml:space="preserve">第二节  </w:t>
      </w:r>
      <w:r>
        <w:rPr>
          <w:rFonts w:hint="eastAsia" w:ascii="宋体" w:eastAsia="宋体" w:cs="宋体"/>
          <w:szCs w:val="21"/>
        </w:rPr>
        <w:t>建设任务</w:t>
      </w:r>
    </w:p>
    <w:p>
      <w:pPr>
        <w:spacing w:line="360" w:lineRule="auto"/>
        <w:jc w:val="left"/>
        <w:rPr>
          <w:rFonts w:ascii="宋体" w:eastAsia="宋体"/>
          <w:szCs w:val="21"/>
        </w:rPr>
      </w:pPr>
      <w:bookmarkStart w:id="165" w:name="_Toc11090_WPSOffice_Level1"/>
      <w:bookmarkStart w:id="166" w:name="_Toc2951_WPSOffice_Level1"/>
      <w:bookmarkStart w:id="167" w:name="_Toc29247_WPSOffice_Level1"/>
      <w:bookmarkStart w:id="168" w:name="_Toc17322_WPSOffice_Level1"/>
      <w:r>
        <w:rPr>
          <w:rFonts w:hint="eastAsia" w:ascii="宋体" w:eastAsia="宋体"/>
          <w:szCs w:val="21"/>
        </w:rPr>
        <w:t>第三章  建设现状</w:t>
      </w:r>
      <w:bookmarkEnd w:id="165"/>
      <w:bookmarkEnd w:id="166"/>
      <w:bookmarkEnd w:id="167"/>
      <w:bookmarkEnd w:id="168"/>
    </w:p>
    <w:p>
      <w:pPr>
        <w:spacing w:line="360" w:lineRule="auto"/>
        <w:jc w:val="left"/>
        <w:rPr>
          <w:rFonts w:ascii="宋体" w:eastAsia="宋体"/>
          <w:szCs w:val="21"/>
        </w:rPr>
      </w:pPr>
      <w:bookmarkStart w:id="169" w:name="_Toc15771_WPSOffice_Level1"/>
      <w:bookmarkStart w:id="170" w:name="_Toc12184_WPSOffice_Level1"/>
      <w:bookmarkStart w:id="171" w:name="_Toc12264_WPSOffice_Level1"/>
      <w:bookmarkStart w:id="172" w:name="_Toc20893_WPSOffice_Level1"/>
      <w:r>
        <w:rPr>
          <w:rFonts w:hint="eastAsia" w:ascii="宋体" w:eastAsia="宋体"/>
          <w:szCs w:val="21"/>
        </w:rPr>
        <w:t>第四章  需求分析</w:t>
      </w:r>
      <w:bookmarkEnd w:id="169"/>
      <w:bookmarkEnd w:id="170"/>
      <w:bookmarkEnd w:id="171"/>
      <w:bookmarkEnd w:id="172"/>
    </w:p>
    <w:p>
      <w:pPr>
        <w:spacing w:line="360" w:lineRule="auto"/>
        <w:jc w:val="left"/>
        <w:rPr>
          <w:rFonts w:ascii="宋体" w:eastAsia="宋体"/>
          <w:szCs w:val="21"/>
        </w:rPr>
      </w:pPr>
      <w:bookmarkStart w:id="173" w:name="_Toc24397_WPSOffice_Level1"/>
      <w:bookmarkStart w:id="174" w:name="_Toc15979_WPSOffice_Level1"/>
      <w:bookmarkStart w:id="175" w:name="_Toc11784_WPSOffice_Level1"/>
      <w:bookmarkStart w:id="176" w:name="_Toc23980_WPSOffice_Level1"/>
      <w:r>
        <w:rPr>
          <w:rFonts w:hint="eastAsia" w:ascii="宋体" w:eastAsia="宋体"/>
          <w:szCs w:val="21"/>
        </w:rPr>
        <w:t>第五章  重难点分析</w:t>
      </w:r>
      <w:bookmarkEnd w:id="173"/>
      <w:bookmarkEnd w:id="174"/>
      <w:bookmarkEnd w:id="175"/>
      <w:bookmarkEnd w:id="176"/>
    </w:p>
    <w:p>
      <w:pPr>
        <w:spacing w:line="360" w:lineRule="auto"/>
        <w:jc w:val="left"/>
        <w:rPr>
          <w:rFonts w:ascii="宋体" w:eastAsia="宋体"/>
          <w:szCs w:val="21"/>
        </w:rPr>
      </w:pPr>
      <w:bookmarkStart w:id="177" w:name="_Toc5784_WPSOffice_Level1"/>
      <w:bookmarkStart w:id="178" w:name="_Toc23251_WPSOffice_Level1"/>
      <w:bookmarkStart w:id="179" w:name="_Toc15072_WPSOffice_Level1"/>
      <w:bookmarkStart w:id="180" w:name="_Toc4674_WPSOffice_Level1"/>
      <w:r>
        <w:rPr>
          <w:rFonts w:hint="eastAsia" w:ascii="宋体" w:eastAsia="宋体"/>
          <w:szCs w:val="21"/>
        </w:rPr>
        <w:t>第六章  概要设计</w:t>
      </w:r>
      <w:bookmarkEnd w:id="177"/>
      <w:bookmarkEnd w:id="178"/>
      <w:bookmarkEnd w:id="179"/>
      <w:bookmarkEnd w:id="180"/>
    </w:p>
    <w:p>
      <w:pPr>
        <w:spacing w:line="360" w:lineRule="auto"/>
        <w:ind w:firstLine="424" w:firstLineChars="202"/>
        <w:rPr>
          <w:rFonts w:ascii="宋体" w:eastAsia="宋体" w:cs="宋体"/>
          <w:szCs w:val="21"/>
        </w:rPr>
      </w:pPr>
      <w:r>
        <w:rPr>
          <w:rFonts w:hint="eastAsia" w:ascii="宋体" w:eastAsia="宋体"/>
          <w:szCs w:val="21"/>
        </w:rPr>
        <w:t xml:space="preserve">第一节  </w:t>
      </w:r>
      <w:r>
        <w:rPr>
          <w:rFonts w:hint="eastAsia" w:ascii="宋体" w:eastAsia="宋体" w:cs="宋体"/>
          <w:szCs w:val="21"/>
        </w:rPr>
        <w:t>指导思想</w:t>
      </w:r>
    </w:p>
    <w:p>
      <w:pPr>
        <w:spacing w:line="360" w:lineRule="auto"/>
        <w:ind w:firstLine="424" w:firstLineChars="202"/>
        <w:rPr>
          <w:rFonts w:ascii="宋体" w:eastAsia="宋体" w:cs="宋体"/>
          <w:szCs w:val="21"/>
        </w:rPr>
      </w:pPr>
      <w:r>
        <w:rPr>
          <w:rFonts w:hint="eastAsia" w:ascii="宋体" w:eastAsia="宋体"/>
          <w:szCs w:val="21"/>
        </w:rPr>
        <w:t xml:space="preserve">第二节  </w:t>
      </w:r>
      <w:r>
        <w:rPr>
          <w:rFonts w:hint="eastAsia" w:ascii="宋体" w:eastAsia="宋体" w:cs="宋体"/>
          <w:szCs w:val="21"/>
        </w:rPr>
        <w:t>技术路线</w:t>
      </w:r>
    </w:p>
    <w:p>
      <w:pPr>
        <w:spacing w:line="360" w:lineRule="auto"/>
        <w:ind w:firstLine="424" w:firstLineChars="202"/>
        <w:rPr>
          <w:rFonts w:ascii="宋体" w:eastAsia="宋体" w:cs="宋体"/>
          <w:szCs w:val="21"/>
        </w:rPr>
      </w:pPr>
      <w:r>
        <w:rPr>
          <w:rFonts w:hint="eastAsia" w:ascii="宋体" w:eastAsia="宋体"/>
          <w:szCs w:val="21"/>
        </w:rPr>
        <w:t xml:space="preserve">第三节  </w:t>
      </w:r>
      <w:r>
        <w:rPr>
          <w:rFonts w:hint="eastAsia" w:ascii="宋体" w:eastAsia="宋体" w:cs="宋体"/>
          <w:szCs w:val="21"/>
        </w:rPr>
        <w:t>总体框架</w:t>
      </w:r>
    </w:p>
    <w:p>
      <w:pPr>
        <w:spacing w:line="360" w:lineRule="auto"/>
        <w:jc w:val="left"/>
        <w:rPr>
          <w:rFonts w:ascii="宋体" w:eastAsia="宋体"/>
          <w:szCs w:val="21"/>
        </w:rPr>
      </w:pPr>
      <w:bookmarkStart w:id="181" w:name="_Toc27991_WPSOffice_Level1"/>
      <w:bookmarkStart w:id="182" w:name="_Toc16964_WPSOffice_Level1"/>
      <w:bookmarkStart w:id="183" w:name="_Toc15991_WPSOffice_Level1"/>
      <w:bookmarkStart w:id="184" w:name="_Toc11357_WPSOffice_Level1"/>
      <w:r>
        <w:rPr>
          <w:rFonts w:hint="eastAsia" w:ascii="宋体" w:eastAsia="宋体"/>
          <w:szCs w:val="21"/>
        </w:rPr>
        <w:t>第七章  详细设计</w:t>
      </w:r>
      <w:bookmarkEnd w:id="181"/>
      <w:bookmarkEnd w:id="182"/>
      <w:bookmarkEnd w:id="183"/>
      <w:bookmarkEnd w:id="184"/>
    </w:p>
    <w:p>
      <w:pPr>
        <w:spacing w:line="360" w:lineRule="auto"/>
        <w:ind w:firstLine="424" w:firstLineChars="202"/>
        <w:rPr>
          <w:rFonts w:ascii="宋体" w:eastAsia="宋体"/>
          <w:szCs w:val="21"/>
        </w:rPr>
      </w:pPr>
      <w:r>
        <w:rPr>
          <w:rFonts w:hint="eastAsia" w:ascii="宋体" w:eastAsia="宋体"/>
          <w:szCs w:val="21"/>
        </w:rPr>
        <w:t>第一节  建设任务</w:t>
      </w:r>
    </w:p>
    <w:p>
      <w:pPr>
        <w:spacing w:line="360" w:lineRule="auto"/>
        <w:ind w:firstLine="424" w:firstLineChars="202"/>
        <w:rPr>
          <w:rFonts w:ascii="宋体" w:eastAsia="宋体"/>
          <w:szCs w:val="21"/>
        </w:rPr>
      </w:pPr>
      <w:r>
        <w:rPr>
          <w:rFonts w:hint="eastAsia" w:ascii="宋体" w:eastAsia="宋体"/>
          <w:szCs w:val="21"/>
        </w:rPr>
        <w:t>第二节  建设方法</w:t>
      </w:r>
    </w:p>
    <w:p>
      <w:pPr>
        <w:spacing w:line="360" w:lineRule="auto"/>
        <w:jc w:val="left"/>
        <w:rPr>
          <w:rFonts w:ascii="宋体" w:eastAsia="宋体"/>
          <w:szCs w:val="21"/>
        </w:rPr>
      </w:pPr>
      <w:bookmarkStart w:id="185" w:name="_Toc3068_WPSOffice_Level1"/>
      <w:bookmarkStart w:id="186" w:name="_Toc21477_WPSOffice_Level1"/>
      <w:bookmarkStart w:id="187" w:name="_Toc3888_WPSOffice_Level1"/>
      <w:bookmarkStart w:id="188" w:name="_Toc1261_WPSOffice_Level1"/>
      <w:r>
        <w:rPr>
          <w:rFonts w:hint="eastAsia" w:ascii="宋体" w:eastAsia="宋体"/>
          <w:szCs w:val="21"/>
        </w:rPr>
        <w:t>第八章  工作部署</w:t>
      </w:r>
      <w:bookmarkEnd w:id="185"/>
      <w:bookmarkEnd w:id="186"/>
      <w:bookmarkEnd w:id="187"/>
      <w:bookmarkEnd w:id="188"/>
    </w:p>
    <w:p>
      <w:pPr>
        <w:spacing w:line="360" w:lineRule="auto"/>
        <w:ind w:firstLine="424" w:firstLineChars="202"/>
        <w:rPr>
          <w:rFonts w:ascii="宋体" w:eastAsia="宋体"/>
          <w:szCs w:val="21"/>
        </w:rPr>
      </w:pPr>
      <w:r>
        <w:rPr>
          <w:rFonts w:hint="eastAsia" w:ascii="宋体" w:eastAsia="宋体"/>
          <w:szCs w:val="21"/>
        </w:rPr>
        <w:t>第一节  工作部署</w:t>
      </w:r>
    </w:p>
    <w:p>
      <w:pPr>
        <w:spacing w:line="360" w:lineRule="auto"/>
        <w:ind w:firstLine="424" w:firstLineChars="202"/>
        <w:rPr>
          <w:rFonts w:ascii="宋体" w:eastAsia="宋体"/>
          <w:szCs w:val="21"/>
        </w:rPr>
      </w:pPr>
      <w:r>
        <w:rPr>
          <w:rFonts w:hint="eastAsia" w:ascii="宋体" w:eastAsia="宋体"/>
          <w:szCs w:val="21"/>
        </w:rPr>
        <w:t>第二节  进度安排</w:t>
      </w:r>
    </w:p>
    <w:p>
      <w:pPr>
        <w:spacing w:line="360" w:lineRule="auto"/>
        <w:ind w:firstLine="424" w:firstLineChars="202"/>
        <w:rPr>
          <w:rFonts w:ascii="宋体" w:eastAsia="宋体"/>
          <w:szCs w:val="21"/>
        </w:rPr>
      </w:pPr>
      <w:r>
        <w:rPr>
          <w:rFonts w:hint="eastAsia" w:ascii="宋体" w:eastAsia="宋体"/>
          <w:szCs w:val="21"/>
        </w:rPr>
        <w:t>第三节  工作量清单</w:t>
      </w:r>
    </w:p>
    <w:p>
      <w:pPr>
        <w:spacing w:line="360" w:lineRule="auto"/>
        <w:rPr>
          <w:rFonts w:ascii="宋体" w:eastAsia="宋体"/>
          <w:szCs w:val="21"/>
        </w:rPr>
      </w:pPr>
      <w:bookmarkStart w:id="189" w:name="_Toc3866_WPSOffice_Level1"/>
      <w:bookmarkStart w:id="190" w:name="_Toc17745_WPSOffice_Level1"/>
      <w:bookmarkStart w:id="191" w:name="_Toc25461_WPSOffice_Level1"/>
      <w:bookmarkStart w:id="192" w:name="_Toc10966_WPSOffice_Level1"/>
      <w:r>
        <w:rPr>
          <w:rFonts w:hint="eastAsia" w:ascii="宋体" w:eastAsia="宋体"/>
          <w:szCs w:val="21"/>
        </w:rPr>
        <w:t>第九章  经费预算</w:t>
      </w:r>
      <w:bookmarkEnd w:id="189"/>
      <w:bookmarkEnd w:id="190"/>
    </w:p>
    <w:p>
      <w:pPr>
        <w:spacing w:line="360" w:lineRule="auto"/>
        <w:ind w:firstLine="420" w:firstLineChars="200"/>
        <w:rPr>
          <w:rFonts w:ascii="宋体" w:eastAsia="宋体" w:cs="宋体"/>
          <w:szCs w:val="21"/>
        </w:rPr>
      </w:pPr>
      <w:r>
        <w:rPr>
          <w:rFonts w:hint="eastAsia" w:ascii="宋体" w:eastAsia="宋体" w:cs="宋体"/>
          <w:szCs w:val="21"/>
        </w:rPr>
        <w:t>按《中国地质调查局项目预算编制暂行办法》编写</w:t>
      </w:r>
      <w:bookmarkEnd w:id="191"/>
      <w:bookmarkEnd w:id="192"/>
      <w:r>
        <w:rPr>
          <w:rFonts w:hint="eastAsia" w:ascii="宋体" w:eastAsia="宋体" w:cs="宋体"/>
          <w:szCs w:val="21"/>
        </w:rPr>
        <w:t>。</w:t>
      </w:r>
    </w:p>
    <w:p>
      <w:pPr>
        <w:spacing w:line="360" w:lineRule="auto"/>
        <w:jc w:val="left"/>
        <w:rPr>
          <w:rFonts w:ascii="宋体" w:eastAsia="宋体"/>
          <w:szCs w:val="21"/>
        </w:rPr>
      </w:pPr>
      <w:bookmarkStart w:id="193" w:name="_Toc729_WPSOffice_Level1"/>
      <w:bookmarkStart w:id="194" w:name="_Toc8256_WPSOffice_Level1"/>
      <w:bookmarkStart w:id="195" w:name="_Toc3477_WPSOffice_Level1"/>
      <w:bookmarkStart w:id="196" w:name="_Toc10938_WPSOffice_Level1"/>
      <w:r>
        <w:rPr>
          <w:rFonts w:hint="eastAsia" w:ascii="宋体" w:eastAsia="宋体"/>
          <w:szCs w:val="21"/>
        </w:rPr>
        <w:t>第十章  组织管理</w:t>
      </w:r>
      <w:bookmarkEnd w:id="193"/>
      <w:bookmarkEnd w:id="194"/>
      <w:bookmarkEnd w:id="195"/>
      <w:bookmarkEnd w:id="196"/>
    </w:p>
    <w:p>
      <w:pPr>
        <w:spacing w:line="360" w:lineRule="auto"/>
        <w:ind w:firstLine="424" w:firstLineChars="202"/>
        <w:jc w:val="left"/>
        <w:rPr>
          <w:rFonts w:ascii="宋体" w:eastAsia="宋体" w:cs="宋体"/>
          <w:szCs w:val="21"/>
        </w:rPr>
      </w:pPr>
      <w:r>
        <w:rPr>
          <w:rFonts w:hint="eastAsia" w:ascii="宋体" w:eastAsia="宋体"/>
          <w:szCs w:val="21"/>
        </w:rPr>
        <w:t xml:space="preserve">第一节  </w:t>
      </w:r>
      <w:r>
        <w:rPr>
          <w:rFonts w:hint="eastAsia" w:ascii="宋体" w:eastAsia="宋体" w:cs="宋体"/>
          <w:szCs w:val="21"/>
        </w:rPr>
        <w:t>管理组织架构</w:t>
      </w:r>
    </w:p>
    <w:p>
      <w:pPr>
        <w:spacing w:line="360" w:lineRule="auto"/>
        <w:ind w:firstLine="424" w:firstLineChars="202"/>
        <w:jc w:val="left"/>
        <w:rPr>
          <w:rFonts w:ascii="宋体" w:eastAsia="宋体" w:cs="宋体"/>
          <w:szCs w:val="21"/>
        </w:rPr>
      </w:pPr>
      <w:r>
        <w:rPr>
          <w:rFonts w:hint="eastAsia" w:ascii="宋体" w:eastAsia="宋体"/>
          <w:szCs w:val="21"/>
        </w:rPr>
        <w:t xml:space="preserve">第二节  </w:t>
      </w:r>
      <w:r>
        <w:rPr>
          <w:rFonts w:hint="eastAsia" w:ascii="宋体" w:eastAsia="宋体" w:cs="宋体"/>
          <w:szCs w:val="21"/>
        </w:rPr>
        <w:t>管理措施</w:t>
      </w:r>
    </w:p>
    <w:p>
      <w:pPr>
        <w:spacing w:line="360" w:lineRule="auto"/>
        <w:ind w:firstLine="424" w:firstLineChars="202"/>
        <w:jc w:val="left"/>
        <w:rPr>
          <w:rFonts w:ascii="宋体" w:eastAsia="宋体" w:cs="宋体"/>
          <w:szCs w:val="21"/>
        </w:rPr>
      </w:pPr>
      <w:r>
        <w:rPr>
          <w:rFonts w:hint="eastAsia" w:ascii="宋体" w:eastAsia="宋体"/>
          <w:szCs w:val="21"/>
        </w:rPr>
        <w:t xml:space="preserve">第三节  </w:t>
      </w:r>
      <w:r>
        <w:rPr>
          <w:rFonts w:hint="eastAsia" w:ascii="宋体" w:eastAsia="宋体" w:cs="宋体"/>
          <w:szCs w:val="21"/>
        </w:rPr>
        <w:t>人员分工</w:t>
      </w:r>
    </w:p>
    <w:p>
      <w:pPr>
        <w:spacing w:line="360" w:lineRule="auto"/>
        <w:jc w:val="left"/>
        <w:rPr>
          <w:rFonts w:ascii="宋体" w:eastAsia="宋体"/>
          <w:szCs w:val="21"/>
        </w:rPr>
      </w:pPr>
      <w:bookmarkStart w:id="197" w:name="_Toc12281_WPSOffice_Level1"/>
      <w:bookmarkStart w:id="198" w:name="_Toc4790_WPSOffice_Level1"/>
      <w:bookmarkStart w:id="199" w:name="_Toc28059_WPSOffice_Level1"/>
      <w:bookmarkStart w:id="200" w:name="_Toc19829_WPSOffice_Level1"/>
      <w:r>
        <w:rPr>
          <w:rFonts w:hint="eastAsia" w:ascii="宋体" w:eastAsia="宋体"/>
          <w:szCs w:val="21"/>
        </w:rPr>
        <w:t>第十一章  质量管理措施</w:t>
      </w:r>
      <w:bookmarkEnd w:id="197"/>
      <w:bookmarkEnd w:id="198"/>
      <w:bookmarkEnd w:id="199"/>
      <w:bookmarkEnd w:id="200"/>
    </w:p>
    <w:p>
      <w:pPr>
        <w:spacing w:line="360" w:lineRule="auto"/>
        <w:ind w:firstLine="424" w:firstLineChars="202"/>
        <w:rPr>
          <w:rFonts w:ascii="宋体" w:eastAsia="宋体"/>
          <w:szCs w:val="21"/>
        </w:rPr>
      </w:pPr>
      <w:r>
        <w:rPr>
          <w:rFonts w:hint="eastAsia" w:ascii="宋体" w:eastAsia="宋体"/>
          <w:szCs w:val="21"/>
        </w:rPr>
        <w:t>第一节  质量管理措施</w:t>
      </w:r>
    </w:p>
    <w:p>
      <w:pPr>
        <w:spacing w:line="360" w:lineRule="auto"/>
        <w:ind w:firstLine="424" w:firstLineChars="202"/>
        <w:rPr>
          <w:rFonts w:ascii="宋体" w:eastAsia="宋体"/>
          <w:szCs w:val="21"/>
        </w:rPr>
      </w:pPr>
      <w:r>
        <w:rPr>
          <w:rFonts w:hint="eastAsia" w:ascii="宋体" w:eastAsia="宋体"/>
          <w:szCs w:val="21"/>
        </w:rPr>
        <w:t>第二节  技术保障措施</w:t>
      </w:r>
    </w:p>
    <w:p>
      <w:pPr>
        <w:spacing w:line="360" w:lineRule="auto"/>
        <w:ind w:firstLine="424" w:firstLineChars="202"/>
        <w:rPr>
          <w:rFonts w:ascii="宋体" w:eastAsia="宋体"/>
          <w:szCs w:val="21"/>
        </w:rPr>
      </w:pPr>
      <w:r>
        <w:rPr>
          <w:rFonts w:hint="eastAsia" w:ascii="宋体" w:eastAsia="宋体"/>
          <w:szCs w:val="21"/>
        </w:rPr>
        <w:t>第三节  安全劳动保护措施</w:t>
      </w:r>
    </w:p>
    <w:p>
      <w:pPr>
        <w:spacing w:line="360" w:lineRule="auto"/>
        <w:jc w:val="left"/>
        <w:rPr>
          <w:rFonts w:ascii="宋体" w:eastAsia="宋体"/>
          <w:szCs w:val="21"/>
        </w:rPr>
      </w:pPr>
      <w:bookmarkStart w:id="201" w:name="_Toc4592_WPSOffice_Level1"/>
      <w:bookmarkStart w:id="202" w:name="_Toc26564_WPSOffice_Level1"/>
      <w:bookmarkStart w:id="203" w:name="_Toc27853_WPSOffice_Level1"/>
      <w:bookmarkStart w:id="204" w:name="_Toc31209_WPSOffice_Level1"/>
      <w:r>
        <w:rPr>
          <w:rFonts w:hint="eastAsia" w:ascii="宋体" w:eastAsia="宋体"/>
          <w:szCs w:val="21"/>
        </w:rPr>
        <w:t>第十二章  成果验收</w:t>
      </w:r>
    </w:p>
    <w:bookmarkEnd w:id="201"/>
    <w:bookmarkEnd w:id="202"/>
    <w:bookmarkEnd w:id="203"/>
    <w:bookmarkEnd w:id="204"/>
    <w:p>
      <w:pPr>
        <w:spacing w:line="360" w:lineRule="auto"/>
        <w:ind w:firstLine="424" w:firstLineChars="202"/>
        <w:rPr>
          <w:rFonts w:ascii="宋体" w:eastAsia="宋体"/>
          <w:szCs w:val="21"/>
        </w:rPr>
      </w:pPr>
      <w:r>
        <w:rPr>
          <w:rFonts w:hint="eastAsia" w:ascii="宋体" w:eastAsia="宋体"/>
          <w:szCs w:val="21"/>
        </w:rPr>
        <w:t>第一节  预期成果</w:t>
      </w:r>
    </w:p>
    <w:p>
      <w:pPr>
        <w:spacing w:line="360" w:lineRule="auto"/>
        <w:ind w:firstLine="424" w:firstLineChars="202"/>
        <w:rPr>
          <w:rFonts w:ascii="宋体" w:eastAsia="宋体"/>
          <w:szCs w:val="21"/>
        </w:rPr>
      </w:pPr>
      <w:r>
        <w:rPr>
          <w:rFonts w:hint="eastAsia" w:ascii="宋体" w:eastAsia="宋体"/>
          <w:szCs w:val="21"/>
        </w:rPr>
        <w:t>第二节  验收流程</w:t>
      </w:r>
    </w:p>
    <w:p>
      <w:pPr>
        <w:spacing w:line="360" w:lineRule="auto"/>
        <w:ind w:firstLine="424" w:firstLineChars="202"/>
        <w:rPr>
          <w:rFonts w:ascii="宋体" w:eastAsia="宋体"/>
          <w:szCs w:val="21"/>
        </w:rPr>
      </w:pPr>
      <w:r>
        <w:rPr>
          <w:rFonts w:hint="eastAsia" w:ascii="宋体" w:eastAsia="宋体"/>
          <w:szCs w:val="21"/>
        </w:rPr>
        <w:t>第三节  验收内容清单</w:t>
      </w:r>
    </w:p>
    <w:p/>
    <w:p>
      <w:pPr>
        <w:tabs>
          <w:tab w:val="left" w:pos="2280"/>
        </w:tabs>
        <w:sectPr>
          <w:pgSz w:w="11906" w:h="16838"/>
          <w:pgMar w:top="1440" w:right="1800" w:bottom="1440" w:left="1800" w:header="851" w:footer="992" w:gutter="0"/>
          <w:cols w:space="720" w:num="1"/>
          <w:docGrid w:type="lines" w:linePitch="312" w:charSpace="0"/>
        </w:sectPr>
      </w:pPr>
    </w:p>
    <w:p>
      <w:pPr>
        <w:widowControl/>
        <w:spacing w:line="360" w:lineRule="auto"/>
        <w:ind w:firstLine="420" w:firstLineChars="200"/>
        <w:rPr>
          <w:rFonts w:ascii="宋体" w:eastAsia="宋体"/>
          <w:szCs w:val="21"/>
        </w:rPr>
      </w:pPr>
    </w:p>
    <w:p>
      <w:pPr>
        <w:spacing w:line="360" w:lineRule="auto"/>
        <w:ind w:firstLine="420" w:firstLineChars="200"/>
        <w:rPr>
          <w:rFonts w:ascii="宋体" w:eastAsia="宋体"/>
          <w:szCs w:val="21"/>
        </w:rPr>
      </w:pPr>
    </w:p>
    <w:p>
      <w:pPr>
        <w:spacing w:line="360" w:lineRule="auto"/>
        <w:rPr>
          <w:rFonts w:ascii="宋体" w:eastAsia="宋体"/>
          <w:szCs w:val="21"/>
        </w:rPr>
      </w:pPr>
      <w:r>
        <w:rPr>
          <w:rFonts w:hint="eastAsia" w:ascii="宋体" w:eastAsia="宋体"/>
          <w:szCs w:val="21"/>
        </w:rPr>
        <w:t>各位专家、从业人员：</w:t>
      </w:r>
    </w:p>
    <w:p>
      <w:pPr>
        <w:spacing w:line="360" w:lineRule="auto"/>
        <w:ind w:firstLine="420" w:firstLineChars="200"/>
        <w:rPr>
          <w:rFonts w:ascii="Times New Roman" w:hAnsi="Times New Roman"/>
          <w:szCs w:val="21"/>
        </w:rPr>
      </w:pPr>
      <w:r>
        <w:rPr>
          <w:rFonts w:ascii="Times New Roman" w:hAnsi="Times New Roman"/>
          <w:szCs w:val="21"/>
        </w:rPr>
        <w:t>《湖北省地质灾害防治能力建设技术要求（试行）》将发布试行。为进一步提高标准质量，提升标准的适用性，我们将在标准试行过程中继续征求意见。各位专家、从业人员在标准使用中，如发现存在不妥之处，请填写征求意见表，并通过邮件的方式发送给编制单位。</w:t>
      </w:r>
    </w:p>
    <w:p>
      <w:pPr>
        <w:spacing w:line="360" w:lineRule="auto"/>
        <w:ind w:firstLine="422" w:firstLineChars="200"/>
        <w:rPr>
          <w:rFonts w:ascii="Times New Roman" w:hAnsi="Times New Roman"/>
          <w:b/>
          <w:bCs/>
          <w:szCs w:val="21"/>
        </w:rPr>
      </w:pPr>
      <w:r>
        <w:rPr>
          <w:rFonts w:ascii="Times New Roman" w:hAnsi="Times New Roman"/>
          <w:b/>
          <w:bCs/>
          <w:szCs w:val="21"/>
        </w:rPr>
        <w:t>联系方式</w:t>
      </w:r>
    </w:p>
    <w:p>
      <w:pPr>
        <w:spacing w:line="360" w:lineRule="auto"/>
        <w:ind w:firstLine="420" w:firstLineChars="200"/>
        <w:rPr>
          <w:rFonts w:ascii="Times New Roman" w:hAnsi="Times New Roman"/>
          <w:szCs w:val="21"/>
        </w:rPr>
      </w:pPr>
      <w:r>
        <w:rPr>
          <w:rFonts w:ascii="Times New Roman" w:hAnsi="Times New Roman"/>
          <w:szCs w:val="21"/>
        </w:rPr>
        <w:t>联系人：李頔</w:t>
      </w:r>
    </w:p>
    <w:p>
      <w:pPr>
        <w:spacing w:line="360" w:lineRule="auto"/>
        <w:ind w:firstLine="420" w:firstLineChars="200"/>
        <w:rPr>
          <w:rFonts w:ascii="Times New Roman" w:hAnsi="Times New Roman"/>
          <w:szCs w:val="21"/>
        </w:rPr>
      </w:pPr>
      <w:r>
        <w:rPr>
          <w:rFonts w:ascii="Times New Roman" w:hAnsi="Times New Roman"/>
          <w:szCs w:val="21"/>
        </w:rPr>
        <w:t>电  话：13995580871</w:t>
      </w:r>
    </w:p>
    <w:p>
      <w:pPr>
        <w:spacing w:line="360" w:lineRule="auto"/>
        <w:ind w:firstLine="420" w:firstLineChars="200"/>
        <w:rPr>
          <w:rFonts w:ascii="Times New Roman" w:hAnsi="Times New Roman" w:eastAsia="宋体"/>
          <w:szCs w:val="21"/>
        </w:rPr>
      </w:pPr>
      <w:r>
        <w:rPr>
          <w:rFonts w:ascii="Times New Roman" w:hAnsi="Times New Roman"/>
          <w:szCs w:val="21"/>
        </w:rPr>
        <w:t>邮  箱：251169240@qq.com</w:t>
      </w:r>
    </w:p>
    <w:p>
      <w:pPr>
        <w:spacing w:line="360" w:lineRule="auto"/>
        <w:ind w:firstLine="420" w:firstLineChars="200"/>
        <w:rPr>
          <w:rFonts w:ascii="宋体" w:eastAsia="宋体"/>
          <w:szCs w:val="21"/>
        </w:rPr>
      </w:pPr>
    </w:p>
    <w:p>
      <w:pPr>
        <w:spacing w:line="360" w:lineRule="auto"/>
        <w:ind w:firstLine="420" w:firstLineChars="200"/>
        <w:rPr>
          <w:rFonts w:ascii="宋体" w:eastAsia="宋体"/>
          <w:szCs w:val="21"/>
        </w:rPr>
      </w:pPr>
    </w:p>
    <w:p>
      <w:pPr>
        <w:pStyle w:val="26"/>
        <w:spacing w:before="156" w:beforeLines="50" w:after="156" w:afterLines="50"/>
        <w:jc w:val="center"/>
        <w:rPr>
          <w:rFonts w:ascii="黑体" w:eastAsia="黑体"/>
        </w:rPr>
      </w:pPr>
      <w:r>
        <w:rPr>
          <w:rFonts w:hint="eastAsia" w:ascii="黑体" w:eastAsia="黑体"/>
        </w:rPr>
        <w:t>征求意见表</w:t>
      </w:r>
    </w:p>
    <w:tbl>
      <w:tblPr>
        <w:tblStyle w:val="19"/>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130"/>
        <w:gridCol w:w="2130"/>
        <w:gridCol w:w="2131"/>
        <w:gridCol w:w="213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250" w:type="pct"/>
            <w:vAlign w:val="center"/>
          </w:tcPr>
          <w:p>
            <w:pPr>
              <w:jc w:val="center"/>
              <w:rPr>
                <w:rFonts w:ascii="Times New Roman" w:hAnsi="Times New Roman"/>
              </w:rPr>
            </w:pPr>
            <w:r>
              <w:rPr>
                <w:rFonts w:ascii="Times New Roman" w:hAnsi="Times New Roman"/>
              </w:rPr>
              <w:t>标准名称</w:t>
            </w:r>
          </w:p>
        </w:tc>
        <w:tc>
          <w:tcPr>
            <w:tcW w:w="3750" w:type="pct"/>
            <w:gridSpan w:val="3"/>
            <w:vAlign w:val="center"/>
          </w:tcPr>
          <w:p>
            <w:pPr>
              <w:jc w:val="center"/>
              <w:rPr>
                <w:rFonts w:ascii="Times New Roman" w:hAns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250" w:type="pct"/>
            <w:vAlign w:val="center"/>
          </w:tcPr>
          <w:p>
            <w:pPr>
              <w:jc w:val="center"/>
              <w:rPr>
                <w:rFonts w:ascii="Times New Roman" w:hAnsi="Times New Roman"/>
              </w:rPr>
            </w:pPr>
            <w:r>
              <w:rPr>
                <w:rFonts w:ascii="Times New Roman" w:hAnsi="Times New Roman"/>
              </w:rPr>
              <w:t>姓名</w:t>
            </w:r>
          </w:p>
        </w:tc>
        <w:tc>
          <w:tcPr>
            <w:tcW w:w="1250" w:type="pct"/>
            <w:vAlign w:val="center"/>
          </w:tcPr>
          <w:p>
            <w:pPr>
              <w:jc w:val="center"/>
              <w:rPr>
                <w:rFonts w:ascii="Times New Roman" w:hAnsi="Times New Roman"/>
              </w:rPr>
            </w:pPr>
          </w:p>
        </w:tc>
        <w:tc>
          <w:tcPr>
            <w:tcW w:w="1250" w:type="pct"/>
            <w:vAlign w:val="center"/>
          </w:tcPr>
          <w:p>
            <w:pPr>
              <w:jc w:val="center"/>
              <w:rPr>
                <w:rFonts w:ascii="Times New Roman" w:hAnsi="Times New Roman"/>
              </w:rPr>
            </w:pPr>
            <w:r>
              <w:rPr>
                <w:rFonts w:ascii="Times New Roman" w:hAnsi="Times New Roman"/>
              </w:rPr>
              <w:t>所在单位</w:t>
            </w:r>
          </w:p>
        </w:tc>
        <w:tc>
          <w:tcPr>
            <w:tcW w:w="1250" w:type="pct"/>
            <w:vAlign w:val="center"/>
          </w:tcPr>
          <w:p>
            <w:pPr>
              <w:jc w:val="center"/>
              <w:rPr>
                <w:rFonts w:ascii="Times New Roman" w:hAns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250" w:type="pct"/>
            <w:vAlign w:val="center"/>
          </w:tcPr>
          <w:p>
            <w:pPr>
              <w:jc w:val="center"/>
              <w:rPr>
                <w:rFonts w:ascii="Times New Roman" w:hAnsi="Times New Roman"/>
              </w:rPr>
            </w:pPr>
            <w:r>
              <w:rPr>
                <w:rFonts w:ascii="Times New Roman" w:hAnsi="Times New Roman"/>
              </w:rPr>
              <w:t>职称/职务</w:t>
            </w:r>
          </w:p>
        </w:tc>
        <w:tc>
          <w:tcPr>
            <w:tcW w:w="1250" w:type="pct"/>
            <w:vAlign w:val="center"/>
          </w:tcPr>
          <w:p>
            <w:pPr>
              <w:jc w:val="center"/>
              <w:rPr>
                <w:rFonts w:ascii="Times New Roman" w:hAnsi="Times New Roman"/>
              </w:rPr>
            </w:pPr>
          </w:p>
        </w:tc>
        <w:tc>
          <w:tcPr>
            <w:tcW w:w="1250" w:type="pct"/>
            <w:vAlign w:val="center"/>
          </w:tcPr>
          <w:p>
            <w:pPr>
              <w:jc w:val="center"/>
              <w:rPr>
                <w:rFonts w:ascii="Times New Roman" w:hAnsi="Times New Roman"/>
              </w:rPr>
            </w:pPr>
            <w:r>
              <w:rPr>
                <w:rFonts w:ascii="Times New Roman" w:hAnsi="Times New Roman"/>
              </w:rPr>
              <w:t>联系方式</w:t>
            </w:r>
          </w:p>
        </w:tc>
        <w:tc>
          <w:tcPr>
            <w:tcW w:w="1250" w:type="pct"/>
            <w:vAlign w:val="center"/>
          </w:tcPr>
          <w:p>
            <w:pPr>
              <w:jc w:val="center"/>
              <w:rPr>
                <w:rFonts w:ascii="Times New Roman" w:hAns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250" w:type="pct"/>
            <w:vAlign w:val="center"/>
          </w:tcPr>
          <w:p>
            <w:pPr>
              <w:jc w:val="center"/>
              <w:rPr>
                <w:rFonts w:ascii="Times New Roman" w:hAnsi="Times New Roman"/>
              </w:rPr>
            </w:pPr>
            <w:r>
              <w:rPr>
                <w:rFonts w:ascii="Times New Roman" w:hAnsi="Times New Roman"/>
              </w:rPr>
              <w:t>序号</w:t>
            </w:r>
          </w:p>
        </w:tc>
        <w:tc>
          <w:tcPr>
            <w:tcW w:w="1250" w:type="pct"/>
            <w:vAlign w:val="center"/>
          </w:tcPr>
          <w:p>
            <w:pPr>
              <w:jc w:val="center"/>
              <w:rPr>
                <w:rFonts w:ascii="Times New Roman" w:hAnsi="Times New Roman"/>
              </w:rPr>
            </w:pPr>
            <w:r>
              <w:rPr>
                <w:rFonts w:ascii="Times New Roman" w:hAnsi="Times New Roman"/>
              </w:rPr>
              <w:t>章节</w:t>
            </w:r>
          </w:p>
        </w:tc>
        <w:tc>
          <w:tcPr>
            <w:tcW w:w="1250" w:type="pct"/>
            <w:vAlign w:val="center"/>
          </w:tcPr>
          <w:p>
            <w:pPr>
              <w:jc w:val="center"/>
              <w:rPr>
                <w:rFonts w:ascii="Times New Roman" w:hAnsi="Times New Roman"/>
              </w:rPr>
            </w:pPr>
            <w:r>
              <w:rPr>
                <w:rFonts w:ascii="Times New Roman" w:hAnsi="Times New Roman"/>
              </w:rPr>
              <w:t>意见内容</w:t>
            </w:r>
          </w:p>
        </w:tc>
        <w:tc>
          <w:tcPr>
            <w:tcW w:w="1250" w:type="pct"/>
            <w:vAlign w:val="center"/>
          </w:tcPr>
          <w:p>
            <w:pPr>
              <w:jc w:val="center"/>
              <w:rPr>
                <w:rFonts w:ascii="Times New Roman" w:hAnsi="Times New Roman"/>
              </w:rPr>
            </w:pPr>
            <w:r>
              <w:rPr>
                <w:rFonts w:ascii="Times New Roman" w:hAnsi="Times New Roman"/>
              </w:rPr>
              <w:t>修改建议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250" w:type="pct"/>
            <w:vAlign w:val="center"/>
          </w:tcPr>
          <w:p>
            <w:pPr>
              <w:jc w:val="center"/>
              <w:rPr>
                <w:rFonts w:ascii="Times New Roman" w:hAnsi="Times New Roman"/>
              </w:rPr>
            </w:pPr>
            <w:r>
              <w:rPr>
                <w:rFonts w:ascii="Times New Roman" w:hAnsi="Times New Roman"/>
              </w:rPr>
              <w:t>1</w:t>
            </w:r>
          </w:p>
        </w:tc>
        <w:tc>
          <w:tcPr>
            <w:tcW w:w="1250" w:type="pct"/>
            <w:vAlign w:val="center"/>
          </w:tcPr>
          <w:p>
            <w:pPr>
              <w:jc w:val="center"/>
              <w:rPr>
                <w:rFonts w:ascii="Times New Roman" w:hAnsi="Times New Roman"/>
              </w:rPr>
            </w:pPr>
          </w:p>
        </w:tc>
        <w:tc>
          <w:tcPr>
            <w:tcW w:w="1250" w:type="pct"/>
            <w:vAlign w:val="center"/>
          </w:tcPr>
          <w:p>
            <w:pPr>
              <w:jc w:val="center"/>
              <w:rPr>
                <w:rFonts w:ascii="Times New Roman" w:hAnsi="Times New Roman"/>
              </w:rPr>
            </w:pPr>
          </w:p>
        </w:tc>
        <w:tc>
          <w:tcPr>
            <w:tcW w:w="1250" w:type="pct"/>
            <w:vAlign w:val="center"/>
          </w:tcPr>
          <w:p>
            <w:pPr>
              <w:jc w:val="center"/>
              <w:rPr>
                <w:rFonts w:ascii="Times New Roman" w:hAns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250" w:type="pct"/>
            <w:vAlign w:val="center"/>
          </w:tcPr>
          <w:p>
            <w:pPr>
              <w:jc w:val="center"/>
              <w:rPr>
                <w:rFonts w:ascii="Times New Roman" w:hAnsi="Times New Roman"/>
              </w:rPr>
            </w:pPr>
            <w:r>
              <w:rPr>
                <w:rFonts w:ascii="Times New Roman" w:hAnsi="Times New Roman"/>
              </w:rPr>
              <w:t>2</w:t>
            </w:r>
          </w:p>
        </w:tc>
        <w:tc>
          <w:tcPr>
            <w:tcW w:w="1250" w:type="pct"/>
            <w:vAlign w:val="center"/>
          </w:tcPr>
          <w:p>
            <w:pPr>
              <w:jc w:val="center"/>
              <w:rPr>
                <w:rFonts w:ascii="Times New Roman" w:hAnsi="Times New Roman"/>
              </w:rPr>
            </w:pPr>
          </w:p>
        </w:tc>
        <w:tc>
          <w:tcPr>
            <w:tcW w:w="1250" w:type="pct"/>
            <w:vAlign w:val="center"/>
          </w:tcPr>
          <w:p>
            <w:pPr>
              <w:jc w:val="center"/>
              <w:rPr>
                <w:rFonts w:ascii="Times New Roman" w:hAnsi="Times New Roman"/>
              </w:rPr>
            </w:pPr>
          </w:p>
        </w:tc>
        <w:tc>
          <w:tcPr>
            <w:tcW w:w="1250" w:type="pct"/>
            <w:vAlign w:val="center"/>
          </w:tcPr>
          <w:p>
            <w:pPr>
              <w:jc w:val="center"/>
              <w:rPr>
                <w:rFonts w:ascii="Times New Roman" w:hAns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250" w:type="pct"/>
            <w:vAlign w:val="center"/>
          </w:tcPr>
          <w:p>
            <w:pPr>
              <w:jc w:val="center"/>
              <w:rPr>
                <w:rFonts w:ascii="Times New Roman" w:hAnsi="Times New Roman"/>
              </w:rPr>
            </w:pPr>
            <w:r>
              <w:rPr>
                <w:rFonts w:ascii="Times New Roman" w:hAnsi="Times New Roman"/>
              </w:rPr>
              <w:t>…</w:t>
            </w:r>
          </w:p>
        </w:tc>
        <w:tc>
          <w:tcPr>
            <w:tcW w:w="1250" w:type="pct"/>
            <w:vAlign w:val="center"/>
          </w:tcPr>
          <w:p>
            <w:pPr>
              <w:jc w:val="center"/>
              <w:rPr>
                <w:rFonts w:ascii="Times New Roman" w:hAnsi="Times New Roman"/>
              </w:rPr>
            </w:pPr>
          </w:p>
        </w:tc>
        <w:tc>
          <w:tcPr>
            <w:tcW w:w="1250" w:type="pct"/>
            <w:vAlign w:val="center"/>
          </w:tcPr>
          <w:p>
            <w:pPr>
              <w:jc w:val="center"/>
              <w:rPr>
                <w:rFonts w:ascii="Times New Roman" w:hAnsi="Times New Roman"/>
              </w:rPr>
            </w:pPr>
          </w:p>
        </w:tc>
        <w:tc>
          <w:tcPr>
            <w:tcW w:w="1250" w:type="pct"/>
            <w:vAlign w:val="center"/>
          </w:tcPr>
          <w:p>
            <w:pPr>
              <w:jc w:val="center"/>
              <w:rPr>
                <w:rFonts w:ascii="Times New Roman" w:hAnsi="Times New Roman"/>
              </w:rPr>
            </w:pPr>
          </w:p>
        </w:tc>
      </w:tr>
    </w:tbl>
    <w:p>
      <w:pPr>
        <w:widowControl/>
        <w:jc w:val="left"/>
      </w:pPr>
    </w:p>
    <w:sectPr>
      <w:footerReference r:id="rId11" w:type="default"/>
      <w:footerReference r:id="rId12"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Calibri Light">
    <w:panose1 w:val="020F0302020204030204"/>
    <w:charset w:val="00"/>
    <w:family w:val="auto"/>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Arial">
    <w:panose1 w:val="020B0604020202020204"/>
    <w:charset w:val="00"/>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left="-51" w:firstLine="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rFonts w:ascii="宋体"/>
      </w:rPr>
      <w:fldChar w:fldCharType="begin"/>
    </w:r>
    <w:r>
      <w:rPr>
        <w:rFonts w:ascii="宋体"/>
      </w:rPr>
      <w:instrText xml:space="preserve"> PAGE   \* MERGEFORMAT </w:instrText>
    </w:r>
    <w:r>
      <w:rPr>
        <w:rFonts w:ascii="宋体"/>
      </w:rPr>
      <w:fldChar w:fldCharType="separate"/>
    </w:r>
    <w:r>
      <w:rPr>
        <w:rFonts w:ascii="宋体"/>
        <w:lang w:val="zh-CN"/>
      </w:rPr>
      <w:t>IV</w:t>
    </w:r>
    <w:r>
      <w:rPr>
        <w:rFonts w:ascii="宋体"/>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right"/>
    </w:pPr>
    <w:r>
      <w:fldChar w:fldCharType="begin"/>
    </w:r>
    <w:r>
      <w:instrText xml:space="preserve"> PAGE   \* MERGEFORMAT </w:instrText>
    </w:r>
    <w:r>
      <w:fldChar w:fldCharType="separate"/>
    </w:r>
    <w:r>
      <w:rPr>
        <w:lang w:val="zh-CN"/>
      </w:rPr>
      <w:t>I</w:t>
    </w:r>
    <w:r>
      <w:rPr>
        <w:lang w:val="zh-CN"/>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left"/>
      <w:rPr>
        <w:rFonts w:ascii="Times New Roman" w:hAnsi="Times New Roman"/>
        <w:lang w:val="zh-CN"/>
      </w:rPr>
    </w:pPr>
    <w:r>
      <w:rPr>
        <w:rFonts w:ascii="Times New Roman" w:hAnsi="Times New Roman"/>
        <w:lang w:val="zh-CN"/>
      </w:rPr>
      <w:fldChar w:fldCharType="begin"/>
    </w:r>
    <w:r>
      <w:rPr>
        <w:rFonts w:ascii="Times New Roman" w:hAnsi="Times New Roman"/>
        <w:lang w:val="zh-CN"/>
      </w:rPr>
      <w:instrText xml:space="preserve"> PAGE   \* MERGEFORMAT </w:instrText>
    </w:r>
    <w:r>
      <w:rPr>
        <w:rFonts w:ascii="Times New Roman" w:hAnsi="Times New Roman"/>
        <w:lang w:val="zh-CN"/>
      </w:rPr>
      <w:fldChar w:fldCharType="separate"/>
    </w:r>
    <w:r>
      <w:rPr>
        <w:rFonts w:ascii="Times New Roman" w:hAnsi="Times New Roman"/>
        <w:lang w:val="zh-CN"/>
      </w:rPr>
      <w:t>34</w:t>
    </w:r>
    <w:r>
      <w:rPr>
        <w:rFonts w:ascii="Times New Roman" w:hAnsi="Times New Roman"/>
        <w:lang w:val="zh-CN"/>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right"/>
    </w:pPr>
    <w:r>
      <w:fldChar w:fldCharType="begin"/>
    </w:r>
    <w:r>
      <w:instrText xml:space="preserve"> PAGE   \* MERGEFORMAT </w:instrText>
    </w:r>
    <w:r>
      <w:fldChar w:fldCharType="separate"/>
    </w:r>
    <w:r>
      <w:rPr>
        <w:lang w:val="zh-CN"/>
      </w:rPr>
      <w:t>III</w:t>
    </w:r>
    <w:r>
      <w:rPr>
        <w:lang w:val="zh-CN"/>
      </w:rPr>
      <w:fldChar w:fldCharType="end"/>
    </w:r>
  </w:p>
  <w:p>
    <w:pPr>
      <w:pStyle w:val="11"/>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right"/>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lang w:val="zh-CN"/>
      </w:rPr>
      <w:t>33</w:t>
    </w:r>
    <w:r>
      <w:rPr>
        <w:rFonts w:ascii="Times New Roman" w:hAnsi="Times New Roman"/>
        <w:lang w:val="zh-CN"/>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right"/>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right"/>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2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2"/>
  <w:displayVerticalDrawingGridEvery w:val="2"/>
  <w:noPunctuationKerning w:val="1"/>
  <w:characterSpacingControl w:val="compressPunctuation"/>
  <w:noLineBreaksAfter w:lang="zh-CN" w:val="$([{£¥·‘“〈《「『【〔〖〝﹙﹛﹝＄（．［｛￡￥"/>
  <w:noLineBreaksBefore w:lang="zh-CN" w:val="!%),.:;&gt;?]}¢¨°·ˇˉ―‖’”…‰′″›℃∶、。〃〉》」』】〕〗〞︶︺︾﹀﹄﹚﹜﹞！＂％＇），．：；？］｀｜｝～￠"/>
  <w:compat>
    <w:spaceForUL/>
    <w:balanceSingleByteDoubleByteWidth/>
    <w:ulTrailSpace/>
    <w:doNotExpandShiftReturn/>
    <w:adjustLineHeightInTable/>
    <w:growAutofit/>
    <w:useFELayout/>
    <w:useAltKinsokuLineBreakRules/>
    <w:splitPgBreakAndParaMark/>
    <w:compatSetting w:name="compatibilityMode" w:uri="http://schemas.microsoft.com/office/word" w:val="14"/>
  </w:compat>
  <w:docVars>
    <w:docVar w:name="commondata" w:val="eyJoZGlkIjoiYmQ4NTdkYzE5YjkwZjU3MjMxNjBkOTU3YmQ4ZmQ1YjYifQ=="/>
    <w:docVar w:name="KSO_WPS_MARK_KEY" w:val="1dc171f8-b6db-4e0d-8281-dc581b6ed902"/>
  </w:docVars>
  <w:rsids>
    <w:rsidRoot w:val="00000000"/>
    <w:rsid w:val="7C89718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widowControl/>
      <w:spacing w:before="50" w:beforeLines="50" w:after="50" w:afterLines="50"/>
      <w:jc w:val="left"/>
      <w:outlineLvl w:val="0"/>
    </w:pPr>
    <w:rPr>
      <w:rFonts w:ascii="黑体" w:eastAsia="黑体"/>
      <w:bCs/>
      <w:kern w:val="32"/>
      <w:szCs w:val="21"/>
    </w:rPr>
  </w:style>
  <w:style w:type="paragraph" w:styleId="3">
    <w:name w:val="heading 2"/>
    <w:basedOn w:val="1"/>
    <w:next w:val="1"/>
    <w:qFormat/>
    <w:uiPriority w:val="0"/>
    <w:pPr>
      <w:keepNext/>
      <w:keepLines/>
      <w:widowControl w:val="0"/>
      <w:spacing w:before="50" w:beforeLines="50" w:after="50" w:afterLines="50"/>
      <w:jc w:val="left"/>
      <w:outlineLvl w:val="1"/>
    </w:pPr>
    <w:rPr>
      <w:rFonts w:ascii="黑体" w:eastAsia="黑体"/>
      <w:bCs/>
      <w:szCs w:val="21"/>
    </w:rPr>
  </w:style>
  <w:style w:type="paragraph" w:styleId="4">
    <w:name w:val="heading 3"/>
    <w:basedOn w:val="1"/>
    <w:next w:val="1"/>
    <w:qFormat/>
    <w:uiPriority w:val="0"/>
    <w:pPr>
      <w:keepNext/>
      <w:keepLines/>
      <w:widowControl/>
      <w:spacing w:before="50" w:beforeLines="50" w:after="50" w:afterLines="50"/>
      <w:jc w:val="left"/>
      <w:outlineLvl w:val="2"/>
    </w:pPr>
    <w:rPr>
      <w:rFonts w:eastAsia="黑体"/>
      <w:bCs/>
      <w:kern w:val="0"/>
      <w:szCs w:val="32"/>
      <w:lang w:val="zh-CN" w:eastAsia="en-US"/>
    </w:rPr>
  </w:style>
  <w:style w:type="character" w:default="1" w:styleId="20">
    <w:name w:val="Default Paragraph Font"/>
    <w:uiPriority w:val="0"/>
  </w:style>
  <w:style w:type="table" w:default="1" w:styleId="19">
    <w:name w:val="Normal Table"/>
    <w:semiHidden/>
    <w:uiPriority w:val="0"/>
    <w:tblPr>
      <w:tblCellMar>
        <w:top w:w="0" w:type="dxa"/>
        <w:left w:w="108" w:type="dxa"/>
        <w:bottom w:w="0" w:type="dxa"/>
        <w:right w:w="108" w:type="dxa"/>
      </w:tblCellMar>
    </w:tblPr>
  </w:style>
  <w:style w:type="paragraph" w:styleId="5">
    <w:name w:val="Document Map"/>
    <w:basedOn w:val="1"/>
    <w:uiPriority w:val="0"/>
    <w:pPr>
      <w:shd w:val="clear" w:color="auto" w:fill="000080"/>
    </w:pPr>
  </w:style>
  <w:style w:type="paragraph" w:styleId="6">
    <w:name w:val="annotation text"/>
    <w:basedOn w:val="1"/>
    <w:qFormat/>
    <w:uiPriority w:val="0"/>
    <w:pPr>
      <w:jc w:val="left"/>
    </w:pPr>
  </w:style>
  <w:style w:type="paragraph" w:styleId="7">
    <w:name w:val="Body Text"/>
    <w:basedOn w:val="1"/>
    <w:uiPriority w:val="0"/>
    <w:pPr>
      <w:spacing w:after="120"/>
      <w:ind w:firstLine="200" w:firstLineChars="200"/>
    </w:pPr>
    <w:rPr>
      <w:rFonts w:ascii="仿宋_GB2312" w:eastAsia="仿宋_GB2312"/>
      <w:sz w:val="32"/>
      <w:szCs w:val="20"/>
    </w:rPr>
  </w:style>
  <w:style w:type="paragraph" w:styleId="8">
    <w:name w:val="toc 3"/>
    <w:basedOn w:val="1"/>
    <w:next w:val="1"/>
    <w:qFormat/>
    <w:uiPriority w:val="0"/>
    <w:pPr>
      <w:widowControl/>
      <w:spacing w:after="100" w:line="259" w:lineRule="auto"/>
      <w:ind w:left="440"/>
      <w:jc w:val="left"/>
    </w:pPr>
    <w:rPr>
      <w:kern w:val="0"/>
      <w:sz w:val="22"/>
    </w:rPr>
  </w:style>
  <w:style w:type="paragraph" w:styleId="9">
    <w:name w:val="Date"/>
    <w:basedOn w:val="1"/>
    <w:next w:val="1"/>
    <w:uiPriority w:val="0"/>
    <w:pPr>
      <w:ind w:left="2500" w:leftChars="2500"/>
    </w:pPr>
  </w:style>
  <w:style w:type="paragraph" w:styleId="10">
    <w:name w:val="Balloon Text"/>
    <w:basedOn w:val="1"/>
    <w:uiPriority w:val="0"/>
    <w:rPr>
      <w:sz w:val="18"/>
      <w:szCs w:val="18"/>
    </w:rPr>
  </w:style>
  <w:style w:type="paragraph" w:styleId="11">
    <w:name w:val="footer"/>
    <w:basedOn w:val="1"/>
    <w:uiPriority w:val="0"/>
    <w:pPr>
      <w:tabs>
        <w:tab w:val="center" w:pos="4153"/>
        <w:tab w:val="right" w:pos="8306"/>
      </w:tabs>
      <w:snapToGrid w:val="0"/>
    </w:pPr>
    <w:rPr>
      <w:sz w:val="18"/>
      <w:szCs w:val="18"/>
    </w:rPr>
  </w:style>
  <w:style w:type="paragraph" w:styleId="12">
    <w:name w:val="header"/>
    <w:basedOn w:val="1"/>
    <w:uiPriority w:val="0"/>
    <w:pPr>
      <w:pBdr>
        <w:top w:val="none" w:color="auto" w:sz="0" w:space="0"/>
        <w:left w:val="none" w:color="auto" w:sz="0" w:space="0"/>
        <w:bottom w:val="none" w:color="auto" w:sz="0" w:space="0"/>
        <w:right w:val="none" w:color="auto" w:sz="0" w:space="0"/>
      </w:pBdr>
      <w:tabs>
        <w:tab w:val="center" w:pos="4153"/>
        <w:tab w:val="right" w:pos="8306"/>
      </w:tabs>
      <w:snapToGrid w:val="0"/>
    </w:pPr>
    <w:rPr>
      <w:sz w:val="18"/>
    </w:rPr>
  </w:style>
  <w:style w:type="paragraph" w:styleId="13">
    <w:name w:val="toc 1"/>
    <w:basedOn w:val="1"/>
    <w:next w:val="1"/>
    <w:qFormat/>
    <w:uiPriority w:val="0"/>
    <w:pPr>
      <w:widowControl/>
      <w:spacing w:after="100" w:line="259" w:lineRule="auto"/>
      <w:jc w:val="left"/>
    </w:pPr>
    <w:rPr>
      <w:kern w:val="0"/>
      <w:sz w:val="22"/>
    </w:rPr>
  </w:style>
  <w:style w:type="paragraph" w:styleId="14">
    <w:name w:val="Subtitle"/>
    <w:basedOn w:val="1"/>
    <w:next w:val="1"/>
    <w:qFormat/>
    <w:uiPriority w:val="0"/>
    <w:pPr>
      <w:spacing w:before="240" w:after="60" w:line="312" w:lineRule="auto"/>
      <w:jc w:val="center"/>
      <w:outlineLvl w:val="1"/>
    </w:pPr>
    <w:rPr>
      <w:rFonts w:ascii="Calibri Light" w:hAnsi="Calibri Light"/>
      <w:b/>
      <w:bCs/>
      <w:kern w:val="28"/>
      <w:sz w:val="32"/>
      <w:szCs w:val="32"/>
    </w:rPr>
  </w:style>
  <w:style w:type="paragraph" w:styleId="15">
    <w:name w:val="toc 2"/>
    <w:basedOn w:val="1"/>
    <w:next w:val="1"/>
    <w:qFormat/>
    <w:uiPriority w:val="0"/>
    <w:pPr>
      <w:widowControl/>
      <w:spacing w:after="100" w:line="259" w:lineRule="auto"/>
      <w:ind w:left="220"/>
      <w:jc w:val="left"/>
    </w:pPr>
    <w:rPr>
      <w:kern w:val="0"/>
      <w:sz w:val="22"/>
    </w:rPr>
  </w:style>
  <w:style w:type="paragraph" w:styleId="16">
    <w:name w:val="Normal (Web)"/>
    <w:basedOn w:val="1"/>
    <w:qFormat/>
    <w:uiPriority w:val="0"/>
    <w:pPr>
      <w:widowControl/>
      <w:spacing w:before="100" w:beforeAutospacing="1" w:after="100" w:afterAutospacing="1"/>
      <w:jc w:val="left"/>
    </w:pPr>
    <w:rPr>
      <w:rFonts w:ascii="宋体" w:cs="宋体"/>
      <w:kern w:val="0"/>
      <w:sz w:val="24"/>
      <w:szCs w:val="24"/>
    </w:rPr>
  </w:style>
  <w:style w:type="paragraph" w:styleId="17">
    <w:name w:val="Title"/>
    <w:basedOn w:val="1"/>
    <w:next w:val="1"/>
    <w:qFormat/>
    <w:uiPriority w:val="0"/>
    <w:pPr>
      <w:spacing w:before="240" w:after="60"/>
      <w:jc w:val="center"/>
      <w:outlineLvl w:val="0"/>
    </w:pPr>
    <w:rPr>
      <w:rFonts w:ascii="Cambria" w:hAnsi="Cambria" w:cs="Times New Roman"/>
      <w:b/>
      <w:bCs/>
      <w:sz w:val="32"/>
      <w:szCs w:val="32"/>
    </w:rPr>
  </w:style>
  <w:style w:type="paragraph" w:styleId="18">
    <w:name w:val="annotation subject"/>
    <w:basedOn w:val="6"/>
    <w:next w:val="6"/>
    <w:qFormat/>
    <w:uiPriority w:val="0"/>
    <w:rPr>
      <w:b/>
      <w:bCs/>
    </w:rPr>
  </w:style>
  <w:style w:type="character" w:styleId="21">
    <w:name w:val="Strong"/>
    <w:basedOn w:val="20"/>
    <w:qFormat/>
    <w:uiPriority w:val="0"/>
    <w:rPr>
      <w:rFonts w:cs="Times New Roman"/>
      <w:b/>
      <w:bCs/>
    </w:rPr>
  </w:style>
  <w:style w:type="character" w:styleId="22">
    <w:name w:val="FollowedHyperlink"/>
    <w:basedOn w:val="20"/>
    <w:qFormat/>
    <w:uiPriority w:val="0"/>
    <w:rPr>
      <w:rFonts w:cs="Times New Roman"/>
      <w:color w:val="272636"/>
      <w:u w:val="none"/>
    </w:rPr>
  </w:style>
  <w:style w:type="character" w:styleId="23">
    <w:name w:val="Emphasis"/>
    <w:basedOn w:val="20"/>
    <w:uiPriority w:val="0"/>
    <w:rPr>
      <w:rFonts w:cs="Times New Roman"/>
    </w:rPr>
  </w:style>
  <w:style w:type="character" w:styleId="24">
    <w:name w:val="Hyperlink"/>
    <w:basedOn w:val="20"/>
    <w:qFormat/>
    <w:uiPriority w:val="0"/>
    <w:rPr>
      <w:rFonts w:cs="Times New Roman"/>
      <w:color w:val="0000FF"/>
      <w:u w:val="single"/>
    </w:rPr>
  </w:style>
  <w:style w:type="character" w:styleId="25">
    <w:name w:val="annotation reference"/>
    <w:basedOn w:val="20"/>
    <w:qFormat/>
    <w:uiPriority w:val="0"/>
    <w:rPr>
      <w:rFonts w:cs="Times New Roman"/>
      <w:sz w:val="21"/>
      <w:szCs w:val="21"/>
    </w:rPr>
  </w:style>
  <w:style w:type="paragraph" w:customStyle="1" w:styleId="26">
    <w:name w:val="No Spacing"/>
    <w:aliases w:val="表头"/>
    <w:uiPriority w:val="0"/>
    <w:pPr>
      <w:widowControl w:val="0"/>
      <w:jc w:val="both"/>
    </w:pPr>
    <w:rPr>
      <w:rFonts w:ascii="Calibri" w:hAnsi="Calibri" w:eastAsia="宋体" w:cs="Times New Roman"/>
      <w:kern w:val="2"/>
      <w:sz w:val="21"/>
      <w:szCs w:val="22"/>
      <w:lang w:val="en-US" w:eastAsia="zh-CN" w:bidi="ar-SA"/>
    </w:rPr>
  </w:style>
  <w:style w:type="paragraph" w:customStyle="1" w:styleId="27">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8">
    <w:name w:val="List Paragraph"/>
    <w:basedOn w:val="1"/>
    <w:qFormat/>
    <w:uiPriority w:val="0"/>
    <w:pPr>
      <w:ind w:firstLine="200" w:firstLineChars="200"/>
    </w:pPr>
  </w:style>
  <w:style w:type="paragraph" w:customStyle="1" w:styleId="29">
    <w:name w:val="WPSOffice手动目录 1"/>
    <w:qFormat/>
    <w:uiPriority w:val="0"/>
    <w:rPr>
      <w:rFonts w:ascii="Times New Roman" w:hAnsi="Times New Roman" w:eastAsia="宋体" w:cs="Times New Roman"/>
      <w:lang w:val="en-US" w:eastAsia="zh-CN" w:bidi="ar-SA"/>
    </w:rPr>
  </w:style>
  <w:style w:type="paragraph" w:customStyle="1" w:styleId="30">
    <w:name w:val="WPSOffice手动目录 2"/>
    <w:uiPriority w:val="0"/>
    <w:pPr>
      <w:ind w:left="200" w:leftChars="200"/>
    </w:pPr>
    <w:rPr>
      <w:rFonts w:ascii="Times New Roman" w:hAnsi="Times New Roman" w:eastAsia="宋体" w:cs="Times New Roman"/>
      <w:lang w:val="en-US" w:eastAsia="zh-CN" w:bidi="ar-SA"/>
    </w:rPr>
  </w:style>
  <w:style w:type="paragraph" w:customStyle="1" w:styleId="31">
    <w:name w:val="TOC 标题1"/>
    <w:basedOn w:val="2"/>
    <w:next w:val="1"/>
    <w:qFormat/>
    <w:uiPriority w:val="0"/>
    <w:pPr>
      <w:spacing w:before="0" w:beforeLines="0" w:line="259" w:lineRule="auto"/>
      <w:outlineLvl w:val="9"/>
    </w:pPr>
    <w:rPr>
      <w:rFonts w:ascii="Calibri Light" w:hAnsi="Calibri Light"/>
      <w:bCs w:val="0"/>
      <w:color w:val="2E74B5"/>
      <w:kern w:val="0"/>
      <w:sz w:val="32"/>
      <w:szCs w:val="32"/>
    </w:rPr>
  </w:style>
  <w:style w:type="character" w:customStyle="1" w:styleId="32">
    <w:name w:val="disabled"/>
    <w:basedOn w:val="20"/>
    <w:qFormat/>
    <w:uiPriority w:val="0"/>
    <w:rPr>
      <w:rFonts w:cs="Times New Roman"/>
      <w:color w:val="333333"/>
      <w:bdr w:val="single" w:color="CCCCCC" w:sz="6" w:space="0"/>
    </w:rPr>
  </w:style>
  <w:style w:type="character" w:customStyle="1" w:styleId="33">
    <w:name w:val="disabled1"/>
    <w:basedOn w:val="20"/>
    <w:qFormat/>
    <w:uiPriority w:val="0"/>
    <w:rPr>
      <w:rFonts w:cs="Times New Roman"/>
      <w:color w:val="ADAAAD"/>
    </w:rPr>
  </w:style>
  <w:style w:type="character" w:customStyle="1" w:styleId="34">
    <w:name w:val="disabled2"/>
    <w:basedOn w:val="20"/>
    <w:qFormat/>
    <w:uiPriority w:val="0"/>
    <w:rPr>
      <w:rFonts w:cs="Times New Roman"/>
      <w:vanish/>
    </w:rPr>
  </w:style>
  <w:style w:type="character" w:customStyle="1" w:styleId="35">
    <w:name w:val="disabled3"/>
    <w:basedOn w:val="20"/>
    <w:qFormat/>
    <w:uiPriority w:val="0"/>
    <w:rPr>
      <w:rFonts w:cs="Times New Roman"/>
      <w:color w:val="CCCCCC"/>
      <w:bdr w:val="single" w:color="CCCCCC" w:sz="6" w:space="0"/>
    </w:rPr>
  </w:style>
  <w:style w:type="character" w:customStyle="1" w:styleId="36">
    <w:name w:val="disabled4"/>
    <w:basedOn w:val="20"/>
    <w:qFormat/>
    <w:uiPriority w:val="0"/>
    <w:rPr>
      <w:rFonts w:cs="Times New Roman"/>
      <w:color w:val="797979"/>
      <w:shd w:val="clear" w:color="auto" w:fill="C1C1C1"/>
    </w:rPr>
  </w:style>
  <w:style w:type="character" w:customStyle="1" w:styleId="37">
    <w:name w:val="disabled5"/>
    <w:basedOn w:val="20"/>
    <w:qFormat/>
    <w:uiPriority w:val="0"/>
    <w:rPr>
      <w:rFonts w:cs="Times New Roman"/>
      <w:color w:val="DDDDDD"/>
      <w:bdr w:val="single" w:color="EEEEEE" w:sz="6" w:space="0"/>
    </w:rPr>
  </w:style>
  <w:style w:type="character" w:customStyle="1" w:styleId="38">
    <w:name w:val="disabled6"/>
    <w:basedOn w:val="20"/>
    <w:uiPriority w:val="0"/>
    <w:rPr>
      <w:rFonts w:cs="Times New Roman"/>
      <w:color w:val="DDDDDD"/>
      <w:bdr w:val="single" w:color="EEEEEE" w:sz="6" w:space="0"/>
    </w:rPr>
  </w:style>
  <w:style w:type="character" w:customStyle="1" w:styleId="39">
    <w:name w:val="disabled7"/>
    <w:basedOn w:val="20"/>
    <w:qFormat/>
    <w:uiPriority w:val="0"/>
    <w:rPr>
      <w:rFonts w:cs="Times New Roman"/>
      <w:color w:val="FFE3C6"/>
      <w:bdr w:val="single" w:color="FFE3C6" w:sz="6" w:space="0"/>
    </w:rPr>
  </w:style>
  <w:style w:type="character" w:customStyle="1" w:styleId="40">
    <w:name w:val="disabled8"/>
    <w:basedOn w:val="20"/>
    <w:qFormat/>
    <w:uiPriority w:val="0"/>
    <w:rPr>
      <w:rFonts w:cs="Times New Roman"/>
      <w:color w:val="ADAAAD"/>
    </w:rPr>
  </w:style>
  <w:style w:type="character" w:customStyle="1" w:styleId="41">
    <w:name w:val="disabled9"/>
    <w:basedOn w:val="20"/>
    <w:qFormat/>
    <w:uiPriority w:val="0"/>
    <w:rPr>
      <w:rFonts w:cs="Times New Roman"/>
      <w:color w:val="929292"/>
      <w:bdr w:val="single" w:color="929292" w:sz="6" w:space="0"/>
    </w:rPr>
  </w:style>
  <w:style w:type="character" w:customStyle="1" w:styleId="42">
    <w:name w:val="disabled10"/>
    <w:basedOn w:val="20"/>
    <w:uiPriority w:val="0"/>
    <w:rPr>
      <w:rFonts w:cs="Times New Roman"/>
      <w:color w:val="CCCCCC"/>
      <w:bdr w:val="single" w:color="F3F3F3" w:sz="6" w:space="0"/>
    </w:rPr>
  </w:style>
  <w:style w:type="character" w:customStyle="1" w:styleId="43">
    <w:name w:val="disabled11"/>
    <w:basedOn w:val="20"/>
    <w:qFormat/>
    <w:uiPriority w:val="0"/>
    <w:rPr>
      <w:rFonts w:cs="Times New Roman"/>
      <w:color w:val="CCCCCC"/>
      <w:bdr w:val="single" w:color="F3F3F3" w:sz="6" w:space="0"/>
    </w:rPr>
  </w:style>
  <w:style w:type="character" w:customStyle="1" w:styleId="44">
    <w:name w:val="disabled12"/>
    <w:basedOn w:val="20"/>
    <w:qFormat/>
    <w:uiPriority w:val="0"/>
    <w:rPr>
      <w:rFonts w:cs="Times New Roman"/>
      <w:color w:val="808080"/>
      <w:bdr w:val="single" w:color="606060" w:sz="6" w:space="0"/>
    </w:rPr>
  </w:style>
  <w:style w:type="character" w:customStyle="1" w:styleId="45">
    <w:name w:val="disabled13"/>
    <w:basedOn w:val="20"/>
    <w:qFormat/>
    <w:uiPriority w:val="0"/>
    <w:rPr>
      <w:rFonts w:cs="Times New Roman"/>
      <w:color w:val="868686"/>
      <w:shd w:val="clear" w:color="auto" w:fill="3E3E3E"/>
    </w:rPr>
  </w:style>
  <w:style w:type="character" w:customStyle="1" w:styleId="46">
    <w:name w:val="disabled14"/>
    <w:basedOn w:val="20"/>
    <w:qFormat/>
    <w:uiPriority w:val="0"/>
    <w:rPr>
      <w:rFonts w:cs="Times New Roman"/>
      <w:color w:val="DDDDDD"/>
      <w:bdr w:val="single" w:color="EEEEEE" w:sz="6" w:space="0"/>
    </w:rPr>
  </w:style>
  <w:style w:type="character" w:customStyle="1" w:styleId="47">
    <w:name w:val="disabled15"/>
    <w:basedOn w:val="20"/>
    <w:uiPriority w:val="0"/>
    <w:rPr>
      <w:rFonts w:cs="Times New Roman"/>
      <w:vanish/>
    </w:rPr>
  </w:style>
  <w:style w:type="character" w:customStyle="1" w:styleId="48">
    <w:name w:val="disabled16"/>
    <w:basedOn w:val="20"/>
    <w:qFormat/>
    <w:uiPriority w:val="0"/>
    <w:rPr>
      <w:rFonts w:cs="Times New Roman"/>
      <w:color w:val="444444"/>
      <w:shd w:val="clear" w:color="auto" w:fill="000000"/>
    </w:rPr>
  </w:style>
  <w:style w:type="character" w:customStyle="1" w:styleId="49">
    <w:name w:val="disabled17"/>
    <w:basedOn w:val="20"/>
    <w:qFormat/>
    <w:uiPriority w:val="0"/>
    <w:rPr>
      <w:rFonts w:cs="Times New Roman"/>
      <w:vanish/>
    </w:rPr>
  </w:style>
  <w:style w:type="character" w:customStyle="1" w:styleId="50">
    <w:name w:val="disabled18"/>
    <w:basedOn w:val="20"/>
    <w:qFormat/>
    <w:uiPriority w:val="0"/>
    <w:rPr>
      <w:rFonts w:cs="Times New Roman"/>
      <w:vanish/>
    </w:rPr>
  </w:style>
  <w:style w:type="character" w:customStyle="1" w:styleId="51">
    <w:name w:val="disabled19"/>
    <w:basedOn w:val="20"/>
    <w:qFormat/>
    <w:uiPriority w:val="0"/>
    <w:rPr>
      <w:rFonts w:cs="Times New Roman"/>
      <w:vanish/>
    </w:rPr>
  </w:style>
  <w:style w:type="character" w:customStyle="1" w:styleId="52">
    <w:name w:val="disabled20"/>
    <w:basedOn w:val="20"/>
    <w:uiPriority w:val="0"/>
    <w:rPr>
      <w:rFonts w:cs="Times New Roman"/>
      <w:vanish/>
    </w:rPr>
  </w:style>
  <w:style w:type="character" w:customStyle="1" w:styleId="53">
    <w:name w:val="disabled21"/>
    <w:basedOn w:val="20"/>
    <w:qFormat/>
    <w:uiPriority w:val="0"/>
    <w:rPr>
      <w:rFonts w:cs="Times New Roman"/>
      <w:color w:val="CCCCCC"/>
      <w:bdr w:val="single" w:color="F3F3F3" w:sz="6" w:space="0"/>
    </w:rPr>
  </w:style>
  <w:style w:type="character" w:customStyle="1" w:styleId="54">
    <w:name w:val="disabled22"/>
    <w:basedOn w:val="20"/>
    <w:qFormat/>
    <w:uiPriority w:val="0"/>
    <w:rPr>
      <w:rFonts w:cs="Times New Roman"/>
      <w:vanish/>
    </w:rPr>
  </w:style>
  <w:style w:type="character" w:customStyle="1" w:styleId="55">
    <w:name w:val="current"/>
    <w:basedOn w:val="20"/>
    <w:uiPriority w:val="0"/>
    <w:rPr>
      <w:rFonts w:cs="Times New Roman"/>
      <w:color w:val="FFFFFF"/>
      <w:bdr w:val="single" w:color="008AC8" w:sz="6" w:space="0"/>
      <w:shd w:val="clear" w:color="auto" w:fill="008AC8"/>
    </w:rPr>
  </w:style>
  <w:style w:type="character" w:customStyle="1" w:styleId="56">
    <w:name w:val="current1"/>
    <w:basedOn w:val="20"/>
    <w:uiPriority w:val="0"/>
    <w:rPr>
      <w:rFonts w:cs="Times New Roman"/>
      <w:b/>
      <w:color w:val="99210B"/>
    </w:rPr>
  </w:style>
  <w:style w:type="character" w:customStyle="1" w:styleId="57">
    <w:name w:val="current2"/>
    <w:basedOn w:val="20"/>
    <w:qFormat/>
    <w:uiPriority w:val="0"/>
    <w:rPr>
      <w:rFonts w:cs="Times New Roman"/>
      <w:b/>
      <w:color w:val="000000"/>
    </w:rPr>
  </w:style>
  <w:style w:type="character" w:customStyle="1" w:styleId="58">
    <w:name w:val="current3"/>
    <w:basedOn w:val="20"/>
    <w:uiPriority w:val="0"/>
    <w:rPr>
      <w:rFonts w:cs="Times New Roman"/>
      <w:b/>
      <w:color w:val="000000"/>
      <w:bdr w:val="single" w:color="E89954" w:sz="6" w:space="0"/>
      <w:shd w:val="clear" w:color="auto" w:fill="FFCA7D"/>
    </w:rPr>
  </w:style>
  <w:style w:type="character" w:customStyle="1" w:styleId="59">
    <w:name w:val="current4"/>
    <w:basedOn w:val="20"/>
    <w:qFormat/>
    <w:uiPriority w:val="0"/>
    <w:rPr>
      <w:rFonts w:cs="Times New Roman"/>
      <w:b/>
      <w:color w:val="303030"/>
      <w:shd w:val="clear" w:color="auto" w:fill="FFFFFF"/>
    </w:rPr>
  </w:style>
  <w:style w:type="character" w:customStyle="1" w:styleId="60">
    <w:name w:val="current5"/>
    <w:basedOn w:val="20"/>
    <w:qFormat/>
    <w:uiPriority w:val="0"/>
    <w:rPr>
      <w:rFonts w:cs="Times New Roman"/>
      <w:b/>
      <w:color w:val="FFFFFF"/>
      <w:bdr w:val="single" w:color="000099" w:sz="6" w:space="0"/>
      <w:shd w:val="clear" w:color="auto" w:fill="000099"/>
    </w:rPr>
  </w:style>
  <w:style w:type="character" w:customStyle="1" w:styleId="61">
    <w:name w:val="current6"/>
    <w:basedOn w:val="20"/>
    <w:qFormat/>
    <w:uiPriority w:val="0"/>
    <w:rPr>
      <w:rFonts w:cs="Times New Roman"/>
      <w:b/>
      <w:color w:val="000000"/>
      <w:bdr w:val="single" w:color="FFFFFF" w:sz="6" w:space="0"/>
      <w:shd w:val="clear" w:color="auto" w:fill="FFFFFF"/>
    </w:rPr>
  </w:style>
  <w:style w:type="character" w:customStyle="1" w:styleId="62">
    <w:name w:val="current7"/>
    <w:basedOn w:val="20"/>
    <w:qFormat/>
    <w:uiPriority w:val="0"/>
    <w:rPr>
      <w:rFonts w:cs="Times New Roman"/>
      <w:b/>
      <w:color w:val="FF6500"/>
      <w:bdr w:val="single" w:color="FF6500" w:sz="6" w:space="0"/>
      <w:shd w:val="clear" w:color="auto" w:fill="FFBE94"/>
    </w:rPr>
  </w:style>
  <w:style w:type="character" w:customStyle="1" w:styleId="63">
    <w:name w:val="current8"/>
    <w:basedOn w:val="20"/>
    <w:qFormat/>
    <w:uiPriority w:val="0"/>
    <w:rPr>
      <w:rFonts w:cs="Times New Roman"/>
      <w:b/>
      <w:color w:val="FF0084"/>
    </w:rPr>
  </w:style>
  <w:style w:type="character" w:customStyle="1" w:styleId="64">
    <w:name w:val="current9"/>
    <w:basedOn w:val="20"/>
    <w:qFormat/>
    <w:uiPriority w:val="0"/>
    <w:rPr>
      <w:rFonts w:cs="Times New Roman"/>
      <w:b/>
      <w:color w:val="FFFFFF"/>
      <w:bdr w:val="single" w:color="000080" w:sz="6" w:space="0"/>
      <w:shd w:val="clear" w:color="auto" w:fill="2E6AB1"/>
    </w:rPr>
  </w:style>
  <w:style w:type="character" w:customStyle="1" w:styleId="65">
    <w:name w:val="current10"/>
    <w:basedOn w:val="20"/>
    <w:uiPriority w:val="0"/>
    <w:rPr>
      <w:rFonts w:cs="Times New Roman"/>
      <w:b/>
      <w:color w:val="FFFFFF"/>
      <w:bdr w:val="single" w:color="B2E05D" w:sz="6" w:space="0"/>
      <w:shd w:val="clear" w:color="auto" w:fill="B2E05D"/>
    </w:rPr>
  </w:style>
  <w:style w:type="character" w:customStyle="1" w:styleId="66">
    <w:name w:val="current11"/>
    <w:basedOn w:val="20"/>
    <w:qFormat/>
    <w:uiPriority w:val="0"/>
    <w:rPr>
      <w:rFonts w:cs="Times New Roman"/>
      <w:b/>
      <w:color w:val="AAAAAA"/>
      <w:bdr w:val="single" w:color="E0E0E0" w:sz="6" w:space="0"/>
      <w:shd w:val="clear" w:color="auto" w:fill="F0F0F0"/>
    </w:rPr>
  </w:style>
  <w:style w:type="character" w:customStyle="1" w:styleId="67">
    <w:name w:val="current12"/>
    <w:basedOn w:val="20"/>
    <w:uiPriority w:val="0"/>
    <w:rPr>
      <w:rFonts w:cs="Times New Roman"/>
      <w:b/>
      <w:color w:val="FFFFFF"/>
      <w:bdr w:val="single" w:color="FFFFFF" w:sz="6" w:space="0"/>
      <w:shd w:val="clear" w:color="auto" w:fill="606060"/>
    </w:rPr>
  </w:style>
  <w:style w:type="character" w:customStyle="1" w:styleId="68">
    <w:name w:val="current13"/>
    <w:basedOn w:val="20"/>
    <w:qFormat/>
    <w:uiPriority w:val="0"/>
    <w:rPr>
      <w:rFonts w:cs="Times New Roman"/>
      <w:b/>
      <w:color w:val="FFFFFF"/>
      <w:shd w:val="clear" w:color="auto" w:fill="313131"/>
    </w:rPr>
  </w:style>
  <w:style w:type="character" w:customStyle="1" w:styleId="69">
    <w:name w:val="current14"/>
    <w:basedOn w:val="20"/>
    <w:qFormat/>
    <w:uiPriority w:val="0"/>
    <w:rPr>
      <w:rFonts w:cs="Times New Roman"/>
      <w:b/>
      <w:color w:val="FFFFFF"/>
      <w:bdr w:val="single" w:color="D9D300" w:sz="6" w:space="0"/>
      <w:shd w:val="clear" w:color="auto" w:fill="D9D300"/>
    </w:rPr>
  </w:style>
  <w:style w:type="character" w:customStyle="1" w:styleId="70">
    <w:name w:val="current15"/>
    <w:basedOn w:val="20"/>
    <w:qFormat/>
    <w:uiPriority w:val="0"/>
    <w:rPr>
      <w:rFonts w:cs="Times New Roman"/>
      <w:color w:val="6D643C"/>
      <w:shd w:val="clear" w:color="auto" w:fill="F6EFCC"/>
    </w:rPr>
  </w:style>
  <w:style w:type="character" w:customStyle="1" w:styleId="71">
    <w:name w:val="current16"/>
    <w:basedOn w:val="20"/>
    <w:qFormat/>
    <w:uiPriority w:val="0"/>
    <w:rPr>
      <w:rFonts w:cs="Times New Roman"/>
      <w:b/>
      <w:color w:val="FFFFFF"/>
      <w:shd w:val="clear" w:color="auto" w:fill="000000"/>
    </w:rPr>
  </w:style>
  <w:style w:type="character" w:customStyle="1" w:styleId="72">
    <w:name w:val="current17"/>
    <w:basedOn w:val="20"/>
    <w:qFormat/>
    <w:uiPriority w:val="0"/>
    <w:rPr>
      <w:rFonts w:cs="Times New Roman"/>
      <w:b/>
      <w:color w:val="000000"/>
      <w:bdr w:val="single" w:color="FFFFFF" w:sz="12" w:space="0"/>
    </w:rPr>
  </w:style>
  <w:style w:type="character" w:customStyle="1" w:styleId="73">
    <w:name w:val="current18"/>
    <w:basedOn w:val="20"/>
    <w:qFormat/>
    <w:uiPriority w:val="0"/>
    <w:rPr>
      <w:rFonts w:cs="Times New Roman"/>
      <w:color w:val="000000"/>
      <w:shd w:val="clear" w:color="auto" w:fill="FFFFFF"/>
    </w:rPr>
  </w:style>
  <w:style w:type="character" w:customStyle="1" w:styleId="74">
    <w:name w:val="current19"/>
    <w:basedOn w:val="20"/>
    <w:qFormat/>
    <w:uiPriority w:val="0"/>
    <w:rPr>
      <w:rFonts w:cs="Times New Roman"/>
      <w:b/>
      <w:color w:val="444444"/>
      <w:bdr w:val="single" w:color="B7D8EE" w:sz="6" w:space="0"/>
      <w:shd w:val="clear" w:color="auto" w:fill="D2EAF6"/>
    </w:rPr>
  </w:style>
  <w:style w:type="character" w:customStyle="1" w:styleId="75">
    <w:name w:val="current20"/>
    <w:basedOn w:val="20"/>
    <w:qFormat/>
    <w:uiPriority w:val="0"/>
    <w:rPr>
      <w:rFonts w:cs="Times New Roman"/>
      <w:b/>
      <w:color w:val="FFFFFF"/>
      <w:bdr w:val="single" w:color="FF5A00" w:sz="12" w:space="0"/>
      <w:shd w:val="clear" w:color="auto" w:fill="FF6C16"/>
    </w:rPr>
  </w:style>
  <w:style w:type="character" w:customStyle="1" w:styleId="76">
    <w:name w:val="current21"/>
    <w:basedOn w:val="20"/>
    <w:qFormat/>
    <w:uiPriority w:val="0"/>
    <w:rPr>
      <w:rFonts w:cs="Times New Roman"/>
      <w:b/>
      <w:color w:val="FFFFFF"/>
      <w:bdr w:val="single" w:color="AAD83E" w:sz="6" w:space="0"/>
      <w:shd w:val="clear" w:color="auto" w:fill="AAD83E"/>
    </w:rPr>
  </w:style>
  <w:style w:type="character" w:customStyle="1" w:styleId="77">
    <w:name w:val="current22"/>
    <w:basedOn w:val="20"/>
    <w:qFormat/>
    <w:uiPriority w:val="0"/>
    <w:rPr>
      <w:rFonts w:cs="Times New Roman"/>
      <w:b/>
      <w:color w:val="000000"/>
    </w:rPr>
  </w:style>
  <w:style w:type="paragraph" w:customStyle="1" w:styleId="78">
    <w:name w:val="条标"/>
    <w:basedOn w:val="1"/>
    <w:next w:val="1"/>
    <w:qFormat/>
    <w:uiPriority w:val="0"/>
    <w:pPr>
      <w:widowControl/>
      <w:spacing w:line="360" w:lineRule="auto"/>
    </w:pPr>
    <w:rPr>
      <w:rFonts w:ascii="黑体" w:eastAsia="黑体" w:cs="黑体"/>
      <w:szCs w:val="21"/>
    </w:rPr>
  </w:style>
  <w:style w:type="paragraph" w:customStyle="1" w:styleId="79">
    <w:name w:val="一级"/>
    <w:basedOn w:val="2"/>
    <w:next w:val="3"/>
    <w:qFormat/>
    <w:uiPriority w:val="0"/>
    <w:pPr>
      <w:spacing w:before="100" w:beforeLines="100" w:after="100" w:afterLines="100"/>
    </w:pPr>
    <w:rPr>
      <w:rFonts w:cs="黑体"/>
      <w:bCs w:val="0"/>
      <w:kern w:val="28"/>
    </w:rPr>
  </w:style>
  <w:style w:type="character" w:customStyle="1" w:styleId="80">
    <w:name w:val="页脚 Char1"/>
    <w:basedOn w:val="20"/>
    <w:qFormat/>
    <w:uiPriority w:val="0"/>
    <w:rPr>
      <w:rFonts w:cs="Times New Roman"/>
      <w:sz w:val="18"/>
      <w:szCs w:val="18"/>
    </w:rPr>
  </w:style>
  <w:style w:type="character" w:customStyle="1" w:styleId="81">
    <w:name w:val="正文文本 Char1"/>
    <w:basedOn w:val="20"/>
    <w:qFormat/>
    <w:uiPriority w:val="0"/>
    <w:rPr>
      <w:rFonts w:ascii="Calibri" w:hAnsi="Calibri" w:eastAsia="宋体" w:cs="Times New Roman"/>
      <w:kern w:val="2"/>
      <w:sz w:val="22"/>
      <w:szCs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theme" Target="theme/theme1.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Normal.eit</Template>
  <Company>微软中国</Company>
  <Pages>40</Pages>
  <Words>19900</Words>
  <Characters>21305</Characters>
  <Lines>2</Lines>
  <Paragraphs>0</Paragraphs>
  <TotalTime>1810</TotalTime>
  <ScaleCrop>false</ScaleCrop>
  <LinksUpToDate>false</LinksUpToDate>
  <CharactersWithSpaces>22174</CharactersWithSpaces>
  <Application>WPS Office_11.1.0.12165_F1E327BC-269C-435d-A152-05C5408002CA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2019-10-27T03:21:00Z</dcterms:created>
  <dc:creator>微软用户</dc:creator>
  <cp:lastModifiedBy>郝庆锋</cp:lastModifiedBy>
  <cp:lastPrinted>2020-02-01T07:01:00Z</cp:lastPrinted>
  <dcterms:modified xsi:type="dcterms:W3CDTF">2024-12-17T08:43:49Z</dcterms:modified>
  <cp:revision>339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2052-11.1.0.12165</vt:lpwstr>
  </property>
  <property fmtid="{D5CDD505-2E9C-101B-9397-08002B2CF9AE}" pid="3" name="ICV">
    <vt:lpwstr>B43CCC009C8249248DF135B0CDD4CADD</vt:lpwstr>
  </property>
</Properties>
</file>