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600" w:lineRule="exact"/>
        <w:ind w:right="108"/>
        <w:jc w:val="center"/>
        <w:rPr>
          <w:rFonts w:ascii="Times New Roman" w:hAnsi="Times New Roman" w:eastAsia="华文新魏"/>
          <w:b/>
          <w:bCs/>
          <w:sz w:val="64"/>
          <w:szCs w:val="64"/>
          <w:lang w:val="zh-CN"/>
        </w:rPr>
      </w:pPr>
      <w:bookmarkStart w:id="0" w:name="_Toc472365065"/>
      <w:bookmarkStart w:id="1" w:name="_Toc471677995"/>
      <w:bookmarkStart w:id="2" w:name="_Toc16209_WPSOffice_Level1"/>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autoSpaceDE w:val="0"/>
        <w:autoSpaceDN w:val="0"/>
        <w:adjustRightInd w:val="0"/>
        <w:snapToGrid w:val="0"/>
        <w:spacing w:line="800" w:lineRule="exact"/>
        <w:ind w:right="108"/>
        <w:jc w:val="center"/>
        <w:rPr>
          <w:rFonts w:ascii="Times New Roman" w:hAnsi="Times New Roman" w:eastAsia="方正小标宋简体"/>
          <w:bCs/>
          <w:sz w:val="52"/>
          <w:szCs w:val="52"/>
          <w:lang w:val="zh-CN"/>
        </w:rPr>
      </w:pPr>
      <w:r>
        <w:rPr>
          <w:rFonts w:ascii="Times New Roman" w:hAnsi="Times New Roman" w:eastAsia="方正小标宋简体"/>
          <w:bCs/>
          <w:sz w:val="52"/>
          <w:szCs w:val="52"/>
          <w:lang w:val="zh-CN"/>
        </w:rPr>
        <w:t>湖北省矿产资源总体规划</w:t>
      </w:r>
      <w:bookmarkEnd w:id="0"/>
      <w:bookmarkEnd w:id="1"/>
      <w:bookmarkEnd w:id="2"/>
      <w:bookmarkStart w:id="3" w:name="_Toc442563068"/>
      <w:bookmarkStart w:id="4" w:name="_Toc420358035"/>
      <w:bookmarkStart w:id="5" w:name="_Toc472365066"/>
      <w:bookmarkStart w:id="6" w:name="_Toc420359410"/>
      <w:bookmarkStart w:id="7" w:name="_Toc471677996"/>
      <w:bookmarkStart w:id="8" w:name="_Toc421786550"/>
      <w:bookmarkStart w:id="9" w:name="_Toc423987433"/>
      <w:bookmarkStart w:id="10" w:name="_Toc15403_WPSOffice_Level1"/>
      <w:bookmarkStart w:id="11" w:name="_Toc442997414"/>
    </w:p>
    <w:p>
      <w:pPr>
        <w:autoSpaceDE w:val="0"/>
        <w:autoSpaceDN w:val="0"/>
        <w:adjustRightInd w:val="0"/>
        <w:snapToGrid w:val="0"/>
        <w:spacing w:line="800" w:lineRule="exact"/>
        <w:ind w:right="108"/>
        <w:jc w:val="center"/>
        <w:rPr>
          <w:rFonts w:ascii="Times New Roman" w:hAnsi="Times New Roman" w:eastAsia="创艺简标宋"/>
          <w:bCs/>
          <w:sz w:val="52"/>
          <w:szCs w:val="52"/>
          <w:lang w:val="zh-CN"/>
        </w:rPr>
      </w:pPr>
      <w:r>
        <w:rPr>
          <w:rFonts w:ascii="Times New Roman" w:hAnsi="Times New Roman" w:eastAsia="创艺简标宋"/>
          <w:bCs/>
          <w:sz w:val="52"/>
          <w:szCs w:val="52"/>
          <w:lang w:val="zh-CN"/>
        </w:rPr>
        <w:t>（20</w:t>
      </w:r>
      <w:r>
        <w:rPr>
          <w:rFonts w:ascii="Times New Roman" w:hAnsi="Times New Roman" w:eastAsia="创艺简标宋"/>
          <w:bCs/>
          <w:sz w:val="52"/>
          <w:szCs w:val="52"/>
        </w:rPr>
        <w:t>21</w:t>
      </w:r>
      <w:r>
        <w:rPr>
          <w:rFonts w:ascii="Times New Roman" w:hAnsi="Times New Roman" w:eastAsia="创艺简标宋"/>
          <w:bCs/>
          <w:sz w:val="52"/>
          <w:szCs w:val="52"/>
          <w:lang w:val="zh-CN"/>
        </w:rPr>
        <w:t>—202</w:t>
      </w:r>
      <w:r>
        <w:rPr>
          <w:rFonts w:ascii="Times New Roman" w:hAnsi="Times New Roman" w:eastAsia="创艺简标宋"/>
          <w:bCs/>
          <w:sz w:val="52"/>
          <w:szCs w:val="52"/>
        </w:rPr>
        <w:t>5</w:t>
      </w:r>
      <w:r>
        <w:rPr>
          <w:rFonts w:ascii="Times New Roman" w:hAnsi="Times New Roman" w:eastAsia="创艺简标宋"/>
          <w:bCs/>
          <w:sz w:val="52"/>
          <w:szCs w:val="52"/>
          <w:lang w:val="zh-CN"/>
        </w:rPr>
        <w:t>年）</w:t>
      </w:r>
      <w:bookmarkEnd w:id="3"/>
      <w:bookmarkEnd w:id="4"/>
      <w:bookmarkEnd w:id="5"/>
      <w:bookmarkEnd w:id="6"/>
      <w:bookmarkEnd w:id="7"/>
      <w:bookmarkEnd w:id="8"/>
      <w:bookmarkEnd w:id="9"/>
      <w:bookmarkEnd w:id="10"/>
      <w:bookmarkEnd w:id="11"/>
    </w:p>
    <w:p>
      <w:pPr>
        <w:autoSpaceDE w:val="0"/>
        <w:autoSpaceDN w:val="0"/>
        <w:adjustRightInd w:val="0"/>
        <w:snapToGrid w:val="0"/>
        <w:spacing w:line="600" w:lineRule="exact"/>
        <w:ind w:right="105" w:firstLine="643"/>
        <w:jc w:val="center"/>
        <w:rPr>
          <w:rFonts w:ascii="Times New Roman" w:hAnsi="Times New Roman"/>
          <w:b/>
          <w:bCs/>
          <w:sz w:val="32"/>
          <w:szCs w:val="32"/>
          <w:lang w:val="zh-CN"/>
        </w:rPr>
      </w:pPr>
    </w:p>
    <w:p>
      <w:pPr>
        <w:autoSpaceDE w:val="0"/>
        <w:autoSpaceDN w:val="0"/>
        <w:adjustRightInd w:val="0"/>
        <w:snapToGrid w:val="0"/>
        <w:spacing w:line="600" w:lineRule="exact"/>
        <w:ind w:right="105" w:firstLine="643"/>
        <w:jc w:val="center"/>
        <w:rPr>
          <w:rFonts w:ascii="Times New Roman" w:hAnsi="Times New Roman"/>
          <w:b/>
          <w:bCs/>
          <w:sz w:val="32"/>
          <w:szCs w:val="32"/>
          <w:lang w:val="zh-CN"/>
        </w:rPr>
      </w:pPr>
    </w:p>
    <w:p>
      <w:pPr>
        <w:autoSpaceDE w:val="0"/>
        <w:autoSpaceDN w:val="0"/>
        <w:adjustRightInd w:val="0"/>
        <w:snapToGrid w:val="0"/>
        <w:spacing w:line="600" w:lineRule="exact"/>
        <w:ind w:right="105" w:firstLine="643"/>
        <w:jc w:val="center"/>
        <w:rPr>
          <w:rFonts w:ascii="Times New Roman" w:hAnsi="Times New Roman"/>
          <w:b/>
          <w:bCs/>
          <w:sz w:val="32"/>
          <w:szCs w:val="32"/>
          <w:lang w:val="zh-CN"/>
        </w:rPr>
      </w:pPr>
    </w:p>
    <w:p>
      <w:pPr>
        <w:autoSpaceDE w:val="0"/>
        <w:autoSpaceDN w:val="0"/>
        <w:adjustRightInd w:val="0"/>
        <w:snapToGrid w:val="0"/>
        <w:spacing w:line="600" w:lineRule="exact"/>
        <w:ind w:right="105" w:firstLine="600"/>
        <w:jc w:val="center"/>
        <w:rPr>
          <w:rFonts w:ascii="Times New Roman" w:hAnsi="Times New Roman"/>
          <w:sz w:val="30"/>
          <w:szCs w:val="30"/>
          <w:lang w:val="zh-CN"/>
        </w:rPr>
      </w:pPr>
    </w:p>
    <w:p>
      <w:pPr>
        <w:pStyle w:val="27"/>
        <w:ind w:firstLine="210"/>
        <w:rPr>
          <w:rFonts w:ascii="Times New Roman" w:hAnsi="Times New Roman" w:cs="Times New Roman"/>
          <w:lang w:bidi="ar-SA"/>
        </w:rPr>
      </w:pPr>
    </w:p>
    <w:p>
      <w:pPr>
        <w:pStyle w:val="27"/>
        <w:ind w:firstLine="210"/>
        <w:rPr>
          <w:rFonts w:ascii="Times New Roman" w:hAnsi="Times New Roman" w:cs="Times New Roman"/>
          <w:lang w:bidi="ar-SA"/>
        </w:rPr>
      </w:pPr>
    </w:p>
    <w:p>
      <w:pPr>
        <w:pStyle w:val="27"/>
        <w:ind w:firstLine="210"/>
        <w:rPr>
          <w:rFonts w:ascii="Times New Roman" w:hAnsi="Times New Roman" w:cs="Times New Roman"/>
          <w:lang w:bidi="ar-SA"/>
        </w:rPr>
      </w:pPr>
    </w:p>
    <w:p>
      <w:pPr>
        <w:pStyle w:val="27"/>
        <w:ind w:firstLine="210"/>
        <w:rPr>
          <w:rFonts w:ascii="Times New Roman" w:hAnsi="Times New Roman" w:cs="Times New Roman"/>
          <w:lang w:bidi="ar-SA"/>
        </w:rPr>
      </w:pPr>
    </w:p>
    <w:p>
      <w:pPr>
        <w:pStyle w:val="27"/>
        <w:ind w:firstLine="210"/>
        <w:rPr>
          <w:rFonts w:ascii="Times New Roman" w:hAnsi="Times New Roman" w:cs="Times New Roman"/>
          <w:lang w:bidi="ar-SA"/>
        </w:rPr>
      </w:pPr>
    </w:p>
    <w:p>
      <w:pPr>
        <w:autoSpaceDE w:val="0"/>
        <w:autoSpaceDN w:val="0"/>
        <w:adjustRightInd w:val="0"/>
        <w:snapToGrid w:val="0"/>
        <w:spacing w:line="600" w:lineRule="exact"/>
        <w:ind w:right="105" w:firstLine="600"/>
        <w:jc w:val="center"/>
        <w:rPr>
          <w:rFonts w:ascii="Times New Roman" w:hAnsi="Times New Roman"/>
          <w:sz w:val="30"/>
          <w:szCs w:val="30"/>
          <w:lang w:val="zh-CN"/>
        </w:rPr>
      </w:pPr>
    </w:p>
    <w:p>
      <w:pPr>
        <w:pStyle w:val="27"/>
        <w:ind w:firstLine="210"/>
        <w:rPr>
          <w:rFonts w:ascii="Times New Roman" w:hAnsi="Times New Roman" w:cs="Times New Roman"/>
          <w:lang w:bidi="ar-SA"/>
        </w:rPr>
      </w:pPr>
    </w:p>
    <w:p>
      <w:pPr>
        <w:pStyle w:val="27"/>
        <w:ind w:firstLine="210"/>
        <w:rPr>
          <w:rFonts w:ascii="Times New Roman" w:hAnsi="Times New Roman" w:cs="Times New Roman"/>
        </w:rPr>
      </w:pPr>
      <w:bookmarkStart w:id="12" w:name="_Toc10920_WPSOffice_Level1"/>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left="0" w:firstLine="0" w:firstLineChars="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pStyle w:val="27"/>
        <w:ind w:firstLine="210"/>
        <w:rPr>
          <w:rFonts w:ascii="Times New Roman" w:hAnsi="Times New Roman" w:cs="Times New Roman"/>
        </w:rPr>
      </w:pPr>
    </w:p>
    <w:p>
      <w:pPr>
        <w:autoSpaceDE w:val="0"/>
        <w:autoSpaceDN w:val="0"/>
        <w:adjustRightInd w:val="0"/>
        <w:snapToGrid w:val="0"/>
        <w:spacing w:line="600" w:lineRule="exact"/>
        <w:rPr>
          <w:rFonts w:ascii="Times New Roman" w:hAnsi="Times New Roman" w:eastAsia="黑体"/>
          <w:bCs/>
          <w:sz w:val="36"/>
          <w:szCs w:val="36"/>
        </w:rPr>
      </w:pPr>
    </w:p>
    <w:p>
      <w:pPr>
        <w:autoSpaceDE w:val="0"/>
        <w:autoSpaceDN w:val="0"/>
        <w:adjustRightInd w:val="0"/>
        <w:snapToGrid w:val="0"/>
        <w:spacing w:line="600" w:lineRule="exact"/>
        <w:jc w:val="center"/>
        <w:rPr>
          <w:rFonts w:ascii="Times New Roman" w:hAnsi="Times New Roman" w:eastAsia="黑体"/>
          <w:bCs/>
          <w:sz w:val="36"/>
          <w:szCs w:val="36"/>
        </w:rPr>
      </w:pPr>
      <w:r>
        <w:rPr>
          <w:rFonts w:ascii="Times New Roman" w:hAnsi="Times New Roman" w:eastAsia="黑体"/>
          <w:bCs/>
          <w:sz w:val="36"/>
          <w:szCs w:val="36"/>
        </w:rPr>
        <w:t>湖北省</w:t>
      </w:r>
      <w:r>
        <w:rPr>
          <w:rFonts w:hint="eastAsia" w:ascii="Times New Roman" w:hAnsi="Times New Roman" w:eastAsia="黑体"/>
          <w:bCs/>
          <w:sz w:val="36"/>
          <w:szCs w:val="36"/>
        </w:rPr>
        <w:t>自然资源厅</w:t>
      </w:r>
    </w:p>
    <w:p>
      <w:pPr>
        <w:autoSpaceDE w:val="0"/>
        <w:autoSpaceDN w:val="0"/>
        <w:adjustRightInd w:val="0"/>
        <w:snapToGrid w:val="0"/>
        <w:spacing w:line="600" w:lineRule="exact"/>
        <w:jc w:val="center"/>
        <w:rPr>
          <w:rFonts w:ascii="Times New Roman" w:hAnsi="Times New Roman" w:eastAsia="黑体"/>
          <w:bCs/>
          <w:sz w:val="36"/>
          <w:szCs w:val="36"/>
          <w:lang w:val="zh-CN"/>
        </w:rPr>
      </w:pPr>
      <w:r>
        <w:rPr>
          <w:rFonts w:ascii="Times New Roman" w:hAnsi="Times New Roman" w:eastAsia="黑体"/>
          <w:bCs/>
          <w:sz w:val="36"/>
          <w:szCs w:val="36"/>
          <w:lang w:val="zh-CN"/>
        </w:rPr>
        <w:t>二〇二二年</w:t>
      </w:r>
      <w:r>
        <w:rPr>
          <w:rFonts w:hint="eastAsia" w:ascii="Times New Roman" w:hAnsi="Times New Roman" w:eastAsia="黑体"/>
          <w:bCs/>
          <w:sz w:val="36"/>
          <w:szCs w:val="36"/>
        </w:rPr>
        <w:t>九</w:t>
      </w:r>
      <w:r>
        <w:rPr>
          <w:rFonts w:ascii="Times New Roman" w:hAnsi="Times New Roman" w:eastAsia="黑体"/>
          <w:bCs/>
          <w:sz w:val="36"/>
          <w:szCs w:val="36"/>
          <w:lang w:val="zh-CN"/>
        </w:rPr>
        <w:t>月</w:t>
      </w:r>
      <w:bookmarkEnd w:id="12"/>
    </w:p>
    <w:p>
      <w:pPr>
        <w:autoSpaceDE w:val="0"/>
        <w:autoSpaceDN w:val="0"/>
        <w:adjustRightInd w:val="0"/>
        <w:snapToGrid w:val="0"/>
        <w:spacing w:line="600" w:lineRule="exact"/>
        <w:jc w:val="center"/>
        <w:rPr>
          <w:rFonts w:ascii="Times New Roman" w:hAnsi="Times New Roman" w:eastAsia="黑体"/>
          <w:bCs/>
          <w:sz w:val="36"/>
          <w:szCs w:val="36"/>
          <w:lang w:val="zh-CN"/>
        </w:rPr>
        <w:sectPr>
          <w:footnotePr>
            <w:numFmt w:val="decimalEnclosedCircleChinese"/>
          </w:footnotePr>
          <w:pgSz w:w="11906" w:h="16838"/>
          <w:pgMar w:top="1440" w:right="1800" w:bottom="1440" w:left="1800" w:header="851" w:footer="992" w:gutter="0"/>
          <w:pgNumType w:fmt="numberInDash"/>
          <w:cols w:space="720" w:num="1"/>
          <w:docGrid w:linePitch="312" w:charSpace="0"/>
        </w:sectPr>
      </w:pPr>
    </w:p>
    <w:p>
      <w:pPr>
        <w:pStyle w:val="27"/>
        <w:adjustRightInd w:val="0"/>
        <w:snapToGrid w:val="0"/>
        <w:spacing w:before="120" w:beforeLines="50" w:after="120" w:afterLines="50" w:line="580" w:lineRule="exact"/>
        <w:ind w:left="0" w:firstLine="0" w:firstLineChars="0"/>
        <w:jc w:val="center"/>
        <w:outlineLvl w:val="0"/>
        <w:rPr>
          <w:rFonts w:ascii="Times New Roman" w:hAnsi="Times New Roman" w:eastAsia="黑体" w:cs="Times New Roman"/>
          <w:bCs/>
          <w:sz w:val="36"/>
          <w:szCs w:val="36"/>
        </w:rPr>
      </w:pPr>
      <w:bookmarkStart w:id="13" w:name="_Toc15764"/>
      <w:bookmarkStart w:id="14" w:name="_Toc23601"/>
      <w:bookmarkStart w:id="15" w:name="_Toc16998"/>
      <w:bookmarkStart w:id="16" w:name="_Toc105_WPSOffice_Level1"/>
      <w:bookmarkStart w:id="17" w:name="_Toc12174"/>
      <w:bookmarkStart w:id="18" w:name="_Toc14261"/>
      <w:bookmarkStart w:id="19" w:name="_Toc10800"/>
      <w:bookmarkStart w:id="20" w:name="_Toc2523"/>
      <w:bookmarkStart w:id="21" w:name="_Toc69313744"/>
      <w:bookmarkStart w:id="22" w:name="_Toc4345"/>
      <w:bookmarkStart w:id="23" w:name="_Toc16553"/>
      <w:bookmarkStart w:id="24" w:name="_Toc7681"/>
      <w:bookmarkStart w:id="25" w:name="_Toc3806"/>
      <w:bookmarkStart w:id="26" w:name="_Toc31282"/>
      <w:bookmarkStart w:id="27" w:name="_Toc2673"/>
      <w:bookmarkStart w:id="28" w:name="_Toc69313948"/>
      <w:bookmarkStart w:id="29" w:name="_Toc1503"/>
      <w:bookmarkStart w:id="30" w:name="_Toc14274"/>
      <w:bookmarkStart w:id="31" w:name="_Toc5250"/>
      <w:bookmarkStart w:id="32" w:name="_Toc5611"/>
      <w:bookmarkStart w:id="33" w:name="_Toc5013"/>
      <w:bookmarkStart w:id="34" w:name="_Toc11220"/>
      <w:bookmarkStart w:id="35" w:name="_Toc69314053"/>
      <w:bookmarkStart w:id="36" w:name="_Toc718"/>
      <w:r>
        <w:rPr>
          <w:rFonts w:ascii="Times New Roman" w:hAnsi="Times New Roman" w:eastAsia="黑体" w:cs="Times New Roman"/>
          <w:bCs/>
          <w:sz w:val="36"/>
          <w:szCs w:val="36"/>
        </w:rPr>
        <w:t>总  则</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四五”时期是湖北省全面建成小康社会之后，乘势而上开启全面建设社会主义现代化新征程的第一个五年，是谱写新时代湖北高质量发展新篇章的关键五年。为推动建成中部地区崛起的重要战略支点，统筹矿业高质量发展与资源安全，加快矿业绿色转型升级，更好支撑和保障全省“一主引领、两翼驱动、全域协同”区域发展布局，依据《中华人民共和国矿产资源法》《中华人民共和国长江保护法》等法律法规，《全国矿产资源规划（2021—2025年）》《湖北省国民经济和社会发展第十四个五年规划和二</w:t>
      </w:r>
      <w:r>
        <w:rPr>
          <w:rFonts w:ascii="Times New Roman" w:hAnsi="Times New Roman"/>
          <w:kern w:val="0"/>
          <w:sz w:val="32"/>
          <w:szCs w:val="32"/>
        </w:rPr>
        <w:t>〇</w:t>
      </w:r>
      <w:r>
        <w:rPr>
          <w:rFonts w:ascii="Times New Roman" w:hAnsi="Times New Roman" w:eastAsia="仿宋_GB2312"/>
          <w:kern w:val="0"/>
          <w:sz w:val="32"/>
          <w:szCs w:val="32"/>
        </w:rPr>
        <w:t>三五年远景目标纲要》等规划，按照</w:t>
      </w:r>
      <w:r>
        <w:rPr>
          <w:rFonts w:ascii="Times New Roman" w:hAnsi="Times New Roman" w:eastAsia="仿宋_GB2312"/>
          <w:sz w:val="32"/>
          <w:szCs w:val="32"/>
          <w:lang w:val="zh-CN"/>
        </w:rPr>
        <w:t>《矿产资源规划编制实施办法》</w:t>
      </w:r>
      <w:r>
        <w:rPr>
          <w:rFonts w:ascii="Times New Roman" w:hAnsi="Times New Roman" w:eastAsia="仿宋_GB2312"/>
          <w:sz w:val="32"/>
          <w:szCs w:val="32"/>
        </w:rPr>
        <w:t>及相关技术标准与规程</w:t>
      </w:r>
      <w:r>
        <w:rPr>
          <w:rFonts w:ascii="Times New Roman" w:hAnsi="Times New Roman" w:eastAsia="仿宋_GB2312"/>
          <w:kern w:val="0"/>
          <w:sz w:val="32"/>
          <w:szCs w:val="32"/>
        </w:rPr>
        <w:t>，制定《湖北省矿产资源总体规划（2021—2025年）》（以下简称《规划》）。</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《规划》是落实国家矿产资源战略、加强和改善矿产资源宏观管理的重要手段，是依法审批和监督管理地质勘查、矿产资源开发利用和保护活动的重要依据。</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《规划》以2020年为基期，以2025年为目标年，展望到2035年。</w:t>
      </w:r>
      <w:bookmarkStart w:id="37" w:name="_Toc27021"/>
      <w:bookmarkStart w:id="38" w:name="_Toc532022821"/>
      <w:bookmarkStart w:id="39" w:name="_Toc532022405"/>
      <w:bookmarkStart w:id="40" w:name="_Toc23119"/>
      <w:bookmarkStart w:id="41" w:name="_Toc531408959"/>
      <w:bookmarkStart w:id="42" w:name="_Toc634"/>
      <w:bookmarkStart w:id="43" w:name="_Toc531408703"/>
      <w:bookmarkStart w:id="44" w:name="_Toc196273654"/>
      <w:bookmarkStart w:id="45" w:name="_Toc532098140"/>
      <w:bookmarkStart w:id="46" w:name="_Toc2976"/>
      <w:bookmarkStart w:id="47" w:name="_Toc531408822"/>
      <w:bookmarkStart w:id="48" w:name="_Toc482273984"/>
      <w:bookmarkStart w:id="49" w:name="_Toc56934524"/>
      <w:bookmarkStart w:id="50" w:name="_Toc485138651"/>
      <w:bookmarkStart w:id="51" w:name="_Toc3044"/>
      <w:bookmarkStart w:id="52" w:name="_Toc430840539"/>
      <w:bookmarkStart w:id="53" w:name="_Toc16931"/>
      <w:bookmarkStart w:id="54" w:name="_Toc24009"/>
      <w:bookmarkStart w:id="55" w:name="_Toc27274"/>
      <w:bookmarkStart w:id="56" w:name="_Toc430545309"/>
      <w:bookmarkStart w:id="57" w:name="_Toc27897"/>
      <w:bookmarkStart w:id="58" w:name="_Toc21731"/>
      <w:bookmarkStart w:id="59" w:name="_Toc20894_WPSOffice_Level1"/>
      <w:bookmarkStart w:id="60" w:name="_Toc532022324"/>
      <w:bookmarkStart w:id="61" w:name="_Toc14429"/>
      <w:bookmarkStart w:id="62" w:name="_Toc16887"/>
      <w:bookmarkStart w:id="63" w:name="_Toc21288"/>
      <w:bookmarkStart w:id="64" w:name="_Toc23691"/>
      <w:bookmarkStart w:id="65" w:name="_Toc69313745"/>
      <w:bookmarkStart w:id="66" w:name="_Toc10683"/>
      <w:bookmarkStart w:id="67" w:name="_Toc69313949"/>
      <w:bookmarkStart w:id="68" w:name="_Toc25974"/>
      <w:bookmarkStart w:id="69" w:name="_Toc30292"/>
      <w:bookmarkStart w:id="70" w:name="_Toc7503"/>
      <w:bookmarkStart w:id="71" w:name="_Toc8749"/>
      <w:bookmarkStart w:id="72" w:name="_Toc16782"/>
      <w:r>
        <w:rPr>
          <w:rFonts w:ascii="Times New Roman" w:hAnsi="Times New Roman" w:eastAsia="仿宋_GB2312"/>
          <w:kern w:val="0"/>
          <w:sz w:val="32"/>
          <w:szCs w:val="32"/>
        </w:rPr>
        <w:t>适用于湖北省所辖行政区域，涉及矿产资源开发活动的相关行业规划，应当与本《规划》衔接。</w:t>
      </w:r>
    </w:p>
    <w:p>
      <w:pPr>
        <w:adjustRightInd w:val="0"/>
        <w:snapToGrid w:val="0"/>
        <w:spacing w:line="600" w:lineRule="exact"/>
        <w:ind w:firstLine="720" w:firstLineChars="200"/>
        <w:rPr>
          <w:rFonts w:ascii="Times New Roman" w:hAnsi="Times New Roman" w:eastAsia="黑体"/>
          <w:bCs/>
          <w:sz w:val="36"/>
          <w:szCs w:val="36"/>
        </w:rPr>
      </w:pPr>
      <w:r>
        <w:rPr>
          <w:rFonts w:ascii="Times New Roman" w:hAnsi="Times New Roman" w:eastAsia="黑体"/>
          <w:bCs/>
          <w:sz w:val="36"/>
          <w:szCs w:val="36"/>
        </w:rPr>
        <w:br w:type="page"/>
      </w:r>
    </w:p>
    <w:p>
      <w:pPr>
        <w:adjustRightInd w:val="0"/>
        <w:snapToGrid w:val="0"/>
        <w:spacing w:line="580" w:lineRule="exact"/>
        <w:ind w:firstLine="720" w:firstLineChars="200"/>
        <w:outlineLvl w:val="0"/>
        <w:rPr>
          <w:rFonts w:ascii="Times New Roman" w:hAnsi="Times New Roman" w:eastAsia="黑体"/>
          <w:bCs/>
          <w:sz w:val="36"/>
          <w:szCs w:val="36"/>
        </w:rPr>
      </w:pPr>
      <w:bookmarkStart w:id="73" w:name="_Toc5848"/>
      <w:r>
        <w:rPr>
          <w:rFonts w:ascii="Times New Roman" w:hAnsi="Times New Roman" w:eastAsia="黑体"/>
          <w:bCs/>
          <w:sz w:val="36"/>
          <w:szCs w:val="36"/>
        </w:rPr>
        <w:t>一、</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eastAsia="黑体"/>
          <w:bCs/>
          <w:sz w:val="36"/>
          <w:szCs w:val="36"/>
        </w:rPr>
        <w:t>规划基础</w:t>
      </w:r>
      <w:bookmarkEnd w:id="62"/>
      <w:bookmarkEnd w:id="63"/>
      <w:bookmarkEnd w:id="64"/>
      <w:bookmarkEnd w:id="65"/>
      <w:bookmarkEnd w:id="66"/>
      <w:bookmarkEnd w:id="67"/>
      <w:bookmarkEnd w:id="68"/>
      <w:bookmarkEnd w:id="69"/>
      <w:bookmarkEnd w:id="70"/>
      <w:bookmarkEnd w:id="71"/>
      <w:bookmarkEnd w:id="72"/>
      <w:bookmarkEnd w:id="73"/>
    </w:p>
    <w:p>
      <w:pPr>
        <w:adjustRightInd w:val="0"/>
        <w:snapToGrid w:val="0"/>
        <w:spacing w:line="600" w:lineRule="exact"/>
        <w:ind w:firstLine="640" w:firstLineChars="200"/>
        <w:rPr>
          <w:rFonts w:ascii="Times New Roman" w:hAnsi="Times New Roman" w:eastAsia="仿宋_GB2312"/>
          <w:kern w:val="0"/>
          <w:sz w:val="32"/>
          <w:szCs w:val="32"/>
        </w:rPr>
      </w:pPr>
      <w:bookmarkStart w:id="74" w:name="_Toc23704"/>
      <w:bookmarkStart w:id="75" w:name="_Toc6828"/>
      <w:bookmarkStart w:id="76" w:name="_Toc3175"/>
      <w:bookmarkStart w:id="77" w:name="_Toc1915"/>
      <w:bookmarkStart w:id="78" w:name="_Toc2759"/>
      <w:bookmarkStart w:id="79" w:name="_Toc11492"/>
      <w:bookmarkStart w:id="80" w:name="_Toc32334"/>
      <w:bookmarkStart w:id="81" w:name="_Toc15499"/>
      <w:bookmarkStart w:id="82" w:name="_Toc30240"/>
      <w:bookmarkStart w:id="83" w:name="_Toc30062"/>
      <w:bookmarkStart w:id="84" w:name="_Toc4412"/>
      <w:bookmarkStart w:id="85" w:name="_Toc26426"/>
      <w:bookmarkStart w:id="86" w:name="_Toc30486"/>
      <w:bookmarkStart w:id="87" w:name="_Toc485138652"/>
      <w:bookmarkStart w:id="88" w:name="_Toc32121"/>
      <w:bookmarkStart w:id="89" w:name="_Toc468534780"/>
      <w:bookmarkStart w:id="90" w:name="_Toc8375"/>
      <w:bookmarkStart w:id="91" w:name="_Toc483982765"/>
      <w:bookmarkStart w:id="92" w:name="_Toc482273985"/>
      <w:r>
        <w:rPr>
          <w:rFonts w:ascii="Times New Roman" w:hAnsi="Times New Roman" w:eastAsia="仿宋_GB2312"/>
          <w:kern w:val="0"/>
          <w:sz w:val="32"/>
          <w:szCs w:val="32"/>
        </w:rPr>
        <w:t>湖北省地处华中腹地，是长江经济带发展、中部崛起、长江中游城市群发展等国家战略所在地。矿产资源是全省经济社会发展的重要物质基础，全省已发现矿产资源150种，其中已查明资源储量的矿产91种，</w:t>
      </w:r>
      <w:r>
        <w:rPr>
          <w:rFonts w:ascii="Times New Roman" w:hAnsi="Times New Roman" w:eastAsia="仿宋_GB2312"/>
          <w:kern w:val="0"/>
          <w:sz w:val="32"/>
          <w:szCs w:val="32"/>
          <w:lang w:val="zh-CN"/>
        </w:rPr>
        <w:t>磷、</w:t>
      </w:r>
      <w:r>
        <w:rPr>
          <w:rFonts w:ascii="Times New Roman" w:hAnsi="Times New Roman" w:eastAsia="仿宋_GB2312"/>
          <w:kern w:val="0"/>
          <w:sz w:val="32"/>
          <w:szCs w:val="32"/>
        </w:rPr>
        <w:t>盐</w:t>
      </w:r>
      <w:r>
        <w:rPr>
          <w:rFonts w:ascii="Times New Roman" w:hAnsi="Times New Roman" w:eastAsia="仿宋_GB2312"/>
          <w:kern w:val="0"/>
          <w:sz w:val="32"/>
          <w:szCs w:val="32"/>
          <w:lang w:val="zh-CN"/>
        </w:rPr>
        <w:t>等</w:t>
      </w:r>
      <w:r>
        <w:rPr>
          <w:rFonts w:ascii="Times New Roman" w:hAnsi="Times New Roman" w:eastAsia="仿宋_GB2312"/>
          <w:kern w:val="0"/>
          <w:sz w:val="32"/>
          <w:szCs w:val="32"/>
        </w:rPr>
        <w:t>56种矿产</w:t>
      </w:r>
      <w:r>
        <w:rPr>
          <w:rFonts w:ascii="Times New Roman" w:hAnsi="Times New Roman" w:eastAsia="仿宋_GB2312"/>
          <w:kern w:val="0"/>
          <w:sz w:val="32"/>
          <w:szCs w:val="32"/>
          <w:lang w:val="zh-CN"/>
        </w:rPr>
        <w:t>保有</w:t>
      </w:r>
      <w:r>
        <w:rPr>
          <w:rFonts w:ascii="Times New Roman" w:hAnsi="Times New Roman" w:eastAsia="仿宋_GB2312"/>
          <w:kern w:val="0"/>
          <w:sz w:val="32"/>
          <w:szCs w:val="32"/>
        </w:rPr>
        <w:t>资源储量排名全国前十位。全省主要矿产资源分布相对集中，富铁、富铜、金等矿产集中分布于鄂东南地区，磷</w:t>
      </w:r>
      <w:r>
        <w:rPr>
          <w:rFonts w:ascii="Times New Roman" w:hAnsi="Times New Roman" w:eastAsia="仿宋_GB2312"/>
          <w:kern w:val="0"/>
          <w:sz w:val="32"/>
          <w:szCs w:val="32"/>
          <w:lang w:val="zh-CN"/>
        </w:rPr>
        <w:t>、页岩气</w:t>
      </w:r>
      <w:r>
        <w:rPr>
          <w:rFonts w:ascii="Times New Roman" w:hAnsi="Times New Roman" w:eastAsia="仿宋_GB2312"/>
          <w:kern w:val="0"/>
          <w:sz w:val="32"/>
          <w:szCs w:val="32"/>
        </w:rPr>
        <w:t>等矿产主要分布于鄂西、鄂西南地区，石油、盐、芒硝等矿产主要分布于鄂中地区，银、铌、钽等矿产主要分布在鄂西北地区，基本形成鄂东铜铁冶金建材、鄂西磷化工、鄂中盐化工及石油化工、</w:t>
      </w:r>
      <w:r>
        <w:rPr>
          <w:rFonts w:ascii="Times New Roman" w:hAnsi="Times New Roman" w:eastAsia="仿宋_GB2312"/>
          <w:sz w:val="32"/>
          <w:szCs w:val="32"/>
        </w:rPr>
        <w:t>鄂西北银多金属矿采选</w:t>
      </w:r>
      <w:r>
        <w:rPr>
          <w:rFonts w:ascii="Times New Roman" w:hAnsi="Times New Roman" w:eastAsia="仿宋_GB2312"/>
          <w:kern w:val="0"/>
          <w:sz w:val="32"/>
          <w:szCs w:val="32"/>
        </w:rPr>
        <w:t>等多个资源型现代产业集群。</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93" w:name="_Toc1338"/>
      <w:bookmarkStart w:id="94" w:name="_Toc13695"/>
      <w:bookmarkStart w:id="95" w:name="_Toc16363"/>
      <w:bookmarkStart w:id="96" w:name="_Toc22802"/>
      <w:r>
        <w:rPr>
          <w:rFonts w:ascii="Times New Roman" w:hAnsi="Times New Roman" w:eastAsia="楷体_GB2312" w:cs="Times New Roman"/>
          <w:b w:val="0"/>
          <w:bCs w:val="0"/>
          <w:i w:val="0"/>
          <w:iCs w:val="0"/>
          <w:sz w:val="32"/>
          <w:szCs w:val="32"/>
          <w:lang w:val="zh-CN"/>
        </w:rPr>
        <w:t>（一）发展现状</w:t>
      </w:r>
      <w:bookmarkEnd w:id="93"/>
      <w:bookmarkEnd w:id="94"/>
      <w:bookmarkEnd w:id="95"/>
      <w:bookmarkEnd w:id="96"/>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“十三五”时期，全省坚持“生态优先、绿色发展”理念，守牢资源安全底线，矿产资源勘查、开发利用和保护工作有序推进，矿产资源支撑区域经济发展和产业布局作用不断</w:t>
      </w:r>
      <w:r>
        <w:rPr>
          <w:rFonts w:hint="eastAsia" w:ascii="Times New Roman" w:hAnsi="Times New Roman" w:eastAsia="仿宋_GB2312"/>
          <w:kern w:val="0"/>
          <w:sz w:val="32"/>
          <w:szCs w:val="32"/>
          <w:lang w:val="en-US" w:eastAsia="zh-CN"/>
        </w:rPr>
        <w:t>增</w:t>
      </w:r>
      <w:r>
        <w:rPr>
          <w:rFonts w:ascii="Times New Roman" w:hAnsi="Times New Roman" w:eastAsia="仿宋_GB2312"/>
          <w:kern w:val="0"/>
          <w:sz w:val="32"/>
          <w:szCs w:val="32"/>
        </w:rPr>
        <w:t>强，服务全省经济社会高质量发展取得新成效</w:t>
      </w:r>
      <w:bookmarkEnd w:id="74"/>
      <w:bookmarkEnd w:id="75"/>
      <w:bookmarkEnd w:id="76"/>
      <w:bookmarkEnd w:id="77"/>
      <w:bookmarkEnd w:id="78"/>
      <w:bookmarkEnd w:id="79"/>
      <w:bookmarkEnd w:id="80"/>
      <w:bookmarkEnd w:id="81"/>
      <w:bookmarkEnd w:id="82"/>
      <w:bookmarkEnd w:id="83"/>
      <w:bookmarkEnd w:id="84"/>
      <w:bookmarkEnd w:id="85"/>
      <w:bookmarkEnd w:id="86"/>
      <w:r>
        <w:rPr>
          <w:rFonts w:ascii="Times New Roman" w:hAnsi="Times New Roman" w:eastAsia="仿宋_GB2312"/>
          <w:kern w:val="0"/>
          <w:sz w:val="32"/>
          <w:szCs w:val="32"/>
        </w:rPr>
        <w:t>。</w:t>
      </w:r>
    </w:p>
    <w:p>
      <w:pPr>
        <w:adjustRightInd w:val="0"/>
        <w:snapToGrid w:val="0"/>
        <w:spacing w:line="600" w:lineRule="exact"/>
        <w:ind w:firstLine="643" w:firstLineChars="200"/>
        <w:rPr>
          <w:rFonts w:ascii="Times New Roman" w:hAnsi="Times New Roman" w:eastAsia="仿宋_GB2312"/>
          <w:kern w:val="0"/>
          <w:sz w:val="32"/>
          <w:szCs w:val="32"/>
          <w:lang w:val="zh-CN"/>
        </w:rPr>
      </w:pPr>
      <w:r>
        <w:rPr>
          <w:rFonts w:ascii="Times New Roman" w:hAnsi="Times New Roman" w:eastAsia="仿宋_GB2312"/>
          <w:b/>
          <w:bCs/>
          <w:kern w:val="0"/>
          <w:sz w:val="32"/>
          <w:szCs w:val="32"/>
          <w:lang w:val="zh-CN"/>
        </w:rPr>
        <w:t>资源</w:t>
      </w:r>
      <w:r>
        <w:rPr>
          <w:rFonts w:ascii="Times New Roman" w:hAnsi="Times New Roman" w:eastAsia="仿宋_GB2312"/>
          <w:b/>
          <w:bCs/>
          <w:kern w:val="0"/>
          <w:sz w:val="32"/>
          <w:szCs w:val="32"/>
        </w:rPr>
        <w:t>安全</w:t>
      </w:r>
      <w:r>
        <w:rPr>
          <w:rFonts w:ascii="Times New Roman" w:hAnsi="Times New Roman" w:eastAsia="仿宋_GB2312"/>
          <w:b/>
          <w:bCs/>
          <w:kern w:val="0"/>
          <w:sz w:val="32"/>
          <w:szCs w:val="32"/>
          <w:lang w:val="zh-CN"/>
        </w:rPr>
        <w:t>保障保持稳定。</w:t>
      </w:r>
      <w:r>
        <w:rPr>
          <w:rFonts w:ascii="Times New Roman" w:hAnsi="Times New Roman" w:eastAsia="仿宋_GB2312"/>
          <w:kern w:val="0"/>
          <w:sz w:val="32"/>
          <w:szCs w:val="32"/>
          <w:lang w:val="zh-CN"/>
        </w:rPr>
        <w:t>统筹推进地质勘查工作，基础地质调查程度不断提高，地质找矿</w:t>
      </w:r>
      <w:r>
        <w:rPr>
          <w:rFonts w:ascii="Times New Roman" w:hAnsi="Times New Roman" w:eastAsia="仿宋_GB2312"/>
          <w:kern w:val="0"/>
          <w:sz w:val="32"/>
          <w:szCs w:val="32"/>
        </w:rPr>
        <w:t>不断</w:t>
      </w:r>
      <w:r>
        <w:rPr>
          <w:rFonts w:ascii="Times New Roman" w:hAnsi="Times New Roman" w:eastAsia="仿宋_GB2312"/>
          <w:kern w:val="0"/>
          <w:sz w:val="32"/>
          <w:szCs w:val="32"/>
          <w:lang w:val="zh-CN"/>
        </w:rPr>
        <w:t>取得</w:t>
      </w:r>
      <w:r>
        <w:rPr>
          <w:rFonts w:ascii="Times New Roman" w:hAnsi="Times New Roman" w:eastAsia="仿宋_GB2312"/>
          <w:kern w:val="0"/>
          <w:sz w:val="32"/>
          <w:szCs w:val="32"/>
        </w:rPr>
        <w:t>新</w:t>
      </w:r>
      <w:r>
        <w:rPr>
          <w:rFonts w:ascii="Times New Roman" w:hAnsi="Times New Roman" w:eastAsia="仿宋_GB2312"/>
          <w:kern w:val="0"/>
          <w:sz w:val="32"/>
          <w:szCs w:val="32"/>
          <w:lang w:val="zh-CN"/>
        </w:rPr>
        <w:t>进展，</w:t>
      </w:r>
      <w:r>
        <w:rPr>
          <w:rFonts w:ascii="Times New Roman" w:hAnsi="Times New Roman" w:eastAsia="仿宋_GB2312"/>
          <w:kern w:val="0"/>
          <w:sz w:val="32"/>
          <w:szCs w:val="32"/>
        </w:rPr>
        <w:t>深入开展找矿突破战略行动，圈定一批重要远景区和找矿靶区</w:t>
      </w:r>
      <w:r>
        <w:rPr>
          <w:rFonts w:ascii="Times New Roman" w:hAnsi="Times New Roman" w:eastAsia="仿宋_GB2312"/>
          <w:kern w:val="0"/>
          <w:sz w:val="32"/>
          <w:szCs w:val="32"/>
          <w:lang w:val="zh-CN"/>
        </w:rPr>
        <w:t>，</w:t>
      </w:r>
      <w:r>
        <w:rPr>
          <w:rFonts w:ascii="Times New Roman" w:hAnsi="Times New Roman" w:eastAsia="仿宋_GB2312"/>
          <w:bCs/>
          <w:sz w:val="32"/>
          <w:szCs w:val="32"/>
        </w:rPr>
        <w:t>新发现矿产地14处，磷矿等战略性矿产保有资源量在开发强度持续加大的情况下仍实现增长。页岩气调查评价取得重要进展，鄂西页岩气勘探开发综合示范区建设获国家批准。</w:t>
      </w:r>
    </w:p>
    <w:p>
      <w:pPr>
        <w:autoSpaceDE w:val="0"/>
        <w:autoSpaceDN w:val="0"/>
        <w:adjustRightInd w:val="0"/>
        <w:snapToGrid w:val="0"/>
        <w:spacing w:line="600" w:lineRule="exact"/>
        <w:ind w:firstLine="643" w:firstLineChars="200"/>
        <w:rPr>
          <w:rFonts w:ascii="Times New Roman" w:hAnsi="Times New Roman" w:eastAsia="仿宋_GB2312"/>
          <w:sz w:val="32"/>
          <w:szCs w:val="32"/>
          <w:lang w:val="zh-CN"/>
        </w:rPr>
      </w:pPr>
      <w:r>
        <w:rPr>
          <w:rFonts w:ascii="Times New Roman" w:hAnsi="Times New Roman" w:eastAsia="仿宋_GB2312"/>
          <w:b/>
          <w:bCs/>
          <w:sz w:val="32"/>
          <w:szCs w:val="32"/>
        </w:rPr>
        <w:t>资源开发利用</w:t>
      </w:r>
      <w:r>
        <w:rPr>
          <w:rFonts w:ascii="Times New Roman" w:hAnsi="Times New Roman" w:eastAsia="仿宋_GB2312"/>
          <w:b/>
          <w:bCs/>
          <w:sz w:val="32"/>
          <w:szCs w:val="32"/>
          <w:lang w:val="zh-CN"/>
        </w:rPr>
        <w:t>质效并增。</w:t>
      </w:r>
      <w:r>
        <w:rPr>
          <w:rFonts w:ascii="Times New Roman" w:hAnsi="Times New Roman" w:eastAsia="仿宋_GB2312"/>
          <w:sz w:val="32"/>
          <w:szCs w:val="32"/>
        </w:rPr>
        <w:t>合理</w:t>
      </w:r>
      <w:r>
        <w:rPr>
          <w:rFonts w:ascii="Times New Roman" w:hAnsi="Times New Roman" w:eastAsia="仿宋_GB2312"/>
          <w:sz w:val="32"/>
          <w:szCs w:val="32"/>
          <w:lang w:val="zh-CN"/>
        </w:rPr>
        <w:t>调整开发利用结构，矿山总数</w:t>
      </w:r>
      <w:r>
        <w:rPr>
          <w:rFonts w:ascii="Times New Roman" w:hAnsi="Times New Roman" w:eastAsia="仿宋_GB2312"/>
          <w:sz w:val="32"/>
          <w:szCs w:val="32"/>
        </w:rPr>
        <w:t>逐步减少</w:t>
      </w:r>
      <w:r>
        <w:rPr>
          <w:rFonts w:ascii="Times New Roman" w:hAnsi="Times New Roman" w:eastAsia="仿宋_GB2312"/>
          <w:sz w:val="32"/>
          <w:szCs w:val="32"/>
          <w:lang w:val="zh-CN"/>
        </w:rPr>
        <w:t>，大中型矿山比例</w:t>
      </w:r>
      <w:r>
        <w:rPr>
          <w:rFonts w:ascii="Times New Roman" w:hAnsi="Times New Roman" w:eastAsia="仿宋_GB2312"/>
          <w:sz w:val="32"/>
          <w:szCs w:val="32"/>
        </w:rPr>
        <w:t>显著提高，矿业开发格局进一步优化。严格约束性指标管控，</w:t>
      </w:r>
      <w:r>
        <w:rPr>
          <w:rFonts w:ascii="Times New Roman" w:hAnsi="Times New Roman" w:eastAsia="仿宋_GB2312"/>
          <w:sz w:val="32"/>
          <w:szCs w:val="32"/>
          <w:lang w:val="zh-CN"/>
        </w:rPr>
        <w:t>磷</w:t>
      </w:r>
      <w:r>
        <w:rPr>
          <w:rFonts w:ascii="Times New Roman" w:hAnsi="Times New Roman" w:eastAsia="仿宋_GB2312"/>
          <w:sz w:val="32"/>
          <w:szCs w:val="32"/>
        </w:rPr>
        <w:t>矿</w:t>
      </w:r>
      <w:r>
        <w:rPr>
          <w:rFonts w:ascii="Times New Roman" w:hAnsi="Times New Roman" w:eastAsia="仿宋_GB2312"/>
          <w:sz w:val="32"/>
          <w:szCs w:val="32"/>
          <w:lang w:val="zh-CN"/>
        </w:rPr>
        <w:t>等开采总量得到有效控制。</w:t>
      </w:r>
      <w:r>
        <w:rPr>
          <w:rFonts w:ascii="Times New Roman" w:hAnsi="Times New Roman" w:eastAsia="仿宋_GB2312"/>
          <w:sz w:val="32"/>
          <w:szCs w:val="32"/>
        </w:rPr>
        <w:t>推进</w:t>
      </w:r>
      <w:r>
        <w:rPr>
          <w:rFonts w:ascii="Times New Roman" w:hAnsi="Times New Roman" w:eastAsia="仿宋_GB2312"/>
          <w:sz w:val="32"/>
          <w:szCs w:val="32"/>
          <w:lang w:val="zh-CN"/>
        </w:rPr>
        <w:t>低品位、共伴生、难选冶矿产</w:t>
      </w:r>
      <w:r>
        <w:rPr>
          <w:rFonts w:ascii="Times New Roman" w:hAnsi="Times New Roman" w:eastAsia="仿宋_GB2312"/>
          <w:sz w:val="32"/>
          <w:szCs w:val="32"/>
        </w:rPr>
        <w:t>综合利用</w:t>
      </w:r>
      <w:r>
        <w:rPr>
          <w:rFonts w:ascii="Times New Roman" w:hAnsi="Times New Roman" w:eastAsia="仿宋_GB2312"/>
          <w:sz w:val="32"/>
          <w:szCs w:val="32"/>
          <w:lang w:val="zh-CN"/>
        </w:rPr>
        <w:t>技术攻关，1</w:t>
      </w:r>
      <w:r>
        <w:rPr>
          <w:rFonts w:ascii="Times New Roman" w:hAnsi="Times New Roman" w:eastAsia="仿宋_GB2312"/>
          <w:sz w:val="32"/>
          <w:szCs w:val="32"/>
        </w:rPr>
        <w:t>1</w:t>
      </w:r>
      <w:r>
        <w:rPr>
          <w:rFonts w:ascii="Times New Roman" w:hAnsi="Times New Roman" w:eastAsia="仿宋_GB2312"/>
          <w:sz w:val="32"/>
          <w:szCs w:val="32"/>
          <w:lang w:val="zh-CN"/>
        </w:rPr>
        <w:t>项技术入选全国矿产资源节约与综合利用先进</w:t>
      </w:r>
      <w:r>
        <w:rPr>
          <w:rFonts w:ascii="Times New Roman" w:hAnsi="Times New Roman" w:eastAsia="仿宋_GB2312"/>
          <w:sz w:val="32"/>
          <w:szCs w:val="32"/>
        </w:rPr>
        <w:t>适</w:t>
      </w:r>
      <w:r>
        <w:rPr>
          <w:rFonts w:ascii="Times New Roman" w:hAnsi="Times New Roman" w:eastAsia="仿宋_GB2312"/>
          <w:sz w:val="32"/>
          <w:szCs w:val="32"/>
          <w:lang w:val="zh-CN"/>
        </w:rPr>
        <w:t>用技术目录</w:t>
      </w:r>
      <w:r>
        <w:rPr>
          <w:rFonts w:ascii="Times New Roman" w:hAnsi="Times New Roman" w:eastAsia="仿宋_GB2312"/>
          <w:sz w:val="32"/>
          <w:szCs w:val="32"/>
        </w:rPr>
        <w:t>。</w:t>
      </w:r>
    </w:p>
    <w:p>
      <w:pPr>
        <w:adjustRightInd w:val="0"/>
        <w:snapToGrid w:val="0"/>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矿业绿色发展稳步提升。</w:t>
      </w:r>
      <w:r>
        <w:rPr>
          <w:rFonts w:ascii="Times New Roman" w:hAnsi="Times New Roman" w:eastAsia="仿宋_GB2312"/>
          <w:kern w:val="0"/>
          <w:sz w:val="32"/>
          <w:szCs w:val="32"/>
        </w:rPr>
        <w:t>将生态文明建设要求贯穿始终，探索实施5个绿色勘查试点项目</w:t>
      </w:r>
      <w:r>
        <w:rPr>
          <w:rFonts w:ascii="Times New Roman" w:hAnsi="Times New Roman" w:eastAsia="仿宋_GB2312"/>
          <w:kern w:val="0"/>
          <w:sz w:val="32"/>
          <w:szCs w:val="32"/>
          <w:lang w:val="zh-CN"/>
        </w:rPr>
        <w:t>，</w:t>
      </w:r>
      <w:r>
        <w:rPr>
          <w:rFonts w:ascii="Times New Roman" w:hAnsi="Times New Roman" w:eastAsia="仿宋_GB2312"/>
          <w:kern w:val="0"/>
          <w:sz w:val="32"/>
          <w:szCs w:val="32"/>
        </w:rPr>
        <w:t>研究</w:t>
      </w:r>
      <w:r>
        <w:rPr>
          <w:rFonts w:ascii="Times New Roman" w:hAnsi="Times New Roman" w:eastAsia="仿宋_GB2312"/>
          <w:kern w:val="0"/>
          <w:sz w:val="32"/>
          <w:szCs w:val="32"/>
          <w:lang w:val="zh-CN"/>
        </w:rPr>
        <w:t>制定绿色勘查技术要求、预算标准</w:t>
      </w:r>
      <w:r>
        <w:rPr>
          <w:rFonts w:ascii="Times New Roman" w:hAnsi="Times New Roman" w:eastAsia="仿宋_GB2312"/>
          <w:kern w:val="0"/>
          <w:sz w:val="32"/>
          <w:szCs w:val="32"/>
        </w:rPr>
        <w:t>等，4个项目被评为全国绿色勘查示范项目。启动绿色矿山创建工作，69</w:t>
      </w:r>
      <w:r>
        <w:rPr>
          <w:rFonts w:ascii="Times New Roman" w:hAnsi="Times New Roman" w:eastAsia="仿宋_GB2312"/>
          <w:kern w:val="0"/>
          <w:sz w:val="32"/>
          <w:szCs w:val="32"/>
          <w:lang w:val="zh-CN"/>
        </w:rPr>
        <w:t>家</w:t>
      </w:r>
      <w:r>
        <w:rPr>
          <w:rFonts w:ascii="Times New Roman" w:hAnsi="Times New Roman" w:eastAsia="仿宋_GB2312"/>
          <w:kern w:val="0"/>
          <w:sz w:val="32"/>
          <w:szCs w:val="32"/>
        </w:rPr>
        <w:t>矿山成功纳入</w:t>
      </w:r>
      <w:r>
        <w:rPr>
          <w:rFonts w:ascii="Times New Roman" w:hAnsi="Times New Roman" w:eastAsia="仿宋_GB2312"/>
          <w:kern w:val="0"/>
          <w:sz w:val="32"/>
          <w:szCs w:val="32"/>
          <w:lang w:val="zh-CN"/>
        </w:rPr>
        <w:t>全国绿色矿山名录。推进</w:t>
      </w:r>
      <w:r>
        <w:rPr>
          <w:rFonts w:ascii="Times New Roman" w:hAnsi="Times New Roman" w:eastAsia="仿宋_GB2312"/>
          <w:spacing w:val="-6"/>
          <w:kern w:val="0"/>
          <w:sz w:val="32"/>
          <w:szCs w:val="32"/>
          <w:lang w:val="zh-CN"/>
        </w:rPr>
        <w:t>绿色矿业发展示范区建设，大冶市、铁山区、夷陵区、兴山</w:t>
      </w:r>
      <w:r>
        <w:rPr>
          <w:rFonts w:ascii="Times New Roman" w:hAnsi="Times New Roman" w:eastAsia="仿宋_GB2312"/>
          <w:spacing w:val="-6"/>
          <w:kern w:val="0"/>
          <w:sz w:val="32"/>
          <w:szCs w:val="32"/>
        </w:rPr>
        <w:t>县</w:t>
      </w:r>
      <w:r>
        <w:rPr>
          <w:rFonts w:ascii="Times New Roman" w:hAnsi="Times New Roman" w:eastAsia="仿宋_GB2312"/>
          <w:spacing w:val="-6"/>
          <w:kern w:val="0"/>
          <w:sz w:val="32"/>
          <w:szCs w:val="32"/>
          <w:lang w:val="zh-CN"/>
        </w:rPr>
        <w:t>、武穴市5个县（市、</w:t>
      </w:r>
      <w:r>
        <w:rPr>
          <w:rFonts w:ascii="Times New Roman" w:hAnsi="Times New Roman" w:eastAsia="仿宋_GB2312"/>
          <w:spacing w:val="-6"/>
          <w:kern w:val="0"/>
          <w:sz w:val="32"/>
          <w:szCs w:val="32"/>
        </w:rPr>
        <w:t>区</w:t>
      </w:r>
      <w:r>
        <w:rPr>
          <w:rFonts w:ascii="Times New Roman" w:hAnsi="Times New Roman" w:eastAsia="仿宋_GB2312"/>
          <w:spacing w:val="-6"/>
          <w:kern w:val="0"/>
          <w:sz w:val="32"/>
          <w:szCs w:val="32"/>
          <w:lang w:val="zh-CN"/>
        </w:rPr>
        <w:t>）成功入选</w:t>
      </w:r>
      <w:r>
        <w:rPr>
          <w:rFonts w:ascii="Times New Roman" w:hAnsi="Times New Roman" w:eastAsia="仿宋_GB2312"/>
          <w:spacing w:val="-6"/>
          <w:kern w:val="0"/>
          <w:sz w:val="32"/>
          <w:szCs w:val="32"/>
        </w:rPr>
        <w:t>全国绿色</w:t>
      </w:r>
      <w:r>
        <w:rPr>
          <w:rFonts w:ascii="Times New Roman" w:hAnsi="Times New Roman" w:eastAsia="仿宋_GB2312"/>
          <w:spacing w:val="-6"/>
          <w:kern w:val="0"/>
          <w:sz w:val="32"/>
          <w:szCs w:val="32"/>
          <w:lang w:val="zh-CN"/>
        </w:rPr>
        <w:t>矿业发展示范区名单。</w:t>
      </w:r>
    </w:p>
    <w:p>
      <w:pPr>
        <w:adjustRightInd w:val="0"/>
        <w:snapToGrid w:val="0"/>
        <w:spacing w:line="600" w:lineRule="exact"/>
        <w:ind w:firstLine="643" w:firstLineChars="200"/>
        <w:rPr>
          <w:rFonts w:ascii="Times New Roman" w:hAnsi="Times New Roman" w:eastAsia="仿宋_GB2312"/>
          <w:bCs/>
          <w:kern w:val="0"/>
          <w:sz w:val="32"/>
          <w:szCs w:val="32"/>
        </w:rPr>
      </w:pPr>
      <w:r>
        <w:rPr>
          <w:rFonts w:ascii="Times New Roman" w:hAnsi="Times New Roman" w:eastAsia="仿宋_GB2312"/>
          <w:b/>
          <w:sz w:val="32"/>
          <w:szCs w:val="32"/>
        </w:rPr>
        <w:t>矿政管理改革持续深化。</w:t>
      </w:r>
      <w:r>
        <w:rPr>
          <w:rFonts w:ascii="Times New Roman" w:hAnsi="Times New Roman" w:eastAsia="仿宋_GB2312"/>
          <w:sz w:val="32"/>
          <w:szCs w:val="32"/>
          <w:lang w:val="zh-CN"/>
        </w:rPr>
        <w:t>推进矿业权出让改革，</w:t>
      </w:r>
      <w:r>
        <w:rPr>
          <w:rFonts w:ascii="Times New Roman" w:hAnsi="Times New Roman" w:eastAsia="仿宋_GB2312"/>
          <w:kern w:val="0"/>
          <w:sz w:val="32"/>
          <w:szCs w:val="32"/>
          <w:lang w:val="zh-CN"/>
        </w:rPr>
        <w:t>全面推行矿业权竞争性出让，严格控制协议出让。</w:t>
      </w:r>
      <w:r>
        <w:rPr>
          <w:rFonts w:ascii="Times New Roman" w:hAnsi="Times New Roman" w:eastAsia="仿宋_GB2312"/>
          <w:bCs/>
          <w:kern w:val="0"/>
          <w:sz w:val="32"/>
          <w:szCs w:val="32"/>
        </w:rPr>
        <w:t>推进行政审批制度改革，</w:t>
      </w:r>
      <w:r>
        <w:rPr>
          <w:rFonts w:ascii="Times New Roman" w:hAnsi="Times New Roman" w:eastAsia="仿宋_GB2312"/>
          <w:bCs/>
          <w:kern w:val="0"/>
          <w:sz w:val="32"/>
          <w:szCs w:val="32"/>
          <w:lang w:val="zh-CN"/>
        </w:rPr>
        <w:t>落实同一矿种出让登记同级管理</w:t>
      </w:r>
      <w:r>
        <w:rPr>
          <w:rFonts w:ascii="Times New Roman" w:hAnsi="Times New Roman" w:eastAsia="仿宋_GB2312"/>
          <w:bCs/>
          <w:sz w:val="32"/>
          <w:szCs w:val="32"/>
        </w:rPr>
        <w:t>。中南地质科技创新中心、湖北</w:t>
      </w:r>
      <w:r>
        <w:rPr>
          <w:rFonts w:ascii="Times New Roman" w:hAnsi="Times New Roman" w:eastAsia="仿宋_GB2312"/>
          <w:bCs/>
          <w:sz w:val="32"/>
          <w:szCs w:val="32"/>
          <w:lang w:val="zh-CN"/>
        </w:rPr>
        <w:t>地质大数据平台等相继获批建成，与自然资源部中国地质调查局地质云</w:t>
      </w:r>
      <w:r>
        <w:rPr>
          <w:rFonts w:ascii="Times New Roman" w:hAnsi="Times New Roman" w:eastAsia="仿宋_GB2312"/>
          <w:bCs/>
          <w:sz w:val="32"/>
          <w:szCs w:val="32"/>
        </w:rPr>
        <w:t>2.0版</w:t>
      </w:r>
      <w:r>
        <w:rPr>
          <w:rFonts w:ascii="Times New Roman" w:hAnsi="Times New Roman" w:eastAsia="仿宋_GB2312"/>
          <w:bCs/>
          <w:sz w:val="32"/>
          <w:szCs w:val="32"/>
          <w:lang w:val="zh-CN"/>
        </w:rPr>
        <w:t>实现有机衔接</w:t>
      </w:r>
      <w:r>
        <w:rPr>
          <w:rFonts w:ascii="Times New Roman" w:hAnsi="Times New Roman" w:eastAsia="仿宋_GB2312"/>
          <w:bCs/>
          <w:sz w:val="32"/>
          <w:szCs w:val="32"/>
        </w:rPr>
        <w:t>，地质资料管理和社会化服务水平不断提升</w:t>
      </w:r>
      <w:r>
        <w:rPr>
          <w:rFonts w:ascii="Times New Roman" w:hAnsi="Times New Roman" w:eastAsia="仿宋_GB2312"/>
          <w:bCs/>
          <w:sz w:val="32"/>
          <w:szCs w:val="32"/>
          <w:lang w:val="zh-CN"/>
        </w:rPr>
        <w:t>。</w:t>
      </w:r>
    </w:p>
    <w:bookmarkEnd w:id="87"/>
    <w:bookmarkEnd w:id="88"/>
    <w:bookmarkEnd w:id="89"/>
    <w:bookmarkEnd w:id="90"/>
    <w:bookmarkEnd w:id="91"/>
    <w:bookmarkEnd w:id="92"/>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97" w:name="_Toc69313748"/>
      <w:bookmarkStart w:id="98" w:name="_Toc14841"/>
      <w:bookmarkStart w:id="99" w:name="_Toc22956"/>
      <w:bookmarkStart w:id="100" w:name="_Toc25211"/>
      <w:bookmarkStart w:id="101" w:name="_Toc8921"/>
      <w:bookmarkStart w:id="102" w:name="_Toc28972"/>
      <w:bookmarkStart w:id="103" w:name="_Toc69313955"/>
      <w:bookmarkStart w:id="104" w:name="_Toc6722"/>
      <w:bookmarkStart w:id="105" w:name="_Toc23255"/>
      <w:bookmarkStart w:id="106" w:name="_Toc3533"/>
      <w:bookmarkStart w:id="107" w:name="_Toc24407"/>
      <w:bookmarkStart w:id="108" w:name="_Toc29979"/>
      <w:r>
        <w:rPr>
          <w:rFonts w:ascii="Times New Roman" w:hAnsi="Times New Roman" w:eastAsia="楷体_GB2312" w:cs="Times New Roman"/>
          <w:b w:val="0"/>
          <w:bCs w:val="0"/>
          <w:i w:val="0"/>
          <w:iCs w:val="0"/>
          <w:sz w:val="32"/>
          <w:szCs w:val="32"/>
          <w:lang w:val="zh-CN"/>
        </w:rPr>
        <w:t>（</w:t>
      </w:r>
      <w:r>
        <w:rPr>
          <w:rFonts w:hint="eastAsia" w:ascii="Times New Roman" w:hAnsi="Times New Roman" w:eastAsia="楷体_GB2312" w:cs="Times New Roman"/>
          <w:b w:val="0"/>
          <w:bCs w:val="0"/>
          <w:i w:val="0"/>
          <w:iCs w:val="0"/>
          <w:sz w:val="32"/>
          <w:szCs w:val="32"/>
        </w:rPr>
        <w:t>二</w:t>
      </w:r>
      <w:r>
        <w:rPr>
          <w:rFonts w:ascii="Times New Roman" w:hAnsi="Times New Roman" w:eastAsia="楷体_GB2312" w:cs="Times New Roman"/>
          <w:b w:val="0"/>
          <w:bCs w:val="0"/>
          <w:i w:val="0"/>
          <w:iCs w:val="0"/>
          <w:sz w:val="32"/>
          <w:szCs w:val="32"/>
          <w:lang w:val="zh-CN"/>
        </w:rPr>
        <w:t>）面临形势</w:t>
      </w:r>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line="600" w:lineRule="exact"/>
        <w:ind w:firstLine="643" w:firstLineChars="200"/>
        <w:rPr>
          <w:rFonts w:ascii="Times New Roman" w:hAnsi="Times New Roman" w:eastAsia="仿宋_GB2312"/>
          <w:kern w:val="0"/>
          <w:sz w:val="32"/>
          <w:szCs w:val="32"/>
        </w:rPr>
      </w:pPr>
      <w:bookmarkStart w:id="109" w:name="_Toc25821"/>
      <w:bookmarkStart w:id="110" w:name="_Toc69313956"/>
      <w:bookmarkStart w:id="111" w:name="_Toc19220"/>
      <w:r>
        <w:rPr>
          <w:rFonts w:ascii="Times New Roman" w:hAnsi="Times New Roman" w:eastAsia="仿宋_GB2312"/>
          <w:b/>
          <w:kern w:val="0"/>
          <w:sz w:val="32"/>
          <w:szCs w:val="32"/>
        </w:rPr>
        <w:t>从国际看</w:t>
      </w:r>
      <w:r>
        <w:rPr>
          <w:rFonts w:ascii="Times New Roman" w:hAnsi="Times New Roman" w:eastAsia="仿宋_GB2312"/>
          <w:kern w:val="0"/>
          <w:sz w:val="32"/>
          <w:szCs w:val="32"/>
        </w:rPr>
        <w:t>，百年未有之大变局与新冠肺炎疫情叠加，经济全球化遭遇逆流，新一轮科技革命和产业</w:t>
      </w:r>
      <w:r>
        <w:rPr>
          <w:rFonts w:hint="eastAsia" w:ascii="Times New Roman" w:hAnsi="Times New Roman" w:eastAsia="仿宋_GB2312"/>
          <w:kern w:val="0"/>
          <w:sz w:val="32"/>
          <w:szCs w:val="32"/>
        </w:rPr>
        <w:t>变革</w:t>
      </w:r>
      <w:r>
        <w:rPr>
          <w:rFonts w:ascii="Times New Roman" w:hAnsi="Times New Roman" w:eastAsia="仿宋_GB2312"/>
          <w:kern w:val="0"/>
          <w:sz w:val="32"/>
          <w:szCs w:val="32"/>
        </w:rPr>
        <w:t>深入发展，矿产资源生产和消费格局加速调整，矿产资源产业链供应链向区域化、本土化转变，国际矿产资源竞争将更为激烈。我国作为全球矿产资源重要消费国，安全供应保障形势依然严峻。</w:t>
      </w:r>
    </w:p>
    <w:p>
      <w:pPr>
        <w:adjustRightInd w:val="0"/>
        <w:snapToGrid w:val="0"/>
        <w:spacing w:line="600" w:lineRule="exact"/>
        <w:ind w:firstLine="643" w:firstLineChars="200"/>
        <w:rPr>
          <w:rFonts w:ascii="Times New Roman" w:hAnsi="Times New Roman" w:eastAsia="仿宋_GB2312"/>
          <w:kern w:val="0"/>
          <w:sz w:val="32"/>
          <w:szCs w:val="32"/>
          <w:lang w:val="zh-CN"/>
        </w:rPr>
      </w:pPr>
      <w:r>
        <w:rPr>
          <w:rFonts w:ascii="Times New Roman" w:hAnsi="Times New Roman" w:eastAsia="仿宋_GB2312"/>
          <w:b/>
          <w:kern w:val="0"/>
          <w:sz w:val="32"/>
          <w:szCs w:val="32"/>
        </w:rPr>
        <w:t>从国内看</w:t>
      </w:r>
      <w:r>
        <w:rPr>
          <w:rFonts w:ascii="Times New Roman" w:hAnsi="Times New Roman" w:eastAsia="仿宋_GB2312"/>
          <w:kern w:val="0"/>
          <w:sz w:val="32"/>
          <w:szCs w:val="32"/>
        </w:rPr>
        <w:t>，我国正处在转变发展方式、优化经济结构、转换增长动力的攻关期，高质量发展要求催进矿业经济结构优化。从保产业链安全和供应链稳定角度，中高端产业等资源需求对矿产资源基础保障提出更高要求，经济社会发展对矿产资源的刚性需求与供应能力不足的矛盾依然突出。战略性新兴产业发展处于重要战略机遇期，需要更加立足国内，加大基础地质工作投入力度和战略性矿产找矿力度。随着管理改革的不断深化和生态环境约束的进一步增强，资源开发利用将高度依赖创新驱动与生态环境基础</w:t>
      </w:r>
      <w:r>
        <w:rPr>
          <w:rFonts w:ascii="Times New Roman" w:hAnsi="Times New Roman" w:eastAsia="仿宋_GB2312"/>
          <w:spacing w:val="-6"/>
          <w:kern w:val="0"/>
          <w:sz w:val="32"/>
          <w:szCs w:val="32"/>
        </w:rPr>
        <w:t>投入，实施“碳达峰、碳中和”战略，矿产资源保护与发展面临双重挑战</w:t>
      </w:r>
      <w:r>
        <w:rPr>
          <w:rFonts w:ascii="Times New Roman" w:hAnsi="Times New Roman" w:eastAsia="仿宋_GB2312"/>
          <w:spacing w:val="-6"/>
          <w:kern w:val="0"/>
          <w:sz w:val="32"/>
          <w:szCs w:val="32"/>
          <w:lang w:val="zh-CN"/>
        </w:rPr>
        <w:t>。</w:t>
      </w:r>
    </w:p>
    <w:p>
      <w:pPr>
        <w:adjustRightInd w:val="0"/>
        <w:spacing w:line="600" w:lineRule="exact"/>
        <w:ind w:firstLine="643" w:firstLineChars="200"/>
        <w:rPr>
          <w:rFonts w:ascii="Times New Roman" w:hAnsi="Times New Roman" w:eastAsia="仿宋_GB2312"/>
          <w:sz w:val="32"/>
          <w:szCs w:val="32"/>
          <w:lang w:val="zh-CN"/>
        </w:rPr>
      </w:pPr>
      <w:r>
        <w:rPr>
          <w:rFonts w:ascii="Times New Roman" w:hAnsi="Times New Roman" w:eastAsia="仿宋_GB2312"/>
          <w:b/>
          <w:kern w:val="0"/>
          <w:sz w:val="32"/>
          <w:szCs w:val="32"/>
        </w:rPr>
        <w:t>从省内看</w:t>
      </w:r>
      <w:r>
        <w:rPr>
          <w:rFonts w:ascii="Times New Roman" w:hAnsi="Times New Roman" w:eastAsia="仿宋_GB2312"/>
          <w:kern w:val="0"/>
          <w:sz w:val="32"/>
          <w:szCs w:val="32"/>
        </w:rPr>
        <w:t>，进入新发展阶段，加快实施长江大保护、推进绿色低碳发展、建设美丽湖北等，我省产业发展迎来新的机遇期，新能源产业结构需要从高碳向低碳转变，战略性新兴产业机遇与挑战并存，制造业发展优势持续</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竞争更趋激烈，对矿产资源开发利用与保护提出了更高要求。</w:t>
      </w:r>
      <w:r>
        <w:rPr>
          <w:rFonts w:ascii="Times New Roman" w:hAnsi="Times New Roman" w:eastAsia="仿宋_GB2312"/>
          <w:spacing w:val="-6"/>
          <w:sz w:val="32"/>
          <w:szCs w:val="32"/>
          <w:lang w:val="zh-CN"/>
        </w:rPr>
        <w:t>深入推进“一主引领、两翼驱动、全域协同”区域发展布局，全省正着力打造战略性新兴产业引领、先进制造业主导、现代服务业</w:t>
      </w:r>
      <w:r>
        <w:rPr>
          <w:rFonts w:ascii="Times New Roman" w:hAnsi="Times New Roman" w:eastAsia="仿宋_GB2312"/>
          <w:sz w:val="32"/>
          <w:szCs w:val="32"/>
          <w:lang w:val="zh-CN"/>
        </w:rPr>
        <w:t>驱动的“51020”现代产业体系，</w:t>
      </w:r>
      <w:r>
        <w:rPr>
          <w:rFonts w:ascii="Times New Roman" w:hAnsi="Times New Roman" w:eastAsia="仿宋_GB2312"/>
          <w:spacing w:val="-6"/>
          <w:sz w:val="32"/>
          <w:szCs w:val="32"/>
          <w:lang w:val="zh-CN"/>
        </w:rPr>
        <w:t>现代化工及能源、光芯屏端网、汽车制造等万亿产业集群离不开能源矿产、铁、铜、“三稀”、</w:t>
      </w:r>
      <w:r>
        <w:rPr>
          <w:rFonts w:ascii="Times New Roman" w:hAnsi="Times New Roman" w:eastAsia="仿宋_GB2312"/>
          <w:sz w:val="32"/>
          <w:szCs w:val="32"/>
          <w:lang w:val="zh-CN"/>
        </w:rPr>
        <w:t>晶质石墨等矿产原料支撑，高端装备、先进材料、绿色建材等千亿产业集群对非金属矿产的高效利用提出更高要求，资源结构性短缺矛盾将更加突出。</w:t>
      </w:r>
    </w:p>
    <w:bookmarkEnd w:id="109"/>
    <w:bookmarkEnd w:id="110"/>
    <w:bookmarkEnd w:id="111"/>
    <w:p>
      <w:pPr>
        <w:pStyle w:val="27"/>
        <w:adjustRightInd w:val="0"/>
        <w:snapToGrid w:val="0"/>
        <w:spacing w:line="580" w:lineRule="exact"/>
        <w:ind w:left="0" w:firstLine="720" w:firstLineChars="200"/>
        <w:outlineLvl w:val="0"/>
        <w:rPr>
          <w:rFonts w:ascii="Times New Roman" w:hAnsi="Times New Roman" w:eastAsia="黑体" w:cs="Times New Roman"/>
          <w:bCs/>
          <w:sz w:val="36"/>
          <w:szCs w:val="36"/>
        </w:rPr>
      </w:pPr>
      <w:bookmarkStart w:id="112" w:name="_Toc69313962"/>
      <w:bookmarkStart w:id="113" w:name="_Toc30880"/>
      <w:bookmarkStart w:id="114" w:name="_Toc18308_WPSOffice_Level1"/>
      <w:bookmarkStart w:id="115" w:name="_Toc12400"/>
      <w:bookmarkStart w:id="116" w:name="_Toc22498"/>
      <w:bookmarkStart w:id="117" w:name="_Toc8402"/>
      <w:bookmarkStart w:id="118" w:name="_Toc26631"/>
      <w:bookmarkStart w:id="119" w:name="_Toc31288"/>
      <w:bookmarkStart w:id="120" w:name="_Toc4164"/>
      <w:bookmarkStart w:id="121" w:name="_Toc17147"/>
      <w:bookmarkStart w:id="122" w:name="_Toc18233"/>
      <w:bookmarkStart w:id="123" w:name="_Toc29930"/>
      <w:bookmarkStart w:id="124" w:name="_Toc69313749"/>
      <w:bookmarkStart w:id="125" w:name="_Toc1115"/>
      <w:bookmarkStart w:id="126" w:name="_Toc8131"/>
      <w:bookmarkStart w:id="127" w:name="_Toc28922"/>
      <w:bookmarkStart w:id="128" w:name="_Toc19651"/>
      <w:bookmarkStart w:id="129" w:name="_Toc16462"/>
      <w:bookmarkStart w:id="130" w:name="_Toc1887"/>
      <w:bookmarkStart w:id="131" w:name="_Toc22946"/>
      <w:bookmarkStart w:id="132" w:name="_Toc2262"/>
      <w:bookmarkStart w:id="133" w:name="_Toc15489"/>
      <w:bookmarkStart w:id="134" w:name="_Toc6777"/>
      <w:bookmarkStart w:id="135" w:name="_Toc8492"/>
      <w:r>
        <w:rPr>
          <w:rFonts w:ascii="Times New Roman" w:hAnsi="Times New Roman" w:eastAsia="黑体" w:cs="Times New Roman"/>
          <w:bCs/>
          <w:sz w:val="36"/>
          <w:szCs w:val="36"/>
        </w:rPr>
        <w:t>二、指导思想、基本原则与规划目标</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136" w:name="_Toc20148"/>
      <w:bookmarkStart w:id="137" w:name="_Toc22678"/>
      <w:bookmarkStart w:id="138" w:name="_Toc6955"/>
      <w:bookmarkStart w:id="139" w:name="_Toc12413"/>
      <w:bookmarkStart w:id="140" w:name="_Toc8577"/>
      <w:bookmarkStart w:id="141" w:name="_Toc1261"/>
      <w:bookmarkStart w:id="142" w:name="_Toc69313750"/>
      <w:bookmarkStart w:id="143" w:name="_Toc10862"/>
      <w:bookmarkStart w:id="144" w:name="_Toc22291"/>
      <w:bookmarkStart w:id="145" w:name="_Toc26959_WPSOffice_Level2"/>
      <w:bookmarkStart w:id="146" w:name="_Toc25055"/>
      <w:bookmarkStart w:id="147" w:name="_Toc3397"/>
      <w:bookmarkStart w:id="148" w:name="_Toc23667"/>
      <w:bookmarkStart w:id="149" w:name="_Toc5958"/>
      <w:bookmarkStart w:id="150" w:name="_Toc69313963"/>
      <w:bookmarkStart w:id="151" w:name="_Toc12615"/>
      <w:bookmarkStart w:id="152" w:name="_Toc27364"/>
      <w:bookmarkStart w:id="153" w:name="_Toc8661"/>
      <w:bookmarkStart w:id="154" w:name="_Toc5458"/>
      <w:bookmarkStart w:id="155" w:name="_Toc2985"/>
      <w:bookmarkStart w:id="156" w:name="_Toc3145"/>
      <w:bookmarkStart w:id="157" w:name="_Toc17833"/>
      <w:bookmarkStart w:id="158" w:name="_Toc24507"/>
      <w:bookmarkStart w:id="159" w:name="_Toc26472"/>
      <w:r>
        <w:rPr>
          <w:rFonts w:ascii="Times New Roman" w:hAnsi="Times New Roman" w:eastAsia="楷体_GB2312" w:cs="Times New Roman"/>
          <w:b w:val="0"/>
          <w:bCs w:val="0"/>
          <w:i w:val="0"/>
          <w:iCs w:val="0"/>
          <w:sz w:val="32"/>
          <w:szCs w:val="32"/>
          <w:lang w:val="zh-CN"/>
        </w:rPr>
        <w:t>（一）指导思想</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line="600" w:lineRule="exact"/>
        <w:ind w:firstLine="640" w:firstLineChars="200"/>
        <w:rPr>
          <w:rFonts w:ascii="Times New Roman" w:hAnsi="Times New Roman" w:eastAsia="仿宋_GB2312"/>
          <w:kern w:val="0"/>
          <w:sz w:val="32"/>
          <w:szCs w:val="32"/>
        </w:rPr>
      </w:pPr>
      <w:bookmarkStart w:id="160" w:name="_Toc9790"/>
      <w:bookmarkStart w:id="161" w:name="_Toc23289"/>
      <w:bookmarkStart w:id="162" w:name="_Toc162"/>
      <w:bookmarkStart w:id="163" w:name="_Toc756"/>
      <w:bookmarkStart w:id="164" w:name="_Toc25638_WPSOffice_Level2"/>
      <w:bookmarkStart w:id="165" w:name="_Toc22318"/>
      <w:bookmarkStart w:id="166" w:name="_Toc30032"/>
      <w:bookmarkStart w:id="167" w:name="_Toc24921"/>
      <w:bookmarkStart w:id="168" w:name="_Toc29214"/>
      <w:bookmarkStart w:id="169" w:name="_Toc12864"/>
      <w:bookmarkStart w:id="170" w:name="_Toc26661"/>
      <w:bookmarkStart w:id="171" w:name="_Toc28067"/>
      <w:bookmarkStart w:id="172" w:name="_Toc20319"/>
      <w:bookmarkStart w:id="173" w:name="_Toc15396"/>
      <w:bookmarkStart w:id="174" w:name="_Toc9332"/>
      <w:bookmarkStart w:id="175" w:name="_Toc1309"/>
      <w:bookmarkStart w:id="176" w:name="_Toc25600"/>
      <w:bookmarkStart w:id="177" w:name="_Toc7690"/>
      <w:r>
        <w:rPr>
          <w:rFonts w:ascii="Times New Roman" w:hAnsi="Times New Roman" w:eastAsia="仿宋_GB2312"/>
          <w:kern w:val="0"/>
          <w:sz w:val="32"/>
          <w:szCs w:val="32"/>
        </w:rPr>
        <w:t>以习近平新时代中国特色社会主义思想为指导，深入贯彻党的十九大和十九届历次全会精神，肩负起习近平总书记和党中央赋予湖北的历史使命，增强“四个意识”、坚定“四个自信”、做到“两个维护”，统筹推进“五位一体”总体布局，协调推进“四个全面”战略布局，将立足新发展阶段、贯彻新发展理念、构建新发展格局的要求贯穿到矿业高质量发展之中，切实提升矿业开发水平。坚持总体国家安全观，统筹发展和安全，以推动高质量发展为主题，以推进资源合理利用与保护为主线，以深化矿产资源管理改革为动力，推进资源总量管理、科学配置，全面提升资源利用效率，实现资源开发与生态保护协调发展，为湖北“建成支点、走在前列、谱写新篇”提供矿产资源安全保障。</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178" w:name="_Toc69313751"/>
      <w:bookmarkStart w:id="179" w:name="_Toc20886"/>
      <w:bookmarkStart w:id="180" w:name="_Toc32388"/>
      <w:bookmarkStart w:id="181" w:name="_Toc12981"/>
      <w:bookmarkStart w:id="182" w:name="_Toc3415"/>
      <w:bookmarkStart w:id="183" w:name="_Toc69313964"/>
      <w:r>
        <w:rPr>
          <w:rFonts w:ascii="Times New Roman" w:hAnsi="Times New Roman" w:eastAsia="楷体_GB2312" w:cs="Times New Roman"/>
          <w:b w:val="0"/>
          <w:bCs w:val="0"/>
          <w:i w:val="0"/>
          <w:iCs w:val="0"/>
          <w:sz w:val="32"/>
          <w:szCs w:val="32"/>
          <w:lang w:val="zh-CN"/>
        </w:rPr>
        <w:t>（二）基本原则</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autoSpaceDE w:val="0"/>
        <w:autoSpaceDN w:val="0"/>
        <w:adjustRightInd w:val="0"/>
        <w:snapToGrid w:val="0"/>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立足省内，抢抓国际矿业发展机遇，</w:t>
      </w:r>
      <w:r>
        <w:rPr>
          <w:rFonts w:ascii="Times New Roman" w:hAnsi="Times New Roman" w:eastAsia="仿宋_GB2312"/>
          <w:sz w:val="32"/>
          <w:szCs w:val="32"/>
          <w:lang w:val="zh-CN"/>
        </w:rPr>
        <w:t>充分发挥矿产资源规划宏观</w:t>
      </w:r>
      <w:r>
        <w:rPr>
          <w:rFonts w:ascii="Times New Roman" w:hAnsi="Times New Roman" w:eastAsia="仿宋_GB2312"/>
          <w:sz w:val="32"/>
          <w:szCs w:val="32"/>
        </w:rPr>
        <w:t>引导、</w:t>
      </w:r>
      <w:r>
        <w:rPr>
          <w:rFonts w:ascii="Times New Roman" w:hAnsi="Times New Roman" w:eastAsia="仿宋_GB2312"/>
          <w:sz w:val="32"/>
          <w:szCs w:val="32"/>
          <w:lang w:val="zh-CN"/>
        </w:rPr>
        <w:t>约束管控</w:t>
      </w:r>
      <w:r>
        <w:rPr>
          <w:rFonts w:ascii="Times New Roman" w:hAnsi="Times New Roman" w:eastAsia="仿宋_GB2312"/>
          <w:sz w:val="32"/>
          <w:szCs w:val="32"/>
        </w:rPr>
        <w:t>和</w:t>
      </w:r>
      <w:r>
        <w:rPr>
          <w:rFonts w:ascii="Times New Roman" w:hAnsi="Times New Roman" w:eastAsia="仿宋_GB2312"/>
          <w:sz w:val="32"/>
          <w:szCs w:val="32"/>
          <w:lang w:val="zh-CN"/>
        </w:rPr>
        <w:t>综合协调作用，以高质量规划服务全省经济社会高质量发展。</w:t>
      </w:r>
    </w:p>
    <w:p>
      <w:pPr>
        <w:autoSpaceDE w:val="0"/>
        <w:autoSpaceDN w:val="0"/>
        <w:adjustRightInd w:val="0"/>
        <w:snapToGrid w:val="0"/>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lang w:val="zh-CN"/>
        </w:rPr>
        <w:t>——</w:t>
      </w:r>
      <w:r>
        <w:rPr>
          <w:rFonts w:ascii="Times New Roman" w:hAnsi="Times New Roman" w:eastAsia="仿宋_GB2312"/>
          <w:b/>
          <w:bCs/>
          <w:kern w:val="0"/>
          <w:sz w:val="32"/>
          <w:szCs w:val="32"/>
        </w:rPr>
        <w:t>资源保障，安全可控</w:t>
      </w:r>
      <w:r>
        <w:rPr>
          <w:rFonts w:ascii="Times New Roman" w:hAnsi="Times New Roman" w:eastAsia="仿宋_GB2312"/>
          <w:kern w:val="0"/>
          <w:sz w:val="32"/>
          <w:szCs w:val="32"/>
        </w:rPr>
        <w:t>。防范化解资源安全风险，把安全发展理念贯穿矿业高质量发展全流程，</w:t>
      </w:r>
      <w:r>
        <w:rPr>
          <w:rFonts w:ascii="Times New Roman" w:hAnsi="Times New Roman" w:eastAsia="仿宋_GB2312"/>
          <w:sz w:val="32"/>
          <w:szCs w:val="32"/>
          <w:lang w:val="zh-CN"/>
        </w:rPr>
        <w:t>发挥省内资源保</w:t>
      </w:r>
      <w:r>
        <w:rPr>
          <w:rFonts w:ascii="Times New Roman" w:hAnsi="Times New Roman" w:eastAsia="仿宋_GB2312"/>
          <w:sz w:val="32"/>
          <w:szCs w:val="32"/>
        </w:rPr>
        <w:t>底</w:t>
      </w:r>
      <w:r>
        <w:rPr>
          <w:rFonts w:ascii="Times New Roman" w:hAnsi="Times New Roman" w:eastAsia="仿宋_GB2312"/>
          <w:sz w:val="32"/>
          <w:szCs w:val="32"/>
          <w:lang w:val="zh-CN"/>
        </w:rPr>
        <w:t>作用，落实战略性矿产找矿行动，</w:t>
      </w:r>
      <w:r>
        <w:rPr>
          <w:rFonts w:ascii="Times New Roman" w:hAnsi="Times New Roman" w:eastAsia="仿宋_GB2312"/>
          <w:kern w:val="0"/>
          <w:sz w:val="32"/>
          <w:szCs w:val="32"/>
        </w:rPr>
        <w:t>加强战略性矿产勘查力度，优化和稳定矿产资源产业链供应链。矿产资源开发利用要向优势地区、</w:t>
      </w:r>
      <w:r>
        <w:rPr>
          <w:rFonts w:hint="eastAsia" w:ascii="Times New Roman" w:hAnsi="Times New Roman" w:eastAsia="仿宋_GB2312"/>
          <w:kern w:val="0"/>
          <w:sz w:val="32"/>
          <w:szCs w:val="32"/>
        </w:rPr>
        <w:t>大中型</w:t>
      </w:r>
      <w:r>
        <w:rPr>
          <w:rFonts w:ascii="Times New Roman" w:hAnsi="Times New Roman" w:eastAsia="仿宋_GB2312"/>
          <w:kern w:val="0"/>
          <w:sz w:val="32"/>
          <w:szCs w:val="32"/>
        </w:rPr>
        <w:t>优势企业、专精特新企业倾斜和整合，把资源优势转化为产业优势、经济优势，支撑我省万亿产业发展。</w:t>
      </w:r>
    </w:p>
    <w:p>
      <w:pPr>
        <w:pStyle w:val="27"/>
        <w:spacing w:line="600" w:lineRule="exact"/>
        <w:ind w:left="0" w:firstLine="643" w:firstLineChars="200"/>
        <w:rPr>
          <w:rFonts w:ascii="Times New Roman" w:hAnsi="Times New Roman" w:cs="Times New Roman"/>
        </w:rPr>
      </w:pPr>
      <w:r>
        <w:rPr>
          <w:rFonts w:ascii="Times New Roman" w:hAnsi="Times New Roman" w:eastAsia="仿宋_GB2312" w:cs="Times New Roman"/>
          <w:b/>
          <w:bCs/>
          <w:sz w:val="32"/>
          <w:szCs w:val="32"/>
        </w:rPr>
        <w:t>——生态优先，</w:t>
      </w:r>
      <w:r>
        <w:rPr>
          <w:rFonts w:ascii="Times New Roman" w:hAnsi="Times New Roman" w:eastAsia="仿宋_GB2312" w:cs="Times New Roman"/>
          <w:b/>
          <w:kern w:val="0"/>
          <w:sz w:val="32"/>
          <w:szCs w:val="32"/>
        </w:rPr>
        <w:t>绿色发展。</w:t>
      </w:r>
      <w:r>
        <w:rPr>
          <w:rFonts w:ascii="Times New Roman" w:hAnsi="Times New Roman" w:eastAsia="仿宋_GB2312" w:cs="Times New Roman"/>
          <w:sz w:val="32"/>
          <w:szCs w:val="32"/>
        </w:rPr>
        <w:t>坚持“绿水青山就是金山银山”理念，坚持尊重自然、顺应自然、保护自然，坚持节约优先、保护优先、自然恢复为主，守住自然生态安全边界。不断推进矿业绿色发展，加快末端矿山环境问题治理向前端生态保护</w:t>
      </w:r>
      <w:r>
        <w:rPr>
          <w:rFonts w:ascii="Times New Roman" w:hAnsi="Times New Roman" w:eastAsia="仿宋_GB2312" w:cs="Times New Roman"/>
          <w:sz w:val="32"/>
          <w:szCs w:val="32"/>
          <w:lang w:val="en-US"/>
        </w:rPr>
        <w:t>监管</w:t>
      </w:r>
      <w:r>
        <w:rPr>
          <w:rFonts w:ascii="Times New Roman" w:hAnsi="Times New Roman" w:eastAsia="仿宋_GB2312" w:cs="Times New Roman"/>
          <w:sz w:val="32"/>
          <w:szCs w:val="32"/>
        </w:rPr>
        <w:t>转变，落实“碳达峰、碳中和”战略，推动资源开发利用与生态环境保护协调发展。</w:t>
      </w:r>
    </w:p>
    <w:p>
      <w:pPr>
        <w:autoSpaceDE w:val="0"/>
        <w:autoSpaceDN w:val="0"/>
        <w:adjustRightInd w:val="0"/>
        <w:snapToGrid w:val="0"/>
        <w:spacing w:line="600" w:lineRule="exact"/>
        <w:ind w:firstLine="643" w:firstLineChars="200"/>
        <w:rPr>
          <w:rFonts w:ascii="Times New Roman" w:hAnsi="Times New Roman" w:eastAsia="仿宋_GB2312"/>
          <w:b/>
          <w:bCs/>
          <w:sz w:val="32"/>
          <w:szCs w:val="32"/>
          <w:lang w:val="zh-CN"/>
        </w:rPr>
      </w:pPr>
      <w:bookmarkStart w:id="184" w:name="_Toc2867"/>
      <w:bookmarkStart w:id="185" w:name="_Toc9891"/>
      <w:bookmarkStart w:id="186" w:name="_Toc12944"/>
      <w:bookmarkStart w:id="187" w:name="_Toc4912"/>
      <w:bookmarkStart w:id="188" w:name="_Toc6030"/>
      <w:bookmarkStart w:id="189" w:name="_Toc2175"/>
      <w:bookmarkStart w:id="190" w:name="_Toc25081"/>
      <w:bookmarkStart w:id="191" w:name="_Toc23859"/>
      <w:bookmarkStart w:id="192" w:name="_Toc20663"/>
      <w:bookmarkStart w:id="193" w:name="_Toc23670"/>
      <w:bookmarkStart w:id="194" w:name="_Toc11046"/>
      <w:bookmarkStart w:id="195" w:name="_Toc23211"/>
      <w:bookmarkStart w:id="196" w:name="_Toc15022_WPSOffice_Level2"/>
      <w:bookmarkStart w:id="197" w:name="_Toc3695"/>
      <w:bookmarkStart w:id="198" w:name="_Toc28640"/>
      <w:bookmarkStart w:id="199" w:name="_Toc24785"/>
      <w:bookmarkStart w:id="200" w:name="_Toc27415"/>
      <w:bookmarkStart w:id="201" w:name="_Toc31280"/>
      <w:r>
        <w:rPr>
          <w:rFonts w:ascii="Times New Roman" w:hAnsi="Times New Roman" w:eastAsia="仿宋_GB2312"/>
          <w:b/>
          <w:bCs/>
          <w:sz w:val="32"/>
          <w:szCs w:val="32"/>
          <w:lang w:val="zh-CN"/>
        </w:rPr>
        <w:t>——</w:t>
      </w:r>
      <w:r>
        <w:rPr>
          <w:rFonts w:ascii="Times New Roman" w:hAnsi="Times New Roman" w:eastAsia="仿宋_GB2312"/>
          <w:b/>
          <w:bCs/>
          <w:sz w:val="32"/>
          <w:szCs w:val="32"/>
        </w:rPr>
        <w:t>节约集约</w:t>
      </w:r>
      <w:r>
        <w:rPr>
          <w:rFonts w:ascii="Times New Roman" w:hAnsi="Times New Roman" w:eastAsia="仿宋_GB2312"/>
          <w:b/>
          <w:bCs/>
          <w:sz w:val="32"/>
          <w:szCs w:val="32"/>
          <w:lang w:val="zh-CN"/>
        </w:rPr>
        <w:t>，</w:t>
      </w:r>
      <w:r>
        <w:rPr>
          <w:rFonts w:ascii="Times New Roman" w:hAnsi="Times New Roman" w:eastAsia="仿宋_GB2312"/>
          <w:b/>
          <w:bCs/>
          <w:sz w:val="32"/>
          <w:szCs w:val="32"/>
        </w:rPr>
        <w:t>高效利用</w:t>
      </w:r>
      <w:r>
        <w:rPr>
          <w:rFonts w:ascii="Times New Roman" w:hAnsi="Times New Roman" w:eastAsia="仿宋_GB2312"/>
          <w:b/>
          <w:bCs/>
          <w:sz w:val="32"/>
          <w:szCs w:val="32"/>
          <w:lang w:val="zh-CN"/>
        </w:rPr>
        <w:t>。</w:t>
      </w:r>
      <w:r>
        <w:rPr>
          <w:rFonts w:ascii="Times New Roman" w:hAnsi="Times New Roman" w:eastAsia="仿宋_GB2312"/>
          <w:kern w:val="0"/>
          <w:sz w:val="32"/>
          <w:szCs w:val="32"/>
        </w:rPr>
        <w:t>全面落实节约优先战略，牢固树立节约集约利用资源观，探索矿产资源节约高效利用全过程管理，加快推进资源开发利用方式转变，鼓励综合开采利用，提高矿产资源利用效率，促进资源优势转化为经济发展优势。</w:t>
      </w:r>
    </w:p>
    <w:p>
      <w:pPr>
        <w:autoSpaceDE w:val="0"/>
        <w:autoSpaceDN w:val="0"/>
        <w:adjustRightInd w:val="0"/>
        <w:snapToGrid w:val="0"/>
        <w:spacing w:line="600" w:lineRule="exact"/>
        <w:ind w:firstLine="643" w:firstLineChars="200"/>
        <w:rPr>
          <w:rFonts w:ascii="Times New Roman" w:hAnsi="Times New Roman" w:eastAsia="仿宋_GB2312"/>
          <w:sz w:val="32"/>
          <w:szCs w:val="32"/>
          <w:lang w:val="zh-CN"/>
        </w:rPr>
      </w:pPr>
      <w:r>
        <w:rPr>
          <w:rFonts w:ascii="Times New Roman" w:hAnsi="Times New Roman" w:eastAsia="仿宋_GB2312"/>
          <w:b/>
          <w:bCs/>
          <w:sz w:val="32"/>
          <w:szCs w:val="32"/>
          <w:lang w:val="zh-CN"/>
        </w:rPr>
        <w:t>——市场配置，</w:t>
      </w:r>
      <w:r>
        <w:rPr>
          <w:rFonts w:ascii="Times New Roman" w:hAnsi="Times New Roman" w:eastAsia="仿宋_GB2312"/>
          <w:b/>
          <w:bCs/>
          <w:sz w:val="32"/>
          <w:szCs w:val="32"/>
        </w:rPr>
        <w:t>公平竞争</w:t>
      </w:r>
      <w:r>
        <w:rPr>
          <w:rFonts w:ascii="Times New Roman" w:hAnsi="Times New Roman" w:eastAsia="仿宋_GB2312"/>
          <w:b/>
          <w:bCs/>
          <w:sz w:val="32"/>
          <w:szCs w:val="32"/>
          <w:lang w:val="zh-CN"/>
        </w:rPr>
        <w:t>。</w:t>
      </w:r>
      <w:r>
        <w:rPr>
          <w:rFonts w:ascii="Times New Roman" w:hAnsi="Times New Roman" w:eastAsia="仿宋_GB2312"/>
          <w:sz w:val="32"/>
          <w:szCs w:val="32"/>
          <w:lang w:val="zh-CN"/>
        </w:rPr>
        <w:t>处理好政府与市场的关系，充分发挥市场在资源配置中的决定性作用，更好发挥政府作用，推动有效市场和有为政府更好结合。持续优化营商环境，全面推进矿业权竞争性出让，激发矿业市场主体活力和社会创造力。</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202" w:name="_Toc25444"/>
      <w:bookmarkStart w:id="203" w:name="_Toc69313752"/>
      <w:bookmarkStart w:id="204" w:name="_Toc4439"/>
      <w:bookmarkStart w:id="205" w:name="_Toc19737"/>
      <w:bookmarkStart w:id="206" w:name="_Toc26569"/>
      <w:bookmarkStart w:id="207" w:name="_Toc69313965"/>
      <w:r>
        <w:rPr>
          <w:rFonts w:ascii="Times New Roman" w:hAnsi="Times New Roman" w:eastAsia="楷体_GB2312" w:cs="Times New Roman"/>
          <w:b w:val="0"/>
          <w:bCs w:val="0"/>
          <w:i w:val="0"/>
          <w:iCs w:val="0"/>
          <w:sz w:val="32"/>
          <w:szCs w:val="32"/>
          <w:lang w:val="zh-CN"/>
        </w:rPr>
        <w:t>（三）规划目标</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到2025年底，矿产资源开发利用与保护水平进一步提高，矿业绿色发展模式逐步完善，资源供给质量和效益稳步提升，资源安全风险管控能力显著增强，矿山生态环境持续好转。</w:t>
      </w:r>
    </w:p>
    <w:p>
      <w:pPr>
        <w:adjustRightInd w:val="0"/>
        <w:snapToGrid w:val="0"/>
        <w:spacing w:line="600" w:lineRule="exact"/>
        <w:ind w:firstLine="643" w:firstLineChars="200"/>
        <w:rPr>
          <w:rFonts w:ascii="Times New Roman" w:hAnsi="Times New Roman" w:eastAsia="仿宋_GB2312"/>
          <w:kern w:val="0"/>
          <w:sz w:val="32"/>
          <w:szCs w:val="32"/>
        </w:rPr>
      </w:pPr>
      <w:r>
        <w:rPr>
          <w:rFonts w:ascii="Times New Roman" w:hAnsi="Times New Roman" w:eastAsia="仿宋"/>
          <w:b/>
          <w:bCs/>
          <w:kern w:val="0"/>
          <w:sz w:val="32"/>
          <w:szCs w:val="32"/>
        </w:rPr>
        <w:t>——战略性矿产</w:t>
      </w:r>
      <w:r>
        <w:rPr>
          <w:rFonts w:hint="eastAsia" w:ascii="Times New Roman" w:hAnsi="Times New Roman" w:eastAsia="仿宋"/>
          <w:b/>
          <w:bCs/>
          <w:kern w:val="0"/>
          <w:sz w:val="32"/>
          <w:szCs w:val="32"/>
        </w:rPr>
        <w:t>资源</w:t>
      </w:r>
      <w:r>
        <w:rPr>
          <w:rFonts w:ascii="Times New Roman" w:hAnsi="Times New Roman" w:eastAsia="仿宋"/>
          <w:b/>
          <w:bCs/>
          <w:kern w:val="0"/>
          <w:sz w:val="32"/>
          <w:szCs w:val="32"/>
        </w:rPr>
        <w:t>保障能力有新提升。</w:t>
      </w:r>
      <w:r>
        <w:rPr>
          <w:rFonts w:ascii="Times New Roman" w:hAnsi="Times New Roman" w:eastAsia="仿宋_GB2312"/>
          <w:kern w:val="0"/>
          <w:sz w:val="32"/>
          <w:szCs w:val="32"/>
        </w:rPr>
        <w:t>重点成矿区带基础地质工作程度进一步提高。地质勘查力度进一步加大，</w:t>
      </w:r>
      <w:r>
        <w:rPr>
          <w:rFonts w:ascii="Times New Roman" w:hAnsi="Times New Roman" w:eastAsia="仿宋_GB2312"/>
          <w:sz w:val="32"/>
          <w:szCs w:val="32"/>
        </w:rPr>
        <w:t>到2025年底，</w:t>
      </w:r>
      <w:r>
        <w:rPr>
          <w:rFonts w:ascii="Times New Roman" w:hAnsi="Times New Roman" w:eastAsia="仿宋_GB2312"/>
          <w:kern w:val="0"/>
          <w:sz w:val="32"/>
          <w:szCs w:val="32"/>
        </w:rPr>
        <w:t>力争新发现大中型矿产地7处，</w:t>
      </w:r>
      <w:r>
        <w:rPr>
          <w:rFonts w:hint="eastAsia" w:ascii="Times New Roman" w:hAnsi="Times New Roman" w:eastAsia="仿宋_GB2312"/>
          <w:kern w:val="0"/>
          <w:sz w:val="32"/>
          <w:szCs w:val="32"/>
        </w:rPr>
        <w:t>预期</w:t>
      </w:r>
      <w:r>
        <w:rPr>
          <w:rFonts w:ascii="Times New Roman" w:hAnsi="Times New Roman" w:eastAsia="仿宋_GB2312"/>
          <w:kern w:val="0"/>
          <w:sz w:val="32"/>
          <w:szCs w:val="32"/>
        </w:rPr>
        <w:t>新增</w:t>
      </w:r>
      <w:r>
        <w:rPr>
          <w:rFonts w:hint="eastAsia" w:ascii="Times New Roman" w:hAnsi="Times New Roman" w:eastAsia="仿宋_GB2312"/>
          <w:kern w:val="0"/>
          <w:sz w:val="32"/>
          <w:szCs w:val="32"/>
        </w:rPr>
        <w:t>页岩气探明地质储量1千亿立方米，预期新增铁矿（矿石量）0.5亿吨、锰矿（矿石量）255万吨、铜矿（金属量）50万吨、金矿（金属量）15吨、钽矿（</w:t>
      </w:r>
      <w:r>
        <w:rPr>
          <w:rFonts w:ascii="Times New Roman" w:hAnsi="Times New Roman" w:eastAsia="仿宋_GB2312"/>
          <w:kern w:val="0"/>
          <w:sz w:val="32"/>
          <w:szCs w:val="32"/>
          <w:lang w:bidi="ar"/>
        </w:rPr>
        <w:t>Ta</w:t>
      </w:r>
      <w:r>
        <w:rPr>
          <w:rFonts w:ascii="Times New Roman" w:hAnsi="Times New Roman" w:eastAsia="仿宋_GB2312"/>
          <w:kern w:val="0"/>
          <w:sz w:val="32"/>
          <w:szCs w:val="32"/>
          <w:vertAlign w:val="subscript"/>
          <w:lang w:bidi="ar"/>
        </w:rPr>
        <w:t>2</w:t>
      </w:r>
      <w:r>
        <w:rPr>
          <w:rFonts w:ascii="Times New Roman" w:hAnsi="Times New Roman" w:eastAsia="仿宋_GB2312"/>
          <w:kern w:val="0"/>
          <w:sz w:val="32"/>
          <w:szCs w:val="32"/>
          <w:lang w:bidi="ar"/>
        </w:rPr>
        <w:t>O</w:t>
      </w:r>
      <w:r>
        <w:rPr>
          <w:rFonts w:ascii="Times New Roman" w:hAnsi="Times New Roman" w:eastAsia="仿宋_GB2312"/>
          <w:kern w:val="0"/>
          <w:sz w:val="32"/>
          <w:szCs w:val="32"/>
          <w:vertAlign w:val="subscript"/>
          <w:lang w:bidi="ar"/>
        </w:rPr>
        <w:t>5</w:t>
      </w:r>
      <w:r>
        <w:rPr>
          <w:rFonts w:hint="eastAsia" w:ascii="Times New Roman" w:hAnsi="Times New Roman" w:eastAsia="仿宋_GB2312"/>
          <w:kern w:val="0"/>
          <w:sz w:val="32"/>
          <w:szCs w:val="32"/>
        </w:rPr>
        <w:t>）2000吨、晶质石墨(矿物）150万吨、磷矿（矿石量）3亿吨以上资源量</w:t>
      </w:r>
      <w:r>
        <w:rPr>
          <w:rFonts w:ascii="Times New Roman" w:hAnsi="Times New Roman" w:eastAsia="仿宋_GB2312"/>
          <w:kern w:val="0"/>
          <w:sz w:val="32"/>
          <w:szCs w:val="32"/>
        </w:rPr>
        <w:t>。鄂西页岩气勘探开发综合示范区建设稳步推进</w:t>
      </w:r>
      <w:r>
        <w:rPr>
          <w:rFonts w:hint="eastAsia" w:ascii="Times New Roman" w:hAnsi="Times New Roman" w:eastAsia="仿宋_GB2312"/>
          <w:kern w:val="0"/>
          <w:sz w:val="32"/>
          <w:szCs w:val="32"/>
        </w:rPr>
        <w:t>。</w:t>
      </w:r>
      <w:r>
        <w:rPr>
          <w:rFonts w:ascii="Times New Roman" w:hAnsi="Times New Roman" w:eastAsia="仿宋_GB2312"/>
          <w:kern w:val="0"/>
          <w:sz w:val="32"/>
          <w:szCs w:val="32"/>
        </w:rPr>
        <w:t>矿产资源供应能力不断提升，引导建设一批能源资源基地和国家规划矿区，稳定大宗紧缺矿产生产能力，矿产资源勘查开发新格局基本形成。</w:t>
      </w:r>
    </w:p>
    <w:p>
      <w:pPr>
        <w:adjustRightInd w:val="0"/>
        <w:snapToGrid w:val="0"/>
        <w:spacing w:line="600" w:lineRule="exact"/>
        <w:ind w:firstLine="643" w:firstLineChars="200"/>
        <w:rPr>
          <w:rFonts w:ascii="Times New Roman" w:hAnsi="Times New Roman" w:eastAsia="仿宋_GB2312"/>
          <w:spacing w:val="-6"/>
          <w:kern w:val="0"/>
          <w:sz w:val="32"/>
          <w:szCs w:val="32"/>
        </w:rPr>
      </w:pPr>
      <w:r>
        <w:rPr>
          <w:rFonts w:ascii="Times New Roman" w:hAnsi="Times New Roman" w:eastAsia="仿宋"/>
          <w:b/>
          <w:bCs/>
          <w:kern w:val="0"/>
          <w:sz w:val="32"/>
          <w:szCs w:val="32"/>
        </w:rPr>
        <w:t>——资源利用效率达到新水平。</w:t>
      </w:r>
      <w:r>
        <w:rPr>
          <w:rFonts w:ascii="Times New Roman" w:hAnsi="Times New Roman" w:eastAsia="仿宋_GB2312"/>
          <w:spacing w:val="-6"/>
          <w:kern w:val="0"/>
          <w:sz w:val="32"/>
          <w:szCs w:val="32"/>
        </w:rPr>
        <w:t>矿山结构进一步优化，力争2025年底有效正常生产矿山总数不超过2000家、在产矿山大中型占比达到25%以上，形成以大中型矿山为主体的开发格局。矿产资源综合利用水平进一步提升。</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仿宋"/>
          <w:b/>
          <w:bCs/>
          <w:kern w:val="0"/>
          <w:sz w:val="32"/>
          <w:szCs w:val="32"/>
        </w:rPr>
        <w:t>——矿业绿色发展取得新成效。</w:t>
      </w:r>
      <w:r>
        <w:rPr>
          <w:rFonts w:ascii="Times New Roman" w:hAnsi="Times New Roman" w:eastAsia="仿宋"/>
          <w:bCs/>
          <w:kern w:val="0"/>
          <w:sz w:val="32"/>
          <w:szCs w:val="32"/>
        </w:rPr>
        <w:t>矿业绿色转型有序推进，</w:t>
      </w:r>
      <w:r>
        <w:rPr>
          <w:rFonts w:ascii="Times New Roman" w:hAnsi="Times New Roman" w:eastAsia="仿宋_GB2312"/>
          <w:sz w:val="32"/>
          <w:szCs w:val="32"/>
        </w:rPr>
        <w:t>推动绿色勘查工作，优化矿产资源勘查模式，逐步完善绿色勘查技术标准。推进绿色矿山创建，矿山生态环境明显好转，矿山智能化水平不断提高，引领带动全域矿业绿色转型发展。</w:t>
      </w:r>
    </w:p>
    <w:p>
      <w:pPr>
        <w:adjustRightInd w:val="0"/>
        <w:snapToGrid w:val="0"/>
        <w:spacing w:line="600" w:lineRule="exact"/>
        <w:ind w:firstLine="643" w:firstLineChars="200"/>
        <w:rPr>
          <w:rFonts w:ascii="Times New Roman" w:hAnsi="Times New Roman" w:eastAsia="仿宋_GB2312"/>
          <w:spacing w:val="-6"/>
          <w:kern w:val="0"/>
          <w:sz w:val="32"/>
          <w:szCs w:val="32"/>
        </w:rPr>
      </w:pPr>
      <w:bookmarkStart w:id="208" w:name="_Toc21370"/>
      <w:bookmarkStart w:id="209" w:name="_Toc3459"/>
      <w:bookmarkStart w:id="210" w:name="_Toc18771"/>
      <w:bookmarkStart w:id="211" w:name="_Toc17259"/>
      <w:bookmarkStart w:id="212" w:name="_Toc1563"/>
      <w:bookmarkStart w:id="213" w:name="_Toc1948"/>
      <w:bookmarkStart w:id="214" w:name="_Toc69313753"/>
      <w:bookmarkStart w:id="215" w:name="_Toc14408"/>
      <w:bookmarkStart w:id="216" w:name="_Toc18472"/>
      <w:bookmarkStart w:id="217" w:name="_Toc15724"/>
      <w:bookmarkStart w:id="218" w:name="_Toc4646"/>
      <w:bookmarkStart w:id="219" w:name="_Toc27357_WPSOffice_Level1"/>
      <w:bookmarkStart w:id="220" w:name="_Toc5614"/>
      <w:bookmarkStart w:id="221" w:name="_Toc18628"/>
      <w:bookmarkStart w:id="222" w:name="_Toc13673"/>
      <w:bookmarkStart w:id="223" w:name="_Toc2010"/>
      <w:bookmarkStart w:id="224" w:name="_Toc32048"/>
      <w:bookmarkStart w:id="225" w:name="_Toc69313969"/>
      <w:bookmarkStart w:id="226" w:name="_Toc32636"/>
      <w:bookmarkStart w:id="227" w:name="_Toc12856"/>
      <w:bookmarkStart w:id="228" w:name="_Toc61179102"/>
      <w:bookmarkStart w:id="229" w:name="_Toc10803"/>
      <w:bookmarkStart w:id="230" w:name="_Toc32449_WPSOffice_Level2"/>
      <w:r>
        <w:rPr>
          <w:rFonts w:ascii="Times New Roman" w:hAnsi="Times New Roman" w:eastAsia="仿宋_GB2312"/>
          <w:b/>
          <w:bCs/>
          <w:kern w:val="0"/>
          <w:sz w:val="32"/>
          <w:szCs w:val="32"/>
        </w:rPr>
        <w:t>——创新发展水平有新提高。</w:t>
      </w:r>
      <w:r>
        <w:rPr>
          <w:rFonts w:ascii="Times New Roman" w:hAnsi="Times New Roman" w:eastAsia="仿宋_GB2312"/>
          <w:kern w:val="0"/>
          <w:sz w:val="32"/>
          <w:szCs w:val="32"/>
        </w:rPr>
        <w:t>矿产资源管理“放管服”改革持续深化，营商环境不断优化。地质找矿及资源综合利用领域科研创新转化取得新进展，科技创新对地质找矿、矿产开发利用与保护的支撑作用进一步增强。</w:t>
      </w:r>
      <w:r>
        <w:rPr>
          <w:rFonts w:ascii="Times New Roman" w:hAnsi="Times New Roman" w:eastAsia="仿宋_GB2312"/>
          <w:spacing w:val="-6"/>
          <w:kern w:val="0"/>
          <w:sz w:val="32"/>
          <w:szCs w:val="32"/>
        </w:rPr>
        <w:t>推进矿产资源领域信息化建设，大数据共享服务功能进一步完善，智慧矿山建设取得新进展。地质技术服务力度不断加大，矿业开放合作空间进一步拓展。</w:t>
      </w:r>
      <w:bookmarkStart w:id="231" w:name="_Toc21275"/>
      <w:bookmarkStart w:id="232" w:name="_Toc60054432"/>
    </w:p>
    <w:bookmarkEnd w:id="231"/>
    <w:bookmarkEnd w:id="232"/>
    <w:p>
      <w:pPr>
        <w:tabs>
          <w:tab w:val="left" w:pos="2786"/>
        </w:tabs>
        <w:autoSpaceDE w:val="0"/>
        <w:autoSpaceDN w:val="0"/>
        <w:adjustRightInd w:val="0"/>
        <w:snapToGrid w:val="0"/>
        <w:spacing w:line="600" w:lineRule="exact"/>
        <w:ind w:firstLine="640" w:firstLineChars="200"/>
        <w:rPr>
          <w:rFonts w:ascii="Times New Roman" w:hAnsi="Times New Roman" w:eastAsia="黑体"/>
          <w:bCs/>
          <w:sz w:val="36"/>
          <w:szCs w:val="36"/>
        </w:rPr>
      </w:pPr>
      <w:r>
        <w:rPr>
          <w:rFonts w:ascii="Times New Roman" w:hAnsi="Times New Roman" w:eastAsia="仿宋_GB2312"/>
          <w:sz w:val="32"/>
          <w:szCs w:val="32"/>
        </w:rPr>
        <w:t>2035年愿景：以地球系统科学理论为基础，紧跟全省主导产业链发展的矿产资源保障能力持续增强，</w:t>
      </w:r>
      <w:r>
        <w:rPr>
          <w:rFonts w:ascii="Times New Roman" w:hAnsi="Times New Roman" w:eastAsia="仿宋_GB2312"/>
          <w:kern w:val="0"/>
          <w:sz w:val="32"/>
          <w:szCs w:val="32"/>
        </w:rPr>
        <w:t>矿产资源利用水平明显提升，科技创新与信息化建设成果显著，</w:t>
      </w:r>
      <w:r>
        <w:rPr>
          <w:rFonts w:ascii="Times New Roman" w:hAnsi="Times New Roman" w:eastAsia="仿宋_GB2312"/>
          <w:sz w:val="32"/>
          <w:szCs w:val="32"/>
        </w:rPr>
        <w:t>矿业绿色发展全面转型升级，矿</w:t>
      </w:r>
      <w:r>
        <w:rPr>
          <w:rFonts w:ascii="Times New Roman" w:hAnsi="Times New Roman" w:eastAsia="仿宋_GB2312"/>
          <w:spacing w:val="-11"/>
          <w:sz w:val="32"/>
          <w:szCs w:val="32"/>
        </w:rPr>
        <w:t>业开放合作、互利共赢达到新高度，矿业领域治理体系和治理能力</w:t>
      </w:r>
      <w:r>
        <w:rPr>
          <w:rFonts w:ascii="Times New Roman" w:hAnsi="Times New Roman" w:eastAsia="仿宋_GB2312"/>
          <w:sz w:val="32"/>
          <w:szCs w:val="32"/>
        </w:rPr>
        <w:t>基本实现现代化，矿产资源合理开发利用和社会、经济、生态协调发展。</w:t>
      </w:r>
    </w:p>
    <w:p>
      <w:pPr>
        <w:pStyle w:val="27"/>
        <w:adjustRightInd w:val="0"/>
        <w:snapToGrid w:val="0"/>
        <w:spacing w:line="580" w:lineRule="exact"/>
        <w:ind w:left="0" w:firstLine="720" w:firstLineChars="200"/>
        <w:outlineLvl w:val="0"/>
        <w:rPr>
          <w:rFonts w:ascii="Times New Roman" w:hAnsi="Times New Roman" w:eastAsia="黑体" w:cs="Times New Roman"/>
          <w:bCs/>
          <w:sz w:val="36"/>
          <w:szCs w:val="36"/>
        </w:rPr>
      </w:pPr>
      <w:bookmarkStart w:id="233" w:name="_Toc9269"/>
      <w:r>
        <w:rPr>
          <w:rFonts w:ascii="Times New Roman" w:hAnsi="Times New Roman" w:eastAsia="黑体" w:cs="Times New Roman"/>
          <w:bCs/>
          <w:sz w:val="36"/>
          <w:szCs w:val="36"/>
        </w:rPr>
        <w:t>三、统筹</w:t>
      </w:r>
      <w:r>
        <w:rPr>
          <w:rFonts w:ascii="Times New Roman" w:hAnsi="Times New Roman" w:eastAsia="黑体" w:cs="Times New Roman"/>
          <w:bCs/>
          <w:sz w:val="36"/>
          <w:szCs w:val="36"/>
          <w:lang w:val="en-US"/>
        </w:rPr>
        <w:t>开发与</w:t>
      </w:r>
      <w:r>
        <w:rPr>
          <w:rFonts w:ascii="Times New Roman" w:hAnsi="Times New Roman" w:eastAsia="黑体" w:cs="Times New Roman"/>
          <w:bCs/>
          <w:sz w:val="36"/>
          <w:szCs w:val="36"/>
        </w:rPr>
        <w:t>保护，优化区域总体布局</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3"/>
    </w:p>
    <w:p>
      <w:pPr>
        <w:pStyle w:val="53"/>
        <w:snapToGrid w:val="0"/>
        <w:spacing w:line="600" w:lineRule="exact"/>
        <w:ind w:firstLine="640" w:firstLineChars="200"/>
        <w:rPr>
          <w:rFonts w:eastAsia="仿宋_GB2312"/>
          <w:sz w:val="32"/>
          <w:szCs w:val="32"/>
        </w:rPr>
      </w:pPr>
      <w:bookmarkStart w:id="234" w:name="_Toc23714"/>
      <w:bookmarkStart w:id="235" w:name="_Toc25448"/>
      <w:bookmarkStart w:id="236" w:name="_Toc32068"/>
      <w:bookmarkStart w:id="237" w:name="_Toc30915"/>
      <w:bookmarkStart w:id="238" w:name="_Toc32020"/>
      <w:bookmarkStart w:id="239" w:name="_Toc32679"/>
      <w:bookmarkStart w:id="240" w:name="_Toc23581"/>
      <w:bookmarkStart w:id="241" w:name="_Toc16764"/>
      <w:bookmarkStart w:id="242" w:name="_Toc30887"/>
      <w:bookmarkStart w:id="243" w:name="_Toc29313"/>
      <w:bookmarkStart w:id="244" w:name="_Toc21038"/>
      <w:bookmarkStart w:id="245" w:name="_Toc61179103"/>
      <w:bookmarkStart w:id="246" w:name="_Toc25642_WPSOffice_Level2"/>
      <w:r>
        <w:rPr>
          <w:rFonts w:eastAsia="仿宋_GB2312"/>
          <w:sz w:val="32"/>
          <w:szCs w:val="30"/>
        </w:rPr>
        <w:t>坚持“绿水青山就是金山银山”理念，围绕湖北省“一主引领、两翼驱动、全域协同”区域发展布局，以国土空间规划为统领，突出能源资源基地和国家规划矿区战略引导，初步形成全省“三足鼎力，四区联动，优势互补”资源开发与保护新格局，推动资源开发布局与生态保护、区域发展格局更加协调</w:t>
      </w:r>
      <w:bookmarkStart w:id="247" w:name="_Toc69313970"/>
      <w:bookmarkStart w:id="248" w:name="_Toc6819"/>
      <w:bookmarkStart w:id="249" w:name="_Toc9604"/>
      <w:bookmarkStart w:id="250" w:name="_Toc69313754"/>
      <w:bookmarkStart w:id="251" w:name="_Toc28357"/>
      <w:bookmarkStart w:id="252" w:name="_Toc26142"/>
      <w:r>
        <w:rPr>
          <w:rFonts w:eastAsia="仿宋_GB2312"/>
          <w:sz w:val="32"/>
          <w:szCs w:val="30"/>
        </w:rPr>
        <w:t>。</w:t>
      </w:r>
    </w:p>
    <w:bookmarkEnd w:id="234"/>
    <w:bookmarkEnd w:id="235"/>
    <w:bookmarkEnd w:id="236"/>
    <w:bookmarkEnd w:id="237"/>
    <w:bookmarkEnd w:id="238"/>
    <w:bookmarkEnd w:id="239"/>
    <w:bookmarkEnd w:id="240"/>
    <w:bookmarkEnd w:id="241"/>
    <w:bookmarkEnd w:id="242"/>
    <w:bookmarkEnd w:id="243"/>
    <w:bookmarkEnd w:id="247"/>
    <w:bookmarkEnd w:id="248"/>
    <w:bookmarkEnd w:id="249"/>
    <w:bookmarkEnd w:id="250"/>
    <w:bookmarkEnd w:id="251"/>
    <w:bookmarkEnd w:id="252"/>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253" w:name="_Toc13118"/>
      <w:bookmarkStart w:id="254" w:name="_Toc30763"/>
      <w:bookmarkStart w:id="255" w:name="_Toc18805"/>
      <w:bookmarkStart w:id="256" w:name="_Toc8160"/>
      <w:bookmarkStart w:id="257" w:name="_Toc30307"/>
      <w:bookmarkStart w:id="258" w:name="_Toc6529"/>
      <w:bookmarkStart w:id="259" w:name="_Toc31961"/>
      <w:bookmarkStart w:id="260" w:name="_Toc7608"/>
      <w:bookmarkStart w:id="261" w:name="_Toc5065"/>
      <w:r>
        <w:rPr>
          <w:rFonts w:ascii="Times New Roman" w:hAnsi="Times New Roman" w:eastAsia="楷体_GB2312" w:cs="Times New Roman"/>
          <w:b w:val="0"/>
          <w:bCs w:val="0"/>
          <w:i w:val="0"/>
          <w:iCs w:val="0"/>
          <w:sz w:val="32"/>
          <w:szCs w:val="32"/>
          <w:lang w:val="zh-CN"/>
        </w:rPr>
        <w:t>（一）发挥矿产资源功能分区优势</w:t>
      </w:r>
      <w:bookmarkEnd w:id="253"/>
      <w:bookmarkEnd w:id="254"/>
      <w:bookmarkEnd w:id="255"/>
      <w:bookmarkEnd w:id="256"/>
    </w:p>
    <w:p>
      <w:pPr>
        <w:adjustRightInd w:val="0"/>
        <w:snapToGrid w:val="0"/>
        <w:spacing w:line="60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充分发挥长江经济带资源优势和产业优势，在符合生态环境承载力的基础上，综合区域经济发展、矿产资源禀赋和资源开发利用条件等因素，全省主要分为矿产资源保障区、补给区、优化区、保护区，即“四大功能区”，合理控制开发强度，强化功能分区优势互补与联动发展，推进矿产资源空间布局与区域发展布局深度融合，助推资源型地区高质量发展。</w:t>
      </w:r>
    </w:p>
    <w:p>
      <w:pPr>
        <w:pStyle w:val="53"/>
        <w:adjustRightInd w:val="0"/>
        <w:snapToGrid w:val="0"/>
        <w:spacing w:line="600" w:lineRule="exact"/>
        <w:ind w:firstLine="643" w:firstLineChars="200"/>
        <w:rPr>
          <w:rFonts w:eastAsia="仿宋_GB2312"/>
          <w:sz w:val="32"/>
          <w:szCs w:val="30"/>
        </w:rPr>
      </w:pPr>
      <w:bookmarkStart w:id="262" w:name="_Toc1747"/>
      <w:bookmarkStart w:id="263" w:name="_Toc69313973"/>
      <w:bookmarkStart w:id="264" w:name="_Toc29452"/>
      <w:bookmarkStart w:id="265" w:name="_Toc20628"/>
      <w:bookmarkStart w:id="266" w:name="_Toc8669"/>
      <w:bookmarkStart w:id="267" w:name="_Toc25518"/>
      <w:bookmarkStart w:id="268" w:name="_Toc22288"/>
      <w:bookmarkStart w:id="269" w:name="_Toc7013"/>
      <w:bookmarkStart w:id="270" w:name="_Toc4593"/>
      <w:bookmarkStart w:id="271" w:name="_Toc5242"/>
      <w:bookmarkStart w:id="272" w:name="_Toc69313755"/>
      <w:r>
        <w:rPr>
          <w:rFonts w:eastAsia="仿宋_GB2312"/>
          <w:b/>
          <w:sz w:val="32"/>
          <w:szCs w:val="32"/>
        </w:rPr>
        <w:t>发挥资源保障区供给优势</w:t>
      </w:r>
      <w:r>
        <w:rPr>
          <w:rFonts w:eastAsia="仿宋_GB2312"/>
          <w:sz w:val="32"/>
          <w:szCs w:val="32"/>
        </w:rPr>
        <w:t>。矿产资源保障区以黄石市、鄂州市、襄阳市和宜昌市为支点，资源环境承载力强、矿业发展要素聚集程度高，易形成矿产资源“三足鼎力”布局，辐射保障“武汉城市圈”和“襄十随神”、“宜荆荆恩”城市群铜、铁、金、磷、晶质石墨等重要矿产供应。重点开展基础地质调查和矿产勘查，推进深地探测工作，努力实现找矿新突破，推进能源资源基地和国家规划矿区建设，强化战略性矿产资源安全保障，逐步</w:t>
      </w:r>
      <w:r>
        <w:rPr>
          <w:rFonts w:eastAsia="仿宋_GB2312"/>
          <w:sz w:val="32"/>
          <w:szCs w:val="32"/>
          <w:lang w:val="zh-CN"/>
        </w:rPr>
        <w:t>建立完整产业链和供应链一体化矿业经济体系，</w:t>
      </w:r>
      <w:r>
        <w:rPr>
          <w:rFonts w:eastAsia="仿宋_GB2312"/>
          <w:sz w:val="32"/>
          <w:szCs w:val="30"/>
        </w:rPr>
        <w:t>服务现代磷化工、低碳冶金及</w:t>
      </w:r>
      <w:r>
        <w:rPr>
          <w:rFonts w:eastAsia="仿宋_GB2312"/>
          <w:sz w:val="32"/>
          <w:szCs w:val="32"/>
        </w:rPr>
        <w:t>新兴产业发展</w:t>
      </w:r>
      <w:r>
        <w:rPr>
          <w:rFonts w:eastAsia="仿宋_GB2312"/>
          <w:sz w:val="32"/>
          <w:szCs w:val="30"/>
        </w:rPr>
        <w:t>。</w:t>
      </w:r>
    </w:p>
    <w:bookmarkEnd w:id="244"/>
    <w:bookmarkEnd w:id="245"/>
    <w:bookmarkEnd w:id="24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Pr>
        <w:pStyle w:val="53"/>
        <w:adjustRightInd w:val="0"/>
        <w:snapToGrid w:val="0"/>
        <w:spacing w:line="600" w:lineRule="exact"/>
        <w:ind w:firstLine="643" w:firstLineChars="200"/>
        <w:rPr>
          <w:rFonts w:eastAsia="仿宋_GB2312"/>
          <w:sz w:val="32"/>
          <w:szCs w:val="32"/>
        </w:rPr>
      </w:pPr>
      <w:r>
        <w:rPr>
          <w:rFonts w:eastAsia="仿宋_GB2312"/>
          <w:b/>
          <w:sz w:val="32"/>
          <w:szCs w:val="32"/>
        </w:rPr>
        <w:t>突显资源补给区调节作用</w:t>
      </w:r>
      <w:r>
        <w:rPr>
          <w:rFonts w:eastAsia="仿宋_GB2312"/>
          <w:sz w:val="32"/>
          <w:szCs w:val="32"/>
        </w:rPr>
        <w:t>。矿产资源补给区覆盖武汉城市圈主体范围及随州市、荆门市、荆州市等7个地区，资源基础条件较好，生态约束较小。突出资源优化配置，加大咸宁市金、锑、铌钽矿区及外围资源勘查力度，黄冈市贵金属矿产和特色非金属矿产勘查力度，荆门市、荆州市深部卤水钾盐矿产勘查和锂、铷、铯、硼等共伴生矿产综合回收应用力度</w:t>
      </w:r>
      <w:r>
        <w:rPr>
          <w:rFonts w:hint="eastAsia" w:eastAsia="仿宋_GB2312"/>
          <w:sz w:val="32"/>
          <w:szCs w:val="32"/>
        </w:rPr>
        <w:t>；</w:t>
      </w:r>
      <w:r>
        <w:rPr>
          <w:rFonts w:eastAsia="仿宋_GB2312"/>
          <w:sz w:val="32"/>
          <w:szCs w:val="32"/>
        </w:rPr>
        <w:t>以铁路、公路、水道交通为纽带，充分发挥矿产资源的补给作用，实现东西协调联动和南北优势互补，为“一主两翼”发展提供接续资源支撑，提升规模开发和集约利用水平，不断将资源优势转化为经济优势。</w:t>
      </w:r>
    </w:p>
    <w:p>
      <w:pPr>
        <w:pStyle w:val="53"/>
        <w:adjustRightInd w:val="0"/>
        <w:snapToGrid w:val="0"/>
        <w:spacing w:line="600" w:lineRule="exact"/>
        <w:ind w:firstLine="643" w:firstLineChars="200"/>
        <w:rPr>
          <w:rFonts w:eastAsia="仿宋_GB2312"/>
          <w:sz w:val="32"/>
          <w:szCs w:val="32"/>
        </w:rPr>
      </w:pPr>
      <w:r>
        <w:rPr>
          <w:rFonts w:eastAsia="仿宋_GB2312"/>
          <w:b/>
          <w:sz w:val="32"/>
          <w:szCs w:val="32"/>
        </w:rPr>
        <w:t>推动资源优化区转型升级。</w:t>
      </w:r>
      <w:r>
        <w:rPr>
          <w:rFonts w:eastAsia="仿宋_GB2312"/>
          <w:sz w:val="32"/>
          <w:szCs w:val="32"/>
        </w:rPr>
        <w:t>矿产资源优化区分布于十堰市、神农架林区和潜江市等地区，资源基础条件一般，生态约束较强，辐射支撑“襄十随神”城市群发展。突出以环境保护为前提，不断优化矿业结构，加大超贫磁铁矿、钒矿、铌稀土等矿产的加工选冶技术攻关，加强绿松石资源开发监管，开展潜江市油气</w:t>
      </w:r>
      <w:r>
        <w:rPr>
          <w:rFonts w:hint="eastAsia" w:eastAsia="仿宋_GB2312"/>
          <w:sz w:val="32"/>
          <w:szCs w:val="32"/>
          <w:lang w:eastAsia="zh-CN"/>
        </w:rPr>
        <w:t>、</w:t>
      </w:r>
      <w:r>
        <w:rPr>
          <w:rFonts w:eastAsia="仿宋_GB2312"/>
          <w:sz w:val="32"/>
          <w:szCs w:val="32"/>
        </w:rPr>
        <w:t>盐矿区深部的生态修复技术研究，推进地热资源开发利用，发挥矿业服务与矿山旅游优势，促进县域经济发展。</w:t>
      </w:r>
    </w:p>
    <w:p>
      <w:pPr>
        <w:pStyle w:val="53"/>
        <w:adjustRightInd w:val="0"/>
        <w:snapToGrid w:val="0"/>
        <w:spacing w:line="600" w:lineRule="exact"/>
        <w:ind w:firstLine="643" w:firstLineChars="200"/>
        <w:rPr>
          <w:rFonts w:eastAsia="仿宋_GB2312"/>
          <w:sz w:val="32"/>
          <w:szCs w:val="32"/>
        </w:rPr>
      </w:pPr>
      <w:r>
        <w:rPr>
          <w:rFonts w:eastAsia="仿宋_GB2312"/>
          <w:b/>
          <w:sz w:val="32"/>
          <w:szCs w:val="32"/>
        </w:rPr>
        <w:t>挖掘资源保护区循环经济潜力</w:t>
      </w:r>
      <w:r>
        <w:rPr>
          <w:rFonts w:eastAsia="仿宋_GB2312"/>
          <w:sz w:val="32"/>
          <w:szCs w:val="32"/>
        </w:rPr>
        <w:t>。矿产资源保护区主要分布在资源环境承载能力较弱的恩施州，矿产资源相对匮乏的武汉市、仙桃市等地区，严格矿产资源开发强度，充分发挥地质技术服务功能，培育发展康养、富硒、地质旅游等生态产业，鼓励开展页岩气、地热等清洁能源矿产勘查开发，提高矿产资源储备能力。</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273" w:name="_Toc29545"/>
      <w:bookmarkStart w:id="274" w:name="_Toc12715"/>
      <w:bookmarkStart w:id="275" w:name="_Toc4754"/>
      <w:bookmarkStart w:id="276" w:name="_Toc69313756"/>
      <w:bookmarkStart w:id="277" w:name="_Toc22728"/>
      <w:bookmarkStart w:id="278" w:name="_Toc5885"/>
      <w:bookmarkStart w:id="279" w:name="_Toc32329"/>
      <w:bookmarkStart w:id="280" w:name="_Toc69313979"/>
      <w:bookmarkStart w:id="281" w:name="_Toc26826"/>
      <w:bookmarkStart w:id="282" w:name="_Toc61179104"/>
      <w:bookmarkStart w:id="283" w:name="_Toc23798"/>
      <w:bookmarkStart w:id="284" w:name="_Toc19390"/>
      <w:bookmarkStart w:id="285" w:name="_Toc4765"/>
      <w:bookmarkStart w:id="286" w:name="_Toc18874"/>
      <w:bookmarkStart w:id="287" w:name="_Toc19144"/>
      <w:bookmarkStart w:id="288" w:name="_Toc31028"/>
      <w:bookmarkStart w:id="289" w:name="_Toc8532"/>
      <w:bookmarkStart w:id="290" w:name="_Toc21113"/>
      <w:bookmarkStart w:id="291" w:name="_Toc10287"/>
      <w:bookmarkStart w:id="292" w:name="_Toc11045_WPSOffice_Level2"/>
      <w:bookmarkStart w:id="293" w:name="_Toc27535"/>
      <w:bookmarkStart w:id="294" w:name="_Toc20686"/>
      <w:bookmarkStart w:id="295" w:name="_Toc18910"/>
      <w:r>
        <w:rPr>
          <w:rFonts w:ascii="Times New Roman" w:hAnsi="Times New Roman" w:eastAsia="楷体_GB2312" w:cs="Times New Roman"/>
          <w:b w:val="0"/>
          <w:bCs w:val="0"/>
          <w:i w:val="0"/>
          <w:iCs w:val="0"/>
          <w:sz w:val="32"/>
          <w:szCs w:val="32"/>
          <w:lang w:val="zh-CN"/>
        </w:rPr>
        <w:t>（二）守住自然生态安全边界</w:t>
      </w:r>
      <w:bookmarkEnd w:id="273"/>
    </w:p>
    <w:p>
      <w:pPr>
        <w:pStyle w:val="53"/>
        <w:adjustRightInd w:val="0"/>
        <w:snapToGrid w:val="0"/>
        <w:spacing w:line="600" w:lineRule="exact"/>
        <w:ind w:firstLine="640" w:firstLineChars="200"/>
        <w:rPr>
          <w:rFonts w:eastAsia="仿宋_GB2312"/>
          <w:sz w:val="32"/>
          <w:szCs w:val="30"/>
        </w:rPr>
      </w:pPr>
      <w:r>
        <w:rPr>
          <w:rFonts w:eastAsia="仿宋_GB2312"/>
          <w:sz w:val="32"/>
          <w:szCs w:val="30"/>
          <w:lang w:val="zh-CN"/>
        </w:rPr>
        <w:t>严</w:t>
      </w:r>
      <w:r>
        <w:rPr>
          <w:rFonts w:eastAsia="仿宋_GB2312"/>
          <w:sz w:val="32"/>
          <w:szCs w:val="30"/>
        </w:rPr>
        <w:t>格遵守</w:t>
      </w:r>
      <w:r>
        <w:rPr>
          <w:rFonts w:eastAsia="仿宋_GB2312"/>
          <w:sz w:val="32"/>
          <w:szCs w:val="30"/>
          <w:lang w:val="zh-CN"/>
        </w:rPr>
        <w:t>国土空间管制</w:t>
      </w:r>
      <w:r>
        <w:rPr>
          <w:rFonts w:eastAsia="仿宋_GB2312"/>
          <w:sz w:val="32"/>
          <w:szCs w:val="30"/>
        </w:rPr>
        <w:t>要求</w:t>
      </w:r>
      <w:r>
        <w:rPr>
          <w:rFonts w:eastAsia="仿宋_GB2312"/>
          <w:sz w:val="32"/>
          <w:szCs w:val="30"/>
          <w:lang w:val="zh-CN"/>
        </w:rPr>
        <w:t>，</w:t>
      </w:r>
      <w:r>
        <w:rPr>
          <w:rFonts w:eastAsia="仿宋_GB2312"/>
          <w:sz w:val="32"/>
          <w:szCs w:val="30"/>
        </w:rPr>
        <w:t>衔接落实区域“三线一单”分区管控要求，生态保护红线范围内禁止不符合管控要求的矿产资源勘查开采。坚持共抓大保护、不搞大开发，严格落实长江保护法要求。严格落实生态环境保护和节约用地等制度，统筹矿产资源勘查开发布局，做好能源资源基地、国家规划矿区资源勘查开发与生态保护红线等的衔接，推动资源开发与环境保护、区域经济和城乡建设协调发展。</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296" w:name="_Toc24197"/>
      <w:r>
        <w:rPr>
          <w:rFonts w:ascii="Times New Roman" w:hAnsi="Times New Roman" w:eastAsia="楷体_GB2312" w:cs="Times New Roman"/>
          <w:b w:val="0"/>
          <w:bCs w:val="0"/>
          <w:i w:val="0"/>
          <w:iCs w:val="0"/>
          <w:sz w:val="32"/>
          <w:szCs w:val="32"/>
          <w:lang w:val="zh-CN"/>
        </w:rPr>
        <w:t>（三）分类</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ascii="Times New Roman" w:hAnsi="Times New Roman" w:eastAsia="楷体_GB2312" w:cs="Times New Roman"/>
          <w:b w:val="0"/>
          <w:bCs w:val="0"/>
          <w:i w:val="0"/>
          <w:iCs w:val="0"/>
          <w:sz w:val="32"/>
          <w:szCs w:val="32"/>
          <w:lang w:val="zh-CN"/>
        </w:rPr>
        <w:t>支撑重点产业发展需求</w:t>
      </w:r>
      <w:bookmarkEnd w:id="295"/>
      <w:bookmarkEnd w:id="296"/>
    </w:p>
    <w:p>
      <w:pPr>
        <w:adjustRightInd w:val="0"/>
        <w:snapToGrid w:val="0"/>
        <w:spacing w:line="600" w:lineRule="exact"/>
        <w:ind w:firstLine="640" w:firstLineChars="200"/>
        <w:rPr>
          <w:rFonts w:ascii="Times New Roman" w:hAnsi="Times New Roman" w:eastAsia="仿宋_GB2312"/>
          <w:sz w:val="32"/>
          <w:szCs w:val="32"/>
        </w:rPr>
      </w:pPr>
      <w:bookmarkStart w:id="297" w:name="_Toc24317"/>
      <w:bookmarkStart w:id="298" w:name="_Toc745"/>
      <w:bookmarkStart w:id="299" w:name="_Toc6480"/>
      <w:bookmarkStart w:id="300" w:name="_Toc16983"/>
      <w:bookmarkStart w:id="301" w:name="_Toc9253"/>
      <w:r>
        <w:rPr>
          <w:rFonts w:ascii="Times New Roman" w:hAnsi="Times New Roman" w:eastAsia="仿宋_GB2312"/>
          <w:sz w:val="32"/>
          <w:szCs w:val="32"/>
        </w:rPr>
        <w:t>突出保障国计民生、国家资源安全和战略性新兴产业发展需求，加强矿产资源分区管理，推进战略性矿产资源找矿行动。优化勘查与开发布局，以产业需求为导向推动资源勘查和开发，提高资源安全供应能力和开发利用水平，促进矿产资源和全省重点产业深度融合，延长产业链条，提升产业价值。</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支撑多元化能源保障体系建设。</w:t>
      </w:r>
      <w:r>
        <w:rPr>
          <w:rFonts w:ascii="Times New Roman" w:hAnsi="Times New Roman" w:eastAsia="仿宋_GB2312"/>
          <w:sz w:val="32"/>
          <w:szCs w:val="32"/>
        </w:rPr>
        <w:t>落实国家油气等能源勘探部署，支撑全省新能源与新材料产业、汽车产业等发展，加快页岩气、地热、干热岩等清洁能源矿产，以及新能源金属矿产调查评价与勘查开发，力争实现找矿新突破，推进产业结构转型升级。促进恩施州、宜昌市页岩气勘查，发挥潜江市油气补给调节优势，挖掘全省铀矿找矿潜力，持续推进鄂西页岩气勘探开发综合示范区建设，推进资源节约集约综合利用和新能源资源梯级开发利用，加快构建清洁低碳安全高效的能源体系。加强锂、锰、钴、镍等新能源金属矿产勘查与开发利用，推动矿业与锂离子电池正极材料、锰酸盐系正极材料等下游新能源材料产业融合，打造矿业全产业链，服务汽车制造等支柱产业发展，推动“碳达峰、碳中和”战略实施。加强江汉盆地、南襄盆地、武汉新洲凹陷等地区地热资源调查评价与勘查，因地制宜开发利用地热能，实施地热开发动态监测，推广浅层地热能供暖和制冷应用，探索地热能多元融合发展，促进地热能开发与生物医药、康养旅游等产业深度融合。</w:t>
      </w:r>
      <w:r>
        <w:rPr>
          <w:rFonts w:hint="eastAsia" w:ascii="Times New Roman" w:hAnsi="Times New Roman" w:eastAsia="仿宋_GB2312"/>
          <w:sz w:val="32"/>
          <w:szCs w:val="32"/>
          <w:lang w:val="en-US" w:eastAsia="zh-CN"/>
        </w:rPr>
        <w:t>有序</w:t>
      </w:r>
      <w:r>
        <w:rPr>
          <w:rFonts w:ascii="Times New Roman" w:hAnsi="Times New Roman" w:eastAsia="仿宋_GB2312"/>
          <w:sz w:val="32"/>
          <w:szCs w:val="32"/>
        </w:rPr>
        <w:t>推进煤矿政策性关闭退出，加快淘汰落后产能和其他不符合产业政策的产能。</w:t>
      </w:r>
    </w:p>
    <w:p>
      <w:pPr>
        <w:adjustRightInd w:val="0"/>
        <w:snapToGrid w:val="0"/>
        <w:spacing w:line="600" w:lineRule="exact"/>
        <w:ind w:firstLine="643" w:firstLineChars="200"/>
        <w:rPr>
          <w:rFonts w:ascii="Times New Roman" w:hAnsi="Times New Roman"/>
          <w:spacing w:val="-6"/>
        </w:rPr>
      </w:pPr>
      <w:r>
        <w:rPr>
          <w:rFonts w:ascii="Times New Roman" w:hAnsi="Times New Roman" w:eastAsia="仿宋_GB2312"/>
          <w:b/>
          <w:bCs/>
          <w:sz w:val="32"/>
          <w:szCs w:val="32"/>
        </w:rPr>
        <w:t>支撑冶金及新兴产业发展。</w:t>
      </w:r>
      <w:r>
        <w:rPr>
          <w:rFonts w:ascii="Times New Roman" w:hAnsi="Times New Roman" w:eastAsia="仿宋_GB2312"/>
          <w:sz w:val="32"/>
          <w:szCs w:val="32"/>
        </w:rPr>
        <w:t>落实国家新一轮找矿突破战略行动，以满足机械、汽车等传统产业转型升级，先进轨道交通装备、航空航天等战略性新兴产业发展所需矿产为主攻方向，加强金属矿产勘查开发，为全省钢铁、有色冶金等行业高质量发展提供原材料保障。围绕能源资源基地发展需求，以矿产资源保障区为主，加强黄石市、鄂州市、襄阳市和宜昌市铁、铜、钴、钨、钼、金等矿产深部和外围勘查，以及鄂西北锰、钴矿调查评价与勘查，辅以十堰市、咸宁市等地区铌、钽、锂、稀土、锑等重要矿产勘查，稳定大中型矿山资源供应能力，加大先进适用技术应用，服务“光芯屏端网”、高端制造等支柱产业和战略性新兴产业需求</w:t>
      </w:r>
      <w:r>
        <w:rPr>
          <w:rFonts w:ascii="Times New Roman" w:hAnsi="Times New Roman" w:eastAsia="仿宋_GB2312"/>
          <w:spacing w:val="-6"/>
          <w:sz w:val="32"/>
          <w:szCs w:val="32"/>
        </w:rPr>
        <w:t>。加强宜昌地区晶质石墨资源调查评价与勘查，服务石墨烯等新能源材料产业及战略性新兴产业发展。</w:t>
      </w:r>
    </w:p>
    <w:p>
      <w:pPr>
        <w:adjustRightInd w:val="0"/>
        <w:snapToGrid w:val="0"/>
        <w:spacing w:line="600" w:lineRule="exact"/>
        <w:ind w:firstLine="643" w:firstLineChars="200"/>
        <w:rPr>
          <w:rFonts w:ascii="Times New Roman" w:hAnsi="Times New Roman"/>
        </w:rPr>
      </w:pPr>
      <w:r>
        <w:rPr>
          <w:rFonts w:ascii="Times New Roman" w:hAnsi="Times New Roman" w:eastAsia="仿宋_GB2312"/>
          <w:b/>
          <w:bCs/>
          <w:sz w:val="32"/>
          <w:szCs w:val="32"/>
        </w:rPr>
        <w:t>支撑化工及建材产业发展。</w:t>
      </w:r>
      <w:r>
        <w:rPr>
          <w:rFonts w:ascii="Times New Roman" w:hAnsi="Times New Roman" w:eastAsia="仿宋_GB2312"/>
          <w:sz w:val="32"/>
          <w:szCs w:val="32"/>
        </w:rPr>
        <w:t>围绕全省磷化工、盐化工、非金属建材产业发展需求，加强磷、盐、建筑用石料等非金属矿产资源勘查开发，为下游产业提供可持续供应和具有较强竞争优势的资源基础。加快全省磷矿资源与产业布局融合，有序推进宜昌市、襄阳市、荆门市磷矿资源勘查，推进鄂西磷矿基地建设。加强磷矿开采管控，鼓励磷化工龙头企业参与磷矿资源勘查与开发，推进“采、选、加”一体化发展，提高磷矿资源战略保障能力，促进磷化工产业高质量发展。推进江汉盆地含钾卤水勘查开发，合理利用卤水锂资源，充分发挥资源优势，重点保障云应、潜江盐卤产业基地资源供给，培育发展“卤—盐—两碱—精细化工—盐化工新材料”产业链，推进盐化工产业向下游精细化工延伸，提升产品价值链，增强核心竞争力。推进全省建筑用石料等规模化开发，鼓励大型国有企业参与资源开发利用，推进资源整合，加快发展绿色新兴建材产品，延伸产业链条，不断提高资源利用效率和产业集中度。</w:t>
      </w:r>
    </w:p>
    <w:bookmarkEnd w:id="230"/>
    <w:bookmarkEnd w:id="297"/>
    <w:bookmarkEnd w:id="298"/>
    <w:bookmarkEnd w:id="299"/>
    <w:bookmarkEnd w:id="300"/>
    <w:bookmarkEnd w:id="301"/>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302" w:name="_Toc25362"/>
      <w:bookmarkStart w:id="303" w:name="_Toc7"/>
      <w:bookmarkStart w:id="304" w:name="_Toc15289"/>
      <w:bookmarkStart w:id="305" w:name="_Toc24585"/>
      <w:bookmarkStart w:id="306" w:name="_Toc20841"/>
      <w:bookmarkStart w:id="307" w:name="_Toc20578"/>
      <w:bookmarkStart w:id="308" w:name="_Toc1728"/>
      <w:bookmarkStart w:id="309" w:name="_Toc2874"/>
      <w:bookmarkStart w:id="310" w:name="_Toc8241"/>
      <w:bookmarkStart w:id="311" w:name="_Toc69313758"/>
      <w:bookmarkStart w:id="312" w:name="_Toc26105"/>
      <w:bookmarkStart w:id="313" w:name="_Toc61195363"/>
      <w:bookmarkStart w:id="314" w:name="_Toc7839"/>
      <w:bookmarkStart w:id="315" w:name="_Toc69313988"/>
      <w:bookmarkStart w:id="316" w:name="_Toc25924"/>
      <w:bookmarkStart w:id="317" w:name="_Toc18134"/>
      <w:bookmarkStart w:id="318" w:name="_Toc16898"/>
      <w:bookmarkStart w:id="319" w:name="_Toc10507"/>
      <w:bookmarkStart w:id="320" w:name="_Toc27493"/>
      <w:bookmarkStart w:id="321" w:name="_Toc22470"/>
      <w:bookmarkStart w:id="322" w:name="_Toc10813"/>
      <w:bookmarkStart w:id="323" w:name="_Toc22950"/>
      <w:bookmarkStart w:id="324" w:name="_Toc20443"/>
      <w:bookmarkStart w:id="325" w:name="_Toc20531"/>
      <w:bookmarkStart w:id="326" w:name="_Toc26471_WPSOffice_Level1"/>
      <w:bookmarkStart w:id="327" w:name="_Toc24352"/>
      <w:bookmarkStart w:id="328" w:name="_Toc1951"/>
      <w:bookmarkStart w:id="329" w:name="_Toc4461_WPSOffice_Level1"/>
      <w:r>
        <w:rPr>
          <w:rFonts w:ascii="Times New Roman" w:hAnsi="Times New Roman" w:eastAsia="楷体_GB2312" w:cs="Times New Roman"/>
          <w:b w:val="0"/>
          <w:bCs w:val="0"/>
          <w:i w:val="0"/>
          <w:iCs w:val="0"/>
          <w:sz w:val="32"/>
          <w:szCs w:val="32"/>
          <w:lang w:val="zh-CN"/>
        </w:rPr>
        <w:t>（四）分级保障重要矿产资源安全</w:t>
      </w:r>
      <w:bookmarkEnd w:id="302"/>
      <w:bookmarkEnd w:id="303"/>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统筹推进矿产资源</w:t>
      </w:r>
      <w:r>
        <w:rPr>
          <w:rFonts w:hint="eastAsia" w:ascii="Times New Roman" w:hAnsi="Times New Roman" w:eastAsia="仿宋_GB2312"/>
          <w:sz w:val="32"/>
          <w:szCs w:val="32"/>
        </w:rPr>
        <w:t>整体</w:t>
      </w:r>
      <w:r>
        <w:rPr>
          <w:rFonts w:ascii="Times New Roman" w:hAnsi="Times New Roman" w:eastAsia="仿宋_GB2312"/>
          <w:sz w:val="32"/>
          <w:szCs w:val="32"/>
        </w:rPr>
        <w:t>勘查和规模开发，实行差别化管控，推进能源资源基地、国家规划矿区等建设，促进要素集聚，引导建设资源安全保障核心区域。</w:t>
      </w:r>
    </w:p>
    <w:p>
      <w:pPr>
        <w:adjustRightInd w:val="0"/>
        <w:snapToGrid w:val="0"/>
        <w:spacing w:line="600" w:lineRule="exact"/>
        <w:ind w:firstLine="643" w:firstLineChars="200"/>
        <w:rPr>
          <w:rFonts w:ascii="Times New Roman" w:hAnsi="Times New Roman" w:eastAsia="黑体"/>
          <w:sz w:val="30"/>
          <w:szCs w:val="30"/>
        </w:rPr>
      </w:pPr>
      <w:r>
        <w:rPr>
          <w:rFonts w:ascii="Times New Roman" w:hAnsi="Times New Roman" w:eastAsia="仿宋_GB2312"/>
          <w:b/>
          <w:bCs/>
          <w:sz w:val="32"/>
          <w:szCs w:val="32"/>
        </w:rPr>
        <w:t>推进能源资源基地和国家规划矿区建设。</w:t>
      </w:r>
      <w:r>
        <w:rPr>
          <w:rFonts w:ascii="Times New Roman" w:hAnsi="Times New Roman" w:eastAsia="仿宋_GB2312"/>
          <w:sz w:val="32"/>
          <w:szCs w:val="32"/>
        </w:rPr>
        <w:t>划定落实10个能源资源基地，主要涉及磷、铁、铜等矿产，</w:t>
      </w:r>
      <w:r>
        <w:rPr>
          <w:rFonts w:ascii="Times New Roman" w:hAnsi="Times New Roman" w:eastAsia="仿宋_GB2312"/>
          <w:sz w:val="32"/>
          <w:szCs w:val="30"/>
        </w:rPr>
        <w:t>保持省内重要矿产自给能力，</w:t>
      </w:r>
      <w:r>
        <w:rPr>
          <w:rFonts w:ascii="Times New Roman" w:hAnsi="Times New Roman" w:eastAsia="仿宋_GB2312"/>
          <w:sz w:val="32"/>
          <w:szCs w:val="32"/>
        </w:rPr>
        <w:t>开采总量调控指标等优先向</w:t>
      </w:r>
      <w:r>
        <w:rPr>
          <w:rFonts w:ascii="Times New Roman" w:hAnsi="Times New Roman" w:eastAsia="仿宋_GB2312"/>
          <w:sz w:val="32"/>
          <w:szCs w:val="30"/>
        </w:rPr>
        <w:t>基地内矿山企业配置，推进资源规模开发、集约利用，在生产力布局、基地设施建设、重大项目安排及相关产业政策方面给予重点支持和保障，大力推进产业集聚发展。</w:t>
      </w:r>
      <w:r>
        <w:rPr>
          <w:rFonts w:ascii="Times New Roman" w:hAnsi="Times New Roman" w:eastAsia="仿宋_GB2312"/>
          <w:sz w:val="32"/>
          <w:szCs w:val="32"/>
        </w:rPr>
        <w:t>划定落实</w:t>
      </w:r>
      <w:r>
        <w:rPr>
          <w:rFonts w:ascii="Times New Roman" w:hAnsi="Times New Roman" w:eastAsia="仿宋_GB2312"/>
          <w:sz w:val="32"/>
          <w:szCs w:val="30"/>
        </w:rPr>
        <w:t>5个国家规划矿区，主要涉及油气、锰、铜、金、晶质石墨等矿产，实行统一规划，优先保障战略性矿产资源勘查开发，引导形成以大中型矿山为主体的开发格局，保障重要资源接续供给。</w:t>
      </w:r>
    </w:p>
    <w:p>
      <w:pPr>
        <w:pStyle w:val="53"/>
        <w:adjustRightInd w:val="0"/>
        <w:snapToGrid w:val="0"/>
        <w:spacing w:line="600" w:lineRule="exact"/>
        <w:ind w:firstLine="643" w:firstLineChars="200"/>
        <w:rPr>
          <w:rFonts w:eastAsia="仿宋_GB2312"/>
          <w:sz w:val="32"/>
          <w:szCs w:val="32"/>
        </w:rPr>
      </w:pPr>
      <w:r>
        <w:rPr>
          <w:rFonts w:eastAsia="仿宋_GB2312"/>
          <w:b/>
          <w:sz w:val="32"/>
          <w:szCs w:val="32"/>
        </w:rPr>
        <w:t>优化重点勘查开采布局</w:t>
      </w:r>
      <w:r>
        <w:rPr>
          <w:rFonts w:eastAsia="仿宋_GB2312"/>
          <w:sz w:val="32"/>
          <w:szCs w:val="32"/>
        </w:rPr>
        <w:t>。重点沿全省“四带两区”重要成矿区带，综合矿产资源供需形势、国家产业政策和资源环境承载能力，划定落实40个重点勘查区和28个重点开采区。在重点勘查区内，引导重点任务、重大项目安排和各类资金投入，加快实现找矿突破，支持大中型老矿山利用深部和外围新增资源量，稳定和扩大生产能力，保障资源供给。在重点开采区内，引导重点项目、资金投入，加强战略性矿产开发利用，提高开采准入规模，鼓励多矿种综合开发，提高资源利用效率，促进资源规模开采、集约利用和有序开发。</w:t>
      </w:r>
    </w:p>
    <w:p>
      <w:pPr>
        <w:pStyle w:val="53"/>
        <w:adjustRightInd w:val="0"/>
        <w:snapToGrid w:val="0"/>
        <w:spacing w:line="600" w:lineRule="exact"/>
        <w:ind w:firstLine="643" w:firstLineChars="200"/>
        <w:rPr>
          <w:rFonts w:eastAsia="黑体"/>
          <w:sz w:val="36"/>
          <w:szCs w:val="36"/>
        </w:rPr>
      </w:pPr>
      <w:r>
        <w:rPr>
          <w:rFonts w:eastAsia="仿宋_GB2312"/>
          <w:b/>
          <w:sz w:val="32"/>
          <w:szCs w:val="32"/>
        </w:rPr>
        <w:t>引导矿产资源合理配置</w:t>
      </w:r>
      <w:r>
        <w:rPr>
          <w:rFonts w:eastAsia="仿宋_GB2312"/>
          <w:sz w:val="32"/>
          <w:szCs w:val="32"/>
        </w:rPr>
        <w:t>。科学划定勘查规划区块和开采规划区块，明确准入要求和时序安排，为依法审批和监督管理矿产资源勘查开采活动，合理配置资源和引导矿业权投放提供参考依据。</w:t>
      </w:r>
    </w:p>
    <w:p>
      <w:pPr>
        <w:pStyle w:val="3"/>
        <w:adjustRightInd w:val="0"/>
        <w:snapToGrid w:val="0"/>
        <w:spacing w:before="0" w:beforeAutospacing="0" w:after="0" w:afterAutospacing="0" w:line="580" w:lineRule="exact"/>
        <w:ind w:firstLine="720" w:firstLineChars="200"/>
        <w:rPr>
          <w:rFonts w:eastAsia="黑体"/>
          <w:b w:val="0"/>
          <w:bCs w:val="0"/>
          <w:sz w:val="36"/>
          <w:szCs w:val="36"/>
        </w:rPr>
      </w:pPr>
      <w:bookmarkStart w:id="330" w:name="_Toc24797"/>
      <w:bookmarkStart w:id="331" w:name="_Toc493"/>
      <w:r>
        <w:rPr>
          <w:rFonts w:eastAsia="黑体"/>
          <w:b w:val="0"/>
          <w:bCs w:val="0"/>
          <w:sz w:val="36"/>
          <w:szCs w:val="36"/>
        </w:rPr>
        <w:t>四、聚焦重大需求，夯实资源保障基础</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30"/>
      <w:bookmarkEnd w:id="331"/>
    </w:p>
    <w:p>
      <w:pPr>
        <w:pStyle w:val="53"/>
        <w:adjustRightInd w:val="0"/>
        <w:snapToGrid w:val="0"/>
        <w:spacing w:line="600" w:lineRule="exact"/>
        <w:ind w:firstLine="640" w:firstLineChars="200"/>
        <w:rPr>
          <w:rFonts w:eastAsia="仿宋_GB2312"/>
          <w:sz w:val="32"/>
          <w:szCs w:val="30"/>
        </w:rPr>
      </w:pPr>
      <w:r>
        <w:rPr>
          <w:rFonts w:eastAsia="仿宋_GB2312"/>
          <w:sz w:val="32"/>
          <w:szCs w:val="30"/>
        </w:rPr>
        <w:t>围绕经济社会发展对矿产资源的需求，落实新一轮找矿突破战略行动，部署基础地质调查、重要矿产资源调查评价与勘查，力争实现找矿突破。</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332" w:name="_Toc2214"/>
      <w:bookmarkStart w:id="333" w:name="_Toc28628"/>
      <w:bookmarkStart w:id="334" w:name="_Toc32129"/>
      <w:bookmarkStart w:id="335" w:name="_Toc27019"/>
      <w:bookmarkStart w:id="336" w:name="_Toc25052"/>
      <w:bookmarkStart w:id="337" w:name="_Toc15154"/>
      <w:bookmarkStart w:id="338" w:name="_Toc23594"/>
      <w:bookmarkStart w:id="339" w:name="_Toc1206"/>
      <w:bookmarkStart w:id="340" w:name="_Toc7534_WPSOffice_Level2"/>
      <w:bookmarkStart w:id="341" w:name="_Toc317"/>
      <w:bookmarkStart w:id="342" w:name="_Toc69313759"/>
      <w:bookmarkStart w:id="343" w:name="_Toc6421"/>
      <w:bookmarkStart w:id="344" w:name="_Toc30557"/>
      <w:bookmarkStart w:id="345" w:name="_Toc348"/>
      <w:bookmarkStart w:id="346" w:name="_Toc10968"/>
      <w:bookmarkStart w:id="347" w:name="_Toc7834"/>
      <w:bookmarkStart w:id="348" w:name="_Toc25036"/>
      <w:bookmarkStart w:id="349" w:name="_Toc61195364"/>
      <w:bookmarkStart w:id="350" w:name="_Toc69313989"/>
      <w:bookmarkStart w:id="351" w:name="_Toc28252"/>
      <w:bookmarkStart w:id="352" w:name="_Toc14864"/>
      <w:bookmarkStart w:id="353" w:name="_Toc10117"/>
      <w:bookmarkStart w:id="354" w:name="_Toc22046"/>
      <w:r>
        <w:rPr>
          <w:rFonts w:ascii="Times New Roman" w:hAnsi="Times New Roman" w:eastAsia="楷体_GB2312" w:cs="Times New Roman"/>
          <w:b w:val="0"/>
          <w:bCs w:val="0"/>
          <w:i w:val="0"/>
          <w:iCs w:val="0"/>
          <w:sz w:val="32"/>
          <w:szCs w:val="32"/>
          <w:lang w:val="zh-CN"/>
        </w:rPr>
        <w:t>（一）强化基础地质支撑</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pStyle w:val="2"/>
        <w:autoSpaceDE/>
        <w:autoSpaceDN/>
        <w:snapToGrid w:val="0"/>
        <w:spacing w:line="600" w:lineRule="exact"/>
        <w:ind w:firstLine="643" w:firstLineChars="200"/>
        <w:jc w:val="both"/>
        <w:rPr>
          <w:rFonts w:ascii="Times New Roman" w:eastAsia="仿宋_GB2312" w:cs="Times New Roman"/>
          <w:bCs/>
          <w:color w:val="auto"/>
          <w:sz w:val="32"/>
          <w:szCs w:val="30"/>
        </w:rPr>
      </w:pPr>
      <w:r>
        <w:rPr>
          <w:rFonts w:ascii="Times New Roman" w:eastAsia="仿宋_GB2312" w:cs="Times New Roman"/>
          <w:b/>
          <w:color w:val="auto"/>
          <w:sz w:val="32"/>
          <w:szCs w:val="30"/>
        </w:rPr>
        <w:t>提高基础地质工作程度。</w:t>
      </w:r>
      <w:r>
        <w:rPr>
          <w:rFonts w:ascii="Times New Roman" w:eastAsia="仿宋_GB2312" w:cs="Times New Roman"/>
          <w:bCs/>
          <w:color w:val="auto"/>
          <w:sz w:val="32"/>
          <w:szCs w:val="30"/>
        </w:rPr>
        <w:t>重点加强江汉盆地和鄂西地区新区域、新层系、新类型油气（页岩气）基础地质调查，以及重要成矿区带干热岩、铀矿等低碳清洁能源和战略性矿产资源的基础地质调查工作，</w:t>
      </w:r>
      <w:r>
        <w:rPr>
          <w:rFonts w:ascii="Times New Roman" w:eastAsia="仿宋_GB2312" w:cs="Times New Roman"/>
          <w:color w:val="auto"/>
          <w:sz w:val="32"/>
          <w:szCs w:val="30"/>
        </w:rPr>
        <w:t>提高基础地质工作程度和精度。推进长江经济带及汉江生态经济带综合地质调查，</w:t>
      </w:r>
      <w:r>
        <w:rPr>
          <w:rFonts w:ascii="Times New Roman" w:eastAsia="仿宋_GB2312" w:cs="Times New Roman"/>
          <w:bCs/>
          <w:color w:val="auto"/>
          <w:sz w:val="32"/>
          <w:szCs w:val="30"/>
        </w:rPr>
        <w:t>开展襄阳市、十堰市等地区多要素城市地质调查，服务城市规划建设和社会可持续发展。支持开展土地质量地球化学调查、地质遗迹和矿业遗迹调查与监测</w:t>
      </w:r>
      <w:bookmarkStart w:id="355" w:name="_Toc7298"/>
      <w:bookmarkStart w:id="356" w:name="_Toc13264"/>
      <w:bookmarkStart w:id="357" w:name="_Toc25275"/>
      <w:bookmarkStart w:id="358" w:name="_Toc203"/>
      <w:bookmarkStart w:id="359" w:name="_Toc1207"/>
      <w:bookmarkStart w:id="360" w:name="_Toc18969"/>
      <w:bookmarkStart w:id="361" w:name="_Toc26455"/>
      <w:bookmarkStart w:id="362" w:name="_Toc30497"/>
      <w:bookmarkStart w:id="363" w:name="_Toc6760"/>
      <w:bookmarkStart w:id="364" w:name="_Toc69313990"/>
      <w:bookmarkStart w:id="365" w:name="_Toc61195365"/>
      <w:bookmarkStart w:id="366" w:name="_Toc69313760"/>
      <w:bookmarkStart w:id="367" w:name="_Toc21119"/>
      <w:bookmarkStart w:id="368" w:name="_Toc13250"/>
      <w:bookmarkStart w:id="369" w:name="_Toc12168"/>
      <w:bookmarkStart w:id="370" w:name="_Toc32165_WPSOffice_Level2"/>
      <w:bookmarkStart w:id="371" w:name="_Toc16124"/>
      <w:bookmarkStart w:id="372" w:name="_Toc19311"/>
      <w:bookmarkStart w:id="373" w:name="_Toc27674"/>
      <w:bookmarkStart w:id="374" w:name="_Toc13525"/>
      <w:bookmarkStart w:id="375" w:name="_Toc8680"/>
      <w:r>
        <w:rPr>
          <w:rFonts w:ascii="Times New Roman" w:eastAsia="仿宋_GB2312" w:cs="Times New Roman"/>
          <w:bCs/>
          <w:color w:val="auto"/>
          <w:sz w:val="32"/>
          <w:szCs w:val="30"/>
        </w:rPr>
        <w:t>，助力乡村振兴与县域经济发展。</w:t>
      </w:r>
    </w:p>
    <w:p>
      <w:pPr>
        <w:pStyle w:val="2"/>
        <w:autoSpaceDE/>
        <w:autoSpaceDN/>
        <w:snapToGrid w:val="0"/>
        <w:spacing w:line="600" w:lineRule="exact"/>
        <w:ind w:firstLine="643" w:firstLineChars="200"/>
        <w:jc w:val="both"/>
        <w:rPr>
          <w:rFonts w:ascii="Times New Roman" w:eastAsia="仿宋_GB2312" w:cs="Times New Roman"/>
          <w:color w:val="auto"/>
          <w:sz w:val="32"/>
          <w:szCs w:val="30"/>
        </w:rPr>
      </w:pPr>
      <w:r>
        <w:rPr>
          <w:rFonts w:ascii="Times New Roman" w:eastAsia="仿宋_GB2312" w:cs="Times New Roman"/>
          <w:b/>
          <w:color w:val="auto"/>
          <w:sz w:val="32"/>
          <w:szCs w:val="30"/>
        </w:rPr>
        <w:t>加强矿产资源调查评价</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Times New Roman" w:eastAsia="仿宋_GB2312" w:cs="Times New Roman"/>
          <w:b/>
          <w:color w:val="auto"/>
          <w:sz w:val="32"/>
          <w:szCs w:val="30"/>
        </w:rPr>
        <w:t>。</w:t>
      </w:r>
      <w:r>
        <w:rPr>
          <w:rFonts w:ascii="Times New Roman" w:eastAsia="仿宋_GB2312" w:cs="Times New Roman"/>
          <w:bCs/>
          <w:color w:val="auto"/>
          <w:sz w:val="32"/>
          <w:szCs w:val="30"/>
        </w:rPr>
        <w:t>围绕全省“四带两区”重要成矿区带，以铁、铜、金、页岩气等战略性矿产资源为重点，开展</w:t>
      </w:r>
      <w:r>
        <w:rPr>
          <w:rFonts w:ascii="Times New Roman" w:eastAsia="仿宋_GB2312" w:cs="Times New Roman"/>
          <w:color w:val="auto"/>
          <w:sz w:val="32"/>
          <w:szCs w:val="30"/>
        </w:rPr>
        <w:t>资源潜力、技术经济和地质环境“三位一体”综合地质调查，</w:t>
      </w:r>
      <w:r>
        <w:rPr>
          <w:rFonts w:ascii="Times New Roman" w:eastAsia="仿宋_GB2312" w:cs="Times New Roman"/>
          <w:bCs/>
          <w:color w:val="auto"/>
          <w:sz w:val="32"/>
          <w:szCs w:val="30"/>
        </w:rPr>
        <w:t>落实战略性矿产找矿行动，</w:t>
      </w:r>
      <w:r>
        <w:rPr>
          <w:rFonts w:ascii="Times New Roman" w:eastAsia="仿宋_GB2312" w:cs="Times New Roman"/>
          <w:color w:val="auto"/>
          <w:sz w:val="32"/>
          <w:szCs w:val="30"/>
        </w:rPr>
        <w:t>实施矿产资源调查评价，圈定有利成矿远景区和找矿靶区，力争发现一批可供进一步工作的矿产地，拉动后续资源勘查。在秦岭东段成矿带，开展十堰竹山—竹溪、郧阳—郧西地区铌、钽、稀土等矿产地质调查和评价；在桐柏—大别成矿带，开展随县—大悟、红安—麻城等地区金、钨、锰、钴、铍等矿产地质调查和评价；在上扬子中东部成矿带，开展秭归、夷陵、保康、咸丰等地区锂、金、石墨等矿产地质调查和评价；在长江中下游成矿带，开展大冶—阳新、赤壁—嘉鱼、通城—通山等地区铁、铜、金、锑、铅、锌、稀有金属等矿产地质调查和评价；在江汉盆地、利川盆地开展页岩气、钾盐等矿产地质调查和评价。大力推进清洁能源矿产调查评价工作，在巩固江汉盆地油气调查评价工作基础上，进一步加强鄂西地区页岩气、鄂东地区干热岩、重要城市群水热型地热和浅层地温能等调查评价，查明页岩气</w:t>
      </w:r>
      <w:r>
        <w:rPr>
          <w:rFonts w:ascii="Times New Roman" w:eastAsia="仿宋_GB2312" w:cs="Times New Roman"/>
          <w:color w:val="auto"/>
          <w:spacing w:val="-6"/>
          <w:sz w:val="32"/>
          <w:szCs w:val="30"/>
        </w:rPr>
        <w:t>和地热资源区域地质背景，加大页岩气、中深层地热资源勘查评价精度。</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376" w:name="_Toc9579"/>
      <w:bookmarkStart w:id="377" w:name="_Toc12550"/>
      <w:bookmarkStart w:id="378" w:name="_Toc13335"/>
      <w:bookmarkStart w:id="379" w:name="_Toc10674"/>
      <w:r>
        <w:rPr>
          <w:rFonts w:ascii="Times New Roman" w:hAnsi="Times New Roman" w:eastAsia="楷体_GB2312" w:cs="Times New Roman"/>
          <w:b w:val="0"/>
          <w:bCs w:val="0"/>
          <w:i w:val="0"/>
          <w:iCs w:val="0"/>
          <w:sz w:val="32"/>
          <w:szCs w:val="32"/>
          <w:lang w:val="zh-CN"/>
        </w:rPr>
        <w:t>（二）推进矿产资源储量动态监管</w:t>
      </w:r>
      <w:bookmarkEnd w:id="376"/>
      <w:bookmarkEnd w:id="377"/>
      <w:bookmarkEnd w:id="378"/>
      <w:bookmarkEnd w:id="379"/>
    </w:p>
    <w:p>
      <w:pPr>
        <w:pStyle w:val="53"/>
        <w:snapToGrid w:val="0"/>
        <w:spacing w:line="600" w:lineRule="exact"/>
        <w:ind w:firstLine="640" w:firstLineChars="200"/>
        <w:rPr>
          <w:rFonts w:eastAsia="仿宋_GB2312"/>
          <w:sz w:val="32"/>
          <w:szCs w:val="32"/>
        </w:rPr>
      </w:pPr>
      <w:r>
        <w:rPr>
          <w:rFonts w:eastAsia="仿宋_GB2312"/>
          <w:sz w:val="32"/>
          <w:szCs w:val="32"/>
        </w:rPr>
        <w:t>开展矿产资源国情调查，摸清全省重要矿产资源的数量、质量、结构、空间分布等基础数据，掌握资源利用状况、供应能力和开发潜力，完善矿产资源核心数据库，推动省级矿产资源储量动态监测，为准确判断矿业经济形势、科学制定矿产规划政策、守住矿产资源安全底线提供基础支撑。</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380" w:name="_Toc2841_WPSOffice_Level2"/>
      <w:bookmarkStart w:id="381" w:name="_Toc61195366"/>
      <w:bookmarkStart w:id="382" w:name="_Toc13970"/>
      <w:bookmarkStart w:id="383" w:name="_Toc20327"/>
      <w:bookmarkStart w:id="384" w:name="_Toc6584"/>
      <w:bookmarkStart w:id="385" w:name="_Toc9492"/>
      <w:bookmarkStart w:id="386" w:name="_Toc5724"/>
      <w:bookmarkStart w:id="387" w:name="_Toc960"/>
      <w:bookmarkStart w:id="388" w:name="_Toc23607"/>
      <w:bookmarkStart w:id="389" w:name="_Toc29892"/>
      <w:bookmarkStart w:id="390" w:name="_Toc5212"/>
      <w:bookmarkStart w:id="391" w:name="_Toc30147"/>
      <w:bookmarkStart w:id="392" w:name="_Toc69313761"/>
      <w:bookmarkStart w:id="393" w:name="_Toc21913"/>
      <w:bookmarkStart w:id="394" w:name="_Toc15747"/>
      <w:bookmarkStart w:id="395" w:name="_Toc27701"/>
      <w:bookmarkStart w:id="396" w:name="_Toc69313994"/>
      <w:bookmarkStart w:id="397" w:name="_Toc18753"/>
      <w:bookmarkStart w:id="398" w:name="_Toc12342"/>
      <w:bookmarkStart w:id="399" w:name="_Toc4102"/>
      <w:bookmarkStart w:id="400" w:name="_Toc7200"/>
      <w:bookmarkStart w:id="401" w:name="_Toc2066"/>
      <w:bookmarkStart w:id="402" w:name="_Toc26466"/>
      <w:r>
        <w:rPr>
          <w:rFonts w:ascii="Times New Roman" w:hAnsi="Times New Roman" w:eastAsia="楷体_GB2312" w:cs="Times New Roman"/>
          <w:b w:val="0"/>
          <w:bCs w:val="0"/>
          <w:i w:val="0"/>
          <w:iCs w:val="0"/>
          <w:sz w:val="32"/>
          <w:szCs w:val="32"/>
          <w:lang w:val="zh-CN"/>
        </w:rPr>
        <w:t>（三）</w:t>
      </w:r>
      <w:bookmarkEnd w:id="380"/>
      <w:bookmarkEnd w:id="381"/>
      <w:r>
        <w:rPr>
          <w:rFonts w:ascii="Times New Roman" w:hAnsi="Times New Roman" w:eastAsia="楷体_GB2312" w:cs="Times New Roman"/>
          <w:b w:val="0"/>
          <w:bCs w:val="0"/>
          <w:i w:val="0"/>
          <w:iCs w:val="0"/>
          <w:sz w:val="32"/>
          <w:szCs w:val="32"/>
          <w:lang w:val="zh-CN"/>
        </w:rPr>
        <w:t>加大重要矿产勘查力度</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autoSpaceDE w:val="0"/>
        <w:autoSpaceDN w:val="0"/>
        <w:adjustRightInd w:val="0"/>
        <w:snapToGrid w:val="0"/>
        <w:spacing w:line="600" w:lineRule="exact"/>
        <w:ind w:firstLine="640" w:firstLineChars="200"/>
        <w:rPr>
          <w:rFonts w:ascii="Times New Roman" w:hAnsi="Times New Roman" w:eastAsia="仿宋_GB2312"/>
          <w:sz w:val="32"/>
          <w:szCs w:val="32"/>
        </w:rPr>
      </w:pPr>
      <w:bookmarkStart w:id="403" w:name="_Toc16405"/>
      <w:bookmarkStart w:id="404" w:name="_Toc6102"/>
      <w:bookmarkStart w:id="405" w:name="_Toc123"/>
      <w:bookmarkStart w:id="406" w:name="_Toc5727"/>
      <w:bookmarkStart w:id="407" w:name="_Toc21568"/>
      <w:bookmarkStart w:id="408" w:name="_Toc1104"/>
      <w:bookmarkStart w:id="409" w:name="_Toc69313995"/>
      <w:r>
        <w:rPr>
          <w:rFonts w:ascii="Times New Roman" w:hAnsi="Times New Roman" w:eastAsia="仿宋_GB2312"/>
          <w:sz w:val="32"/>
          <w:szCs w:val="32"/>
        </w:rPr>
        <w:t>围绕落实国家战略和全省高质量发展需求，以重要矿产为重点，划定勘查规划区块，加强矿产勘查，力争发现一批矿产地，推进矿产资源储量稳步增长，提升资源接续能力，保障矿产资源供应。</w:t>
      </w:r>
    </w:p>
    <w:p>
      <w:pPr>
        <w:autoSpaceDE w:val="0"/>
        <w:autoSpaceDN w:val="0"/>
        <w:adjustRightInd w:val="0"/>
        <w:snapToGrid w:val="0"/>
        <w:spacing w:line="600" w:lineRule="exact"/>
        <w:ind w:firstLine="643" w:firstLineChars="200"/>
        <w:rPr>
          <w:rFonts w:ascii="Times New Roman" w:hAnsi="Times New Roman"/>
        </w:rPr>
      </w:pPr>
      <w:r>
        <w:rPr>
          <w:rFonts w:ascii="Times New Roman" w:hAnsi="Times New Roman" w:eastAsia="仿宋_GB2312"/>
          <w:b/>
          <w:sz w:val="32"/>
          <w:szCs w:val="32"/>
        </w:rPr>
        <w:t>调整勘查矿种</w:t>
      </w:r>
      <w:bookmarkEnd w:id="374"/>
      <w:bookmarkEnd w:id="375"/>
      <w:bookmarkEnd w:id="403"/>
      <w:bookmarkEnd w:id="404"/>
      <w:bookmarkEnd w:id="405"/>
      <w:bookmarkEnd w:id="406"/>
      <w:bookmarkEnd w:id="407"/>
      <w:bookmarkEnd w:id="408"/>
      <w:bookmarkEnd w:id="409"/>
      <w:r>
        <w:rPr>
          <w:rFonts w:ascii="Times New Roman" w:hAnsi="Times New Roman" w:eastAsia="仿宋_GB2312"/>
          <w:sz w:val="32"/>
          <w:szCs w:val="32"/>
        </w:rPr>
        <w:t>。围绕服务国家战略需求，明确铁、铜、金等</w:t>
      </w:r>
      <w:r>
        <w:rPr>
          <w:rFonts w:hint="eastAsia" w:ascii="Times New Roman" w:hAnsi="Times New Roman" w:eastAsia="仿宋_GB2312"/>
          <w:sz w:val="32"/>
          <w:szCs w:val="32"/>
        </w:rPr>
        <w:t>一批</w:t>
      </w:r>
      <w:r>
        <w:rPr>
          <w:rFonts w:ascii="Times New Roman" w:hAnsi="Times New Roman" w:eastAsia="仿宋_GB2312"/>
          <w:sz w:val="32"/>
          <w:szCs w:val="32"/>
        </w:rPr>
        <w:t>重点矿种，差异化布局勘查方向，划定勘查规划区块，加强财政出资勘查，鼓励社会多元投资。</w:t>
      </w:r>
    </w:p>
    <w:p>
      <w:pPr>
        <w:pStyle w:val="2"/>
        <w:snapToGrid w:val="0"/>
        <w:spacing w:line="600" w:lineRule="exact"/>
        <w:ind w:firstLine="643" w:firstLineChars="200"/>
        <w:rPr>
          <w:rFonts w:ascii="Times New Roman" w:eastAsia="仿宋_GB2312" w:cs="Times New Roman"/>
          <w:color w:val="auto"/>
          <w:sz w:val="32"/>
          <w:szCs w:val="32"/>
        </w:rPr>
      </w:pPr>
      <w:r>
        <w:rPr>
          <w:rFonts w:ascii="Times New Roman" w:eastAsia="仿宋_GB2312" w:cs="Times New Roman"/>
          <w:b/>
          <w:color w:val="auto"/>
          <w:sz w:val="32"/>
          <w:szCs w:val="32"/>
        </w:rPr>
        <w:t>优选勘查规划区块</w:t>
      </w:r>
      <w:r>
        <w:rPr>
          <w:rFonts w:ascii="Times New Roman" w:eastAsia="仿宋_GB2312" w:cs="Times New Roman"/>
          <w:color w:val="auto"/>
          <w:sz w:val="32"/>
          <w:szCs w:val="32"/>
        </w:rPr>
        <w:t>。立足省内矿产资源分区功能定位，根据地质找矿信息、矿业权设置现状以及生态管控等要求，重点考虑已有勘查程度和矿床的空间分布、矿床类型、开采因素等，划定297个勘查规划区块，市、县级出让矿种勘查规划区块由市、县级矿产资源规划划定，优化矿产资源配置。中央或地方财政出资勘查项目，凭计划任务书或项目合同、设计审查意见开展地质勘查工作。财政出资勘查的项目成果，应及时纳入规划。依据成矿规律，充分考虑矿床、矿体空间展布特征，推进整体勘查，原则上一个勘查规划区块设置一个勘查主体。</w:t>
      </w:r>
    </w:p>
    <w:p>
      <w:pPr>
        <w:autoSpaceDE w:val="0"/>
        <w:autoSpaceDN w:val="0"/>
        <w:adjustRightInd w:val="0"/>
        <w:snapToGrid w:val="0"/>
        <w:spacing w:line="600" w:lineRule="exact"/>
        <w:ind w:firstLine="643" w:firstLineChars="200"/>
        <w:rPr>
          <w:rFonts w:ascii="Times New Roman" w:hAnsi="Times New Roman" w:eastAsia="楷体_GB2312"/>
          <w:sz w:val="32"/>
          <w:szCs w:val="32"/>
          <w:lang w:val="zh-CN"/>
        </w:rPr>
      </w:pPr>
      <w:bookmarkStart w:id="410" w:name="_Toc69313997"/>
      <w:bookmarkStart w:id="411" w:name="_Toc10899"/>
      <w:r>
        <w:rPr>
          <w:rFonts w:ascii="Times New Roman" w:hAnsi="Times New Roman" w:eastAsia="仿宋_GB2312"/>
          <w:b/>
          <w:kern w:val="0"/>
          <w:sz w:val="32"/>
          <w:szCs w:val="32"/>
        </w:rPr>
        <w:t>严格勘查准入</w:t>
      </w:r>
      <w:bookmarkEnd w:id="410"/>
      <w:r>
        <w:rPr>
          <w:rFonts w:ascii="Times New Roman" w:hAnsi="Times New Roman" w:eastAsia="仿宋_GB2312"/>
          <w:kern w:val="0"/>
          <w:sz w:val="32"/>
          <w:szCs w:val="32"/>
        </w:rPr>
        <w:t>。矿产资源勘查活动必须符合“三条控制线”等</w:t>
      </w:r>
      <w:r>
        <w:rPr>
          <w:rFonts w:ascii="Times New Roman" w:hAnsi="Times New Roman" w:eastAsia="仿宋_GB2312"/>
          <w:spacing w:val="-6"/>
          <w:kern w:val="0"/>
          <w:sz w:val="32"/>
          <w:szCs w:val="32"/>
        </w:rPr>
        <w:t>国家政策相关要求</w:t>
      </w:r>
      <w:r>
        <w:rPr>
          <w:rFonts w:ascii="Times New Roman" w:hAnsi="Times New Roman" w:eastAsia="仿宋_GB2312"/>
          <w:kern w:val="0"/>
          <w:sz w:val="32"/>
          <w:szCs w:val="32"/>
        </w:rPr>
        <w:t>。勘查矿种、区域应符合</w:t>
      </w:r>
      <w:r>
        <w:rPr>
          <w:rFonts w:ascii="Times New Roman" w:hAnsi="Times New Roman" w:eastAsia="仿宋_GB2312"/>
          <w:spacing w:val="-6"/>
          <w:kern w:val="0"/>
          <w:sz w:val="32"/>
          <w:szCs w:val="32"/>
        </w:rPr>
        <w:t>规划要求。</w:t>
      </w:r>
      <w:r>
        <w:rPr>
          <w:rFonts w:ascii="Times New Roman" w:hAnsi="Times New Roman" w:eastAsia="仿宋_GB2312"/>
          <w:spacing w:val="-6"/>
          <w:kern w:val="0"/>
          <w:sz w:val="32"/>
          <w:szCs w:val="32"/>
          <w:lang w:val="zh-CN"/>
        </w:rPr>
        <w:t>探矿权设置</w:t>
      </w:r>
      <w:r>
        <w:rPr>
          <w:rFonts w:ascii="Times New Roman" w:hAnsi="Times New Roman" w:eastAsia="仿宋_GB2312"/>
          <w:spacing w:val="-6"/>
          <w:kern w:val="0"/>
          <w:sz w:val="32"/>
          <w:szCs w:val="32"/>
        </w:rPr>
        <w:t>应</w:t>
      </w:r>
      <w:r>
        <w:rPr>
          <w:rFonts w:ascii="Times New Roman" w:hAnsi="Times New Roman" w:eastAsia="仿宋_GB2312"/>
          <w:spacing w:val="-6"/>
          <w:kern w:val="0"/>
          <w:sz w:val="32"/>
          <w:szCs w:val="32"/>
          <w:lang w:val="zh-CN"/>
        </w:rPr>
        <w:t>符合相关法律、法规和相关文件政策等要求。</w:t>
      </w:r>
    </w:p>
    <w:bookmarkEnd w:id="411"/>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412" w:name="_Toc5902"/>
      <w:bookmarkStart w:id="413" w:name="_Toc8636"/>
      <w:bookmarkStart w:id="414" w:name="_Toc25395"/>
      <w:bookmarkStart w:id="415" w:name="_Toc9459"/>
      <w:r>
        <w:rPr>
          <w:rFonts w:ascii="Times New Roman" w:hAnsi="Times New Roman" w:eastAsia="楷体_GB2312" w:cs="Times New Roman"/>
          <w:b w:val="0"/>
          <w:bCs w:val="0"/>
          <w:i w:val="0"/>
          <w:iCs w:val="0"/>
          <w:sz w:val="32"/>
          <w:szCs w:val="32"/>
          <w:lang w:val="zh-CN"/>
        </w:rPr>
        <w:t>（四）促进矿产资源有序勘查</w:t>
      </w:r>
      <w:bookmarkEnd w:id="412"/>
      <w:bookmarkEnd w:id="413"/>
      <w:bookmarkEnd w:id="414"/>
      <w:bookmarkEnd w:id="415"/>
    </w:p>
    <w:p>
      <w:pPr>
        <w:pStyle w:val="53"/>
        <w:snapToGrid w:val="0"/>
        <w:spacing w:line="600" w:lineRule="exact"/>
        <w:ind w:firstLine="640" w:firstLineChars="200"/>
        <w:rPr>
          <w:rFonts w:eastAsia="仿宋_GB2312"/>
          <w:sz w:val="32"/>
          <w:szCs w:val="32"/>
        </w:rPr>
      </w:pPr>
      <w:r>
        <w:rPr>
          <w:rFonts w:eastAsia="仿宋_GB2312"/>
          <w:sz w:val="32"/>
          <w:szCs w:val="32"/>
        </w:rPr>
        <w:t>协调地质找矿与矿业权管理，促进</w:t>
      </w:r>
      <w:r>
        <w:rPr>
          <w:rFonts w:hint="eastAsia" w:eastAsia="仿宋_GB2312"/>
          <w:sz w:val="32"/>
          <w:szCs w:val="32"/>
        </w:rPr>
        <w:t>地质勘查</w:t>
      </w:r>
      <w:r>
        <w:rPr>
          <w:rFonts w:eastAsia="仿宋_GB2312"/>
          <w:sz w:val="32"/>
          <w:szCs w:val="32"/>
        </w:rPr>
        <w:t>基金项目成果转化，提高财政资金利用效益，实现财政资金良性循环。鼓励各类社会资本参与矿产资源勘查，壮大商业性勘查市场主体。</w:t>
      </w:r>
    </w:p>
    <w:p>
      <w:pPr>
        <w:pStyle w:val="3"/>
        <w:adjustRightInd w:val="0"/>
        <w:snapToGrid w:val="0"/>
        <w:spacing w:before="0" w:beforeAutospacing="0" w:after="0" w:afterAutospacing="0" w:line="580" w:lineRule="exact"/>
        <w:ind w:firstLine="720" w:firstLineChars="200"/>
        <w:rPr>
          <w:rFonts w:eastAsia="黑体"/>
          <w:b w:val="0"/>
          <w:bCs w:val="0"/>
          <w:sz w:val="36"/>
          <w:szCs w:val="36"/>
        </w:rPr>
      </w:pPr>
      <w:bookmarkStart w:id="416" w:name="_Toc27758"/>
      <w:bookmarkStart w:id="417" w:name="_Toc5657"/>
      <w:bookmarkStart w:id="418" w:name="_Toc11009"/>
      <w:bookmarkStart w:id="419" w:name="_Toc69313762"/>
      <w:bookmarkStart w:id="420" w:name="_Toc7691"/>
      <w:bookmarkStart w:id="421" w:name="_Toc18566"/>
      <w:bookmarkStart w:id="422" w:name="_Toc30197"/>
      <w:bookmarkStart w:id="423" w:name="_Toc7629"/>
      <w:bookmarkStart w:id="424" w:name="_Toc27210"/>
      <w:bookmarkStart w:id="425" w:name="_Toc29150"/>
      <w:bookmarkStart w:id="426" w:name="_Toc1110"/>
      <w:bookmarkStart w:id="427" w:name="_Toc2311"/>
      <w:bookmarkStart w:id="428" w:name="_Toc15996"/>
      <w:bookmarkStart w:id="429" w:name="_Toc69313999"/>
      <w:bookmarkStart w:id="430" w:name="_Toc5435"/>
      <w:bookmarkStart w:id="431" w:name="_Toc21422"/>
      <w:bookmarkStart w:id="432" w:name="_Toc18732"/>
      <w:bookmarkStart w:id="433" w:name="_Toc17248"/>
      <w:bookmarkStart w:id="434" w:name="_Toc28290"/>
      <w:bookmarkStart w:id="435" w:name="_Toc20247"/>
      <w:bookmarkStart w:id="436" w:name="_Toc20175"/>
      <w:r>
        <w:rPr>
          <w:rFonts w:eastAsia="黑体"/>
          <w:b w:val="0"/>
          <w:bCs w:val="0"/>
          <w:sz w:val="36"/>
          <w:szCs w:val="36"/>
        </w:rPr>
        <w:t>五、</w:t>
      </w:r>
      <w:bookmarkEnd w:id="324"/>
      <w:bookmarkEnd w:id="325"/>
      <w:bookmarkEnd w:id="326"/>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eastAsia="黑体"/>
          <w:b w:val="0"/>
          <w:bCs w:val="0"/>
          <w:sz w:val="36"/>
          <w:szCs w:val="36"/>
        </w:rPr>
        <w:t>科学分类管控，提升开发</w:t>
      </w:r>
      <w:bookmarkEnd w:id="433"/>
      <w:r>
        <w:rPr>
          <w:rFonts w:eastAsia="黑体"/>
          <w:b w:val="0"/>
          <w:bCs w:val="0"/>
          <w:sz w:val="36"/>
          <w:szCs w:val="36"/>
        </w:rPr>
        <w:t>管理效能</w:t>
      </w:r>
      <w:bookmarkEnd w:id="434"/>
      <w:bookmarkEnd w:id="435"/>
      <w:bookmarkEnd w:id="436"/>
    </w:p>
    <w:p>
      <w:pPr>
        <w:adjustRightInd w:val="0"/>
        <w:snapToGrid w:val="0"/>
        <w:spacing w:line="600" w:lineRule="exact"/>
        <w:ind w:firstLine="640" w:firstLineChars="200"/>
        <w:rPr>
          <w:rFonts w:ascii="Times New Roman" w:hAnsi="Times New Roman" w:eastAsia="仿宋_GB2312"/>
          <w:sz w:val="32"/>
          <w:szCs w:val="32"/>
        </w:rPr>
      </w:pPr>
      <w:bookmarkStart w:id="437" w:name="_Toc22443_WPSOffice_Level2"/>
      <w:bookmarkStart w:id="438" w:name="_Toc2409"/>
      <w:bookmarkStart w:id="439" w:name="_Toc69313763"/>
      <w:bookmarkStart w:id="440" w:name="_Toc25239"/>
      <w:bookmarkStart w:id="441" w:name="_Toc3714"/>
      <w:bookmarkStart w:id="442" w:name="_Toc22502"/>
      <w:bookmarkStart w:id="443" w:name="_Toc4502"/>
      <w:bookmarkStart w:id="444" w:name="_Toc7240"/>
      <w:bookmarkStart w:id="445" w:name="_Toc4170"/>
      <w:bookmarkStart w:id="446" w:name="_Toc19971"/>
      <w:bookmarkStart w:id="447" w:name="_Toc25911"/>
      <w:bookmarkStart w:id="448" w:name="_Toc32082"/>
      <w:bookmarkStart w:id="449" w:name="_Toc21997"/>
      <w:bookmarkStart w:id="450" w:name="_Toc30897"/>
      <w:bookmarkStart w:id="451" w:name="_Toc32641"/>
      <w:bookmarkStart w:id="452" w:name="_Toc20611"/>
      <w:bookmarkStart w:id="453" w:name="_Toc69314000"/>
      <w:bookmarkStart w:id="454" w:name="_Toc29578"/>
      <w:r>
        <w:rPr>
          <w:rFonts w:ascii="Times New Roman" w:hAnsi="Times New Roman" w:eastAsia="仿宋_GB2312"/>
          <w:sz w:val="32"/>
          <w:szCs w:val="32"/>
        </w:rPr>
        <w:t>落实国家安全战略，优化矿产开发布局与能源供给结构，科学调控矿产资源开发利用强度，推动矿产开发与生态环境保护相协调、与全省经济发展相适应、与产业发展相配套，促进产城融合发展，支撑全省现代产业体系对矿产资源的需求。</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455" w:name="_Toc29094"/>
      <w:bookmarkStart w:id="456" w:name="_Toc26235"/>
      <w:bookmarkStart w:id="457" w:name="_Toc30739"/>
      <w:bookmarkStart w:id="458" w:name="_Toc7394"/>
      <w:r>
        <w:rPr>
          <w:rFonts w:ascii="Times New Roman" w:hAnsi="Times New Roman" w:eastAsia="楷体_GB2312" w:cs="Times New Roman"/>
          <w:b w:val="0"/>
          <w:bCs w:val="0"/>
          <w:i w:val="0"/>
          <w:iCs w:val="0"/>
          <w:sz w:val="32"/>
          <w:szCs w:val="32"/>
          <w:lang w:val="zh-CN"/>
        </w:rPr>
        <w:t>（一）强化</w:t>
      </w:r>
      <w:bookmarkEnd w:id="437"/>
      <w:r>
        <w:rPr>
          <w:rFonts w:ascii="Times New Roman" w:hAnsi="Times New Roman" w:eastAsia="楷体_GB2312" w:cs="Times New Roman"/>
          <w:b w:val="0"/>
          <w:bCs w:val="0"/>
          <w:i w:val="0"/>
          <w:iCs w:val="0"/>
          <w:sz w:val="32"/>
          <w:szCs w:val="32"/>
          <w:lang w:val="zh-CN"/>
        </w:rPr>
        <w:t>开采矿种分类</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楷体_GB2312" w:cs="Times New Roman"/>
          <w:b w:val="0"/>
          <w:bCs w:val="0"/>
          <w:i w:val="0"/>
          <w:iCs w:val="0"/>
          <w:sz w:val="32"/>
          <w:szCs w:val="32"/>
          <w:lang w:val="zh-CN"/>
        </w:rPr>
        <w:t>指导</w:t>
      </w:r>
      <w:bookmarkEnd w:id="456"/>
      <w:bookmarkEnd w:id="457"/>
      <w:bookmarkEnd w:id="458"/>
    </w:p>
    <w:p>
      <w:pPr>
        <w:adjustRightInd w:val="0"/>
        <w:snapToGrid w:val="0"/>
        <w:spacing w:line="600" w:lineRule="exact"/>
        <w:ind w:firstLine="640" w:firstLineChars="200"/>
        <w:rPr>
          <w:rFonts w:ascii="Times New Roman" w:hAnsi="Times New Roman" w:eastAsia="仿宋_GB2312"/>
          <w:b/>
          <w:bCs/>
          <w:sz w:val="32"/>
          <w:szCs w:val="32"/>
        </w:rPr>
      </w:pPr>
      <w:bookmarkStart w:id="459" w:name="_Toc13072"/>
      <w:bookmarkStart w:id="460" w:name="_Toc69314001"/>
      <w:bookmarkStart w:id="461" w:name="_Toc5504"/>
      <w:bookmarkStart w:id="462" w:name="_Toc23779"/>
      <w:bookmarkStart w:id="463" w:name="_Toc32195_WPSOffice_Level2"/>
      <w:bookmarkStart w:id="464" w:name="_Hlk60415563"/>
      <w:r>
        <w:rPr>
          <w:rFonts w:ascii="Times New Roman" w:hAnsi="Times New Roman" w:eastAsia="仿宋_GB2312"/>
          <w:sz w:val="32"/>
          <w:szCs w:val="32"/>
        </w:rPr>
        <w:t>以生态优先、绿色发展为前提，明确重点开采、限制开采和禁止开采矿种，实施分类开采管控。</w:t>
      </w:r>
    </w:p>
    <w:p>
      <w:pPr>
        <w:adjustRightInd w:val="0"/>
        <w:snapToGrid w:val="0"/>
        <w:spacing w:line="600" w:lineRule="exact"/>
        <w:ind w:firstLine="643" w:firstLineChars="200"/>
        <w:rPr>
          <w:rFonts w:ascii="Times New Roman" w:hAnsi="Times New Roman" w:eastAsia="仿宋_GB2312"/>
          <w:spacing w:val="-6"/>
          <w:sz w:val="32"/>
          <w:szCs w:val="32"/>
        </w:rPr>
      </w:pPr>
      <w:r>
        <w:rPr>
          <w:rFonts w:ascii="Times New Roman" w:hAnsi="Times New Roman" w:eastAsia="仿宋_GB2312"/>
          <w:b/>
          <w:bCs/>
          <w:sz w:val="32"/>
          <w:szCs w:val="32"/>
        </w:rPr>
        <w:t>重点开采矿种</w:t>
      </w:r>
      <w:bookmarkEnd w:id="459"/>
      <w:bookmarkEnd w:id="460"/>
      <w:bookmarkEnd w:id="461"/>
      <w:bookmarkEnd w:id="462"/>
      <w:r>
        <w:rPr>
          <w:rFonts w:ascii="Times New Roman" w:hAnsi="Times New Roman" w:eastAsia="仿宋_GB2312"/>
          <w:b/>
          <w:bCs/>
          <w:sz w:val="32"/>
          <w:szCs w:val="32"/>
        </w:rPr>
        <w:t>。</w:t>
      </w:r>
      <w:r>
        <w:rPr>
          <w:rFonts w:ascii="Times New Roman" w:hAnsi="Times New Roman" w:eastAsia="仿宋_GB2312"/>
          <w:spacing w:val="-6"/>
          <w:sz w:val="32"/>
          <w:szCs w:val="32"/>
        </w:rPr>
        <w:t>重点开采资源禀赋条件较好、在矿业产业链供应链中具有重要地位的矿种，包括石油、天然气、页岩气、铁（</w:t>
      </w:r>
      <w:r>
        <w:rPr>
          <w:rFonts w:ascii="Times New Roman" w:hAnsi="Times New Roman" w:eastAsia="仿宋_GB2312"/>
          <w:sz w:val="32"/>
          <w:szCs w:val="32"/>
        </w:rPr>
        <w:t>高磷铁矿、超贫磁铁矿除外</w:t>
      </w:r>
      <w:r>
        <w:rPr>
          <w:rFonts w:ascii="Times New Roman" w:hAnsi="Times New Roman" w:eastAsia="仿宋_GB2312"/>
          <w:spacing w:val="-6"/>
          <w:sz w:val="32"/>
          <w:szCs w:val="32"/>
        </w:rPr>
        <w:t>）、铜、金（砂金除外）、银、锂、熔剂用灰岩、冶金用白云岩、重晶石、岩盐、硅灰石、长石、优质石英岩、脉石英、建筑用石料等矿种，调整优化开发利用布局和结构，提高资源供应能力和开发利用水平。</w:t>
      </w:r>
    </w:p>
    <w:p>
      <w:pPr>
        <w:autoSpaceDE w:val="0"/>
        <w:autoSpaceDN w:val="0"/>
        <w:adjustRightInd w:val="0"/>
        <w:snapToGrid w:val="0"/>
        <w:spacing w:line="600" w:lineRule="exact"/>
        <w:ind w:firstLine="643" w:firstLineChars="200"/>
        <w:rPr>
          <w:rFonts w:ascii="Times New Roman" w:hAnsi="Times New Roman" w:eastAsia="仿宋_GB2312"/>
          <w:sz w:val="32"/>
          <w:szCs w:val="32"/>
        </w:rPr>
      </w:pPr>
      <w:bookmarkStart w:id="465" w:name="_Toc19353"/>
      <w:bookmarkStart w:id="466" w:name="_Toc12509"/>
      <w:bookmarkStart w:id="467" w:name="_Toc69314002"/>
      <w:bookmarkStart w:id="468" w:name="_Toc26439"/>
      <w:r>
        <w:rPr>
          <w:rFonts w:ascii="Times New Roman" w:hAnsi="Times New Roman" w:eastAsia="仿宋_GB2312"/>
          <w:b/>
          <w:bCs/>
          <w:sz w:val="32"/>
          <w:szCs w:val="32"/>
        </w:rPr>
        <w:t>限制开采矿种</w:t>
      </w:r>
      <w:bookmarkEnd w:id="465"/>
      <w:bookmarkEnd w:id="466"/>
      <w:bookmarkEnd w:id="467"/>
      <w:bookmarkEnd w:id="468"/>
      <w:r>
        <w:rPr>
          <w:rFonts w:ascii="Times New Roman" w:hAnsi="Times New Roman" w:eastAsia="仿宋_GB2312"/>
          <w:b/>
          <w:bCs/>
          <w:sz w:val="32"/>
          <w:szCs w:val="32"/>
        </w:rPr>
        <w:t>。</w:t>
      </w:r>
      <w:r>
        <w:rPr>
          <w:rFonts w:ascii="Times New Roman" w:hAnsi="Times New Roman" w:eastAsia="仿宋_GB2312"/>
          <w:sz w:val="32"/>
          <w:szCs w:val="32"/>
        </w:rPr>
        <w:t>在相关技术取得突破之前，原则上限制开采高磷铁矿、超贫磁铁矿、钛（金红石）、钨、铌、钽、稀土、硫铁矿等；限制开采湿地泥炭以及砂金、砂铁等重砂矿物。保护性开采绿松石、菊花石、百鹤玉等地方特色矿种和磷矿等优势矿种。严格控制限制开采矿种采矿权数量和年度开采总量控制指标，提高开采准入门槛。</w:t>
      </w:r>
    </w:p>
    <w:p>
      <w:pPr>
        <w:autoSpaceDE w:val="0"/>
        <w:autoSpaceDN w:val="0"/>
        <w:adjustRightInd w:val="0"/>
        <w:snapToGrid w:val="0"/>
        <w:spacing w:line="600" w:lineRule="exact"/>
        <w:ind w:firstLine="643" w:firstLineChars="200"/>
        <w:rPr>
          <w:rFonts w:ascii="Times New Roman" w:hAnsi="Times New Roman" w:eastAsia="仿宋_GB2312"/>
          <w:spacing w:val="-11"/>
          <w:sz w:val="32"/>
          <w:szCs w:val="32"/>
        </w:rPr>
      </w:pPr>
      <w:bookmarkStart w:id="469" w:name="_Toc19478"/>
      <w:bookmarkStart w:id="470" w:name="_Toc69314003"/>
      <w:bookmarkStart w:id="471" w:name="_Toc14493"/>
      <w:bookmarkStart w:id="472" w:name="_Toc18056"/>
      <w:r>
        <w:rPr>
          <w:rFonts w:ascii="Times New Roman" w:hAnsi="Times New Roman" w:eastAsia="仿宋_GB2312"/>
          <w:b/>
          <w:bCs/>
          <w:sz w:val="32"/>
          <w:szCs w:val="32"/>
        </w:rPr>
        <w:t>禁止开采矿种</w:t>
      </w:r>
      <w:bookmarkEnd w:id="469"/>
      <w:bookmarkEnd w:id="470"/>
      <w:bookmarkEnd w:id="471"/>
      <w:bookmarkEnd w:id="472"/>
      <w:r>
        <w:rPr>
          <w:rFonts w:ascii="Times New Roman" w:hAnsi="Times New Roman" w:eastAsia="仿宋_GB2312"/>
          <w:b/>
          <w:bCs/>
          <w:sz w:val="32"/>
          <w:szCs w:val="32"/>
        </w:rPr>
        <w:t>。</w:t>
      </w:r>
      <w:r>
        <w:rPr>
          <w:rFonts w:ascii="Times New Roman" w:hAnsi="Times New Roman" w:eastAsia="仿宋_GB2312"/>
          <w:spacing w:val="-11"/>
          <w:sz w:val="32"/>
          <w:szCs w:val="32"/>
        </w:rPr>
        <w:t>禁止开采汞、蓝石棉、可耕地砖瓦用粘土等矿产。</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473" w:name="_Toc4952"/>
      <w:bookmarkStart w:id="474" w:name="_Toc69314005"/>
      <w:bookmarkStart w:id="475" w:name="_Toc32257"/>
      <w:bookmarkStart w:id="476" w:name="_Toc30178"/>
      <w:bookmarkStart w:id="477" w:name="_Toc961"/>
      <w:bookmarkStart w:id="478" w:name="_Toc26081"/>
      <w:bookmarkStart w:id="479" w:name="_Toc6101"/>
      <w:bookmarkStart w:id="480" w:name="_Toc23803"/>
      <w:bookmarkStart w:id="481" w:name="_Toc3814"/>
      <w:bookmarkStart w:id="482" w:name="_Toc8449"/>
      <w:bookmarkStart w:id="483" w:name="_Toc21182"/>
      <w:bookmarkStart w:id="484" w:name="_Toc27011"/>
      <w:bookmarkStart w:id="485" w:name="_Toc2840"/>
      <w:bookmarkStart w:id="486" w:name="_Toc69313764"/>
      <w:bookmarkStart w:id="487" w:name="_Toc15856"/>
      <w:bookmarkStart w:id="488" w:name="_Toc2028"/>
      <w:bookmarkStart w:id="489" w:name="_Toc9421"/>
      <w:bookmarkStart w:id="490" w:name="_Toc9888"/>
      <w:bookmarkStart w:id="491" w:name="_Toc25623"/>
      <w:bookmarkStart w:id="492" w:name="_Toc26016"/>
      <w:bookmarkStart w:id="493" w:name="_Toc3991"/>
      <w:r>
        <w:rPr>
          <w:rFonts w:ascii="Times New Roman" w:hAnsi="Times New Roman" w:eastAsia="楷体_GB2312" w:cs="Times New Roman"/>
          <w:b w:val="0"/>
          <w:bCs w:val="0"/>
          <w:i w:val="0"/>
          <w:iCs w:val="0"/>
          <w:sz w:val="32"/>
          <w:szCs w:val="32"/>
          <w:lang w:val="zh-CN"/>
        </w:rPr>
        <w:t>（二）优化开采</w:t>
      </w:r>
      <w:bookmarkEnd w:id="463"/>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Times New Roman" w:hAnsi="Times New Roman" w:eastAsia="楷体_GB2312" w:cs="Times New Roman"/>
          <w:b w:val="0"/>
          <w:bCs w:val="0"/>
          <w:i w:val="0"/>
          <w:iCs w:val="0"/>
          <w:sz w:val="32"/>
          <w:szCs w:val="32"/>
          <w:lang w:val="zh-CN"/>
        </w:rPr>
        <w:t>规划布局</w:t>
      </w:r>
      <w:bookmarkEnd w:id="490"/>
      <w:bookmarkEnd w:id="491"/>
      <w:bookmarkEnd w:id="492"/>
      <w:bookmarkEnd w:id="493"/>
    </w:p>
    <w:bookmarkEnd w:id="464"/>
    <w:p>
      <w:pPr>
        <w:autoSpaceDE w:val="0"/>
        <w:autoSpaceDN w:val="0"/>
        <w:adjustRightInd w:val="0"/>
        <w:snapToGrid w:val="0"/>
        <w:spacing w:line="600" w:lineRule="exact"/>
        <w:ind w:firstLine="640" w:firstLineChars="200"/>
        <w:rPr>
          <w:rFonts w:ascii="Times New Roman" w:hAnsi="Times New Roman" w:eastAsia="仿宋_GB2312"/>
          <w:sz w:val="32"/>
          <w:szCs w:val="32"/>
        </w:rPr>
      </w:pPr>
      <w:bookmarkStart w:id="494" w:name="_Toc21376_WPSOffice_Level2"/>
      <w:bookmarkStart w:id="495" w:name="_Toc32188"/>
      <w:bookmarkStart w:id="496" w:name="_Toc14739"/>
      <w:bookmarkStart w:id="497" w:name="_Toc2594"/>
      <w:bookmarkStart w:id="498" w:name="_Toc4271"/>
      <w:bookmarkStart w:id="499" w:name="_Toc69314009"/>
      <w:bookmarkStart w:id="500" w:name="_Toc15716"/>
      <w:bookmarkStart w:id="501" w:name="_Toc11190"/>
      <w:bookmarkStart w:id="502" w:name="_Toc29402"/>
      <w:bookmarkStart w:id="503" w:name="_Toc8129"/>
      <w:bookmarkStart w:id="504" w:name="_Toc28525"/>
      <w:bookmarkStart w:id="505" w:name="_Toc20666"/>
      <w:bookmarkStart w:id="506" w:name="_Toc30502"/>
      <w:bookmarkStart w:id="507" w:name="_Toc11506"/>
      <w:bookmarkStart w:id="508" w:name="_Toc69313765"/>
      <w:bookmarkStart w:id="509" w:name="_Toc22609"/>
      <w:bookmarkStart w:id="510" w:name="_Toc15259"/>
      <w:bookmarkStart w:id="511" w:name="_Toc8513"/>
      <w:r>
        <w:rPr>
          <w:rFonts w:ascii="Times New Roman" w:hAnsi="Times New Roman" w:eastAsia="仿宋_GB2312"/>
          <w:sz w:val="32"/>
          <w:szCs w:val="32"/>
        </w:rPr>
        <w:t>综合采矿技术经济、生产安全条件等因素，在重点开采区、大中型矿产地</w:t>
      </w:r>
      <w:r>
        <w:rPr>
          <w:rFonts w:hint="eastAsia" w:ascii="Times New Roman" w:hAnsi="Times New Roman" w:eastAsia="仿宋_GB2312"/>
          <w:sz w:val="32"/>
          <w:szCs w:val="32"/>
        </w:rPr>
        <w:t>、</w:t>
      </w:r>
      <w:r>
        <w:rPr>
          <w:rFonts w:ascii="Times New Roman" w:hAnsi="Times New Roman" w:eastAsia="仿宋_GB2312"/>
          <w:sz w:val="32"/>
          <w:szCs w:val="32"/>
        </w:rPr>
        <w:t>地质勘查工作程度符合转采要求的区域，划定93个开采规划区块，市、县级出让矿种开采规划区块由市、县级矿产资源规划划定。规划期内，勘查规划区块勘查程度达到转采要求的，经综合论证，可动态调整为开采规划区块。按照“保障发展、供需平衡”的原则，优先部署能源资源基地和国家规划矿区、重点开采区内的铁、锰、铜、金、建筑用石料等</w:t>
      </w:r>
      <w:r>
        <w:rPr>
          <w:rFonts w:ascii="Times New Roman" w:hAnsi="Times New Roman" w:eastAsia="仿宋_GB2312"/>
          <w:kern w:val="0"/>
          <w:sz w:val="32"/>
          <w:szCs w:val="32"/>
        </w:rPr>
        <w:t>矿种</w:t>
      </w:r>
      <w:r>
        <w:rPr>
          <w:rFonts w:ascii="Times New Roman" w:hAnsi="Times New Roman" w:eastAsia="仿宋_GB2312"/>
          <w:sz w:val="32"/>
          <w:szCs w:val="32"/>
        </w:rPr>
        <w:t>采矿活动。</w:t>
      </w:r>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512" w:name="_Toc29442"/>
      <w:bookmarkStart w:id="513" w:name="_Toc27951"/>
      <w:bookmarkStart w:id="514" w:name="_Toc1498"/>
      <w:bookmarkStart w:id="515" w:name="_Toc18520"/>
      <w:bookmarkStart w:id="516" w:name="_Toc23027"/>
      <w:bookmarkStart w:id="517" w:name="_Toc17779"/>
      <w:bookmarkStart w:id="518" w:name="_Toc585"/>
      <w:bookmarkStart w:id="519" w:name="_Toc31991"/>
      <w:bookmarkStart w:id="520" w:name="_Toc2306"/>
      <w:bookmarkStart w:id="521" w:name="_Toc69314011"/>
      <w:bookmarkStart w:id="522" w:name="_Toc921"/>
      <w:r>
        <w:rPr>
          <w:rFonts w:ascii="Times New Roman" w:hAnsi="Times New Roman" w:eastAsia="楷体_GB2312" w:cs="Times New Roman"/>
          <w:b w:val="0"/>
          <w:bCs w:val="0"/>
          <w:i w:val="0"/>
          <w:iCs w:val="0"/>
          <w:sz w:val="32"/>
          <w:szCs w:val="32"/>
          <w:lang w:val="zh-CN"/>
        </w:rPr>
        <w:t>（三）调控开发利用强度</w:t>
      </w:r>
      <w:bookmarkEnd w:id="512"/>
      <w:bookmarkEnd w:id="513"/>
      <w:bookmarkEnd w:id="514"/>
      <w:bookmarkEnd w:id="515"/>
    </w:p>
    <w:p>
      <w:pPr>
        <w:autoSpaceDE w:val="0"/>
        <w:autoSpaceDN w:val="0"/>
        <w:adjustRightInd w:val="0"/>
        <w:snapToGrid w:val="0"/>
        <w:spacing w:line="600" w:lineRule="exact"/>
        <w:ind w:firstLine="643" w:firstLineChars="200"/>
        <w:rPr>
          <w:rFonts w:ascii="Times New Roman" w:hAnsi="Times New Roman" w:eastAsia="仿宋_GB2312"/>
          <w:sz w:val="32"/>
          <w:szCs w:val="32"/>
        </w:rPr>
      </w:pPr>
      <w:bookmarkStart w:id="523" w:name="_Toc60054436"/>
      <w:bookmarkStart w:id="524" w:name="_Toc10071"/>
      <w:r>
        <w:rPr>
          <w:rFonts w:ascii="Times New Roman" w:hAnsi="Times New Roman" w:eastAsia="仿宋_GB2312"/>
          <w:b/>
          <w:sz w:val="32"/>
          <w:szCs w:val="32"/>
        </w:rPr>
        <w:t>实行开采总量调控</w:t>
      </w:r>
      <w:r>
        <w:rPr>
          <w:rFonts w:ascii="Times New Roman" w:hAnsi="Times New Roman" w:eastAsia="仿宋_GB2312"/>
          <w:sz w:val="32"/>
          <w:szCs w:val="32"/>
        </w:rPr>
        <w:t>。严格控制实行保护性开采的钨、稀土、磷等矿产的开采总量，钨矿、稀土产量不得突破国家下达年度指标，引导总量指标向能源资源基地、国家规划矿区内的矿山企业配置。适度稳定紧缺矿产开采，到2025年底，铁、铜、金年开采总量分别预期达到0.067亿吨（</w:t>
      </w:r>
      <w:r>
        <w:rPr>
          <w:rFonts w:hint="eastAsia" w:ascii="Times New Roman" w:hAnsi="Times New Roman" w:eastAsia="仿宋_GB2312"/>
          <w:sz w:val="32"/>
          <w:szCs w:val="32"/>
          <w:lang w:val="en-US" w:eastAsia="zh-CN"/>
        </w:rPr>
        <w:t>TFe</w:t>
      </w:r>
      <w:r>
        <w:rPr>
          <w:rFonts w:ascii="Times New Roman" w:hAnsi="Times New Roman" w:eastAsia="仿宋_GB2312"/>
          <w:sz w:val="32"/>
          <w:szCs w:val="32"/>
        </w:rPr>
        <w:t>62%）</w:t>
      </w:r>
      <w:bookmarkStart w:id="854" w:name="_GoBack"/>
      <w:bookmarkEnd w:id="854"/>
      <w:r>
        <w:rPr>
          <w:rFonts w:ascii="Times New Roman" w:hAnsi="Times New Roman" w:eastAsia="仿宋_GB2312"/>
          <w:sz w:val="32"/>
          <w:szCs w:val="32"/>
        </w:rPr>
        <w:t>、6万吨（金属量）、2吨</w:t>
      </w:r>
      <w:bookmarkEnd w:id="523"/>
      <w:bookmarkEnd w:id="524"/>
      <w:r>
        <w:rPr>
          <w:rFonts w:ascii="Times New Roman" w:hAnsi="Times New Roman" w:eastAsia="仿宋_GB2312"/>
          <w:sz w:val="32"/>
          <w:szCs w:val="32"/>
        </w:rPr>
        <w:t>（金属量）以上</w:t>
      </w:r>
      <w:r>
        <w:rPr>
          <w:rFonts w:hint="eastAsia" w:ascii="Times New Roman" w:hAnsi="Times New Roman" w:eastAsia="仿宋_GB2312"/>
          <w:sz w:val="32"/>
          <w:szCs w:val="32"/>
        </w:rPr>
        <w:t>。页岩气年开采量预期达20亿立方米以上，</w:t>
      </w:r>
      <w:r>
        <w:rPr>
          <w:rFonts w:ascii="Times New Roman" w:hAnsi="Times New Roman" w:eastAsia="仿宋_GB2312"/>
          <w:sz w:val="32"/>
          <w:szCs w:val="32"/>
        </w:rPr>
        <w:t>盐矿年开采总量预期达到900万吨（矿石量）以上。</w:t>
      </w:r>
    </w:p>
    <w:bookmarkEnd w:id="516"/>
    <w:bookmarkEnd w:id="517"/>
    <w:bookmarkEnd w:id="518"/>
    <w:bookmarkEnd w:id="519"/>
    <w:bookmarkEnd w:id="520"/>
    <w:bookmarkEnd w:id="521"/>
    <w:bookmarkEnd w:id="522"/>
    <w:p>
      <w:pPr>
        <w:autoSpaceDE w:val="0"/>
        <w:autoSpaceDN w:val="0"/>
        <w:adjustRightInd w:val="0"/>
        <w:snapToGrid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调整规模结构</w:t>
      </w:r>
      <w:r>
        <w:rPr>
          <w:rFonts w:ascii="Times New Roman" w:hAnsi="Times New Roman" w:eastAsia="仿宋_GB2312"/>
          <w:sz w:val="32"/>
          <w:szCs w:val="32"/>
        </w:rPr>
        <w:t>。</w:t>
      </w:r>
      <w:bookmarkStart w:id="525" w:name="_Toc60054437"/>
      <w:bookmarkStart w:id="526" w:name="_Toc14064"/>
      <w:r>
        <w:rPr>
          <w:rFonts w:ascii="Times New Roman" w:hAnsi="Times New Roman" w:eastAsia="仿宋_GB2312"/>
          <w:sz w:val="32"/>
          <w:szCs w:val="32"/>
        </w:rPr>
        <w:t>优化存量，严控增量，鼓励矿山企业规模化开采，引导技术落后、矿区环境问题突出、安全保障差的矿山退出，严格执行新建矿山准入条件，推动全省矿山总数逐步减少。</w:t>
      </w:r>
    </w:p>
    <w:bookmarkEnd w:id="525"/>
    <w:bookmarkEnd w:id="526"/>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527" w:name="_Toc31892"/>
      <w:bookmarkStart w:id="528" w:name="_Toc27079"/>
      <w:bookmarkStart w:id="529" w:name="_Toc69314012"/>
      <w:bookmarkStart w:id="530" w:name="_Toc22361"/>
      <w:bookmarkStart w:id="531" w:name="_Toc26178"/>
      <w:bookmarkStart w:id="532" w:name="_Toc26029"/>
      <w:bookmarkStart w:id="533" w:name="_Toc19876"/>
      <w:bookmarkStart w:id="534" w:name="_Toc1209"/>
      <w:bookmarkStart w:id="535" w:name="_Toc2231"/>
      <w:bookmarkStart w:id="536" w:name="_Toc20809"/>
      <w:bookmarkStart w:id="537" w:name="_Toc3038"/>
      <w:bookmarkStart w:id="538" w:name="_Toc1523"/>
      <w:bookmarkStart w:id="539" w:name="_Toc6793"/>
      <w:bookmarkStart w:id="540" w:name="_Toc26071"/>
      <w:bookmarkStart w:id="541" w:name="_Toc13353_WPSOffice_Level2"/>
      <w:bookmarkStart w:id="542" w:name="_Toc28720"/>
      <w:bookmarkStart w:id="543" w:name="_Toc1694"/>
      <w:bookmarkStart w:id="544" w:name="_Toc10238"/>
      <w:bookmarkStart w:id="545" w:name="_Toc69313766"/>
      <w:bookmarkStart w:id="546" w:name="_Toc814"/>
      <w:bookmarkStart w:id="547" w:name="_Toc31490"/>
      <w:bookmarkStart w:id="548" w:name="_Toc3164"/>
      <w:r>
        <w:rPr>
          <w:rFonts w:ascii="Times New Roman" w:hAnsi="Times New Roman" w:eastAsia="楷体_GB2312" w:cs="Times New Roman"/>
          <w:b w:val="0"/>
          <w:bCs w:val="0"/>
          <w:i w:val="0"/>
          <w:iCs w:val="0"/>
          <w:sz w:val="32"/>
          <w:szCs w:val="32"/>
          <w:lang w:val="zh-CN"/>
        </w:rPr>
        <w:t>（四）严格开采准入条件</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autoSpaceDE w:val="0"/>
        <w:autoSpaceDN w:val="0"/>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矿产资源开采活动必须符合“三条控制线”等</w:t>
      </w:r>
      <w:r>
        <w:rPr>
          <w:rFonts w:ascii="Times New Roman" w:hAnsi="Times New Roman" w:eastAsia="仿宋_GB2312"/>
          <w:spacing w:val="-6"/>
          <w:kern w:val="0"/>
          <w:sz w:val="32"/>
          <w:szCs w:val="32"/>
        </w:rPr>
        <w:t>国家相关政策要求，</w:t>
      </w:r>
      <w:r>
        <w:rPr>
          <w:rFonts w:ascii="Times New Roman" w:hAnsi="Times New Roman" w:eastAsia="仿宋_GB2312"/>
          <w:sz w:val="32"/>
          <w:szCs w:val="32"/>
        </w:rPr>
        <w:t>矿山开采矿种、开采范围、最低开采规模、最低服务年限必须符合规划相关要求，</w:t>
      </w:r>
      <w:r>
        <w:rPr>
          <w:rFonts w:ascii="Times New Roman" w:hAnsi="Times New Roman" w:eastAsia="仿宋_GB2312"/>
          <w:spacing w:val="-6"/>
          <w:sz w:val="32"/>
          <w:szCs w:val="32"/>
        </w:rPr>
        <w:t>原则上一个开采规划区块设置一个开采主体。</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549" w:name="_Toc28904"/>
      <w:bookmarkStart w:id="550" w:name="_Toc18291"/>
      <w:bookmarkStart w:id="551" w:name="_Toc7155"/>
      <w:bookmarkStart w:id="552" w:name="_Toc10162"/>
      <w:r>
        <w:rPr>
          <w:rFonts w:ascii="Times New Roman" w:hAnsi="Times New Roman" w:eastAsia="楷体_GB2312" w:cs="Times New Roman"/>
          <w:b w:val="0"/>
          <w:bCs w:val="0"/>
          <w:i w:val="0"/>
          <w:iCs w:val="0"/>
          <w:sz w:val="32"/>
          <w:szCs w:val="32"/>
          <w:lang w:val="zh-CN"/>
        </w:rPr>
        <w:t>（五）实施矿产资源保护和储备</w:t>
      </w:r>
      <w:bookmarkEnd w:id="549"/>
      <w:bookmarkEnd w:id="550"/>
      <w:bookmarkEnd w:id="551"/>
      <w:bookmarkEnd w:id="552"/>
    </w:p>
    <w:p>
      <w:pPr>
        <w:autoSpaceDE w:val="0"/>
        <w:autoSpaceDN w:val="0"/>
        <w:adjustRightInd w:val="0"/>
        <w:snapToGrid w:val="0"/>
        <w:spacing w:line="600" w:lineRule="exact"/>
        <w:ind w:firstLine="640" w:firstLineChars="200"/>
        <w:rPr>
          <w:rFonts w:ascii="Times New Roman" w:hAnsi="Times New Roman" w:eastAsia="黑体"/>
          <w:sz w:val="30"/>
          <w:szCs w:val="30"/>
        </w:rPr>
      </w:pPr>
      <w:r>
        <w:rPr>
          <w:rFonts w:ascii="Times New Roman" w:hAnsi="Times New Roman" w:eastAsia="仿宋_GB2312"/>
          <w:sz w:val="32"/>
          <w:szCs w:val="32"/>
        </w:rPr>
        <w:t>为保障战略性矿产资源供给安全，增强对矿产资源勘查开发的宏观调控能力，对当前技术、经济或生态环境条件下暂不宜开发的大中型矿产地进行保护</w:t>
      </w:r>
      <w:r>
        <w:rPr>
          <w:rFonts w:ascii="Times New Roman" w:hAnsi="Times New Roman" w:eastAsia="仿宋_GB2312"/>
          <w:spacing w:val="-6"/>
          <w:sz w:val="32"/>
          <w:szCs w:val="32"/>
        </w:rPr>
        <w:t>，划定落实</w:t>
      </w:r>
      <w:r>
        <w:rPr>
          <w:rFonts w:ascii="Times New Roman" w:hAnsi="Times New Roman" w:eastAsia="仿宋_GB2312"/>
          <w:sz w:val="32"/>
          <w:szCs w:val="32"/>
        </w:rPr>
        <w:t>战略性矿产</w:t>
      </w:r>
      <w:r>
        <w:rPr>
          <w:rFonts w:hint="eastAsia" w:ascii="Times New Roman" w:hAnsi="Times New Roman" w:eastAsia="仿宋_GB2312"/>
          <w:sz w:val="32"/>
          <w:szCs w:val="32"/>
        </w:rPr>
        <w:t>资源</w:t>
      </w:r>
      <w:r>
        <w:rPr>
          <w:rFonts w:ascii="Times New Roman" w:hAnsi="Times New Roman" w:eastAsia="仿宋_GB2312"/>
          <w:sz w:val="32"/>
          <w:szCs w:val="32"/>
        </w:rPr>
        <w:t>储备区，通过持续加强技术攻关，促进矿产资源接续利用。坚持科学评估、合理布局、储采轮换、动态调整的原则，对因政策性原因退出和财政出资勘查不能转采的资源等，探索实施矿产地储备，努力形成一批重</w:t>
      </w:r>
      <w:r>
        <w:rPr>
          <w:rFonts w:ascii="Times New Roman" w:hAnsi="Times New Roman" w:eastAsia="仿宋_GB2312"/>
          <w:spacing w:val="-6"/>
          <w:sz w:val="32"/>
          <w:szCs w:val="32"/>
        </w:rPr>
        <w:t>要矿产资源开发后备基地。</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553" w:name="_Toc32558"/>
      <w:bookmarkStart w:id="554" w:name="_Toc27797"/>
      <w:bookmarkStart w:id="555" w:name="_Toc31606"/>
      <w:bookmarkStart w:id="556" w:name="_Toc2074"/>
      <w:bookmarkStart w:id="557" w:name="_Toc16807"/>
      <w:bookmarkStart w:id="558" w:name="_Toc3842"/>
      <w:bookmarkStart w:id="559" w:name="_Toc20948"/>
      <w:bookmarkStart w:id="560" w:name="_Toc69313767"/>
      <w:bookmarkStart w:id="561" w:name="_Toc2640"/>
      <w:bookmarkStart w:id="562" w:name="_Toc25077"/>
      <w:bookmarkStart w:id="563" w:name="_Toc9233"/>
      <w:bookmarkStart w:id="564" w:name="_Toc69314013"/>
      <w:bookmarkStart w:id="565" w:name="_Toc26609"/>
      <w:bookmarkStart w:id="566" w:name="_Toc5929"/>
      <w:bookmarkStart w:id="567" w:name="_Toc23972"/>
      <w:bookmarkStart w:id="568" w:name="_Toc28630"/>
      <w:bookmarkStart w:id="569" w:name="_Toc15286"/>
      <w:bookmarkStart w:id="570" w:name="_Toc18344"/>
      <w:bookmarkStart w:id="571" w:name="_Toc28109"/>
      <w:bookmarkStart w:id="572" w:name="_Toc4846"/>
      <w:bookmarkStart w:id="573" w:name="_Toc4535"/>
      <w:r>
        <w:rPr>
          <w:rFonts w:ascii="Times New Roman" w:hAnsi="Times New Roman" w:eastAsia="楷体_GB2312" w:cs="Times New Roman"/>
          <w:b w:val="0"/>
          <w:bCs w:val="0"/>
          <w:i w:val="0"/>
          <w:iCs w:val="0"/>
          <w:sz w:val="32"/>
          <w:szCs w:val="32"/>
          <w:lang w:val="zh-CN"/>
        </w:rPr>
        <w:t>（六）</w:t>
      </w:r>
      <w:bookmarkEnd w:id="553"/>
      <w:bookmarkEnd w:id="554"/>
      <w:r>
        <w:rPr>
          <w:rFonts w:ascii="Times New Roman" w:hAnsi="Times New Roman" w:eastAsia="楷体_GB2312" w:cs="Times New Roman"/>
          <w:b w:val="0"/>
          <w:bCs w:val="0"/>
          <w:i w:val="0"/>
          <w:iCs w:val="0"/>
          <w:sz w:val="32"/>
          <w:szCs w:val="32"/>
          <w:lang w:val="zh-CN"/>
        </w:rPr>
        <w:t>优化磷矿、建筑用石料开发管控</w:t>
      </w:r>
      <w:bookmarkEnd w:id="555"/>
    </w:p>
    <w:p>
      <w:pPr>
        <w:autoSpaceDE w:val="0"/>
        <w:autoSpaceDN w:val="0"/>
        <w:spacing w:line="600" w:lineRule="exact"/>
        <w:ind w:firstLine="643" w:firstLineChars="200"/>
        <w:rPr>
          <w:rFonts w:ascii="Times New Roman" w:hAnsi="Times New Roman" w:eastAsia="仿宋_GB2312"/>
          <w:b/>
          <w:bCs/>
          <w:sz w:val="32"/>
          <w:szCs w:val="32"/>
          <w:lang w:val="zh-CN"/>
        </w:rPr>
      </w:pPr>
      <w:r>
        <w:rPr>
          <w:rFonts w:ascii="Times New Roman" w:hAnsi="Times New Roman" w:eastAsia="仿宋_GB2312"/>
          <w:b/>
          <w:bCs/>
          <w:sz w:val="32"/>
          <w:szCs w:val="32"/>
        </w:rPr>
        <w:t>1.</w:t>
      </w:r>
      <w:r>
        <w:rPr>
          <w:rFonts w:ascii="Times New Roman" w:hAnsi="Times New Roman" w:eastAsia="仿宋_GB2312"/>
          <w:b/>
          <w:bCs/>
          <w:sz w:val="32"/>
          <w:szCs w:val="32"/>
          <w:lang w:val="zh-CN"/>
        </w:rPr>
        <w:t>优化磷矿开发管控</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autoSpaceDE w:val="0"/>
        <w:autoSpaceDN w:val="0"/>
        <w:adjustRightInd w:val="0"/>
        <w:snapToGrid w:val="0"/>
        <w:spacing w:line="600" w:lineRule="exact"/>
        <w:ind w:firstLine="640" w:firstLineChars="200"/>
        <w:rPr>
          <w:rFonts w:ascii="Times New Roman" w:hAnsi="Times New Roman" w:eastAsia="仿宋_GB2312"/>
          <w:sz w:val="32"/>
          <w:szCs w:val="32"/>
        </w:rPr>
      </w:pPr>
      <w:bookmarkStart w:id="574" w:name="_Toc23669"/>
      <w:bookmarkStart w:id="575" w:name="_Toc69314014"/>
      <w:bookmarkStart w:id="576" w:name="_Toc10331"/>
      <w:bookmarkStart w:id="577" w:name="_Toc2384"/>
      <w:bookmarkStart w:id="578" w:name="_Toc29941"/>
      <w:bookmarkStart w:id="579" w:name="_Toc20975"/>
      <w:r>
        <w:rPr>
          <w:rFonts w:ascii="Times New Roman" w:hAnsi="Times New Roman" w:eastAsia="仿宋_GB2312"/>
          <w:sz w:val="32"/>
          <w:szCs w:val="32"/>
        </w:rPr>
        <w:t>坚持生态优先、绿色发展，优化磷矿供应结构，合理控制开发强度，提升磷矿开发利用水平，引导形成需求导向的良性资源配置结构，服务全省现代磷化工产业发展。</w:t>
      </w:r>
    </w:p>
    <w:p>
      <w:pPr>
        <w:autoSpaceDE w:val="0"/>
        <w:autoSpaceDN w:val="0"/>
        <w:adjustRightInd w:val="0"/>
        <w:snapToGrid w:val="0"/>
        <w:spacing w:line="600" w:lineRule="exact"/>
        <w:ind w:firstLine="643" w:firstLineChars="200"/>
        <w:rPr>
          <w:rFonts w:ascii="Times New Roman" w:hAnsi="Times New Roman" w:eastAsia="仿宋_GB2312"/>
          <w:b/>
          <w:spacing w:val="-6"/>
          <w:sz w:val="32"/>
          <w:szCs w:val="32"/>
        </w:rPr>
      </w:pPr>
      <w:r>
        <w:rPr>
          <w:rFonts w:ascii="Times New Roman" w:hAnsi="Times New Roman" w:eastAsia="仿宋_GB2312"/>
          <w:b/>
          <w:sz w:val="32"/>
          <w:szCs w:val="32"/>
        </w:rPr>
        <w:t>优化磷矿山结构</w:t>
      </w:r>
      <w:bookmarkEnd w:id="574"/>
      <w:bookmarkEnd w:id="575"/>
      <w:bookmarkEnd w:id="576"/>
      <w:bookmarkEnd w:id="577"/>
      <w:bookmarkEnd w:id="578"/>
      <w:bookmarkEnd w:id="579"/>
      <w:r>
        <w:rPr>
          <w:rFonts w:ascii="Times New Roman" w:hAnsi="Times New Roman" w:eastAsia="仿宋_GB2312"/>
          <w:sz w:val="32"/>
          <w:szCs w:val="32"/>
        </w:rPr>
        <w:t>。优化磷矿开采布局，实施磷矿资源整合，推进宜昌等磷矿资源基地建设，保障磷复肥生产等用矿需求。</w:t>
      </w:r>
      <w:r>
        <w:rPr>
          <w:rFonts w:ascii="Times New Roman" w:hAnsi="Times New Roman" w:eastAsia="仿宋_GB2312"/>
          <w:spacing w:val="-6"/>
          <w:sz w:val="32"/>
          <w:szCs w:val="32"/>
        </w:rPr>
        <w:t>鼓励中大型矿山或产业链集中的综合性企业进行磷矿开采，推动磷矿资源向磷化工龙头企业集中、磷矿产品向精深加工转变、磷矿产业向高端化升级。不再新建露天磷矿山。</w:t>
      </w:r>
    </w:p>
    <w:p>
      <w:pPr>
        <w:autoSpaceDE w:val="0"/>
        <w:autoSpaceDN w:val="0"/>
        <w:adjustRightInd w:val="0"/>
        <w:snapToGrid w:val="0"/>
        <w:spacing w:line="600" w:lineRule="exact"/>
        <w:ind w:firstLine="643" w:firstLineChars="200"/>
        <w:rPr>
          <w:rFonts w:ascii="Times New Roman" w:hAnsi="Times New Roman" w:eastAsia="仿宋_GB2312"/>
          <w:sz w:val="32"/>
          <w:szCs w:val="32"/>
        </w:rPr>
      </w:pPr>
      <w:bookmarkStart w:id="580" w:name="_Toc25656"/>
      <w:bookmarkStart w:id="581" w:name="_Toc69314015"/>
      <w:bookmarkStart w:id="582" w:name="_Toc9879"/>
      <w:bookmarkStart w:id="583" w:name="_Toc18181"/>
      <w:bookmarkStart w:id="584" w:name="_Toc1301"/>
      <w:bookmarkStart w:id="585" w:name="_Toc445"/>
      <w:r>
        <w:rPr>
          <w:rFonts w:ascii="Times New Roman" w:hAnsi="Times New Roman" w:eastAsia="仿宋_GB2312"/>
          <w:b/>
          <w:sz w:val="32"/>
          <w:szCs w:val="32"/>
        </w:rPr>
        <w:t>合理控制开发利用强度</w:t>
      </w:r>
      <w:bookmarkEnd w:id="580"/>
      <w:bookmarkEnd w:id="581"/>
      <w:bookmarkEnd w:id="582"/>
      <w:bookmarkEnd w:id="583"/>
      <w:bookmarkEnd w:id="584"/>
      <w:bookmarkEnd w:id="585"/>
      <w:r>
        <w:rPr>
          <w:rFonts w:ascii="Times New Roman" w:hAnsi="Times New Roman" w:eastAsia="仿宋_GB2312"/>
          <w:sz w:val="32"/>
          <w:szCs w:val="32"/>
        </w:rPr>
        <w:t>。推进开采规划区块有序实施，防止磷矿设计产能过快增长。磷矿开采应按照排污许可要求，采取有效措施，严格控制总磷排放浓度和排放总量，对排污口和周边环境进行总磷监测，依法公开监测信息。新建矿山开采规模不低于15万吨/年。</w:t>
      </w:r>
    </w:p>
    <w:p>
      <w:pPr>
        <w:autoSpaceDE w:val="0"/>
        <w:autoSpaceDN w:val="0"/>
        <w:adjustRightInd w:val="0"/>
        <w:snapToGrid w:val="0"/>
        <w:spacing w:line="600" w:lineRule="exact"/>
        <w:ind w:firstLine="643" w:firstLineChars="200"/>
        <w:rPr>
          <w:rFonts w:ascii="Times New Roman" w:hAnsi="Times New Roman" w:eastAsia="仿宋_GB2312"/>
          <w:b/>
          <w:bCs/>
          <w:sz w:val="32"/>
          <w:szCs w:val="32"/>
        </w:rPr>
      </w:pPr>
      <w:bookmarkStart w:id="586" w:name="_Toc30980"/>
      <w:bookmarkStart w:id="587" w:name="_Toc22620"/>
      <w:bookmarkStart w:id="588" w:name="_Toc15612"/>
      <w:bookmarkStart w:id="589" w:name="_Toc7530"/>
      <w:bookmarkStart w:id="590" w:name="_Toc19844"/>
      <w:bookmarkStart w:id="591" w:name="_Toc6069"/>
      <w:bookmarkStart w:id="592" w:name="_Toc6214"/>
      <w:bookmarkStart w:id="593" w:name="_Toc26524"/>
      <w:bookmarkStart w:id="594" w:name="_Toc16475"/>
      <w:bookmarkStart w:id="595" w:name="_Toc19933"/>
      <w:bookmarkStart w:id="596" w:name="_Toc69313768"/>
      <w:bookmarkStart w:id="597" w:name="_Toc16440"/>
      <w:bookmarkStart w:id="598" w:name="_Toc6909"/>
      <w:bookmarkStart w:id="599" w:name="_Toc8311"/>
      <w:bookmarkStart w:id="600" w:name="_Toc9247"/>
      <w:bookmarkStart w:id="601" w:name="_Toc23921"/>
      <w:bookmarkStart w:id="602" w:name="_Toc6366"/>
      <w:bookmarkStart w:id="603" w:name="_Toc69314018"/>
      <w:r>
        <w:rPr>
          <w:rFonts w:ascii="Times New Roman" w:hAnsi="Times New Roman" w:eastAsia="仿宋_GB2312"/>
          <w:b/>
          <w:sz w:val="32"/>
          <w:szCs w:val="32"/>
        </w:rPr>
        <w:t>鼓励资源高效利用。</w:t>
      </w:r>
      <w:r>
        <w:rPr>
          <w:rFonts w:ascii="Times New Roman" w:hAnsi="Times New Roman" w:eastAsia="仿宋_GB2312"/>
          <w:bCs/>
          <w:sz w:val="32"/>
          <w:szCs w:val="32"/>
        </w:rPr>
        <w:t>推广先进适用技术应用，鼓励中大型企业采用新工艺、新技术，鼓励有条件的地区开展坑口物理选矿，加强中低品位磷矿资源利用、尾矿综合利用，以及伴生资源回收利用。加强磷矿开发利用监督管理，开展磷矿“三率”动态评估。加强磷矿资源梯级利用，提升产品附加值，推动构建多元化产业体系。加强磷矿尾矿库管理，保护长江经济带生态环境。</w:t>
      </w:r>
    </w:p>
    <w:p>
      <w:pPr>
        <w:autoSpaceDE w:val="0"/>
        <w:autoSpaceDN w:val="0"/>
        <w:spacing w:line="60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2.加强建筑用石料开发管控</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autoSpaceDE w:val="0"/>
        <w:autoSpaceDN w:val="0"/>
        <w:adjustRightInd w:val="0"/>
        <w:snapToGrid w:val="0"/>
        <w:spacing w:line="600" w:lineRule="exact"/>
        <w:ind w:firstLine="640" w:firstLineChars="200"/>
        <w:rPr>
          <w:rFonts w:ascii="Times New Roman" w:hAnsi="Times New Roman" w:eastAsia="仿宋_GB2312"/>
          <w:sz w:val="32"/>
          <w:szCs w:val="32"/>
        </w:rPr>
      </w:pPr>
      <w:bookmarkStart w:id="604" w:name="_Toc25264_WPSOffice_Level1"/>
      <w:bookmarkStart w:id="605" w:name="_Toc5117"/>
      <w:bookmarkStart w:id="606" w:name="_Toc27523"/>
      <w:r>
        <w:rPr>
          <w:rFonts w:ascii="Times New Roman" w:hAnsi="Times New Roman" w:eastAsia="仿宋_GB2312"/>
          <w:sz w:val="32"/>
          <w:szCs w:val="32"/>
        </w:rPr>
        <w:t>根据省机制砂石产业高质量发展规划，实施</w:t>
      </w:r>
      <w:r>
        <w:rPr>
          <w:rFonts w:ascii="Times New Roman" w:hAnsi="Times New Roman" w:eastAsia="仿宋_GB2312"/>
          <w:kern w:val="0"/>
          <w:sz w:val="32"/>
          <w:szCs w:val="32"/>
        </w:rPr>
        <w:t>保障建筑用石料供应能力提升三年行动，不断</w:t>
      </w:r>
      <w:r>
        <w:rPr>
          <w:rFonts w:ascii="Times New Roman" w:hAnsi="Times New Roman" w:eastAsia="仿宋_GB2312"/>
          <w:sz w:val="32"/>
          <w:szCs w:val="32"/>
        </w:rPr>
        <w:t>优化建筑用石料开发空间布局，推动建筑用石料矿产绿色开采、集中开采、规模开采，保障重大项目建设和民生需求。</w:t>
      </w:r>
    </w:p>
    <w:p>
      <w:pPr>
        <w:pStyle w:val="53"/>
        <w:snapToGrid w:val="0"/>
        <w:spacing w:line="600" w:lineRule="exact"/>
        <w:ind w:firstLine="643" w:firstLineChars="200"/>
        <w:rPr>
          <w:rFonts w:eastAsia="仿宋_GB2312"/>
          <w:sz w:val="32"/>
          <w:szCs w:val="32"/>
        </w:rPr>
      </w:pPr>
      <w:bookmarkStart w:id="607" w:name="_Toc28550"/>
      <w:bookmarkStart w:id="608" w:name="_Toc32081"/>
      <w:bookmarkStart w:id="609" w:name="_Toc9396"/>
      <w:bookmarkStart w:id="610" w:name="_Toc977"/>
      <w:bookmarkStart w:id="611" w:name="_Toc9246"/>
      <w:bookmarkStart w:id="612" w:name="_Toc25002"/>
      <w:bookmarkStart w:id="613" w:name="_Toc69314019"/>
      <w:r>
        <w:rPr>
          <w:rFonts w:eastAsia="仿宋_GB2312"/>
          <w:b/>
          <w:sz w:val="32"/>
          <w:szCs w:val="32"/>
        </w:rPr>
        <w:t>重塑建筑用石料开发格局</w:t>
      </w:r>
      <w:bookmarkEnd w:id="607"/>
      <w:bookmarkEnd w:id="608"/>
      <w:bookmarkEnd w:id="609"/>
      <w:bookmarkEnd w:id="610"/>
      <w:bookmarkEnd w:id="611"/>
      <w:bookmarkEnd w:id="612"/>
      <w:bookmarkEnd w:id="613"/>
      <w:r>
        <w:rPr>
          <w:rFonts w:eastAsia="仿宋_GB2312"/>
          <w:sz w:val="32"/>
          <w:szCs w:val="32"/>
        </w:rPr>
        <w:t>。统筹资源禀赋、经济运输半径、区域供需平衡等因素，按照输入、输出、自足功能需求，重塑与区域发展布局相协调、与资源环境承载能力相适宜的建筑用石料开发新格局。输入区域内生态环境约束紧、建设项目集中、交通便利，主要依靠周边供给，覆盖武汉市、仙桃市、潜江市、天门市等地区。输出</w:t>
      </w:r>
      <w:r>
        <w:rPr>
          <w:rFonts w:eastAsia="仿宋_GB2312"/>
          <w:spacing w:val="-6"/>
          <w:sz w:val="32"/>
          <w:szCs w:val="32"/>
        </w:rPr>
        <w:t>区</w:t>
      </w:r>
      <w:r>
        <w:rPr>
          <w:rFonts w:eastAsia="仿宋_GB2312"/>
          <w:sz w:val="32"/>
          <w:szCs w:val="32"/>
        </w:rPr>
        <w:t>域</w:t>
      </w:r>
      <w:r>
        <w:rPr>
          <w:rFonts w:eastAsia="仿宋_GB2312"/>
          <w:spacing w:val="-6"/>
          <w:sz w:val="32"/>
          <w:szCs w:val="32"/>
        </w:rPr>
        <w:t>内建筑用石料资源丰富、交通便利，充分发挥主力供给的资源优势，覆盖黄石市、荆门市、黄冈市、咸宁市等地区。自足区</w:t>
      </w:r>
      <w:r>
        <w:rPr>
          <w:rFonts w:eastAsia="仿宋_GB2312"/>
          <w:sz w:val="32"/>
          <w:szCs w:val="32"/>
        </w:rPr>
        <w:t>域</w:t>
      </w:r>
      <w:r>
        <w:rPr>
          <w:rFonts w:eastAsia="仿宋_GB2312"/>
          <w:spacing w:val="-6"/>
          <w:sz w:val="32"/>
          <w:szCs w:val="32"/>
        </w:rPr>
        <w:t>内建筑用石料资源丰富、运输成本高，本地供需较平衡，覆盖十堰市、宜昌市、襄阳市、鄂州市、孝感市、荆州市、随州市、恩施州、神农架林区等地区。</w:t>
      </w:r>
    </w:p>
    <w:p>
      <w:pPr>
        <w:pStyle w:val="53"/>
        <w:snapToGrid w:val="0"/>
        <w:spacing w:line="600" w:lineRule="exact"/>
        <w:ind w:firstLine="643" w:firstLineChars="200"/>
        <w:rPr>
          <w:rFonts w:eastAsia="仿宋_GB2312"/>
          <w:sz w:val="32"/>
          <w:szCs w:val="32"/>
        </w:rPr>
      </w:pPr>
      <w:bookmarkStart w:id="614" w:name="_Toc69314020"/>
      <w:bookmarkStart w:id="615" w:name="_Toc16810"/>
      <w:bookmarkStart w:id="616" w:name="_Toc30089"/>
      <w:bookmarkStart w:id="617" w:name="_Toc10175"/>
      <w:bookmarkStart w:id="618" w:name="_Toc15370"/>
      <w:bookmarkStart w:id="619" w:name="_Toc8900"/>
      <w:bookmarkStart w:id="620" w:name="_Toc10242"/>
      <w:r>
        <w:rPr>
          <w:rFonts w:eastAsia="仿宋_GB2312"/>
          <w:b/>
          <w:sz w:val="32"/>
          <w:szCs w:val="32"/>
        </w:rPr>
        <w:t>提高规模化集约化水平</w:t>
      </w:r>
      <w:bookmarkEnd w:id="614"/>
      <w:bookmarkEnd w:id="615"/>
      <w:bookmarkEnd w:id="616"/>
      <w:bookmarkEnd w:id="617"/>
      <w:bookmarkEnd w:id="618"/>
      <w:bookmarkEnd w:id="619"/>
      <w:bookmarkEnd w:id="620"/>
      <w:r>
        <w:rPr>
          <w:rFonts w:eastAsia="仿宋_GB2312"/>
          <w:sz w:val="32"/>
          <w:szCs w:val="32"/>
        </w:rPr>
        <w:t>。实施“总体集中+个别补充”开发布局，加快资源优化配置，促进产业聚集，鼓励利用废石尾矿生产机制砂石，提升规模化集约化开采水平，努力改变建筑用石料矿山“小、散、乱”的局面。在黄石市、宜昌市、荆门市、黄冈市等资源条件较好、交通便利的地区，可直接划定建筑用石料集中开采区</w:t>
      </w:r>
      <w:r>
        <w:rPr>
          <w:rFonts w:eastAsia="仿宋_GB2312"/>
          <w:color w:val="0000FF"/>
          <w:sz w:val="32"/>
          <w:szCs w:val="32"/>
        </w:rPr>
        <w:t>，</w:t>
      </w:r>
      <w:r>
        <w:rPr>
          <w:rFonts w:eastAsia="仿宋_GB2312"/>
          <w:sz w:val="32"/>
          <w:szCs w:val="32"/>
        </w:rPr>
        <w:t>由市、县级矿产资源规划具体落实，明确区内矿业权投放</w:t>
      </w:r>
      <w:r>
        <w:rPr>
          <w:rFonts w:hint="eastAsia" w:eastAsia="仿宋_GB2312"/>
          <w:sz w:val="32"/>
          <w:szCs w:val="32"/>
        </w:rPr>
        <w:t>数</w:t>
      </w:r>
      <w:r>
        <w:rPr>
          <w:rFonts w:eastAsia="仿宋_GB2312"/>
          <w:sz w:val="32"/>
          <w:szCs w:val="32"/>
        </w:rPr>
        <w:t>量、开采总量、最低开采规模、矿区生态修复等准入要求，服务“一主”武汉城市圈</w:t>
      </w:r>
      <w:r>
        <w:rPr>
          <w:rFonts w:hint="eastAsia" w:eastAsia="仿宋_GB2312"/>
          <w:sz w:val="32"/>
          <w:szCs w:val="32"/>
        </w:rPr>
        <w:t>、</w:t>
      </w:r>
      <w:r>
        <w:rPr>
          <w:rFonts w:eastAsia="仿宋_GB2312"/>
          <w:sz w:val="32"/>
          <w:szCs w:val="32"/>
        </w:rPr>
        <w:t>“北翼”襄十随神城市群和“南翼”宜荆荆恩城市群</w:t>
      </w:r>
      <w:r>
        <w:rPr>
          <w:rFonts w:hint="eastAsia" w:eastAsia="仿宋_GB2312"/>
          <w:sz w:val="32"/>
          <w:szCs w:val="32"/>
        </w:rPr>
        <w:t>建设</w:t>
      </w:r>
      <w:r>
        <w:rPr>
          <w:rFonts w:eastAsia="仿宋_GB2312"/>
          <w:sz w:val="32"/>
          <w:szCs w:val="32"/>
        </w:rPr>
        <w:t>，开采总量指标及矿权配置向集中开采区倾斜，引导矿产资源规模化开采、集约化利用。在恩施</w:t>
      </w:r>
      <w:r>
        <w:rPr>
          <w:rFonts w:hint="eastAsia" w:eastAsia="仿宋_GB2312"/>
          <w:sz w:val="32"/>
          <w:szCs w:val="32"/>
        </w:rPr>
        <w:t>州</w:t>
      </w:r>
      <w:r>
        <w:rPr>
          <w:rFonts w:eastAsia="仿宋_GB2312"/>
          <w:sz w:val="32"/>
          <w:szCs w:val="32"/>
        </w:rPr>
        <w:t>等开发条件差的区域，采用个别补充的方式，保障民生用砂石料需求。鼓励对现有矿山的尾矿尾渣开展综合利用，重点在黄冈</w:t>
      </w:r>
      <w:r>
        <w:rPr>
          <w:rFonts w:eastAsia="仿宋_GB2312"/>
          <w:spacing w:val="-6"/>
          <w:sz w:val="32"/>
          <w:szCs w:val="32"/>
        </w:rPr>
        <w:t>市、随州市等加强饰面用石材矿山综合利用，以提高资源节约利用水平。</w:t>
      </w:r>
    </w:p>
    <w:p>
      <w:pPr>
        <w:autoSpaceDE w:val="0"/>
        <w:autoSpaceDN w:val="0"/>
        <w:adjustRightInd w:val="0"/>
        <w:snapToGrid w:val="0"/>
        <w:spacing w:line="600" w:lineRule="exact"/>
        <w:ind w:firstLine="643" w:firstLineChars="200"/>
        <w:rPr>
          <w:rFonts w:ascii="Times New Roman" w:hAnsi="Times New Roman" w:eastAsia="仿宋_GB2312"/>
          <w:b/>
          <w:bCs/>
          <w:sz w:val="30"/>
          <w:szCs w:val="30"/>
        </w:rPr>
      </w:pPr>
      <w:bookmarkStart w:id="621" w:name="_Toc17409"/>
      <w:bookmarkStart w:id="622" w:name="_Toc20982"/>
      <w:bookmarkStart w:id="623" w:name="_Toc8737"/>
      <w:bookmarkStart w:id="624" w:name="_Toc17377"/>
      <w:bookmarkStart w:id="625" w:name="_Toc21164"/>
      <w:bookmarkStart w:id="626" w:name="_Toc13729"/>
      <w:bookmarkStart w:id="627" w:name="_Toc15316"/>
      <w:bookmarkStart w:id="628" w:name="_Toc28991"/>
      <w:bookmarkStart w:id="629" w:name="_Toc13089"/>
      <w:bookmarkStart w:id="630" w:name="_Toc22659"/>
      <w:bookmarkStart w:id="631" w:name="_Toc24266"/>
      <w:bookmarkStart w:id="632" w:name="_Toc22296"/>
      <w:bookmarkStart w:id="633" w:name="_Toc25215"/>
      <w:bookmarkStart w:id="634" w:name="_Toc9759"/>
      <w:bookmarkStart w:id="635" w:name="_Toc28074"/>
      <w:bookmarkStart w:id="636" w:name="_Toc14635"/>
      <w:bookmarkStart w:id="637" w:name="_Toc69313769"/>
      <w:bookmarkStart w:id="638" w:name="_Toc8695"/>
      <w:bookmarkStart w:id="639" w:name="_Toc69314023"/>
      <w:bookmarkStart w:id="640" w:name="_Toc29262"/>
      <w:bookmarkStart w:id="641" w:name="_Toc9720"/>
      <w:r>
        <w:rPr>
          <w:rFonts w:ascii="Times New Roman" w:hAnsi="Times New Roman" w:eastAsia="仿宋_GB2312"/>
          <w:b/>
          <w:kern w:val="0"/>
          <w:sz w:val="32"/>
          <w:szCs w:val="32"/>
        </w:rPr>
        <w:t>合理控制开发利用强度</w:t>
      </w:r>
      <w:r>
        <w:rPr>
          <w:rFonts w:ascii="Times New Roman" w:hAnsi="Times New Roman" w:eastAsia="仿宋_GB2312"/>
          <w:kern w:val="0"/>
          <w:sz w:val="32"/>
          <w:szCs w:val="32"/>
        </w:rPr>
        <w:t>。加强建筑用石料矿山总数和最低开采规模管理，到2025年底，全省年开采总量预期达到9亿吨以上、矿山总数在550个左右。新建及改、扩建建筑用石料矿山最低准入标准符合规划要求，鼓励资源丰富地区集中开采，集中开采区内原则上不低于100万吨/年，集中开采区外原则上不低于30万吨/年。</w:t>
      </w:r>
      <w:bookmarkStart w:id="642" w:name="_Toc69314022"/>
      <w:r>
        <w:rPr>
          <w:rFonts w:ascii="Times New Roman" w:hAnsi="Times New Roman" w:eastAsia="仿宋_GB2312"/>
          <w:kern w:val="0"/>
          <w:sz w:val="32"/>
          <w:szCs w:val="32"/>
        </w:rPr>
        <w:t>落实矿山安全“三同时”制度和生态保护要求，按照</w:t>
      </w:r>
      <w:r>
        <w:rPr>
          <w:rFonts w:ascii="Times New Roman" w:hAnsi="Times New Roman" w:eastAsia="仿宋_GB2312"/>
          <w:sz w:val="32"/>
          <w:szCs w:val="32"/>
        </w:rPr>
        <w:t>矿山开发利用、地质环境保护与土地复垦方案</w:t>
      </w:r>
      <w:r>
        <w:rPr>
          <w:rFonts w:ascii="Times New Roman" w:hAnsi="Times New Roman" w:eastAsia="仿宋_GB2312"/>
          <w:kern w:val="0"/>
          <w:sz w:val="32"/>
          <w:szCs w:val="32"/>
        </w:rPr>
        <w:t>要求，最大限度减少矿山开采对环境影响，做好矿山生态修复。</w:t>
      </w:r>
      <w:r>
        <w:rPr>
          <w:rFonts w:ascii="Times New Roman" w:hAnsi="Times New Roman" w:eastAsia="仿宋_GB2312"/>
          <w:sz w:val="32"/>
          <w:szCs w:val="32"/>
        </w:rPr>
        <w:t>保持合理开采总量供应，</w:t>
      </w:r>
      <w:r>
        <w:rPr>
          <w:rFonts w:ascii="Times New Roman" w:hAnsi="Times New Roman" w:eastAsia="仿宋_GB2312"/>
          <w:kern w:val="0"/>
          <w:sz w:val="32"/>
          <w:szCs w:val="32"/>
        </w:rPr>
        <w:t>促进建筑用石料矿业权数量、规模与市场需求相适应，在保障供给的同时，也要防止“一哄而上”造成产能过剩。</w:t>
      </w:r>
    </w:p>
    <w:bookmarkEnd w:id="621"/>
    <w:bookmarkEnd w:id="622"/>
    <w:bookmarkEnd w:id="623"/>
    <w:bookmarkEnd w:id="624"/>
    <w:bookmarkEnd w:id="625"/>
    <w:bookmarkEnd w:id="626"/>
    <w:bookmarkEnd w:id="642"/>
    <w:p>
      <w:pPr>
        <w:pStyle w:val="3"/>
        <w:adjustRightInd w:val="0"/>
        <w:snapToGrid w:val="0"/>
        <w:spacing w:before="0" w:beforeAutospacing="0" w:after="0" w:afterAutospacing="0" w:line="580" w:lineRule="exact"/>
        <w:ind w:firstLine="720" w:firstLineChars="200"/>
        <w:rPr>
          <w:rFonts w:eastAsia="黑体"/>
          <w:b w:val="0"/>
          <w:bCs w:val="0"/>
          <w:sz w:val="36"/>
          <w:szCs w:val="36"/>
        </w:rPr>
      </w:pPr>
      <w:bookmarkStart w:id="643" w:name="_Toc29623"/>
      <w:bookmarkStart w:id="644" w:name="_Toc11991"/>
      <w:bookmarkStart w:id="645" w:name="_Toc30608"/>
      <w:bookmarkStart w:id="646" w:name="_Toc29509"/>
      <w:r>
        <w:rPr>
          <w:rFonts w:eastAsia="黑体"/>
          <w:b w:val="0"/>
          <w:bCs w:val="0"/>
          <w:sz w:val="36"/>
          <w:szCs w:val="36"/>
        </w:rPr>
        <w:t>六、突出绿色引领，促进</w:t>
      </w:r>
      <w:bookmarkEnd w:id="604"/>
      <w:bookmarkEnd w:id="605"/>
      <w:bookmarkEnd w:id="606"/>
      <w:bookmarkEnd w:id="627"/>
      <w:bookmarkEnd w:id="628"/>
      <w:bookmarkEnd w:id="629"/>
      <w:bookmarkEnd w:id="630"/>
      <w:bookmarkEnd w:id="631"/>
      <w:bookmarkEnd w:id="632"/>
      <w:bookmarkEnd w:id="633"/>
      <w:r>
        <w:rPr>
          <w:rFonts w:eastAsia="黑体"/>
          <w:b w:val="0"/>
          <w:bCs w:val="0"/>
          <w:sz w:val="36"/>
          <w:szCs w:val="36"/>
        </w:rPr>
        <w:t>矿业高质量发展</w:t>
      </w:r>
      <w:bookmarkEnd w:id="634"/>
      <w:bookmarkEnd w:id="635"/>
      <w:bookmarkEnd w:id="636"/>
      <w:bookmarkEnd w:id="637"/>
      <w:bookmarkEnd w:id="638"/>
      <w:bookmarkEnd w:id="639"/>
      <w:bookmarkEnd w:id="640"/>
      <w:bookmarkEnd w:id="641"/>
      <w:bookmarkEnd w:id="643"/>
      <w:bookmarkEnd w:id="644"/>
      <w:bookmarkEnd w:id="645"/>
      <w:bookmarkEnd w:id="646"/>
    </w:p>
    <w:p>
      <w:pPr>
        <w:adjustRightInd w:val="0"/>
        <w:snapToGrid w:val="0"/>
        <w:spacing w:line="600" w:lineRule="exact"/>
        <w:ind w:firstLine="640" w:firstLineChars="200"/>
        <w:rPr>
          <w:rFonts w:ascii="Times New Roman" w:hAnsi="Times New Roman" w:eastAsia="仿宋_GB2312"/>
          <w:sz w:val="32"/>
          <w:szCs w:val="32"/>
        </w:rPr>
      </w:pPr>
      <w:bookmarkStart w:id="647" w:name="_Toc3954_WPSOffice_Level2"/>
      <w:bookmarkStart w:id="648" w:name="_Toc14356"/>
      <w:bookmarkStart w:id="649" w:name="_Toc12248"/>
      <w:bookmarkStart w:id="650" w:name="_Toc2622"/>
      <w:bookmarkStart w:id="651" w:name="_Toc23982"/>
      <w:bookmarkStart w:id="652" w:name="_Toc5329"/>
      <w:bookmarkStart w:id="653" w:name="_Toc21241"/>
      <w:bookmarkStart w:id="654" w:name="_Toc7616"/>
      <w:bookmarkStart w:id="655" w:name="_Toc15944"/>
      <w:bookmarkStart w:id="656" w:name="_Toc17200"/>
      <w:bookmarkStart w:id="657" w:name="_Toc7520"/>
      <w:bookmarkStart w:id="658" w:name="_Toc12476"/>
      <w:bookmarkStart w:id="659" w:name="_Toc18624"/>
      <w:bookmarkStart w:id="660" w:name="_Toc69313770"/>
      <w:bookmarkStart w:id="661" w:name="_Toc9196"/>
      <w:bookmarkStart w:id="662" w:name="_Toc12546"/>
      <w:bookmarkStart w:id="663" w:name="_Toc13977"/>
      <w:bookmarkStart w:id="664" w:name="_Toc69314024"/>
      <w:r>
        <w:rPr>
          <w:rFonts w:ascii="Times New Roman" w:hAnsi="Times New Roman" w:eastAsia="仿宋_GB2312"/>
          <w:sz w:val="32"/>
          <w:szCs w:val="32"/>
        </w:rPr>
        <w:t>坚持节约优先、保护优先，强化科技创新支撑，调整资源开发利用结构，推进资源节约与综合利用，全面提高矿产资源利用效率</w:t>
      </w:r>
      <w:r>
        <w:rPr>
          <w:rFonts w:ascii="Times New Roman" w:hAnsi="Times New Roman" w:eastAsia="仿宋_GB2312"/>
          <w:spacing w:val="-6"/>
          <w:sz w:val="32"/>
          <w:szCs w:val="32"/>
        </w:rPr>
        <w:t>和矿山安全建设水平，加快推动矿业转型升级，提高发展质量和效益。</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665" w:name="_Toc12779"/>
      <w:bookmarkStart w:id="666" w:name="_Toc24571"/>
      <w:bookmarkStart w:id="667" w:name="_Toc23876"/>
      <w:bookmarkStart w:id="668" w:name="_Toc8856"/>
      <w:r>
        <w:rPr>
          <w:rFonts w:ascii="Times New Roman" w:hAnsi="Times New Roman" w:eastAsia="楷体_GB2312" w:cs="Times New Roman"/>
          <w:b w:val="0"/>
          <w:bCs w:val="0"/>
          <w:i w:val="0"/>
          <w:iCs w:val="0"/>
          <w:sz w:val="32"/>
          <w:szCs w:val="32"/>
          <w:lang w:val="zh-CN"/>
        </w:rPr>
        <w:t>（一）调整资源开发利用结构</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优化矿产资源供给结构，严格执行矿山最低开采规模及矿山最低服务年限要求，不断提高大中型矿山比例，逐步形成以</w:t>
      </w:r>
      <w:r>
        <w:rPr>
          <w:rFonts w:ascii="Times New Roman" w:hAnsi="Times New Roman" w:eastAsia="仿宋_GB2312"/>
          <w:kern w:val="0"/>
          <w:sz w:val="32"/>
          <w:szCs w:val="32"/>
        </w:rPr>
        <w:t>大中型矿山为主体的开发格局</w:t>
      </w:r>
      <w:r>
        <w:rPr>
          <w:rFonts w:ascii="Times New Roman" w:hAnsi="Times New Roman" w:eastAsia="仿宋_GB2312"/>
          <w:sz w:val="32"/>
          <w:szCs w:val="32"/>
        </w:rPr>
        <w:t>。新建、改建和扩建铁矿（地下开采/露天开采）、磷矿（地下开采）、硫铁矿、石膏、建筑用石料（集中开采区内/集中开采区外）、饰面用石材矿山，最低开采规模</w:t>
      </w:r>
      <w:r>
        <w:rPr>
          <w:rFonts w:hint="eastAsia" w:ascii="Times New Roman" w:hAnsi="Times New Roman" w:eastAsia="仿宋_GB2312"/>
          <w:sz w:val="32"/>
          <w:szCs w:val="32"/>
        </w:rPr>
        <w:t>年开采量</w:t>
      </w:r>
      <w:r>
        <w:rPr>
          <w:rFonts w:ascii="Times New Roman" w:hAnsi="Times New Roman" w:eastAsia="仿宋_GB2312"/>
          <w:sz w:val="32"/>
          <w:szCs w:val="32"/>
        </w:rPr>
        <w:t>分别不低于10/30万吨、15万吨、9万吨、15万吨、100/30万吨、1万立方米。原则上不再新建年产矿石量30万吨以下的铜矿山。不再新建60万吨/年以下矿（井）盐项目。推进大中型矿山建设，鼓励一批采、选、冶、深加工一体化的矿业集团参与矿产开采活动，加快形成技术先进、产</w:t>
      </w:r>
      <w:r>
        <w:rPr>
          <w:rFonts w:ascii="Times New Roman" w:hAnsi="Times New Roman" w:eastAsia="仿宋_GB2312"/>
          <w:spacing w:val="-6"/>
          <w:sz w:val="32"/>
          <w:szCs w:val="32"/>
        </w:rPr>
        <w:t>业链长、产品多样、附加值高的产业结构，提高矿业集中度和规模效益，促进资源高效利用。到2025年底，力争在产矿山大中型比例达到25%以上。</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669" w:name="_Toc24987"/>
      <w:bookmarkStart w:id="670" w:name="_Toc69313771"/>
      <w:bookmarkStart w:id="671" w:name="_Toc21506"/>
      <w:bookmarkStart w:id="672" w:name="_Toc16418"/>
      <w:bookmarkStart w:id="673" w:name="_Toc5594"/>
      <w:bookmarkStart w:id="674" w:name="_Toc18956"/>
      <w:bookmarkStart w:id="675" w:name="_Toc16075"/>
      <w:bookmarkStart w:id="676" w:name="_Toc69314025"/>
      <w:bookmarkStart w:id="677" w:name="_Toc31353"/>
      <w:bookmarkStart w:id="678" w:name="_Toc21611_WPSOffice_Level2"/>
      <w:bookmarkStart w:id="679" w:name="_Toc13429"/>
      <w:bookmarkStart w:id="680" w:name="_Toc6246"/>
      <w:bookmarkStart w:id="681" w:name="_Toc16504"/>
      <w:bookmarkStart w:id="682" w:name="_Toc24653"/>
      <w:bookmarkStart w:id="683" w:name="_Toc7018"/>
      <w:bookmarkStart w:id="684" w:name="_Toc9339"/>
      <w:bookmarkStart w:id="685" w:name="_Toc7359"/>
      <w:bookmarkStart w:id="686" w:name="_Toc738"/>
      <w:bookmarkStart w:id="687" w:name="_Toc29875"/>
      <w:bookmarkStart w:id="688" w:name="_Toc4533"/>
      <w:bookmarkStart w:id="689" w:name="_Toc16059"/>
      <w:bookmarkStart w:id="690" w:name="_Toc14991"/>
      <w:r>
        <w:rPr>
          <w:rFonts w:ascii="Times New Roman" w:hAnsi="Times New Roman" w:eastAsia="楷体_GB2312" w:cs="Times New Roman"/>
          <w:b w:val="0"/>
          <w:bCs w:val="0"/>
          <w:i w:val="0"/>
          <w:iCs w:val="0"/>
          <w:sz w:val="32"/>
          <w:szCs w:val="32"/>
          <w:lang w:val="zh-CN"/>
        </w:rPr>
        <w:t>（二）推进资源节约与综合利用</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落实国家矿产资源合理开发利用“三率”指标要求，强化监督管理。落实税费减免政策，加大对矿产资源节约利用的经济调节作用，以铜、铁、金等大中型矿山为重点，鼓励矿山利用矿产资源节约与综合利用先进适用技术，推进尾矿低成本再选、低品位矿综合利用、伴生有用组分高效分离提取和高附加值利用，提高资源综合利用效率，对暂时难以回收利用的尾矿做好保护。</w:t>
      </w:r>
    </w:p>
    <w:bookmarkEnd w:id="327"/>
    <w:bookmarkEnd w:id="328"/>
    <w:bookmarkEnd w:id="329"/>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691" w:name="_Toc8191"/>
      <w:bookmarkStart w:id="692" w:name="_Toc69314026"/>
      <w:bookmarkStart w:id="693" w:name="_Toc69313772"/>
      <w:bookmarkStart w:id="694" w:name="_Toc20581"/>
      <w:bookmarkStart w:id="695" w:name="_Toc26231"/>
      <w:bookmarkStart w:id="696" w:name="_Toc4950"/>
      <w:bookmarkStart w:id="697" w:name="_Toc17627"/>
      <w:bookmarkStart w:id="698" w:name="_Toc12193"/>
      <w:bookmarkStart w:id="699" w:name="_Toc29015"/>
      <w:bookmarkStart w:id="700" w:name="_Toc22811"/>
      <w:bookmarkStart w:id="701" w:name="_Toc20050"/>
      <w:bookmarkStart w:id="702" w:name="_Toc11924"/>
      <w:bookmarkStart w:id="703" w:name="_Toc23677"/>
      <w:bookmarkStart w:id="704" w:name="_Toc11534"/>
      <w:bookmarkStart w:id="705" w:name="_Toc20257"/>
      <w:bookmarkStart w:id="706" w:name="_Toc3280"/>
      <w:bookmarkStart w:id="707" w:name="_Toc5067"/>
      <w:bookmarkStart w:id="708" w:name="_Toc21363"/>
      <w:bookmarkStart w:id="709" w:name="_Toc8971"/>
      <w:bookmarkStart w:id="710" w:name="_Toc31464"/>
      <w:bookmarkStart w:id="711" w:name="_Toc31131_WPSOffice_Level1"/>
      <w:bookmarkStart w:id="712" w:name="_Toc22314"/>
      <w:bookmarkStart w:id="713" w:name="_Toc18993"/>
      <w:bookmarkStart w:id="714" w:name="_Toc7040"/>
      <w:r>
        <w:rPr>
          <w:rFonts w:ascii="Times New Roman" w:hAnsi="Times New Roman" w:eastAsia="楷体_GB2312" w:cs="Times New Roman"/>
          <w:b w:val="0"/>
          <w:bCs w:val="0"/>
          <w:i w:val="0"/>
          <w:iCs w:val="0"/>
          <w:sz w:val="32"/>
          <w:szCs w:val="32"/>
          <w:lang w:val="zh-CN"/>
        </w:rPr>
        <w:t>（三）</w:t>
      </w:r>
      <w:bookmarkEnd w:id="691"/>
      <w:bookmarkEnd w:id="692"/>
      <w:bookmarkEnd w:id="693"/>
      <w:bookmarkEnd w:id="694"/>
      <w:bookmarkEnd w:id="695"/>
      <w:r>
        <w:rPr>
          <w:rFonts w:ascii="Times New Roman" w:hAnsi="Times New Roman" w:eastAsia="楷体_GB2312" w:cs="Times New Roman"/>
          <w:b w:val="0"/>
          <w:bCs w:val="0"/>
          <w:i w:val="0"/>
          <w:iCs w:val="0"/>
          <w:sz w:val="32"/>
          <w:szCs w:val="32"/>
          <w:lang w:val="zh-CN"/>
        </w:rPr>
        <w:t>推进矿山生态修复</w:t>
      </w:r>
      <w:bookmarkEnd w:id="696"/>
    </w:p>
    <w:p>
      <w:pPr>
        <w:autoSpaceDE w:val="0"/>
        <w:autoSpaceDN w:val="0"/>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谁采矿、谁治理”，推动资源开发利用与生态保护有机衔接，大力推进长江经济带生态保护和绿色发展。坚持“谁开发、谁保护，谁破坏、谁治理”和“边开采、边治理”，落实生产矿山生态修复保护主体责任，督促矿山企业科学编制并严格实施矿山开发利用、地质环境保护与土地复垦方案，切实履行矿山地质环境治理恢复和土地复垦义务。矿山生态修复应坚持因地制宜的原则，坚持自然恢复为主、自然恢复与人工修复相结合，与矿业用地相衔接，注重生物多样性保护和恢复，形成与周边生态环境相协调的植物群落，最终形成可自我修复的稳定生态系统。引导社会资金、资源、资产要素投入矿山生态修复，提升生态系统碳汇能力。落实矿山生态环境源头预防、过程控制、损害赔偿和责任追究制度，严肃查处不履行矿山地质环境保护和生态修复责任</w:t>
      </w:r>
      <w:r>
        <w:rPr>
          <w:rFonts w:hint="eastAsia" w:ascii="Times New Roman" w:hAnsi="Times New Roman" w:eastAsia="仿宋_GB2312"/>
          <w:sz w:val="32"/>
          <w:szCs w:val="32"/>
        </w:rPr>
        <w:t>、</w:t>
      </w:r>
      <w:r>
        <w:rPr>
          <w:rFonts w:ascii="Times New Roman" w:hAnsi="Times New Roman" w:eastAsia="仿宋_GB2312"/>
          <w:sz w:val="32"/>
          <w:szCs w:val="32"/>
        </w:rPr>
        <w:t>破坏矿山生态环境的行为。加大矿山“三废”治理与环境监测，对违反污染防治相关法律法规的，依法依规予以严惩。</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715" w:name="_Toc17483"/>
      <w:bookmarkStart w:id="716" w:name="_Toc3950"/>
      <w:bookmarkStart w:id="717" w:name="_Toc8195"/>
      <w:bookmarkStart w:id="718" w:name="_Toc22475"/>
      <w:r>
        <w:rPr>
          <w:rFonts w:ascii="Times New Roman" w:hAnsi="Times New Roman" w:eastAsia="楷体_GB2312" w:cs="Times New Roman"/>
          <w:b w:val="0"/>
          <w:bCs w:val="0"/>
          <w:i w:val="0"/>
          <w:iCs w:val="0"/>
          <w:sz w:val="32"/>
          <w:szCs w:val="32"/>
          <w:lang w:val="zh-CN"/>
        </w:rPr>
        <w:fldChar w:fldCharType="begin"/>
      </w:r>
      <w:r>
        <w:rPr>
          <w:rFonts w:ascii="Times New Roman" w:hAnsi="Times New Roman" w:eastAsia="楷体_GB2312" w:cs="Times New Roman"/>
          <w:b w:val="0"/>
          <w:bCs w:val="0"/>
          <w:i w:val="0"/>
          <w:iCs w:val="0"/>
          <w:sz w:val="32"/>
          <w:szCs w:val="32"/>
          <w:lang w:val="zh-CN"/>
        </w:rPr>
        <w:instrText xml:space="preserve"> HYPERLINK \l "_Toc5356" </w:instrText>
      </w:r>
      <w:r>
        <w:rPr>
          <w:rFonts w:ascii="Times New Roman" w:hAnsi="Times New Roman" w:eastAsia="楷体_GB2312" w:cs="Times New Roman"/>
          <w:b w:val="0"/>
          <w:bCs w:val="0"/>
          <w:i w:val="0"/>
          <w:iCs w:val="0"/>
          <w:sz w:val="32"/>
          <w:szCs w:val="32"/>
          <w:lang w:val="zh-CN"/>
        </w:rPr>
        <w:fldChar w:fldCharType="separate"/>
      </w:r>
      <w:bookmarkStart w:id="719" w:name="_Toc69313773"/>
      <w:bookmarkStart w:id="720" w:name="_Toc69314027"/>
      <w:r>
        <w:rPr>
          <w:rFonts w:ascii="Times New Roman" w:hAnsi="Times New Roman" w:eastAsia="楷体_GB2312" w:cs="Times New Roman"/>
          <w:b w:val="0"/>
          <w:bCs w:val="0"/>
          <w:i w:val="0"/>
          <w:iCs w:val="0"/>
          <w:sz w:val="32"/>
          <w:szCs w:val="32"/>
          <w:lang w:val="zh-CN"/>
        </w:rPr>
        <w:t>（四）加快矿业绿色发展</w:t>
      </w:r>
      <w:bookmarkEnd w:id="719"/>
      <w:bookmarkEnd w:id="720"/>
      <w:r>
        <w:rPr>
          <w:rFonts w:ascii="Times New Roman" w:hAnsi="Times New Roman" w:eastAsia="楷体_GB2312" w:cs="Times New Roman"/>
          <w:b w:val="0"/>
          <w:bCs w:val="0"/>
          <w:i w:val="0"/>
          <w:iCs w:val="0"/>
          <w:sz w:val="32"/>
          <w:szCs w:val="32"/>
          <w:lang w:val="zh-CN"/>
        </w:rPr>
        <w:fldChar w:fldCharType="end"/>
      </w:r>
      <w:bookmarkEnd w:id="715"/>
      <w:bookmarkEnd w:id="716"/>
      <w:bookmarkEnd w:id="717"/>
      <w:bookmarkEnd w:id="718"/>
    </w:p>
    <w:p>
      <w:pPr>
        <w:adjustRightInd w:val="0"/>
        <w:snapToGrid w:val="0"/>
        <w:spacing w:line="600" w:lineRule="exact"/>
        <w:ind w:firstLine="638" w:firstLineChars="304"/>
        <w:rPr>
          <w:rFonts w:ascii="Times New Roman" w:hAnsi="Times New Roman" w:eastAsia="仿宋_GB2312"/>
          <w:sz w:val="32"/>
          <w:szCs w:val="32"/>
        </w:rPr>
      </w:pPr>
      <w:r>
        <w:fldChar w:fldCharType="begin"/>
      </w:r>
      <w:r>
        <w:instrText xml:space="preserve"> HYPERLINK \l "_Toc21021" </w:instrText>
      </w:r>
      <w:r>
        <w:fldChar w:fldCharType="separate"/>
      </w:r>
      <w:bookmarkStart w:id="721" w:name="_Toc69314028"/>
      <w:r>
        <w:rPr>
          <w:rFonts w:ascii="Times New Roman" w:hAnsi="Times New Roman" w:eastAsia="仿宋_GB2312"/>
          <w:b/>
          <w:sz w:val="32"/>
          <w:szCs w:val="32"/>
        </w:rPr>
        <w:t>持续推进绿色矿山</w:t>
      </w:r>
      <w:bookmarkEnd w:id="721"/>
      <w:r>
        <w:rPr>
          <w:rFonts w:ascii="Times New Roman" w:hAnsi="Times New Roman" w:eastAsia="仿宋_GB2312"/>
          <w:b/>
          <w:sz w:val="32"/>
          <w:szCs w:val="32"/>
        </w:rPr>
        <w:fldChar w:fldCharType="end"/>
      </w:r>
      <w:r>
        <w:rPr>
          <w:rFonts w:ascii="Times New Roman" w:hAnsi="Times New Roman" w:eastAsia="仿宋_GB2312"/>
          <w:b/>
          <w:sz w:val="32"/>
          <w:szCs w:val="32"/>
        </w:rPr>
        <w:t>创建</w:t>
      </w:r>
      <w:r>
        <w:rPr>
          <w:rFonts w:ascii="Times New Roman" w:hAnsi="Times New Roman" w:eastAsia="仿宋_GB2312"/>
          <w:sz w:val="32"/>
          <w:szCs w:val="32"/>
        </w:rPr>
        <w:t>。切实推动矿业领域生态文明建设落地生根，从理念、制度、技术、监管等方面推动资源绿色开采。完善政府引导、企业主建、第三方评估、社会监督的工作机制，严格执行绿色矿山建设评价体系指标，落实用地、用矿、财税、金融等支持政策，分类推进绿色矿山创建。落实矿山企业绿色矿山创建主体责任，新建矿山按照绿色矿山标准进行规划、设计、建设和运营管理，将绿色矿山创建有关要求纳入矿业权出让合同和相关设计方案，已建矿山加快提升改造，逐步达标。实施绿色矿山分级储备机制，开展国家绿色矿山名录和省、市级储备库建设和动态管理，完善分级储备、逐级上报机制。将绿色发展理念贯穿于矿产资源利用与保护全过程，引导和督促企业采用环境友好、资源利用效率高、能耗低、排放少的开采方式、工艺和设备，将资源开发对矿区及周边生态环境扰动控制在最小范围内，努力构建科技含量高、资源消耗低、环境污染少的绿色矿业发展模式。加强行业技术改造和新一代信息技术的运用，建立完善矿山智能管理系统，不断推动科技智慧矿山建设</w:t>
      </w:r>
      <w:r>
        <w:rPr>
          <w:rFonts w:ascii="Times New Roman" w:hAnsi="Times New Roman" w:eastAsia="仿宋_GB2312"/>
          <w:spacing w:val="-6"/>
          <w:sz w:val="32"/>
          <w:szCs w:val="32"/>
        </w:rPr>
        <w:t>。</w:t>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Pr>
        <w:adjustRightInd w:val="0"/>
        <w:snapToGrid w:val="0"/>
        <w:spacing w:line="600" w:lineRule="exact"/>
        <w:ind w:firstLine="643" w:firstLineChars="200"/>
        <w:rPr>
          <w:rFonts w:ascii="Times New Roman" w:hAnsi="Times New Roman" w:eastAsia="黑体"/>
          <w:sz w:val="36"/>
          <w:szCs w:val="36"/>
        </w:rPr>
      </w:pPr>
      <w:r>
        <w:rPr>
          <w:rFonts w:ascii="Times New Roman" w:hAnsi="Times New Roman" w:eastAsia="仿宋_GB2312"/>
          <w:b/>
          <w:bCs/>
          <w:sz w:val="32"/>
          <w:szCs w:val="32"/>
        </w:rPr>
        <w:fldChar w:fldCharType="begin"/>
      </w:r>
      <w:r>
        <w:rPr>
          <w:rFonts w:ascii="Times New Roman" w:hAnsi="Times New Roman" w:eastAsia="仿宋_GB2312"/>
          <w:b/>
          <w:bCs/>
          <w:sz w:val="32"/>
          <w:szCs w:val="32"/>
        </w:rPr>
        <w:instrText xml:space="preserve"> HYPERLINK \l "_Toc22400" </w:instrText>
      </w:r>
      <w:r>
        <w:rPr>
          <w:rFonts w:ascii="Times New Roman" w:hAnsi="Times New Roman" w:eastAsia="仿宋_GB2312"/>
          <w:b/>
          <w:bCs/>
          <w:sz w:val="32"/>
          <w:szCs w:val="32"/>
        </w:rPr>
        <w:fldChar w:fldCharType="separate"/>
      </w:r>
      <w:bookmarkStart w:id="722" w:name="_Toc69314030"/>
      <w:r>
        <w:rPr>
          <w:rFonts w:ascii="Times New Roman" w:hAnsi="Times New Roman" w:eastAsia="仿宋_GB2312"/>
          <w:b/>
          <w:bCs/>
          <w:sz w:val="32"/>
          <w:szCs w:val="32"/>
        </w:rPr>
        <w:t>持续推进绿色勘查</w:t>
      </w:r>
      <w:bookmarkEnd w:id="722"/>
      <w:r>
        <w:rPr>
          <w:rFonts w:ascii="Times New Roman" w:hAnsi="Times New Roman" w:eastAsia="仿宋_GB2312"/>
          <w:b/>
          <w:bCs/>
          <w:sz w:val="32"/>
          <w:szCs w:val="32"/>
        </w:rPr>
        <w:fldChar w:fldCharType="end"/>
      </w:r>
      <w:r>
        <w:rPr>
          <w:rFonts w:ascii="Times New Roman" w:hAnsi="Times New Roman" w:eastAsia="仿宋_GB2312"/>
          <w:b/>
          <w:bCs/>
          <w:sz w:val="32"/>
          <w:szCs w:val="32"/>
        </w:rPr>
        <w:t>。</w:t>
      </w:r>
      <w:r>
        <w:rPr>
          <w:rFonts w:ascii="Times New Roman" w:hAnsi="Times New Roman" w:eastAsia="仿宋_GB2312"/>
          <w:sz w:val="32"/>
          <w:szCs w:val="32"/>
          <w:lang w:bidi="ar"/>
        </w:rPr>
        <w:t>以绿色发展理念为指导，在地质勘查各方面和全过程中采用先进的理论、技术、方法和工艺进行地质勘查工作，加大航空物探</w:t>
      </w:r>
      <w:r>
        <w:rPr>
          <w:rFonts w:hint="eastAsia" w:ascii="Times New Roman" w:hAnsi="Times New Roman" w:eastAsia="仿宋_GB2312"/>
          <w:sz w:val="32"/>
          <w:szCs w:val="32"/>
          <w:lang w:bidi="ar"/>
        </w:rPr>
        <w:t>和</w:t>
      </w:r>
      <w:r>
        <w:rPr>
          <w:rFonts w:ascii="Times New Roman" w:hAnsi="Times New Roman" w:eastAsia="仿宋_GB2312"/>
          <w:sz w:val="32"/>
          <w:szCs w:val="32"/>
          <w:lang w:bidi="ar"/>
        </w:rPr>
        <w:t>遥感、非常规地球化学勘查等技术在定位预测与综合评价中的应用，从环境本底调查、道路修建和场地平整、驻地建设与管理、勘查施工、环境修复等方面，减少对生态环境的影响。推行绿色勘查标准规范，推进地质勘查和生态环境保护协同共进。坚持综合勘查，统筹规划和优化勘查设计，对共、伴生</w:t>
      </w:r>
      <w:r>
        <w:rPr>
          <w:rFonts w:ascii="Times New Roman" w:hAnsi="Times New Roman" w:eastAsia="仿宋_GB2312"/>
          <w:spacing w:val="-11"/>
          <w:sz w:val="32"/>
          <w:szCs w:val="32"/>
          <w:lang w:bidi="ar"/>
        </w:rPr>
        <w:t>矿种进行综合勘查、综合评价，避免重复勘查对生态环境的二次影响。</w:t>
      </w:r>
      <w:bookmarkStart w:id="723" w:name="_Toc69313774"/>
      <w:bookmarkStart w:id="724" w:name="_Toc69314031"/>
      <w:bookmarkStart w:id="725" w:name="_Toc29600"/>
      <w:bookmarkStart w:id="726" w:name="_Toc26526"/>
      <w:bookmarkStart w:id="727" w:name="_Toc10996"/>
      <w:bookmarkStart w:id="728" w:name="_Toc1406"/>
    </w:p>
    <w:p>
      <w:pPr>
        <w:pStyle w:val="3"/>
        <w:adjustRightInd w:val="0"/>
        <w:snapToGrid w:val="0"/>
        <w:spacing w:before="0" w:beforeAutospacing="0" w:after="0" w:afterAutospacing="0" w:line="580" w:lineRule="exact"/>
        <w:ind w:firstLine="720" w:firstLineChars="200"/>
        <w:rPr>
          <w:rFonts w:eastAsia="黑体"/>
          <w:b w:val="0"/>
          <w:bCs w:val="0"/>
          <w:sz w:val="36"/>
          <w:szCs w:val="36"/>
          <w:lang w:val="zh-CN"/>
        </w:rPr>
      </w:pPr>
      <w:r>
        <w:rPr>
          <w:rFonts w:eastAsia="黑体"/>
          <w:b w:val="0"/>
          <w:bCs w:val="0"/>
          <w:sz w:val="36"/>
          <w:szCs w:val="36"/>
        </w:rPr>
        <w:t>七、</w:t>
      </w:r>
      <w:r>
        <w:rPr>
          <w:rFonts w:eastAsia="黑体"/>
          <w:b w:val="0"/>
          <w:bCs w:val="0"/>
          <w:sz w:val="36"/>
          <w:szCs w:val="36"/>
          <w:lang w:val="zh-CN"/>
        </w:rPr>
        <w:t>深化改革创新，增强矿业发展动力</w:t>
      </w:r>
      <w:bookmarkEnd w:id="723"/>
      <w:bookmarkEnd w:id="724"/>
      <w:bookmarkEnd w:id="725"/>
      <w:bookmarkEnd w:id="726"/>
      <w:bookmarkEnd w:id="727"/>
      <w:bookmarkEnd w:id="728"/>
      <w:bookmarkStart w:id="729" w:name="_Toc2891"/>
      <w:bookmarkStart w:id="730" w:name="_Toc485138687"/>
      <w:bookmarkStart w:id="731" w:name="_Toc17207"/>
      <w:bookmarkStart w:id="732" w:name="_Toc18332"/>
      <w:bookmarkStart w:id="733" w:name="_Toc26884"/>
      <w:bookmarkStart w:id="734" w:name="_Toc12991"/>
      <w:bookmarkStart w:id="735" w:name="_Toc9399"/>
      <w:bookmarkStart w:id="736" w:name="_Toc27331_WPSOffice_Level2"/>
      <w:bookmarkStart w:id="737" w:name="_Toc23056"/>
      <w:bookmarkStart w:id="738" w:name="_Toc15953"/>
      <w:bookmarkStart w:id="739" w:name="_Toc69313775"/>
      <w:bookmarkStart w:id="740" w:name="_Toc2238"/>
      <w:bookmarkStart w:id="741" w:name="_Toc6721"/>
      <w:bookmarkStart w:id="742" w:name="_Toc29078"/>
      <w:bookmarkStart w:id="743" w:name="_Toc3863"/>
      <w:bookmarkStart w:id="744" w:name="_Toc8815"/>
      <w:bookmarkStart w:id="745" w:name="_Toc29934"/>
      <w:bookmarkStart w:id="746" w:name="_Toc9560"/>
      <w:bookmarkStart w:id="747" w:name="_Toc12179"/>
      <w:bookmarkStart w:id="748" w:name="_Toc24584"/>
      <w:bookmarkStart w:id="749" w:name="_Toc69314032"/>
      <w:bookmarkStart w:id="750" w:name="_Toc19834"/>
      <w:bookmarkStart w:id="751" w:name="_Toc27891"/>
    </w:p>
    <w:p>
      <w:pPr>
        <w:widowControl/>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全面推进矿产资源重点领域和关键环节改革，充分发挥市场在资源配置中的决定性作用，持续增强矿业发展动力和活力。</w:t>
      </w:r>
    </w:p>
    <w:p>
      <w:pPr>
        <w:pStyle w:val="4"/>
        <w:adjustRightInd w:val="0"/>
        <w:snapToGrid w:val="0"/>
        <w:spacing w:before="0" w:after="0" w:line="580" w:lineRule="exact"/>
        <w:ind w:firstLine="640" w:firstLineChars="200"/>
        <w:rPr>
          <w:rFonts w:ascii="Times New Roman" w:hAnsi="Times New Roman" w:eastAsia="楷体_GB2312" w:cs="Times New Roman"/>
          <w:b w:val="0"/>
          <w:bCs w:val="0"/>
          <w:i w:val="0"/>
          <w:iCs w:val="0"/>
          <w:sz w:val="32"/>
          <w:szCs w:val="32"/>
          <w:lang w:val="zh-CN"/>
        </w:rPr>
      </w:pPr>
      <w:bookmarkStart w:id="752" w:name="_Toc14936"/>
      <w:bookmarkStart w:id="753" w:name="_Toc29905"/>
      <w:bookmarkStart w:id="754" w:name="_Toc21136"/>
      <w:bookmarkStart w:id="755" w:name="_Toc958"/>
      <w:r>
        <w:rPr>
          <w:rFonts w:ascii="Times New Roman" w:hAnsi="Times New Roman" w:eastAsia="楷体_GB2312" w:cs="Times New Roman"/>
          <w:b w:val="0"/>
          <w:bCs w:val="0"/>
          <w:i w:val="0"/>
          <w:iCs w:val="0"/>
          <w:sz w:val="32"/>
          <w:szCs w:val="32"/>
          <w:lang w:val="zh-CN"/>
        </w:rPr>
        <w:t>（一）</w:t>
      </w:r>
      <w:bookmarkEnd w:id="729"/>
      <w:bookmarkEnd w:id="730"/>
      <w:bookmarkEnd w:id="731"/>
      <w:bookmarkEnd w:id="732"/>
      <w:r>
        <w:rPr>
          <w:rFonts w:ascii="Times New Roman" w:hAnsi="Times New Roman" w:eastAsia="楷体_GB2312" w:cs="Times New Roman"/>
          <w:b w:val="0"/>
          <w:bCs w:val="0"/>
          <w:i w:val="0"/>
          <w:iCs w:val="0"/>
          <w:sz w:val="32"/>
          <w:szCs w:val="32"/>
          <w:lang w:val="zh-CN"/>
        </w:rPr>
        <w:t>深入推进</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Pr>
          <w:rFonts w:ascii="Times New Roman" w:hAnsi="Times New Roman" w:eastAsia="楷体_GB2312" w:cs="Times New Roman"/>
          <w:b w:val="0"/>
          <w:bCs w:val="0"/>
          <w:i w:val="0"/>
          <w:iCs w:val="0"/>
          <w:sz w:val="32"/>
          <w:szCs w:val="32"/>
          <w:lang w:val="zh-CN"/>
        </w:rPr>
        <w:t>矿产资源管理改革</w:t>
      </w:r>
      <w:bookmarkEnd w:id="752"/>
      <w:bookmarkEnd w:id="753"/>
      <w:bookmarkEnd w:id="754"/>
      <w:bookmarkEnd w:id="755"/>
    </w:p>
    <w:p>
      <w:pPr>
        <w:autoSpaceDE w:val="0"/>
        <w:autoSpaceDN w:val="0"/>
        <w:adjustRightInd w:val="0"/>
        <w:snapToGrid w:val="0"/>
        <w:spacing w:line="580" w:lineRule="exact"/>
        <w:ind w:firstLine="643" w:firstLineChars="200"/>
        <w:rPr>
          <w:rFonts w:ascii="Times New Roman" w:hAnsi="Times New Roman" w:eastAsia="仿宋_GB2312"/>
          <w:bCs/>
          <w:kern w:val="0"/>
          <w:sz w:val="32"/>
          <w:szCs w:val="32"/>
          <w:lang w:val="zh-CN"/>
        </w:rPr>
      </w:pPr>
      <w:bookmarkStart w:id="756" w:name="_Toc25987"/>
      <w:bookmarkStart w:id="757" w:name="_Toc15215"/>
      <w:bookmarkStart w:id="758" w:name="_Toc12033"/>
      <w:bookmarkStart w:id="759" w:name="_Toc32313"/>
      <w:r>
        <w:rPr>
          <w:rFonts w:ascii="Times New Roman" w:hAnsi="Times New Roman" w:eastAsia="仿宋_GB2312"/>
          <w:b/>
          <w:bCs/>
          <w:kern w:val="0"/>
          <w:sz w:val="32"/>
          <w:szCs w:val="32"/>
        </w:rPr>
        <w:t>创新地质勘查保障方式。</w:t>
      </w:r>
      <w:r>
        <w:rPr>
          <w:rFonts w:ascii="Times New Roman" w:hAnsi="Times New Roman" w:eastAsia="仿宋_GB2312"/>
          <w:bCs/>
          <w:kern w:val="0"/>
          <w:sz w:val="32"/>
          <w:szCs w:val="32"/>
        </w:rPr>
        <w:t>稳定财政资金投入，建立</w:t>
      </w:r>
      <w:r>
        <w:rPr>
          <w:rFonts w:ascii="Times New Roman" w:hAnsi="Times New Roman" w:eastAsia="仿宋_GB2312"/>
          <w:bCs/>
          <w:sz w:val="32"/>
          <w:szCs w:val="32"/>
        </w:rPr>
        <w:t>基础性公益性地质工作常态化机制</w:t>
      </w:r>
      <w:bookmarkEnd w:id="756"/>
      <w:bookmarkEnd w:id="757"/>
      <w:bookmarkEnd w:id="758"/>
      <w:bookmarkEnd w:id="759"/>
      <w:r>
        <w:rPr>
          <w:rFonts w:ascii="Times New Roman" w:hAnsi="Times New Roman" w:eastAsia="仿宋_GB2312"/>
          <w:bCs/>
          <w:sz w:val="32"/>
          <w:szCs w:val="32"/>
        </w:rPr>
        <w:t>，</w:t>
      </w:r>
      <w:r>
        <w:rPr>
          <w:rFonts w:ascii="Times New Roman" w:hAnsi="Times New Roman" w:eastAsia="仿宋_GB2312"/>
          <w:bCs/>
          <w:kern w:val="0"/>
          <w:sz w:val="32"/>
          <w:szCs w:val="32"/>
        </w:rPr>
        <w:t>明确公益性和商业性地质工作边界。探索</w:t>
      </w:r>
      <w:r>
        <w:rPr>
          <w:rFonts w:ascii="Times New Roman" w:hAnsi="Times New Roman" w:eastAsia="仿宋_GB2312"/>
          <w:bCs/>
          <w:kern w:val="0"/>
          <w:sz w:val="32"/>
          <w:szCs w:val="32"/>
          <w:lang w:val="zh-CN"/>
        </w:rPr>
        <w:t>建立重要矿产</w:t>
      </w:r>
      <w:r>
        <w:rPr>
          <w:rFonts w:ascii="Times New Roman" w:hAnsi="Times New Roman" w:eastAsia="仿宋_GB2312"/>
          <w:bCs/>
          <w:kern w:val="0"/>
          <w:sz w:val="32"/>
          <w:szCs w:val="32"/>
        </w:rPr>
        <w:t>找矿增储</w:t>
      </w:r>
      <w:r>
        <w:rPr>
          <w:rFonts w:ascii="Times New Roman" w:hAnsi="Times New Roman" w:eastAsia="仿宋_GB2312"/>
          <w:bCs/>
          <w:kern w:val="0"/>
          <w:sz w:val="32"/>
          <w:szCs w:val="32"/>
          <w:lang w:val="zh-CN"/>
        </w:rPr>
        <w:t>机制，深入推进储量分类改革，提高资源保障程度。</w:t>
      </w:r>
    </w:p>
    <w:p>
      <w:pPr>
        <w:widowControl/>
        <w:autoSpaceDE w:val="0"/>
        <w:autoSpaceDN w:val="0"/>
        <w:adjustRightInd w:val="0"/>
        <w:snapToGrid w:val="0"/>
        <w:spacing w:line="580" w:lineRule="exact"/>
        <w:ind w:firstLine="643" w:firstLineChars="200"/>
        <w:rPr>
          <w:rFonts w:ascii="Times New Roman" w:hAnsi="Times New Roman" w:eastAsia="仿宋_GB2312"/>
          <w:bCs/>
          <w:kern w:val="0"/>
          <w:sz w:val="32"/>
          <w:szCs w:val="32"/>
        </w:rPr>
      </w:pPr>
      <w:r>
        <w:rPr>
          <w:rFonts w:ascii="Times New Roman" w:hAnsi="Times New Roman" w:eastAsia="仿宋_GB2312"/>
          <w:b/>
          <w:bCs/>
          <w:kern w:val="0"/>
          <w:sz w:val="32"/>
          <w:szCs w:val="32"/>
        </w:rPr>
        <w:t>全面推进矿业权竞争性出让。</w:t>
      </w:r>
      <w:r>
        <w:rPr>
          <w:rFonts w:ascii="Times New Roman" w:hAnsi="Times New Roman" w:eastAsia="仿宋_GB2312"/>
          <w:bCs/>
          <w:kern w:val="0"/>
          <w:sz w:val="32"/>
          <w:szCs w:val="32"/>
        </w:rPr>
        <w:t>严格控制矿业权协议出让，除协议出让外，一律实行“招、拍、挂”竞争性出让，出让工作通过各级公共资源交易平台实施。分级建立矿业权出让项目储备库，完善用地（林草）协调联动机制，积极推行“净矿”出让。</w:t>
      </w:r>
    </w:p>
    <w:p>
      <w:pPr>
        <w:autoSpaceDE w:val="0"/>
        <w:autoSpaceDN w:val="0"/>
        <w:adjustRightInd w:val="0"/>
        <w:snapToGrid w:val="0"/>
        <w:spacing w:line="580" w:lineRule="exact"/>
        <w:ind w:firstLine="643" w:firstLineChars="200"/>
        <w:rPr>
          <w:rFonts w:ascii="Times New Roman" w:hAnsi="Times New Roman" w:eastAsia="仿宋_GB2312"/>
          <w:bCs/>
          <w:spacing w:val="-6"/>
          <w:kern w:val="0"/>
          <w:sz w:val="32"/>
          <w:szCs w:val="32"/>
        </w:rPr>
      </w:pPr>
      <w:r>
        <w:rPr>
          <w:rFonts w:ascii="Times New Roman" w:hAnsi="Times New Roman" w:eastAsia="仿宋_GB2312"/>
          <w:b/>
          <w:bCs/>
          <w:kern w:val="0"/>
          <w:sz w:val="32"/>
          <w:szCs w:val="32"/>
        </w:rPr>
        <w:t>切实加强矿产资源监督执法。</w:t>
      </w:r>
      <w:r>
        <w:rPr>
          <w:rFonts w:ascii="Times New Roman" w:hAnsi="Times New Roman" w:eastAsia="仿宋_GB2312"/>
          <w:bCs/>
          <w:spacing w:val="-6"/>
          <w:kern w:val="0"/>
          <w:sz w:val="32"/>
          <w:szCs w:val="32"/>
        </w:rPr>
        <w:t>落实监督执法管理体系要求，强化重点环节监管，构建覆盖地质勘查、矿山建设、开发运营、闭坑修复的全生命周期监管机制</w:t>
      </w:r>
      <w:r>
        <w:rPr>
          <w:rFonts w:ascii="Times New Roman" w:hAnsi="Times New Roman" w:eastAsia="仿宋_GB2312"/>
          <w:bCs/>
          <w:kern w:val="0"/>
          <w:sz w:val="32"/>
          <w:szCs w:val="32"/>
        </w:rPr>
        <w:t>，加强和改进矿产执法工作，维护矿产资源勘查开采秩序</w:t>
      </w:r>
      <w:r>
        <w:rPr>
          <w:rFonts w:ascii="Times New Roman" w:hAnsi="Times New Roman" w:eastAsia="仿宋_GB2312"/>
          <w:bCs/>
          <w:spacing w:val="-6"/>
          <w:kern w:val="0"/>
          <w:sz w:val="32"/>
          <w:szCs w:val="32"/>
        </w:rPr>
        <w:t>。</w:t>
      </w:r>
      <w:r>
        <w:rPr>
          <w:rFonts w:ascii="Times New Roman" w:hAnsi="Times New Roman" w:eastAsia="仿宋_GB2312"/>
          <w:bCs/>
          <w:kern w:val="0"/>
          <w:sz w:val="32"/>
          <w:szCs w:val="32"/>
        </w:rPr>
        <w:t>加强事前事中监管和</w:t>
      </w:r>
      <w:r>
        <w:rPr>
          <w:rFonts w:ascii="Times New Roman" w:hAnsi="Times New Roman" w:eastAsia="仿宋_GB2312"/>
          <w:bCs/>
          <w:spacing w:val="-6"/>
          <w:kern w:val="0"/>
          <w:sz w:val="32"/>
          <w:szCs w:val="32"/>
        </w:rPr>
        <w:t>信用监管制度建设，开展矿业权人勘查开采信息公示工作，严肃查处违法勘查开采企业，引导形成从业主体自治、行业自律、社会监督、政府监管的社会共治格局。</w:t>
      </w:r>
    </w:p>
    <w:p>
      <w:pPr>
        <w:pStyle w:val="4"/>
        <w:adjustRightInd w:val="0"/>
        <w:snapToGrid w:val="0"/>
        <w:spacing w:before="0" w:after="0" w:line="580" w:lineRule="exact"/>
        <w:ind w:firstLine="640" w:firstLineChars="200"/>
        <w:rPr>
          <w:rFonts w:ascii="Times New Roman" w:hAnsi="Times New Roman" w:eastAsia="楷体_GB2312" w:cs="Times New Roman"/>
          <w:b w:val="0"/>
          <w:bCs w:val="0"/>
          <w:i w:val="0"/>
          <w:iCs w:val="0"/>
          <w:sz w:val="32"/>
          <w:szCs w:val="32"/>
          <w:lang w:val="zh-CN"/>
        </w:rPr>
      </w:pPr>
      <w:bookmarkStart w:id="760" w:name="_Toc30195_WPSOffice_Level2"/>
      <w:bookmarkStart w:id="761" w:name="_Toc11007"/>
      <w:bookmarkStart w:id="762" w:name="_Toc25347"/>
      <w:bookmarkStart w:id="763" w:name="_Toc3323"/>
      <w:bookmarkStart w:id="764" w:name="_Toc6148"/>
      <w:bookmarkStart w:id="765" w:name="_Toc29250"/>
      <w:bookmarkStart w:id="766" w:name="_Toc25913"/>
      <w:bookmarkStart w:id="767" w:name="_Toc10374"/>
      <w:bookmarkStart w:id="768" w:name="_Toc10026"/>
      <w:bookmarkStart w:id="769" w:name="_Toc5432"/>
      <w:bookmarkStart w:id="770" w:name="_Toc25308"/>
      <w:bookmarkStart w:id="771" w:name="_Toc18108"/>
      <w:bookmarkStart w:id="772" w:name="_Toc26033"/>
      <w:bookmarkStart w:id="773" w:name="_Toc31744"/>
      <w:bookmarkStart w:id="774" w:name="_Toc69313776"/>
      <w:bookmarkStart w:id="775" w:name="_Toc13142"/>
      <w:bookmarkStart w:id="776" w:name="_Toc31669"/>
      <w:bookmarkStart w:id="777" w:name="_Toc19136"/>
      <w:bookmarkStart w:id="778" w:name="_Toc17652"/>
      <w:bookmarkStart w:id="779" w:name="_Toc593"/>
      <w:bookmarkStart w:id="780" w:name="_Toc5387"/>
      <w:bookmarkStart w:id="781" w:name="_Toc27575"/>
      <w:bookmarkStart w:id="782" w:name="_Toc69314033"/>
      <w:r>
        <w:rPr>
          <w:rFonts w:ascii="Times New Roman" w:hAnsi="Times New Roman" w:eastAsia="楷体_GB2312" w:cs="Times New Roman"/>
          <w:b w:val="0"/>
          <w:bCs w:val="0"/>
          <w:i w:val="0"/>
          <w:iCs w:val="0"/>
          <w:sz w:val="32"/>
          <w:szCs w:val="32"/>
          <w:lang w:val="zh-CN"/>
        </w:rPr>
        <w:t>（二）切实提高科技创新能力</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adjustRightInd w:val="0"/>
        <w:snapToGrid w:val="0"/>
        <w:spacing w:line="580" w:lineRule="exact"/>
        <w:ind w:firstLine="643" w:firstLineChars="200"/>
        <w:rPr>
          <w:rFonts w:ascii="Times New Roman" w:hAnsi="Times New Roman" w:eastAsia="仿宋_GB2312"/>
          <w:sz w:val="32"/>
          <w:szCs w:val="30"/>
        </w:rPr>
      </w:pPr>
      <w:r>
        <w:rPr>
          <w:rFonts w:ascii="Times New Roman" w:hAnsi="Times New Roman" w:eastAsia="仿宋_GB2312"/>
          <w:b/>
          <w:sz w:val="32"/>
          <w:szCs w:val="30"/>
        </w:rPr>
        <w:t>深化地质找矿研究</w:t>
      </w:r>
      <w:r>
        <w:rPr>
          <w:rFonts w:ascii="Times New Roman" w:hAnsi="Times New Roman" w:eastAsia="仿宋_GB2312"/>
          <w:sz w:val="32"/>
          <w:szCs w:val="30"/>
        </w:rPr>
        <w:t>。</w:t>
      </w:r>
      <w:r>
        <w:rPr>
          <w:rFonts w:ascii="Times New Roman" w:hAnsi="Times New Roman" w:eastAsia="仿宋_GB2312"/>
          <w:sz w:val="32"/>
          <w:szCs w:val="32"/>
        </w:rPr>
        <w:t>加强地球科学基础研究和</w:t>
      </w:r>
      <w:r>
        <w:rPr>
          <w:rFonts w:ascii="Times New Roman" w:hAnsi="Times New Roman" w:eastAsia="仿宋_GB2312"/>
          <w:sz w:val="32"/>
          <w:szCs w:val="30"/>
        </w:rPr>
        <w:t>制约找矿突破的重大基础地质问题研究，</w:t>
      </w:r>
      <w:r>
        <w:rPr>
          <w:rFonts w:ascii="Times New Roman" w:hAnsi="Times New Roman" w:eastAsia="仿宋_GB2312"/>
          <w:sz w:val="32"/>
          <w:szCs w:val="32"/>
        </w:rPr>
        <w:t>推进学科交叉融合，</w:t>
      </w:r>
      <w:r>
        <w:rPr>
          <w:rFonts w:ascii="Times New Roman" w:hAnsi="Times New Roman" w:eastAsia="仿宋_GB2312"/>
          <w:sz w:val="32"/>
          <w:szCs w:val="30"/>
        </w:rPr>
        <w:t>推进能源资源基地深部探测与地质找矿、清洁能源成矿理论与勘查技术等科技创新，研究重要矿产资源成矿条件、成矿机理及成矿规律，</w:t>
      </w:r>
      <w:r>
        <w:rPr>
          <w:rFonts w:ascii="Times New Roman" w:hAnsi="Times New Roman" w:eastAsia="仿宋_GB2312"/>
          <w:sz w:val="32"/>
          <w:szCs w:val="32"/>
        </w:rPr>
        <w:t>创新成矿预测理论和找矿技术方法。</w:t>
      </w:r>
      <w:r>
        <w:rPr>
          <w:rFonts w:ascii="Times New Roman" w:hAnsi="Times New Roman" w:eastAsia="仿宋_GB2312"/>
          <w:sz w:val="32"/>
          <w:szCs w:val="30"/>
        </w:rPr>
        <w:t>以理论与方法技术创新推进地质找矿由易识别</w:t>
      </w:r>
      <w:r>
        <w:rPr>
          <w:rFonts w:ascii="Times New Roman" w:hAnsi="Times New Roman" w:eastAsia="仿宋_GB2312"/>
          <w:spacing w:val="-6"/>
          <w:sz w:val="32"/>
          <w:szCs w:val="30"/>
        </w:rPr>
        <w:t>向难识别、地表向深部、露头向隐（盲）伏的转变，实现找矿新突破。</w:t>
      </w:r>
    </w:p>
    <w:p>
      <w:pPr>
        <w:autoSpaceDE w:val="0"/>
        <w:autoSpaceDN w:val="0"/>
        <w:adjustRightInd w:val="0"/>
        <w:snapToGrid w:val="0"/>
        <w:spacing w:line="580" w:lineRule="exact"/>
        <w:ind w:firstLine="643" w:firstLineChars="200"/>
        <w:rPr>
          <w:rFonts w:ascii="Times New Roman" w:hAnsi="Times New Roman"/>
        </w:rPr>
      </w:pPr>
      <w:r>
        <w:rPr>
          <w:rFonts w:ascii="Times New Roman" w:hAnsi="Times New Roman" w:eastAsia="仿宋_GB2312"/>
          <w:b/>
          <w:sz w:val="32"/>
          <w:szCs w:val="30"/>
        </w:rPr>
        <w:t>深化开发利用技术研究</w:t>
      </w:r>
      <w:r>
        <w:rPr>
          <w:rFonts w:ascii="Times New Roman" w:hAnsi="Times New Roman" w:eastAsia="仿宋_GB2312"/>
          <w:sz w:val="32"/>
          <w:szCs w:val="30"/>
        </w:rPr>
        <w:t>。</w:t>
      </w:r>
      <w:r>
        <w:rPr>
          <w:rFonts w:ascii="Times New Roman" w:hAnsi="Times New Roman" w:eastAsia="仿宋_GB2312"/>
          <w:sz w:val="32"/>
          <w:szCs w:val="32"/>
        </w:rPr>
        <w:t>争取通过重大项目实施、财政加大投入、校研企联合等方式，开展关键技术攻关，</w:t>
      </w:r>
      <w:r>
        <w:rPr>
          <w:rFonts w:ascii="Times New Roman" w:hAnsi="Times New Roman" w:eastAsia="仿宋_GB2312"/>
          <w:sz w:val="32"/>
          <w:szCs w:val="30"/>
        </w:rPr>
        <w:t>加强复杂共伴生、低品位、难利用资源选冶技术攻关，加大低品位磷矿</w:t>
      </w:r>
      <w:r>
        <w:rPr>
          <w:rFonts w:hint="eastAsia" w:ascii="Times New Roman" w:hAnsi="Times New Roman" w:eastAsia="仿宋_GB2312"/>
          <w:sz w:val="32"/>
          <w:szCs w:val="30"/>
        </w:rPr>
        <w:t>技术研究</w:t>
      </w:r>
      <w:r>
        <w:rPr>
          <w:rFonts w:ascii="Times New Roman" w:hAnsi="Times New Roman" w:eastAsia="仿宋_GB2312"/>
          <w:sz w:val="32"/>
          <w:szCs w:val="30"/>
        </w:rPr>
        <w:t>利用力度，</w:t>
      </w:r>
      <w:r>
        <w:rPr>
          <w:rFonts w:ascii="Times New Roman" w:hAnsi="Times New Roman" w:eastAsia="仿宋_GB2312"/>
          <w:sz w:val="32"/>
          <w:szCs w:val="32"/>
        </w:rPr>
        <w:t>不断推进铌钽矿、累托石矿、高磷铁矿、金红石矿等开发利用技术研究，加强工业化选矿试验</w:t>
      </w:r>
      <w:r>
        <w:rPr>
          <w:rFonts w:ascii="Times New Roman" w:hAnsi="Times New Roman" w:eastAsia="仿宋_GB2312"/>
          <w:sz w:val="32"/>
          <w:szCs w:val="30"/>
        </w:rPr>
        <w:t>，推动难利用资源向可利用资源、矿石加工向高效利用高附加值产品的转变，推动矿产资源节约与综合利用科技创新，促进资源优势转化为经济优势。</w:t>
      </w:r>
    </w:p>
    <w:p>
      <w:pPr>
        <w:autoSpaceDE w:val="0"/>
        <w:autoSpaceDN w:val="0"/>
        <w:adjustRightInd w:val="0"/>
        <w:snapToGrid w:val="0"/>
        <w:spacing w:line="580" w:lineRule="exact"/>
        <w:ind w:firstLine="643" w:firstLineChars="200"/>
        <w:rPr>
          <w:rFonts w:ascii="Times New Roman" w:hAnsi="Times New Roman" w:eastAsia="仿宋_GB2312"/>
          <w:sz w:val="32"/>
          <w:szCs w:val="30"/>
        </w:rPr>
      </w:pPr>
      <w:r>
        <w:rPr>
          <w:rFonts w:ascii="Times New Roman" w:hAnsi="Times New Roman" w:eastAsia="仿宋_GB2312"/>
          <w:b/>
          <w:sz w:val="32"/>
          <w:szCs w:val="30"/>
        </w:rPr>
        <w:t>提升科技支撑能力</w:t>
      </w:r>
      <w:r>
        <w:rPr>
          <w:rFonts w:ascii="Times New Roman" w:hAnsi="Times New Roman" w:eastAsia="仿宋_GB2312"/>
          <w:sz w:val="32"/>
          <w:szCs w:val="30"/>
        </w:rPr>
        <w:t>。</w:t>
      </w:r>
      <w:r>
        <w:rPr>
          <w:rFonts w:ascii="Times New Roman" w:hAnsi="Times New Roman" w:eastAsia="仿宋_GB2312"/>
          <w:sz w:val="32"/>
          <w:szCs w:val="32"/>
        </w:rPr>
        <w:t>以企业为主体、以市场为导向，推进重大科技攻关、产业化发展联合创新</w:t>
      </w:r>
      <w:r>
        <w:rPr>
          <w:rFonts w:hint="eastAsia" w:ascii="Times New Roman" w:hAnsi="Times New Roman" w:eastAsia="仿宋_GB2312"/>
          <w:sz w:val="32"/>
          <w:szCs w:val="32"/>
        </w:rPr>
        <w:t>、</w:t>
      </w:r>
      <w:r>
        <w:rPr>
          <w:rFonts w:ascii="Times New Roman" w:hAnsi="Times New Roman" w:eastAsia="仿宋_GB2312"/>
          <w:sz w:val="32"/>
          <w:szCs w:val="32"/>
        </w:rPr>
        <w:t>政产学研用结合创新</w:t>
      </w:r>
      <w:r>
        <w:rPr>
          <w:rFonts w:hint="eastAsia" w:ascii="Times New Roman" w:hAnsi="Times New Roman" w:eastAsia="仿宋_GB2312"/>
          <w:sz w:val="32"/>
          <w:szCs w:val="32"/>
        </w:rPr>
        <w:t>、</w:t>
      </w:r>
      <w:r>
        <w:rPr>
          <w:rFonts w:ascii="Times New Roman" w:hAnsi="Times New Roman" w:eastAsia="仿宋_GB2312"/>
          <w:sz w:val="32"/>
          <w:szCs w:val="32"/>
        </w:rPr>
        <w:t>人才培养协同创新。引导矿山与科研院校联合开展关键技术攻关，</w:t>
      </w:r>
      <w:r>
        <w:rPr>
          <w:rFonts w:ascii="Times New Roman" w:hAnsi="Times New Roman" w:eastAsia="仿宋_GB2312"/>
          <w:sz w:val="32"/>
          <w:szCs w:val="30"/>
        </w:rPr>
        <w:t>探索建立政产学研</w:t>
      </w:r>
      <w:r>
        <w:rPr>
          <w:rFonts w:ascii="Times New Roman" w:hAnsi="Times New Roman" w:eastAsia="仿宋_GB2312"/>
          <w:sz w:val="32"/>
          <w:szCs w:val="32"/>
        </w:rPr>
        <w:t>用</w:t>
      </w:r>
      <w:r>
        <w:rPr>
          <w:rFonts w:ascii="Times New Roman" w:hAnsi="Times New Roman" w:eastAsia="仿宋_GB2312"/>
          <w:sz w:val="32"/>
          <w:szCs w:val="30"/>
        </w:rPr>
        <w:t>有机结合的创新平台，积极推进基础性公益性地质调查、矿产资源勘查开发与科技创新有机融合，推进解决勘查开发与科技脱节“两张皮”的问题。紧密围绕矿产资源管理重大需求，探索建设新型矿业发展智库，促进科技创新成果转化应用与共享。</w:t>
      </w:r>
    </w:p>
    <w:p>
      <w:pPr>
        <w:pStyle w:val="4"/>
        <w:adjustRightInd w:val="0"/>
        <w:snapToGrid w:val="0"/>
        <w:spacing w:before="0" w:after="0" w:line="580" w:lineRule="exact"/>
        <w:ind w:firstLine="640" w:firstLineChars="200"/>
        <w:rPr>
          <w:rFonts w:ascii="Times New Roman" w:hAnsi="Times New Roman" w:eastAsia="楷体_GB2312" w:cs="Times New Roman"/>
          <w:b w:val="0"/>
          <w:bCs w:val="0"/>
          <w:i w:val="0"/>
          <w:iCs w:val="0"/>
          <w:sz w:val="32"/>
          <w:szCs w:val="32"/>
          <w:lang w:val="zh-CN"/>
        </w:rPr>
      </w:pPr>
      <w:bookmarkStart w:id="783" w:name="_Toc6259"/>
      <w:bookmarkStart w:id="784" w:name="_Toc29649"/>
      <w:bookmarkStart w:id="785" w:name="_Toc31315"/>
      <w:bookmarkStart w:id="786" w:name="_Toc15907"/>
      <w:r>
        <w:rPr>
          <w:rFonts w:ascii="Times New Roman" w:hAnsi="Times New Roman" w:eastAsia="楷体_GB2312" w:cs="Times New Roman"/>
          <w:b w:val="0"/>
          <w:bCs w:val="0"/>
          <w:i w:val="0"/>
          <w:iCs w:val="0"/>
          <w:sz w:val="32"/>
          <w:szCs w:val="32"/>
          <w:lang w:val="zh-CN"/>
        </w:rPr>
        <w:t>（三）着力提升信息化建设水平</w:t>
      </w:r>
      <w:bookmarkEnd w:id="783"/>
    </w:p>
    <w:p>
      <w:pPr>
        <w:adjustRightInd w:val="0"/>
        <w:snapToGrid w:val="0"/>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贯彻国家、省级网络安全和信息化发展战略，持续推进矿产资源领域信息化建设，进一步优化营商环境。</w:t>
      </w:r>
    </w:p>
    <w:p>
      <w:pPr>
        <w:autoSpaceDE w:val="0"/>
        <w:autoSpaceDN w:val="0"/>
        <w:adjustRightInd w:val="0"/>
        <w:snapToGrid w:val="0"/>
        <w:spacing w:line="580" w:lineRule="exact"/>
        <w:ind w:firstLine="643" w:firstLineChars="200"/>
        <w:rPr>
          <w:rFonts w:ascii="Times New Roman" w:hAnsi="Times New Roman" w:eastAsia="仿宋_GB2312"/>
          <w:sz w:val="32"/>
          <w:szCs w:val="30"/>
        </w:rPr>
      </w:pPr>
      <w:r>
        <w:rPr>
          <w:rFonts w:ascii="Times New Roman" w:hAnsi="Times New Roman" w:eastAsia="仿宋_GB2312"/>
          <w:b/>
          <w:sz w:val="32"/>
          <w:szCs w:val="30"/>
        </w:rPr>
        <w:t>提高信息化管理能力</w:t>
      </w:r>
      <w:r>
        <w:rPr>
          <w:rFonts w:ascii="Times New Roman" w:hAnsi="Times New Roman" w:eastAsia="仿宋_GB2312"/>
          <w:sz w:val="32"/>
          <w:szCs w:val="30"/>
        </w:rPr>
        <w:t>。</w:t>
      </w:r>
      <w:r>
        <w:rPr>
          <w:rFonts w:ascii="Times New Roman" w:hAnsi="Times New Roman" w:eastAsia="仿宋_GB2312"/>
          <w:bCs/>
          <w:sz w:val="32"/>
          <w:szCs w:val="32"/>
        </w:rPr>
        <w:t>运用大数据手段，实施数字化监督，强化对矿业权交易活动的动态监督和预警。实行矿业权管理全流程信息化，</w:t>
      </w:r>
      <w:r>
        <w:rPr>
          <w:rFonts w:ascii="Times New Roman" w:hAnsi="Times New Roman" w:eastAsia="仿宋_GB2312"/>
          <w:bCs/>
          <w:kern w:val="0"/>
          <w:sz w:val="32"/>
          <w:szCs w:val="32"/>
        </w:rPr>
        <w:t>优化矿业权登记、矿产资源储量评审备案、压覆矿产资源审批流程，实现全流程信息公开与查询服务，提升管理服务效率。</w:t>
      </w:r>
      <w:r>
        <w:rPr>
          <w:rFonts w:ascii="Times New Roman" w:hAnsi="Times New Roman" w:eastAsia="仿宋_GB2312"/>
          <w:bCs/>
          <w:sz w:val="32"/>
          <w:szCs w:val="32"/>
        </w:rPr>
        <w:t>开展矿山动态巡查监测，推动监管工作数字化和智能化。加强地质资料汇交，</w:t>
      </w:r>
      <w:r>
        <w:rPr>
          <w:rFonts w:ascii="Times New Roman" w:hAnsi="Times New Roman" w:eastAsia="仿宋_GB2312"/>
          <w:sz w:val="32"/>
          <w:szCs w:val="30"/>
        </w:rPr>
        <w:t>开展地质资料信息服务产品的研发，延伸地质资料信息服务产业链，提升地质资料信息化管理和智能化服务水平。</w:t>
      </w:r>
    </w:p>
    <w:p>
      <w:pPr>
        <w:keepLines w:val="0"/>
        <w:pageBreakBefore w:val="0"/>
        <w:widowControl w:val="0"/>
        <w:kinsoku/>
        <w:wordWrap/>
        <w:overflowPunct/>
        <w:topLinePunct w:val="0"/>
        <w:bidi w:val="0"/>
        <w:adjustRightInd w:val="0"/>
        <w:snapToGrid w:val="0"/>
        <w:spacing w:line="580" w:lineRule="exact"/>
        <w:ind w:firstLine="643" w:firstLineChars="200"/>
        <w:textAlignment w:val="auto"/>
        <w:rPr>
          <w:rFonts w:ascii="Times New Roman" w:hAnsi="Times New Roman" w:eastAsia="仿宋_GB2312"/>
          <w:kern w:val="0"/>
          <w:sz w:val="32"/>
          <w:szCs w:val="30"/>
        </w:rPr>
      </w:pPr>
      <w:r>
        <w:rPr>
          <w:rFonts w:ascii="Times New Roman" w:hAnsi="Times New Roman" w:eastAsia="仿宋_GB2312"/>
          <w:b/>
          <w:sz w:val="32"/>
          <w:szCs w:val="30"/>
        </w:rPr>
        <w:t>有序推进数据互通共享</w:t>
      </w:r>
      <w:r>
        <w:rPr>
          <w:rFonts w:ascii="Times New Roman" w:hAnsi="Times New Roman" w:eastAsia="仿宋_GB2312"/>
          <w:sz w:val="32"/>
          <w:szCs w:val="30"/>
        </w:rPr>
        <w:t>。</w:t>
      </w:r>
      <w:r>
        <w:rPr>
          <w:rFonts w:hint="default" w:ascii="Times New Roman" w:hAnsi="Times New Roman" w:eastAsia="仿宋_GB2312" w:cs="Times New Roman"/>
          <w:spacing w:val="0"/>
          <w:sz w:val="32"/>
          <w:szCs w:val="30"/>
        </w:rPr>
        <w:t>以国土空间基础信息平台为依托，整合湖北地质大数据，实现地质</w:t>
      </w:r>
      <w:r>
        <w:rPr>
          <w:rFonts w:hint="eastAsia" w:ascii="Times New Roman" w:hAnsi="Times New Roman" w:eastAsia="仿宋_GB2312" w:cs="Times New Roman"/>
          <w:spacing w:val="0"/>
          <w:sz w:val="32"/>
          <w:szCs w:val="30"/>
          <w:lang w:val="en-US" w:eastAsia="zh-CN"/>
        </w:rPr>
        <w:t>数据</w:t>
      </w:r>
      <w:r>
        <w:rPr>
          <w:rFonts w:hint="default" w:ascii="Times New Roman" w:hAnsi="Times New Roman" w:eastAsia="仿宋_GB2312" w:cs="Times New Roman"/>
          <w:spacing w:val="0"/>
          <w:sz w:val="32"/>
          <w:szCs w:val="30"/>
        </w:rPr>
        <w:t>与矿产资源管理数据互联互通，为矿产资源管理提供更加科学准确的决策支撑服务。</w:t>
      </w:r>
    </w:p>
    <w:p>
      <w:pPr>
        <w:pStyle w:val="3"/>
        <w:adjustRightInd w:val="0"/>
        <w:snapToGrid w:val="0"/>
        <w:spacing w:before="0" w:beforeAutospacing="0" w:after="0" w:afterAutospacing="0" w:line="580" w:lineRule="exact"/>
        <w:ind w:firstLine="720" w:firstLineChars="200"/>
        <w:rPr>
          <w:rFonts w:eastAsia="黑体"/>
          <w:b w:val="0"/>
          <w:bCs w:val="0"/>
          <w:sz w:val="36"/>
          <w:szCs w:val="36"/>
        </w:rPr>
      </w:pPr>
      <w:bookmarkStart w:id="787" w:name="_Toc29657"/>
      <w:r>
        <w:rPr>
          <w:rFonts w:eastAsia="黑体"/>
          <w:b w:val="0"/>
          <w:bCs w:val="0"/>
          <w:sz w:val="36"/>
          <w:szCs w:val="36"/>
        </w:rPr>
        <w:t>八、优化营商环境，激发矿业发展活力</w:t>
      </w:r>
      <w:bookmarkEnd w:id="784"/>
      <w:bookmarkEnd w:id="785"/>
      <w:bookmarkEnd w:id="786"/>
      <w:bookmarkEnd w:id="787"/>
    </w:p>
    <w:p>
      <w:pPr>
        <w:adjustRightInd w:val="0"/>
        <w:snapToGrid w:val="0"/>
        <w:spacing w:line="580" w:lineRule="exact"/>
        <w:ind w:firstLine="640" w:firstLineChars="200"/>
        <w:rPr>
          <w:rFonts w:ascii="Times New Roman" w:hAnsi="Times New Roman" w:eastAsia="仿宋_GB2312"/>
          <w:kern w:val="0"/>
          <w:sz w:val="32"/>
          <w:szCs w:val="30"/>
        </w:rPr>
      </w:pPr>
      <w:r>
        <w:rPr>
          <w:rFonts w:ascii="Times New Roman" w:hAnsi="Times New Roman" w:eastAsia="仿宋_GB2312"/>
          <w:kern w:val="0"/>
          <w:sz w:val="32"/>
          <w:szCs w:val="30"/>
        </w:rPr>
        <w:t>持续深化“放管服”改革，以市场主体需求为导向，更好发挥市场在资源配置中的决定性作用，着力提升矿政服务能力和水平，更大激发市场活力和社会创造力，增强发展动力。</w:t>
      </w:r>
    </w:p>
    <w:p>
      <w:pPr>
        <w:autoSpaceDE w:val="0"/>
        <w:autoSpaceDN w:val="0"/>
        <w:adjustRightInd w:val="0"/>
        <w:snapToGrid w:val="0"/>
        <w:spacing w:line="580" w:lineRule="exact"/>
        <w:ind w:firstLine="643" w:firstLineChars="200"/>
        <w:rPr>
          <w:rFonts w:ascii="Times New Roman" w:hAnsi="Times New Roman" w:eastAsia="仿宋_GB2312"/>
          <w:bCs/>
          <w:kern w:val="0"/>
          <w:sz w:val="32"/>
          <w:szCs w:val="32"/>
        </w:rPr>
      </w:pPr>
      <w:r>
        <w:rPr>
          <w:rFonts w:ascii="Times New Roman" w:hAnsi="Times New Roman" w:eastAsia="仿宋_GB2312"/>
          <w:b/>
          <w:bCs/>
          <w:sz w:val="32"/>
          <w:szCs w:val="30"/>
        </w:rPr>
        <w:t>营造良好的市场竞争环境。</w:t>
      </w:r>
      <w:r>
        <w:rPr>
          <w:rFonts w:ascii="Times New Roman" w:hAnsi="Times New Roman" w:eastAsia="仿宋_GB2312"/>
          <w:sz w:val="32"/>
          <w:szCs w:val="30"/>
        </w:rPr>
        <w:t>营造公开透明、公平竞争的矿业权市场环境，完善国有、民营、外资等市场各类主体公平参与矿业权竞争的法治环境。优化省信用平台，建立健全矿业权交易信息和矿业权人信用信息公开共享制度，促进矿业权交易的公开、公平、公正。建立健全矿业权出让网上交易规则，规范网上交易行为。</w:t>
      </w:r>
      <w:r>
        <w:rPr>
          <w:rFonts w:ascii="Times New Roman" w:hAnsi="Times New Roman" w:eastAsia="仿宋_GB2312"/>
          <w:bCs/>
          <w:kern w:val="0"/>
          <w:sz w:val="32"/>
          <w:szCs w:val="32"/>
        </w:rPr>
        <w:t>推进矿产资源领域信用体系建设，制定信用评价与修复制度。</w:t>
      </w:r>
    </w:p>
    <w:p>
      <w:pPr>
        <w:autoSpaceDE w:val="0"/>
        <w:autoSpaceDN w:val="0"/>
        <w:adjustRightInd w:val="0"/>
        <w:snapToGrid w:val="0"/>
        <w:spacing w:line="580" w:lineRule="exact"/>
        <w:ind w:firstLine="643" w:firstLineChars="200"/>
        <w:rPr>
          <w:rFonts w:ascii="Times New Roman" w:hAnsi="Times New Roman" w:eastAsia="仿宋_GB2312"/>
          <w:bCs/>
          <w:kern w:val="0"/>
          <w:sz w:val="32"/>
          <w:szCs w:val="32"/>
        </w:rPr>
      </w:pPr>
      <w:r>
        <w:rPr>
          <w:rFonts w:ascii="Times New Roman" w:hAnsi="Times New Roman" w:eastAsia="仿宋_GB2312"/>
          <w:b/>
          <w:kern w:val="0"/>
          <w:sz w:val="32"/>
          <w:szCs w:val="32"/>
        </w:rPr>
        <w:t>保障各类市场主体合法权益。</w:t>
      </w:r>
      <w:r>
        <w:rPr>
          <w:rFonts w:ascii="Times New Roman" w:hAnsi="Times New Roman" w:eastAsia="仿宋_GB2312"/>
          <w:bCs/>
          <w:kern w:val="0"/>
          <w:sz w:val="32"/>
          <w:szCs w:val="32"/>
        </w:rPr>
        <w:t>加强矿业权物权权益保障，完善因公共利益等需要收回矿业权的相关退出机制，促进矿业稳定可持续发展。落实矿业权出让收益和占用费征收管理制度，以及资源税法等相关政策，实现降本增效，促进资源合理开发利用。</w:t>
      </w:r>
    </w:p>
    <w:p>
      <w:pPr>
        <w:autoSpaceDE w:val="0"/>
        <w:autoSpaceDN w:val="0"/>
        <w:adjustRightInd w:val="0"/>
        <w:snapToGrid w:val="0"/>
        <w:spacing w:line="580" w:lineRule="exact"/>
        <w:ind w:firstLine="643" w:firstLineChars="200"/>
        <w:rPr>
          <w:rFonts w:ascii="Times New Roman" w:hAnsi="Times New Roman" w:eastAsia="仿宋_GB2312"/>
          <w:bCs/>
          <w:kern w:val="0"/>
          <w:sz w:val="32"/>
          <w:szCs w:val="32"/>
        </w:rPr>
      </w:pPr>
      <w:r>
        <w:rPr>
          <w:rFonts w:ascii="Times New Roman" w:hAnsi="Times New Roman" w:eastAsia="仿宋_GB2312"/>
          <w:b/>
          <w:kern w:val="0"/>
          <w:sz w:val="32"/>
          <w:szCs w:val="32"/>
        </w:rPr>
        <w:t>强力提升矿政服务质效。</w:t>
      </w:r>
      <w:r>
        <w:rPr>
          <w:rFonts w:ascii="Times New Roman" w:hAnsi="Times New Roman" w:eastAsia="仿宋_GB2312"/>
          <w:bCs/>
          <w:kern w:val="0"/>
          <w:sz w:val="32"/>
          <w:szCs w:val="32"/>
        </w:rPr>
        <w:t>推进矿政服务减时限、减环节、减证照、减材料、减基层负担，强化顶层设计，深入推进“互联网+政务服务”，充分运用信息化手段，大力实施流程再造和系统重塑，提升服务效率。全覆盖、全流程、全链条建立长效服务机制，解决审批链条不畅问题，解决企业和群众难点堵点问题，提升市场主体和人民群众办事便利度和满意度。</w:t>
      </w:r>
    </w:p>
    <w:p>
      <w:pPr>
        <w:autoSpaceDE w:val="0"/>
        <w:autoSpaceDN w:val="0"/>
        <w:adjustRightInd w:val="0"/>
        <w:snapToGrid w:val="0"/>
        <w:spacing w:line="580" w:lineRule="exact"/>
        <w:ind w:firstLine="643" w:firstLineChars="200"/>
        <w:rPr>
          <w:rFonts w:ascii="Times New Roman" w:hAnsi="Times New Roman" w:eastAsia="仿宋_GB2312"/>
          <w:bCs/>
          <w:kern w:val="0"/>
          <w:sz w:val="32"/>
          <w:szCs w:val="32"/>
        </w:rPr>
      </w:pPr>
      <w:r>
        <w:rPr>
          <w:rFonts w:ascii="Times New Roman" w:hAnsi="Times New Roman" w:eastAsia="仿宋_GB2312"/>
          <w:b/>
          <w:kern w:val="0"/>
          <w:sz w:val="32"/>
          <w:szCs w:val="32"/>
        </w:rPr>
        <w:t>强化基础性、公益性地质服务供给。</w:t>
      </w:r>
      <w:r>
        <w:rPr>
          <w:rFonts w:ascii="Times New Roman" w:hAnsi="Times New Roman" w:eastAsia="仿宋_GB2312"/>
          <w:bCs/>
          <w:kern w:val="0"/>
          <w:sz w:val="32"/>
          <w:szCs w:val="32"/>
        </w:rPr>
        <w:t>在能源资源调查评价、区域发展和乡村振兴、污染防治和生态建设、防灾减灾和应急管理等公益领域，提供地质技术及信息支撑服务。推动构建覆盖市（州）、深耕县域、辐射乡（镇、街）村（社区）的网格式地质公益服务格局，建立标准化服务体系、规范化服务程序、创新型服务方式，为优化营商环境提供规范、便利、高效的地质技术服务。</w:t>
      </w:r>
    </w:p>
    <w:p>
      <w:pPr>
        <w:pStyle w:val="3"/>
        <w:adjustRightInd w:val="0"/>
        <w:snapToGrid w:val="0"/>
        <w:spacing w:before="0" w:beforeAutospacing="0" w:after="0" w:afterAutospacing="0" w:line="580" w:lineRule="exact"/>
        <w:ind w:firstLine="720" w:firstLineChars="200"/>
        <w:rPr>
          <w:rFonts w:eastAsia="黑体"/>
          <w:b w:val="0"/>
          <w:bCs w:val="0"/>
          <w:sz w:val="36"/>
          <w:szCs w:val="36"/>
          <w:lang w:val="zh-CN"/>
        </w:rPr>
      </w:pPr>
      <w:bookmarkStart w:id="788" w:name="_Toc29281"/>
      <w:bookmarkStart w:id="789" w:name="_Toc30481"/>
      <w:bookmarkStart w:id="790" w:name="_Toc3532"/>
      <w:bookmarkStart w:id="791" w:name="_Toc69313789"/>
      <w:bookmarkStart w:id="792" w:name="_Toc22808"/>
      <w:bookmarkStart w:id="793" w:name="_Toc69314046"/>
      <w:bookmarkStart w:id="794" w:name="_Toc10994"/>
      <w:bookmarkStart w:id="795" w:name="_Toc9257"/>
      <w:bookmarkStart w:id="796" w:name="_Toc9326"/>
      <w:bookmarkStart w:id="797" w:name="_Toc637"/>
      <w:bookmarkStart w:id="798" w:name="_Toc7752"/>
      <w:bookmarkStart w:id="799" w:name="_Toc26247"/>
      <w:bookmarkStart w:id="800" w:name="_Toc26564"/>
      <w:bookmarkStart w:id="801" w:name="_Toc5169"/>
      <w:bookmarkStart w:id="802" w:name="_Toc20891"/>
      <w:bookmarkStart w:id="803" w:name="_Toc17398"/>
      <w:bookmarkStart w:id="804" w:name="_Toc24504"/>
      <w:bookmarkStart w:id="805" w:name="_Toc24477"/>
      <w:bookmarkStart w:id="806" w:name="_Toc409"/>
      <w:bookmarkStart w:id="807" w:name="_Toc27107"/>
      <w:bookmarkStart w:id="808" w:name="_Toc5221"/>
      <w:r>
        <w:rPr>
          <w:rFonts w:eastAsia="黑体"/>
          <w:b w:val="0"/>
          <w:bCs w:val="0"/>
          <w:sz w:val="36"/>
          <w:szCs w:val="36"/>
        </w:rPr>
        <w:t>九、</w:t>
      </w:r>
      <w:r>
        <w:rPr>
          <w:rFonts w:eastAsia="黑体"/>
          <w:b w:val="0"/>
          <w:bCs w:val="0"/>
          <w:sz w:val="36"/>
          <w:szCs w:val="36"/>
          <w:lang w:val="zh-CN"/>
        </w:rPr>
        <w:t>加强统筹协调，推动规划实</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Pr>
          <w:rFonts w:eastAsia="黑体"/>
          <w:b w:val="0"/>
          <w:bCs w:val="0"/>
          <w:sz w:val="36"/>
          <w:szCs w:val="36"/>
          <w:lang w:val="zh-CN"/>
        </w:rPr>
        <w:t>施与管理</w:t>
      </w:r>
      <w:bookmarkEnd w:id="805"/>
      <w:bookmarkEnd w:id="806"/>
      <w:bookmarkEnd w:id="807"/>
      <w:bookmarkEnd w:id="808"/>
    </w:p>
    <w:p>
      <w:pPr>
        <w:pStyle w:val="4"/>
        <w:adjustRightInd w:val="0"/>
        <w:snapToGrid w:val="0"/>
        <w:spacing w:before="0" w:after="0" w:line="580" w:lineRule="exact"/>
        <w:ind w:firstLine="640" w:firstLineChars="200"/>
        <w:rPr>
          <w:rFonts w:ascii="Times New Roman" w:hAnsi="Times New Roman" w:eastAsia="楷体_GB2312" w:cs="Times New Roman"/>
          <w:b w:val="0"/>
          <w:bCs w:val="0"/>
          <w:i w:val="0"/>
          <w:iCs w:val="0"/>
          <w:sz w:val="32"/>
          <w:szCs w:val="32"/>
          <w:lang w:val="zh-CN"/>
        </w:rPr>
      </w:pPr>
      <w:bookmarkStart w:id="809" w:name="_Toc18632"/>
      <w:bookmarkStart w:id="810" w:name="_Toc4480"/>
      <w:bookmarkStart w:id="811" w:name="_Toc974"/>
      <w:bookmarkStart w:id="812" w:name="_Toc6802"/>
      <w:r>
        <w:rPr>
          <w:rFonts w:ascii="Times New Roman" w:hAnsi="Times New Roman" w:eastAsia="楷体_GB2312" w:cs="Times New Roman"/>
          <w:b w:val="0"/>
          <w:bCs w:val="0"/>
          <w:i w:val="0"/>
          <w:iCs w:val="0"/>
          <w:sz w:val="32"/>
          <w:szCs w:val="32"/>
          <w:lang w:val="zh-CN"/>
        </w:rPr>
        <w:t>（一）加强统筹协调</w:t>
      </w:r>
      <w:bookmarkEnd w:id="809"/>
      <w:bookmarkEnd w:id="810"/>
      <w:bookmarkEnd w:id="811"/>
      <w:bookmarkEnd w:id="812"/>
    </w:p>
    <w:p>
      <w:pPr>
        <w:autoSpaceDE w:val="0"/>
        <w:autoSpaceDN w:val="0"/>
        <w:adjustRightInd w:val="0"/>
        <w:snapToGrid w:val="0"/>
        <w:spacing w:line="580" w:lineRule="exact"/>
        <w:ind w:firstLine="643" w:firstLineChars="200"/>
        <w:rPr>
          <w:rFonts w:ascii="Times New Roman" w:hAnsi="Times New Roman" w:eastAsia="仿宋_GB2312"/>
          <w:spacing w:val="-11"/>
          <w:kern w:val="0"/>
          <w:sz w:val="32"/>
          <w:szCs w:val="30"/>
        </w:rPr>
      </w:pPr>
      <w:r>
        <w:rPr>
          <w:rFonts w:ascii="Times New Roman" w:hAnsi="Times New Roman" w:eastAsia="仿宋_GB2312"/>
          <w:b/>
          <w:kern w:val="0"/>
          <w:sz w:val="32"/>
          <w:szCs w:val="30"/>
        </w:rPr>
        <w:t>落实规划实施主体责任</w:t>
      </w:r>
      <w:r>
        <w:rPr>
          <w:rFonts w:ascii="Times New Roman" w:hAnsi="Times New Roman" w:eastAsia="仿宋_GB2312"/>
          <w:kern w:val="0"/>
          <w:sz w:val="32"/>
          <w:szCs w:val="30"/>
        </w:rPr>
        <w:t>。省政府各有关部门要按照职能分工，强化部门协同和上下联动，进一步细化和完善相关政策措施，及时解决规划实施中的重大问题，形成政策合力。省自然资源厅与省发展和改革委员会、经济和信息化厅、财政厅、生态环境厅、商务厅、能源局等部门加强协调，及时解决规划实施中的重大问题，制定出台实施方案，明确责任分工。各地区要切实加强组织领导，全面落实规划目标任务，科学编制市、县级矿产资源总体规划及相关专项规划，做好规划环评。积极争取中央财政资金，稳定地方财</w:t>
      </w:r>
      <w:r>
        <w:rPr>
          <w:rFonts w:ascii="Times New Roman" w:hAnsi="Times New Roman" w:eastAsia="仿宋_GB2312"/>
          <w:spacing w:val="-6"/>
          <w:kern w:val="0"/>
          <w:sz w:val="32"/>
          <w:szCs w:val="30"/>
        </w:rPr>
        <w:t>政资金规模，鼓励社会资金投入，为规划实施提供资金保障。规划一经批准，必须严格执行，确需调整的，严格按照有关规定程序办理。</w:t>
      </w:r>
    </w:p>
    <w:p>
      <w:pPr>
        <w:autoSpaceDE w:val="0"/>
        <w:autoSpaceDN w:val="0"/>
        <w:adjustRightInd w:val="0"/>
        <w:snapToGrid w:val="0"/>
        <w:spacing w:line="580" w:lineRule="exact"/>
        <w:ind w:firstLine="643" w:firstLineChars="200"/>
        <w:rPr>
          <w:rFonts w:ascii="Times New Roman" w:hAnsi="Times New Roman" w:eastAsia="仿宋_GB2312"/>
          <w:kern w:val="0"/>
          <w:sz w:val="32"/>
          <w:szCs w:val="30"/>
        </w:rPr>
      </w:pPr>
      <w:r>
        <w:rPr>
          <w:rFonts w:ascii="Times New Roman" w:hAnsi="Times New Roman" w:eastAsia="仿宋_GB2312"/>
          <w:b/>
          <w:kern w:val="0"/>
          <w:sz w:val="32"/>
          <w:szCs w:val="30"/>
        </w:rPr>
        <w:t>做好相关规划衔接。</w:t>
      </w:r>
      <w:r>
        <w:rPr>
          <w:rFonts w:ascii="Times New Roman" w:hAnsi="Times New Roman" w:eastAsia="仿宋_GB2312"/>
          <w:kern w:val="0"/>
          <w:sz w:val="32"/>
          <w:szCs w:val="30"/>
        </w:rPr>
        <w:t>落实相关规划衔接协调机制，确保矿产资源规划与经济社会发展规划、国土空间规划等衔接协调。涉及矿产资源开发的相关行业规划，在规划目标、重要指标、重点布局和政策措施等方面，要与本规划相衔接。</w:t>
      </w:r>
    </w:p>
    <w:p>
      <w:pPr>
        <w:pStyle w:val="4"/>
        <w:adjustRightInd w:val="0"/>
        <w:snapToGrid w:val="0"/>
        <w:spacing w:before="0" w:after="0" w:line="580" w:lineRule="exact"/>
        <w:ind w:firstLine="640" w:firstLineChars="200"/>
        <w:rPr>
          <w:rFonts w:ascii="Times New Roman" w:hAnsi="Times New Roman" w:eastAsia="楷体_GB2312" w:cs="Times New Roman"/>
          <w:b w:val="0"/>
          <w:bCs w:val="0"/>
          <w:i w:val="0"/>
          <w:iCs w:val="0"/>
          <w:sz w:val="32"/>
          <w:szCs w:val="32"/>
        </w:rPr>
      </w:pPr>
      <w:bookmarkStart w:id="813" w:name="_Toc2056"/>
      <w:bookmarkStart w:id="814" w:name="_Toc30604"/>
      <w:bookmarkStart w:id="815" w:name="_Toc17829"/>
      <w:bookmarkStart w:id="816" w:name="_Toc22324"/>
      <w:r>
        <w:rPr>
          <w:rFonts w:ascii="Times New Roman" w:hAnsi="Times New Roman" w:eastAsia="楷体_GB2312" w:cs="Times New Roman"/>
          <w:b w:val="0"/>
          <w:bCs w:val="0"/>
          <w:i w:val="0"/>
          <w:iCs w:val="0"/>
          <w:sz w:val="32"/>
          <w:szCs w:val="32"/>
          <w:lang w:val="zh-CN"/>
        </w:rPr>
        <w:t>（二）落实</w:t>
      </w:r>
      <w:bookmarkEnd w:id="813"/>
      <w:bookmarkEnd w:id="814"/>
      <w:bookmarkEnd w:id="815"/>
      <w:r>
        <w:rPr>
          <w:rFonts w:ascii="Times New Roman" w:hAnsi="Times New Roman" w:eastAsia="楷体_GB2312" w:cs="Times New Roman"/>
          <w:b w:val="0"/>
          <w:bCs w:val="0"/>
          <w:i w:val="0"/>
          <w:iCs w:val="0"/>
          <w:sz w:val="32"/>
          <w:szCs w:val="32"/>
        </w:rPr>
        <w:t>重大风险应对机制和安全生产</w:t>
      </w:r>
      <w:bookmarkEnd w:id="816"/>
    </w:p>
    <w:p>
      <w:pPr>
        <w:autoSpaceDE w:val="0"/>
        <w:autoSpaceDN w:val="0"/>
        <w:adjustRightInd w:val="0"/>
        <w:snapToGrid w:val="0"/>
        <w:spacing w:line="580" w:lineRule="exact"/>
        <w:ind w:firstLine="640" w:firstLineChars="200"/>
        <w:rPr>
          <w:rFonts w:ascii="Times New Roman" w:hAnsi="Times New Roman" w:eastAsia="仿宋_GB2312"/>
          <w:kern w:val="0"/>
          <w:sz w:val="32"/>
          <w:szCs w:val="30"/>
        </w:rPr>
      </w:pPr>
      <w:r>
        <w:rPr>
          <w:rFonts w:ascii="Times New Roman" w:hAnsi="Times New Roman" w:eastAsia="仿宋_GB2312"/>
          <w:kern w:val="0"/>
          <w:sz w:val="32"/>
          <w:szCs w:val="30"/>
        </w:rPr>
        <w:t>强化资源形势分析研判，开展矿产资源储量统计分析，建立完善矿产资源储量数据管理与应用系统，跟踪研判国内外矿产资源变化趋势，及时调整相关部署安排，应对风险挑战。建立完善资源安全预警机制，推进矿产品市场监测，提升监测预警能力。</w:t>
      </w:r>
    </w:p>
    <w:p>
      <w:pPr>
        <w:autoSpaceDE w:val="0"/>
        <w:autoSpaceDN w:val="0"/>
        <w:adjustRightInd w:val="0"/>
        <w:snapToGrid w:val="0"/>
        <w:spacing w:line="580" w:lineRule="exact"/>
        <w:ind w:firstLine="640" w:firstLineChars="200"/>
        <w:rPr>
          <w:rFonts w:ascii="Times New Roman" w:hAnsi="Times New Roman" w:eastAsia="仿宋_GB2312"/>
          <w:kern w:val="0"/>
          <w:sz w:val="32"/>
          <w:szCs w:val="30"/>
        </w:rPr>
      </w:pPr>
      <w:r>
        <w:rPr>
          <w:rFonts w:ascii="Times New Roman" w:hAnsi="Times New Roman" w:eastAsia="仿宋_GB2312"/>
          <w:kern w:val="0"/>
          <w:sz w:val="32"/>
          <w:szCs w:val="30"/>
        </w:rPr>
        <w:t>按照国家和省有关安全生产的要求，始终把人的生命安全放在首位，正确处理安全与发展的关系，按照“管行业必须管安全，管业务必须管安全，管生产经营必须管安全”和“谁主管谁负责”的原则，切实加强矿山安全生产监管，压实安全生产责任，维护全省矿山安全生产形势稳定。</w:t>
      </w:r>
    </w:p>
    <w:p>
      <w:pPr>
        <w:pStyle w:val="4"/>
        <w:adjustRightInd w:val="0"/>
        <w:snapToGrid w:val="0"/>
        <w:spacing w:before="0" w:after="0" w:line="580" w:lineRule="exact"/>
        <w:ind w:firstLine="640" w:firstLineChars="200"/>
        <w:rPr>
          <w:rFonts w:ascii="Times New Roman" w:hAnsi="Times New Roman" w:eastAsia="楷体_GB2312" w:cs="Times New Roman"/>
          <w:b w:val="0"/>
          <w:bCs w:val="0"/>
          <w:i w:val="0"/>
          <w:iCs w:val="0"/>
          <w:sz w:val="32"/>
          <w:szCs w:val="32"/>
          <w:lang w:val="zh-CN"/>
        </w:rPr>
      </w:pPr>
      <w:bookmarkStart w:id="817" w:name="_Toc4554"/>
      <w:bookmarkStart w:id="818" w:name="_Toc31226"/>
      <w:bookmarkStart w:id="819" w:name="_Toc7027"/>
      <w:bookmarkStart w:id="820" w:name="_Toc26144"/>
      <w:r>
        <w:rPr>
          <w:rFonts w:ascii="Times New Roman" w:hAnsi="Times New Roman" w:eastAsia="楷体_GB2312" w:cs="Times New Roman"/>
          <w:b w:val="0"/>
          <w:bCs w:val="0"/>
          <w:i w:val="0"/>
          <w:iCs w:val="0"/>
          <w:sz w:val="32"/>
          <w:szCs w:val="32"/>
          <w:lang w:val="zh-CN"/>
        </w:rPr>
        <w:t>（三）严格审查与评估</w:t>
      </w:r>
      <w:bookmarkEnd w:id="817"/>
      <w:bookmarkEnd w:id="818"/>
      <w:bookmarkEnd w:id="819"/>
      <w:bookmarkEnd w:id="820"/>
      <w:bookmarkStart w:id="821" w:name="_Toc20021"/>
      <w:bookmarkStart w:id="822" w:name="_Toc21312"/>
      <w:bookmarkStart w:id="823" w:name="_Toc69314049"/>
    </w:p>
    <w:bookmarkEnd w:id="821"/>
    <w:bookmarkEnd w:id="822"/>
    <w:bookmarkEnd w:id="823"/>
    <w:p>
      <w:pPr>
        <w:autoSpaceDE w:val="0"/>
        <w:autoSpaceDN w:val="0"/>
        <w:adjustRightInd w:val="0"/>
        <w:snapToGrid w:val="0"/>
        <w:spacing w:line="600" w:lineRule="exact"/>
        <w:ind w:firstLine="643" w:firstLineChars="200"/>
        <w:rPr>
          <w:rFonts w:ascii="Times New Roman" w:hAnsi="Times New Roman" w:eastAsia="仿宋_GB2312"/>
          <w:kern w:val="0"/>
          <w:sz w:val="32"/>
          <w:szCs w:val="30"/>
        </w:rPr>
      </w:pPr>
      <w:r>
        <w:rPr>
          <w:rFonts w:ascii="Times New Roman" w:hAnsi="Times New Roman" w:eastAsia="仿宋_GB2312"/>
          <w:b/>
          <w:kern w:val="0"/>
          <w:sz w:val="32"/>
          <w:szCs w:val="30"/>
        </w:rPr>
        <w:t>新设勘查开发项目审核</w:t>
      </w:r>
      <w:r>
        <w:rPr>
          <w:rFonts w:ascii="Times New Roman" w:hAnsi="Times New Roman" w:eastAsia="仿宋_GB2312"/>
          <w:kern w:val="0"/>
          <w:sz w:val="32"/>
          <w:szCs w:val="30"/>
        </w:rPr>
        <w:t>。充分发挥规划的宏观调控和指导作用，对规划明确禁止开采的矿种以及不符合矿产资源规划的项目，不得新设采矿权</w:t>
      </w:r>
      <w:bookmarkStart w:id="824" w:name="_Toc15579"/>
      <w:bookmarkStart w:id="825" w:name="_Toc485138689"/>
      <w:bookmarkStart w:id="826" w:name="_Toc13800"/>
      <w:bookmarkStart w:id="827" w:name="_Toc26824"/>
      <w:bookmarkStart w:id="828" w:name="_Toc11373_WPSOffice_Level2"/>
      <w:bookmarkStart w:id="829" w:name="_Toc681"/>
      <w:bookmarkStart w:id="830" w:name="_Toc23539"/>
      <w:bookmarkStart w:id="831" w:name="_Toc5861"/>
      <w:bookmarkStart w:id="832" w:name="_Toc12557"/>
      <w:bookmarkStart w:id="833" w:name="_Toc6668"/>
      <w:bookmarkStart w:id="834" w:name="_Toc20802"/>
      <w:bookmarkStart w:id="835" w:name="_Toc23060"/>
      <w:bookmarkStart w:id="836" w:name="_Toc4453"/>
      <w:bookmarkStart w:id="837" w:name="_Toc28929"/>
      <w:bookmarkStart w:id="838" w:name="_Toc9063"/>
      <w:bookmarkStart w:id="839" w:name="_Toc69314050"/>
      <w:bookmarkStart w:id="840" w:name="_Toc18052"/>
      <w:r>
        <w:rPr>
          <w:rFonts w:ascii="Times New Roman" w:hAnsi="Times New Roman" w:eastAsia="仿宋_GB2312"/>
          <w:kern w:val="0"/>
          <w:sz w:val="32"/>
          <w:szCs w:val="30"/>
        </w:rPr>
        <w:t>，因共生、伴生矿等情况确需综合回收利用禁止开采矿种的，应严格论证。对限制开采的钨矿、磷矿等要严格执行开采总量控制、开采准入条件等有关要求。严格执行新建、扩建矿山最低开采规模设计标准，符合勘查开采规划区块要求，原则上一个勘查开采规划区块设置一个主体，促进资源整体勘查、规模开发。新设勘查开采项目优先向能源资源基地、国家规划矿区、重点勘查区、重点开采区和集中开采区投放。</w:t>
      </w:r>
    </w:p>
    <w:p>
      <w:pPr>
        <w:autoSpaceDE w:val="0"/>
        <w:autoSpaceDN w:val="0"/>
        <w:adjustRightInd w:val="0"/>
        <w:snapToGrid w:val="0"/>
        <w:spacing w:line="600" w:lineRule="exact"/>
        <w:ind w:firstLine="643" w:firstLineChars="200"/>
        <w:rPr>
          <w:rFonts w:ascii="Times New Roman" w:hAnsi="Times New Roman" w:eastAsia="仿宋"/>
          <w:spacing w:val="-6"/>
          <w:kern w:val="0"/>
          <w:sz w:val="32"/>
          <w:szCs w:val="32"/>
        </w:rPr>
      </w:pPr>
      <w:r>
        <w:rPr>
          <w:rFonts w:ascii="Times New Roman" w:hAnsi="Times New Roman" w:eastAsia="仿宋_GB2312"/>
          <w:b/>
          <w:kern w:val="0"/>
          <w:sz w:val="32"/>
          <w:szCs w:val="30"/>
        </w:rPr>
        <w:t>规划实施评</w:t>
      </w:r>
      <w:bookmarkEnd w:id="824"/>
      <w:bookmarkEnd w:id="825"/>
      <w:bookmarkEnd w:id="826"/>
      <w:bookmarkEnd w:id="827"/>
      <w:r>
        <w:rPr>
          <w:rFonts w:ascii="Times New Roman" w:hAnsi="Times New Roman" w:eastAsia="仿宋_GB2312"/>
          <w:b/>
          <w:kern w:val="0"/>
          <w:sz w:val="32"/>
          <w:szCs w:val="30"/>
        </w:rPr>
        <w:t>估与调</w:t>
      </w:r>
      <w:bookmarkEnd w:id="828"/>
      <w:bookmarkEnd w:id="829"/>
      <w:bookmarkEnd w:id="830"/>
      <w:bookmarkEnd w:id="831"/>
      <w:bookmarkEnd w:id="832"/>
      <w:bookmarkEnd w:id="833"/>
      <w:bookmarkEnd w:id="834"/>
      <w:bookmarkEnd w:id="835"/>
      <w:bookmarkEnd w:id="836"/>
      <w:bookmarkEnd w:id="837"/>
      <w:bookmarkEnd w:id="838"/>
      <w:bookmarkEnd w:id="839"/>
      <w:bookmarkEnd w:id="840"/>
      <w:r>
        <w:rPr>
          <w:rFonts w:ascii="Times New Roman" w:hAnsi="Times New Roman" w:eastAsia="仿宋_GB2312"/>
          <w:b/>
          <w:kern w:val="0"/>
          <w:sz w:val="32"/>
          <w:szCs w:val="30"/>
        </w:rPr>
        <w:t>整</w:t>
      </w:r>
      <w:r>
        <w:rPr>
          <w:rFonts w:ascii="Times New Roman" w:hAnsi="Times New Roman" w:eastAsia="仿宋_GB2312"/>
          <w:kern w:val="0"/>
          <w:sz w:val="32"/>
          <w:szCs w:val="30"/>
        </w:rPr>
        <w:t>。建立规划实施监测和动态评估机制，强化对规划实施情况的跟踪分析和动态评估，</w:t>
      </w:r>
      <w:r>
        <w:rPr>
          <w:rFonts w:ascii="Times New Roman" w:hAnsi="Times New Roman" w:eastAsia="仿宋_GB2312"/>
          <w:kern w:val="0"/>
          <w:sz w:val="32"/>
          <w:szCs w:val="30"/>
          <w:lang w:val="zh-CN"/>
        </w:rPr>
        <w:t>加强规划信息化建设，</w:t>
      </w:r>
      <w:r>
        <w:rPr>
          <w:rFonts w:ascii="Times New Roman" w:hAnsi="Times New Roman" w:eastAsia="仿宋_GB2312"/>
          <w:kern w:val="0"/>
          <w:sz w:val="32"/>
          <w:szCs w:val="30"/>
        </w:rPr>
        <w:t>将各级矿产资源规划编制、实施、评估、调整等纳入全国统一的矿</w:t>
      </w:r>
      <w:r>
        <w:rPr>
          <w:rFonts w:hint="eastAsia" w:ascii="Times New Roman" w:hAnsi="Times New Roman" w:eastAsia="仿宋_GB2312"/>
          <w:kern w:val="0"/>
          <w:sz w:val="32"/>
          <w:szCs w:val="30"/>
        </w:rPr>
        <w:t>产</w:t>
      </w:r>
      <w:r>
        <w:rPr>
          <w:rFonts w:ascii="Times New Roman" w:hAnsi="Times New Roman" w:eastAsia="仿宋_GB2312"/>
          <w:kern w:val="0"/>
          <w:sz w:val="32"/>
          <w:szCs w:val="30"/>
        </w:rPr>
        <w:t>资源规划编制实施管理系统，与国土空间规划“一张图”相衔接，加强数据可视化分析和深度挖掘，动态跟踪评估各级规划编制、审批、实施、调整等进程。开展规划集中调整和数据库动态更新，与规划实施监测与评估工作紧密结合，规划数据库原则上每年度集中调整完善一次。针对财政出资勘查项目的成果应以勘查和开采规划区块的形式进行动态更新。各地每年年底前，可根据本年度地质找矿新发现和当年矿业权出让计划安排需要，对确需新增或调整的勘查和开采规划区块，进行集中调整并纳入规划数据库，</w:t>
      </w:r>
      <w:r>
        <w:rPr>
          <w:rFonts w:ascii="Times New Roman" w:hAnsi="Times New Roman" w:eastAsia="仿宋_GB2312"/>
          <w:spacing w:val="-11"/>
          <w:kern w:val="0"/>
          <w:sz w:val="32"/>
          <w:szCs w:val="30"/>
        </w:rPr>
        <w:t>提高规划管理水平。</w:t>
      </w:r>
    </w:p>
    <w:p>
      <w:pPr>
        <w:pStyle w:val="4"/>
        <w:adjustRightInd w:val="0"/>
        <w:snapToGrid w:val="0"/>
        <w:spacing w:before="0" w:after="0" w:line="600" w:lineRule="exact"/>
        <w:ind w:firstLine="640" w:firstLineChars="200"/>
        <w:rPr>
          <w:rFonts w:ascii="Times New Roman" w:hAnsi="Times New Roman" w:eastAsia="楷体_GB2312" w:cs="Times New Roman"/>
          <w:b w:val="0"/>
          <w:bCs w:val="0"/>
          <w:i w:val="0"/>
          <w:iCs w:val="0"/>
          <w:sz w:val="32"/>
          <w:szCs w:val="32"/>
          <w:lang w:val="zh-CN"/>
        </w:rPr>
      </w:pPr>
      <w:bookmarkStart w:id="841" w:name="_Toc69313793"/>
      <w:bookmarkStart w:id="842" w:name="_Toc69314052"/>
      <w:bookmarkStart w:id="843" w:name="_Toc6538"/>
      <w:bookmarkStart w:id="844" w:name="_Toc1520"/>
      <w:bookmarkStart w:id="845" w:name="_Toc25054"/>
      <w:bookmarkStart w:id="846" w:name="_Toc28942"/>
      <w:bookmarkStart w:id="847" w:name="_Toc14144"/>
      <w:bookmarkStart w:id="848" w:name="_Toc18808"/>
      <w:bookmarkStart w:id="849" w:name="_Toc20507"/>
      <w:bookmarkStart w:id="850" w:name="_Toc15140"/>
      <w:bookmarkStart w:id="851" w:name="_Toc13134"/>
      <w:bookmarkStart w:id="852" w:name="_Toc26977"/>
      <w:r>
        <w:rPr>
          <w:rFonts w:ascii="Times New Roman" w:hAnsi="Times New Roman" w:eastAsia="楷体_GB2312" w:cs="Times New Roman"/>
          <w:b w:val="0"/>
          <w:bCs w:val="0"/>
          <w:i w:val="0"/>
          <w:iCs w:val="0"/>
          <w:sz w:val="32"/>
          <w:szCs w:val="32"/>
          <w:lang w:val="zh-CN"/>
        </w:rPr>
        <w:t>（四）建立监督机</w:t>
      </w:r>
      <w:bookmarkEnd w:id="841"/>
      <w:bookmarkEnd w:id="842"/>
      <w:bookmarkEnd w:id="843"/>
      <w:bookmarkEnd w:id="844"/>
      <w:bookmarkEnd w:id="845"/>
      <w:bookmarkEnd w:id="846"/>
      <w:bookmarkEnd w:id="847"/>
      <w:bookmarkEnd w:id="848"/>
      <w:r>
        <w:rPr>
          <w:rFonts w:ascii="Times New Roman" w:hAnsi="Times New Roman" w:eastAsia="楷体_GB2312" w:cs="Times New Roman"/>
          <w:b w:val="0"/>
          <w:bCs w:val="0"/>
          <w:i w:val="0"/>
          <w:iCs w:val="0"/>
          <w:sz w:val="32"/>
          <w:szCs w:val="32"/>
          <w:lang w:val="zh-CN"/>
        </w:rPr>
        <w:t>制</w:t>
      </w:r>
      <w:bookmarkEnd w:id="849"/>
      <w:bookmarkEnd w:id="850"/>
      <w:bookmarkEnd w:id="851"/>
      <w:bookmarkEnd w:id="852"/>
    </w:p>
    <w:p>
      <w:pPr>
        <w:autoSpaceDE w:val="0"/>
        <w:autoSpaceDN w:val="0"/>
        <w:adjustRightInd w:val="0"/>
        <w:snapToGrid w:val="0"/>
        <w:spacing w:line="600" w:lineRule="exact"/>
        <w:ind w:firstLine="640" w:firstLineChars="200"/>
        <w:rPr>
          <w:rFonts w:ascii="Times New Roman" w:hAnsi="Times New Roman" w:eastAsia="仿宋_GB2312"/>
          <w:kern w:val="0"/>
          <w:sz w:val="32"/>
          <w:szCs w:val="30"/>
        </w:rPr>
      </w:pPr>
      <w:r>
        <w:rPr>
          <w:rFonts w:ascii="Times New Roman" w:hAnsi="Times New Roman" w:eastAsia="仿宋_GB2312"/>
          <w:kern w:val="0"/>
          <w:sz w:val="32"/>
          <w:szCs w:val="30"/>
        </w:rPr>
        <w:t>加强规划监督，实行专项检查与经常性监督检查相结合，采用卫星遥感等技术手段，强化对规划重点区域矿产勘查开发活动的监督管理。明确责任主体，落实监督责任，按照规划监督管理办法，加强信息公开、政务公开、项目公示，加强督导考核和责任追究，将规划实施成效纳入矿产资源管理考核的重要内容，强化考核结果运用，倒逼责任落实。加强宣传报道，增强舆论引导监督，自觉接受社会监督，不断提升矿产资源的社会化管理水平。</w:t>
      </w:r>
    </w:p>
    <w:p>
      <w:pPr>
        <w:spacing w:before="120" w:beforeLines="50" w:after="120" w:afterLines="50" w:line="580" w:lineRule="exact"/>
        <w:jc w:val="center"/>
        <w:outlineLvl w:val="0"/>
        <w:rPr>
          <w:rFonts w:ascii="Times New Roman" w:hAnsi="Times New Roman" w:eastAsia="黑体"/>
          <w:kern w:val="36"/>
          <w:sz w:val="36"/>
          <w:szCs w:val="36"/>
        </w:rPr>
      </w:pPr>
      <w:r>
        <w:rPr>
          <w:rFonts w:ascii="Times New Roman" w:hAnsi="Times New Roman"/>
        </w:rPr>
        <w:br w:type="page"/>
      </w:r>
      <w:bookmarkStart w:id="853" w:name="_Toc32562"/>
      <w:r>
        <w:rPr>
          <w:rFonts w:ascii="Times New Roman" w:hAnsi="Times New Roman" w:eastAsia="黑体"/>
          <w:kern w:val="36"/>
          <w:sz w:val="36"/>
          <w:szCs w:val="36"/>
        </w:rPr>
        <w:t>附 录</w:t>
      </w:r>
      <w:bookmarkEnd w:id="853"/>
    </w:p>
    <w:p>
      <w:pPr>
        <w:pStyle w:val="21"/>
        <w:spacing w:line="500" w:lineRule="exact"/>
        <w:ind w:firstLine="616" w:firstLineChars="200"/>
        <w:jc w:val="both"/>
        <w:rPr>
          <w:rFonts w:ascii="Times New Roman" w:hAnsi="Times New Roman" w:eastAsia="仿宋_GB2312"/>
          <w:spacing w:val="-6"/>
          <w:sz w:val="32"/>
          <w:szCs w:val="32"/>
        </w:rPr>
      </w:pPr>
      <w:r>
        <w:rPr>
          <w:rFonts w:ascii="Times New Roman" w:hAnsi="Times New Roman" w:eastAsia="仿宋_GB2312"/>
          <w:spacing w:val="-6"/>
          <w:sz w:val="32"/>
          <w:szCs w:val="32"/>
        </w:rPr>
        <w:t>“51020”现代产业体系：5个万亿级支柱产业、10个五千亿级优势产业、20个千亿级特色产业集群（根据《中共湖北省委十一届九次全体会议决议》）。</w:t>
      </w:r>
    </w:p>
    <w:p>
      <w:pPr>
        <w:spacing w:line="500" w:lineRule="exact"/>
        <w:ind w:firstLine="616" w:firstLineChars="200"/>
        <w:rPr>
          <w:rFonts w:ascii="Times New Roman" w:hAnsi="Times New Roman" w:eastAsia="仿宋_GB2312"/>
          <w:color w:val="000000"/>
          <w:spacing w:val="-2"/>
          <w:sz w:val="32"/>
          <w:szCs w:val="32"/>
          <w:lang w:val="zh-CN"/>
        </w:rPr>
      </w:pPr>
      <w:r>
        <w:rPr>
          <w:rFonts w:ascii="Times New Roman" w:hAnsi="Times New Roman" w:eastAsia="仿宋_GB2312"/>
          <w:spacing w:val="-6"/>
          <w:sz w:val="32"/>
          <w:szCs w:val="32"/>
        </w:rPr>
        <w:t>三条控制线:永久基本农田、生态保护红线、城镇开发边界。其中</w:t>
      </w:r>
      <w:r>
        <w:rPr>
          <w:rFonts w:ascii="Times New Roman" w:hAnsi="Times New Roman" w:eastAsia="仿宋_GB2312"/>
          <w:color w:val="000000"/>
          <w:spacing w:val="-2"/>
          <w:sz w:val="32"/>
          <w:szCs w:val="32"/>
          <w:lang w:val="zh-CN"/>
        </w:rPr>
        <w:t>“永久基本农田”矢量数据由《湖北省国土空间总体规划（2020—2035年）》（征求意见稿）提供，为截至2020年8月版本。“生态保护红线”矢量数据由《湖北省国土空间总体规划（2020—2035年）》</w:t>
      </w:r>
      <w:r>
        <w:rPr>
          <w:rFonts w:ascii="Times New Roman" w:hAnsi="Times New Roman" w:eastAsia="仿宋_GB2312"/>
          <w:color w:val="000000"/>
          <w:spacing w:val="-2"/>
          <w:sz w:val="32"/>
          <w:szCs w:val="32"/>
        </w:rPr>
        <w:t>（征求意见稿）</w:t>
      </w:r>
      <w:r>
        <w:rPr>
          <w:rFonts w:ascii="Times New Roman" w:hAnsi="Times New Roman" w:eastAsia="仿宋_GB2312"/>
          <w:color w:val="000000"/>
          <w:spacing w:val="-2"/>
          <w:sz w:val="32"/>
          <w:szCs w:val="32"/>
          <w:lang w:val="zh-CN"/>
        </w:rPr>
        <w:t>提供，为截至202</w:t>
      </w:r>
      <w:r>
        <w:rPr>
          <w:rFonts w:ascii="Times New Roman" w:hAnsi="Times New Roman" w:eastAsia="仿宋_GB2312"/>
          <w:color w:val="000000"/>
          <w:spacing w:val="-2"/>
          <w:sz w:val="32"/>
          <w:szCs w:val="32"/>
        </w:rPr>
        <w:t>1</w:t>
      </w:r>
      <w:r>
        <w:rPr>
          <w:rFonts w:ascii="Times New Roman" w:hAnsi="Times New Roman" w:eastAsia="仿宋_GB2312"/>
          <w:color w:val="000000"/>
          <w:spacing w:val="-2"/>
          <w:sz w:val="32"/>
          <w:szCs w:val="32"/>
          <w:lang w:val="zh-CN"/>
        </w:rPr>
        <w:t>年4月版本，未区分自然保护地核心区、一般控制区及自然保护地以外的生态保护红线区。</w:t>
      </w:r>
    </w:p>
    <w:p>
      <w:pPr>
        <w:pStyle w:val="27"/>
        <w:spacing w:line="500" w:lineRule="exact"/>
        <w:ind w:left="0" w:firstLine="616" w:firstLineChars="200"/>
        <w:rPr>
          <w:rFonts w:ascii="Times New Roman" w:hAnsi="Times New Roman" w:eastAsia="仿宋_GB2312" w:cs="Times New Roman"/>
          <w:spacing w:val="-6"/>
          <w:sz w:val="32"/>
          <w:szCs w:val="32"/>
          <w:lang w:val="en-US" w:bidi="ar-SA"/>
        </w:rPr>
      </w:pPr>
      <w:r>
        <w:rPr>
          <w:rFonts w:ascii="Times New Roman" w:hAnsi="Times New Roman" w:eastAsia="仿宋_GB2312" w:cs="Times New Roman"/>
          <w:spacing w:val="-6"/>
          <w:sz w:val="32"/>
          <w:szCs w:val="32"/>
          <w:lang w:val="en-US" w:bidi="ar-SA"/>
        </w:rPr>
        <w:t>三线一单：生态保护红线、环境质量底线、资源利用上线和生态环境准入清单。</w:t>
      </w:r>
    </w:p>
    <w:p>
      <w:pPr>
        <w:pStyle w:val="21"/>
        <w:spacing w:line="500" w:lineRule="exact"/>
        <w:ind w:firstLine="616" w:firstLineChars="200"/>
        <w:jc w:val="both"/>
        <w:rPr>
          <w:rFonts w:ascii="Times New Roman" w:hAnsi="Times New Roman" w:eastAsia="仿宋_GB2312"/>
          <w:spacing w:val="-6"/>
          <w:sz w:val="32"/>
          <w:szCs w:val="32"/>
        </w:rPr>
      </w:pPr>
      <w:r>
        <w:rPr>
          <w:rFonts w:ascii="Times New Roman" w:hAnsi="Times New Roman" w:eastAsia="仿宋_GB2312"/>
          <w:spacing w:val="-6"/>
          <w:sz w:val="32"/>
          <w:szCs w:val="32"/>
        </w:rPr>
        <w:t>四带两区：秦岭东段成矿带、桐柏—大别成矿带、上扬子中东部成矿带、长江中下游成矿带和江汉盆地成矿区、利川盆地成矿区。</w:t>
      </w:r>
    </w:p>
    <w:p>
      <w:pPr>
        <w:pStyle w:val="21"/>
        <w:spacing w:line="500" w:lineRule="exact"/>
        <w:ind w:firstLine="616" w:firstLineChars="200"/>
        <w:jc w:val="both"/>
        <w:rPr>
          <w:rFonts w:ascii="Times New Roman" w:hAnsi="Times New Roman" w:eastAsia="仿宋_GB2312"/>
          <w:spacing w:val="-6"/>
          <w:sz w:val="32"/>
          <w:szCs w:val="32"/>
        </w:rPr>
      </w:pPr>
      <w:r>
        <w:rPr>
          <w:rFonts w:ascii="Times New Roman" w:hAnsi="Times New Roman" w:eastAsia="仿宋_GB2312"/>
          <w:spacing w:val="-6"/>
          <w:sz w:val="32"/>
          <w:szCs w:val="32"/>
        </w:rPr>
        <w:t>矿山安全“三同时”制度：新建、改建、扩建工程项目的安全设施同时设计、同时施工、同时投入生产和使用（根据《中华人民共和国安全生产法》第二十八条）。</w:t>
      </w:r>
    </w:p>
    <w:p>
      <w:pPr>
        <w:spacing w:line="500" w:lineRule="exact"/>
        <w:ind w:firstLine="640" w:firstLineChars="200"/>
        <w:rPr>
          <w:rFonts w:ascii="Times New Roman" w:hAnsi="Times New Roman"/>
        </w:rPr>
      </w:pPr>
      <w:r>
        <w:rPr>
          <w:rFonts w:ascii="Times New Roman" w:hAnsi="Times New Roman" w:eastAsia="仿宋_GB2312"/>
          <w:sz w:val="32"/>
          <w:szCs w:val="32"/>
        </w:rPr>
        <w:t>关于</w:t>
      </w:r>
      <w:r>
        <w:rPr>
          <w:rFonts w:hint="eastAsia" w:ascii="Times New Roman" w:hAnsi="Times New Roman" w:eastAsia="仿宋_GB2312"/>
          <w:sz w:val="32"/>
          <w:szCs w:val="32"/>
        </w:rPr>
        <w:t>与</w:t>
      </w:r>
      <w:r>
        <w:rPr>
          <w:rFonts w:ascii="Times New Roman" w:hAnsi="Times New Roman" w:eastAsia="仿宋_GB2312"/>
          <w:sz w:val="32"/>
          <w:szCs w:val="32"/>
        </w:rPr>
        <w:t>《湖北省建设项目使用林地负面清单（试行）》的衔接：</w:t>
      </w:r>
      <w:r>
        <w:rPr>
          <w:rFonts w:ascii="Times New Roman" w:hAnsi="Times New Roman" w:eastAsia="仿宋_GB2312"/>
          <w:color w:val="000000"/>
          <w:spacing w:val="-2"/>
          <w:sz w:val="32"/>
          <w:szCs w:val="32"/>
        </w:rPr>
        <w:t>本规划衔接的</w:t>
      </w:r>
      <w:r>
        <w:rPr>
          <w:rFonts w:ascii="Times New Roman" w:hAnsi="Times New Roman" w:eastAsia="仿宋_GB2312"/>
          <w:color w:val="000000"/>
          <w:spacing w:val="-2"/>
          <w:sz w:val="32"/>
          <w:szCs w:val="32"/>
          <w:lang w:val="zh-CN"/>
        </w:rPr>
        <w:t>I级保护林地、公益林林地、天然林林地等</w:t>
      </w:r>
      <w:r>
        <w:rPr>
          <w:rFonts w:ascii="Times New Roman" w:hAnsi="Times New Roman" w:eastAsia="仿宋_GB2312"/>
          <w:color w:val="000000"/>
          <w:spacing w:val="-2"/>
          <w:sz w:val="32"/>
          <w:szCs w:val="32"/>
        </w:rPr>
        <w:t>为2021</w:t>
      </w:r>
      <w:r>
        <w:rPr>
          <w:rFonts w:hint="eastAsia" w:ascii="Times New Roman" w:hAnsi="Times New Roman" w:eastAsia="仿宋_GB2312"/>
          <w:color w:val="000000"/>
          <w:spacing w:val="-2"/>
          <w:sz w:val="32"/>
          <w:szCs w:val="32"/>
        </w:rPr>
        <w:t>年</w:t>
      </w:r>
      <w:r>
        <w:rPr>
          <w:rFonts w:ascii="Times New Roman" w:hAnsi="Times New Roman" w:eastAsia="仿宋_GB2312"/>
          <w:color w:val="000000"/>
          <w:spacing w:val="-2"/>
          <w:sz w:val="32"/>
          <w:szCs w:val="32"/>
        </w:rPr>
        <w:t>森林资源管理 “一张图”</w:t>
      </w:r>
      <w:r>
        <w:rPr>
          <w:rFonts w:hint="eastAsia" w:ascii="Times New Roman" w:hAnsi="Times New Roman" w:eastAsia="仿宋_GB2312"/>
          <w:color w:val="000000"/>
          <w:spacing w:val="-2"/>
          <w:sz w:val="32"/>
          <w:szCs w:val="32"/>
        </w:rPr>
        <w:t>数据</w:t>
      </w:r>
      <w:r>
        <w:rPr>
          <w:rFonts w:ascii="Times New Roman" w:hAnsi="Times New Roman" w:eastAsia="仿宋_GB2312"/>
          <w:color w:val="000000"/>
          <w:spacing w:val="-2"/>
          <w:sz w:val="32"/>
          <w:szCs w:val="32"/>
        </w:rPr>
        <w:t>，</w:t>
      </w:r>
      <w:r>
        <w:rPr>
          <w:rFonts w:ascii="Times New Roman" w:hAnsi="Times New Roman" w:eastAsia="仿宋_GB2312"/>
          <w:color w:val="000000"/>
          <w:spacing w:val="-2"/>
          <w:sz w:val="32"/>
          <w:szCs w:val="32"/>
          <w:lang w:val="zh-CN"/>
        </w:rPr>
        <w:t>国家公园、自然保护区、森林公园、地质公园、湿地公园</w:t>
      </w:r>
      <w:r>
        <w:rPr>
          <w:rFonts w:ascii="Times New Roman" w:hAnsi="Times New Roman" w:eastAsia="仿宋_GB2312"/>
          <w:color w:val="000000"/>
          <w:spacing w:val="-2"/>
          <w:sz w:val="32"/>
          <w:szCs w:val="32"/>
        </w:rPr>
        <w:t>等自然保护地数据为“自然保护地整合优化预案2021年6月封库数据”，未包含</w:t>
      </w:r>
      <w:r>
        <w:rPr>
          <w:rFonts w:ascii="Times New Roman" w:hAnsi="Times New Roman" w:eastAsia="仿宋_GB2312"/>
          <w:color w:val="000000"/>
          <w:spacing w:val="-2"/>
          <w:sz w:val="32"/>
          <w:szCs w:val="32"/>
          <w:lang w:val="zh-CN"/>
        </w:rPr>
        <w:t>风景名胜区</w:t>
      </w:r>
      <w:r>
        <w:rPr>
          <w:rFonts w:ascii="Times New Roman" w:hAnsi="Times New Roman" w:eastAsia="仿宋_GB2312"/>
          <w:color w:val="000000"/>
          <w:spacing w:val="-2"/>
          <w:sz w:val="32"/>
          <w:szCs w:val="32"/>
        </w:rPr>
        <w:t>数据。</w:t>
      </w:r>
    </w:p>
    <w:sectPr>
      <w:headerReference r:id="rId3" w:type="default"/>
      <w:footerReference r:id="rId4" w:type="default"/>
      <w:footnotePr>
        <w:numFmt w:val="decimalEnclosedCircleChinese"/>
      </w:footnotePr>
      <w:pgSz w:w="12240" w:h="15840"/>
      <w:pgMar w:top="1440" w:right="1800" w:bottom="1440" w:left="1800" w:header="720" w:footer="720" w:gutter="0"/>
      <w:pgNumType w:fmt="numberInDash" w:start="1"/>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FZXBSK--GBK1-0">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rPr>
        <w:rFonts w:asciiTheme="minorEastAsia" w:hAnsiTheme="minorEastAsia"/>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pPr>
                          <w:r>
                            <w:rPr>
                              <w:rFonts w:asciiTheme="minorEastAsia" w:hAnsiTheme="minorEastAsia"/>
                              <w:sz w:val="24"/>
                            </w:rPr>
                            <w:fldChar w:fldCharType="begin"/>
                          </w:r>
                          <w:r>
                            <w:rPr>
                              <w:rFonts w:asciiTheme="minorEastAsia" w:hAnsiTheme="minorEastAsia"/>
                              <w:sz w:val="24"/>
                            </w:rPr>
                            <w:instrText xml:space="preserve">PAGE   \* MERGEFORMAT</w:instrText>
                          </w:r>
                          <w:r>
                            <w:rPr>
                              <w:rFonts w:asciiTheme="minorEastAsia" w:hAnsiTheme="minorEastAsia"/>
                              <w:sz w:val="24"/>
                            </w:rPr>
                            <w:fldChar w:fldCharType="separate"/>
                          </w:r>
                          <w:r>
                            <w:rPr>
                              <w:rFonts w:asciiTheme="minorEastAsia" w:hAnsiTheme="minorEastAsia"/>
                              <w:sz w:val="24"/>
                              <w:lang w:val="zh-CN"/>
                            </w:rPr>
                            <w:t>-</w:t>
                          </w:r>
                          <w:r>
                            <w:rPr>
                              <w:rFonts w:asciiTheme="minorEastAsia" w:hAnsiTheme="minorEastAsia"/>
                              <w:sz w:val="24"/>
                            </w:rPr>
                            <w:t xml:space="preserve"> 2 -</w:t>
                          </w:r>
                          <w:r>
                            <w:rPr>
                              <w:rFonts w:asciiTheme="minorEastAsia" w:hAnsi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ind w:left="0" w:leftChars="0"/>
                    </w:pPr>
                    <w:r>
                      <w:rPr>
                        <w:rFonts w:asciiTheme="minorEastAsia" w:hAnsiTheme="minorEastAsia"/>
                        <w:sz w:val="24"/>
                      </w:rPr>
                      <w:fldChar w:fldCharType="begin"/>
                    </w:r>
                    <w:r>
                      <w:rPr>
                        <w:rFonts w:asciiTheme="minorEastAsia" w:hAnsiTheme="minorEastAsia"/>
                        <w:sz w:val="24"/>
                      </w:rPr>
                      <w:instrText xml:space="preserve">PAGE   \* MERGEFORMAT</w:instrText>
                    </w:r>
                    <w:r>
                      <w:rPr>
                        <w:rFonts w:asciiTheme="minorEastAsia" w:hAnsiTheme="minorEastAsia"/>
                        <w:sz w:val="24"/>
                      </w:rPr>
                      <w:fldChar w:fldCharType="separate"/>
                    </w:r>
                    <w:r>
                      <w:rPr>
                        <w:rFonts w:asciiTheme="minorEastAsia" w:hAnsiTheme="minorEastAsia"/>
                        <w:sz w:val="24"/>
                        <w:lang w:val="zh-CN"/>
                      </w:rPr>
                      <w:t>-</w:t>
                    </w:r>
                    <w:r>
                      <w:rPr>
                        <w:rFonts w:asciiTheme="minorEastAsia" w:hAnsiTheme="minorEastAsia"/>
                        <w:sz w:val="24"/>
                      </w:rPr>
                      <w:t xml:space="preserve"> 2 -</w:t>
                    </w:r>
                    <w:r>
                      <w:rPr>
                        <w:rFonts w:asciiTheme="minorEastAsia" w:hAnsiTheme="minorEastAsia"/>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hideSpellingErrors/>
  <w:documentProtection w:enforcement="0"/>
  <w:defaultTabStop w:val="420"/>
  <w:drawingGridVerticalSpacing w:val="156"/>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2NDYyYjFiYjA0NjZlODg1NzBkNTljZDhlYWQ3YjcifQ=="/>
  </w:docVars>
  <w:rsids>
    <w:rsidRoot w:val="007448DE"/>
    <w:rsid w:val="000011A3"/>
    <w:rsid w:val="0000409C"/>
    <w:rsid w:val="00007AE7"/>
    <w:rsid w:val="00011828"/>
    <w:rsid w:val="00011E5D"/>
    <w:rsid w:val="0001305D"/>
    <w:rsid w:val="00013B0B"/>
    <w:rsid w:val="00014EFD"/>
    <w:rsid w:val="00016AD1"/>
    <w:rsid w:val="00016F3E"/>
    <w:rsid w:val="00017F1A"/>
    <w:rsid w:val="000263AE"/>
    <w:rsid w:val="00026597"/>
    <w:rsid w:val="00026D03"/>
    <w:rsid w:val="00026E85"/>
    <w:rsid w:val="000271ED"/>
    <w:rsid w:val="00027BA1"/>
    <w:rsid w:val="000305A4"/>
    <w:rsid w:val="00031F72"/>
    <w:rsid w:val="00032770"/>
    <w:rsid w:val="00034E3E"/>
    <w:rsid w:val="00035D65"/>
    <w:rsid w:val="00040117"/>
    <w:rsid w:val="00043C24"/>
    <w:rsid w:val="00044065"/>
    <w:rsid w:val="0004456A"/>
    <w:rsid w:val="00044C19"/>
    <w:rsid w:val="00045D24"/>
    <w:rsid w:val="000465C2"/>
    <w:rsid w:val="000511DB"/>
    <w:rsid w:val="000547DE"/>
    <w:rsid w:val="00057A0D"/>
    <w:rsid w:val="00057EE0"/>
    <w:rsid w:val="000615F0"/>
    <w:rsid w:val="000619F0"/>
    <w:rsid w:val="00062929"/>
    <w:rsid w:val="00062E6B"/>
    <w:rsid w:val="000638B1"/>
    <w:rsid w:val="0006585E"/>
    <w:rsid w:val="00065A23"/>
    <w:rsid w:val="000662D2"/>
    <w:rsid w:val="00066E81"/>
    <w:rsid w:val="000714C6"/>
    <w:rsid w:val="00074251"/>
    <w:rsid w:val="000749E3"/>
    <w:rsid w:val="00076E48"/>
    <w:rsid w:val="000816DB"/>
    <w:rsid w:val="000819F5"/>
    <w:rsid w:val="00084254"/>
    <w:rsid w:val="0008681F"/>
    <w:rsid w:val="00087D56"/>
    <w:rsid w:val="000903C4"/>
    <w:rsid w:val="0009618D"/>
    <w:rsid w:val="000A1C62"/>
    <w:rsid w:val="000A3132"/>
    <w:rsid w:val="000A3A0C"/>
    <w:rsid w:val="000A701F"/>
    <w:rsid w:val="000A763B"/>
    <w:rsid w:val="000A79C6"/>
    <w:rsid w:val="000B1656"/>
    <w:rsid w:val="000B3438"/>
    <w:rsid w:val="000C3EF3"/>
    <w:rsid w:val="000C45EC"/>
    <w:rsid w:val="000C4861"/>
    <w:rsid w:val="000C5277"/>
    <w:rsid w:val="000C6556"/>
    <w:rsid w:val="000C66DB"/>
    <w:rsid w:val="000E43C8"/>
    <w:rsid w:val="000E4869"/>
    <w:rsid w:val="000E673B"/>
    <w:rsid w:val="000F0B30"/>
    <w:rsid w:val="000F2F42"/>
    <w:rsid w:val="000F3208"/>
    <w:rsid w:val="000F3A06"/>
    <w:rsid w:val="00100550"/>
    <w:rsid w:val="00100D4A"/>
    <w:rsid w:val="0010214D"/>
    <w:rsid w:val="00103B9B"/>
    <w:rsid w:val="0010592A"/>
    <w:rsid w:val="00111456"/>
    <w:rsid w:val="001128B0"/>
    <w:rsid w:val="001130A2"/>
    <w:rsid w:val="00113808"/>
    <w:rsid w:val="00114B69"/>
    <w:rsid w:val="001172DE"/>
    <w:rsid w:val="00124391"/>
    <w:rsid w:val="00125A57"/>
    <w:rsid w:val="00126915"/>
    <w:rsid w:val="00127ACB"/>
    <w:rsid w:val="00130850"/>
    <w:rsid w:val="00132E25"/>
    <w:rsid w:val="00133C6E"/>
    <w:rsid w:val="00134098"/>
    <w:rsid w:val="001365FC"/>
    <w:rsid w:val="00137E04"/>
    <w:rsid w:val="001402B0"/>
    <w:rsid w:val="0014132E"/>
    <w:rsid w:val="00143C19"/>
    <w:rsid w:val="00146028"/>
    <w:rsid w:val="00147C00"/>
    <w:rsid w:val="00147CF8"/>
    <w:rsid w:val="001510D0"/>
    <w:rsid w:val="001518DD"/>
    <w:rsid w:val="00154FD8"/>
    <w:rsid w:val="001554D1"/>
    <w:rsid w:val="00155FF3"/>
    <w:rsid w:val="00162230"/>
    <w:rsid w:val="001664EA"/>
    <w:rsid w:val="00167366"/>
    <w:rsid w:val="00167A9F"/>
    <w:rsid w:val="001752FE"/>
    <w:rsid w:val="001762A1"/>
    <w:rsid w:val="00176E60"/>
    <w:rsid w:val="001773A2"/>
    <w:rsid w:val="0018014D"/>
    <w:rsid w:val="0018268C"/>
    <w:rsid w:val="00182E23"/>
    <w:rsid w:val="0018699B"/>
    <w:rsid w:val="00187135"/>
    <w:rsid w:val="00187D71"/>
    <w:rsid w:val="001923AE"/>
    <w:rsid w:val="0019254B"/>
    <w:rsid w:val="0019280D"/>
    <w:rsid w:val="0019512C"/>
    <w:rsid w:val="00195EA6"/>
    <w:rsid w:val="00196891"/>
    <w:rsid w:val="001A08EC"/>
    <w:rsid w:val="001A14B6"/>
    <w:rsid w:val="001A2113"/>
    <w:rsid w:val="001A3D1F"/>
    <w:rsid w:val="001A4746"/>
    <w:rsid w:val="001A5904"/>
    <w:rsid w:val="001A6029"/>
    <w:rsid w:val="001A7105"/>
    <w:rsid w:val="001B2B40"/>
    <w:rsid w:val="001B4334"/>
    <w:rsid w:val="001B4D46"/>
    <w:rsid w:val="001B74B5"/>
    <w:rsid w:val="001C0201"/>
    <w:rsid w:val="001C1A26"/>
    <w:rsid w:val="001C26A2"/>
    <w:rsid w:val="001C33F4"/>
    <w:rsid w:val="001C3BCB"/>
    <w:rsid w:val="001C7C84"/>
    <w:rsid w:val="001D0313"/>
    <w:rsid w:val="001D2681"/>
    <w:rsid w:val="001D709C"/>
    <w:rsid w:val="001E19BB"/>
    <w:rsid w:val="001E3A09"/>
    <w:rsid w:val="001E58B2"/>
    <w:rsid w:val="001E606D"/>
    <w:rsid w:val="001E7D82"/>
    <w:rsid w:val="001F0094"/>
    <w:rsid w:val="001F161B"/>
    <w:rsid w:val="001F18F9"/>
    <w:rsid w:val="001F2E78"/>
    <w:rsid w:val="001F4055"/>
    <w:rsid w:val="001F5FB1"/>
    <w:rsid w:val="001F6313"/>
    <w:rsid w:val="001F726A"/>
    <w:rsid w:val="001F7C54"/>
    <w:rsid w:val="00202516"/>
    <w:rsid w:val="00203AA6"/>
    <w:rsid w:val="00204308"/>
    <w:rsid w:val="00204804"/>
    <w:rsid w:val="00205ED4"/>
    <w:rsid w:val="00210655"/>
    <w:rsid w:val="00212819"/>
    <w:rsid w:val="002139A7"/>
    <w:rsid w:val="0021418D"/>
    <w:rsid w:val="00215773"/>
    <w:rsid w:val="0021637C"/>
    <w:rsid w:val="002165D7"/>
    <w:rsid w:val="00216772"/>
    <w:rsid w:val="002173D9"/>
    <w:rsid w:val="0021753B"/>
    <w:rsid w:val="00221B60"/>
    <w:rsid w:val="002236DF"/>
    <w:rsid w:val="00223D2E"/>
    <w:rsid w:val="00224C71"/>
    <w:rsid w:val="00225795"/>
    <w:rsid w:val="00226675"/>
    <w:rsid w:val="00226B2B"/>
    <w:rsid w:val="00227498"/>
    <w:rsid w:val="002314B0"/>
    <w:rsid w:val="00232F12"/>
    <w:rsid w:val="00235E58"/>
    <w:rsid w:val="00237979"/>
    <w:rsid w:val="002408AF"/>
    <w:rsid w:val="00240FEC"/>
    <w:rsid w:val="002418F7"/>
    <w:rsid w:val="002439BB"/>
    <w:rsid w:val="002446F2"/>
    <w:rsid w:val="00245C0D"/>
    <w:rsid w:val="00245C93"/>
    <w:rsid w:val="0025041E"/>
    <w:rsid w:val="0025153B"/>
    <w:rsid w:val="00255098"/>
    <w:rsid w:val="0025593A"/>
    <w:rsid w:val="0025646B"/>
    <w:rsid w:val="00256631"/>
    <w:rsid w:val="00256FED"/>
    <w:rsid w:val="00260338"/>
    <w:rsid w:val="00264FF2"/>
    <w:rsid w:val="00265543"/>
    <w:rsid w:val="002665BF"/>
    <w:rsid w:val="002675A8"/>
    <w:rsid w:val="002709A3"/>
    <w:rsid w:val="002733DC"/>
    <w:rsid w:val="00274051"/>
    <w:rsid w:val="002747C8"/>
    <w:rsid w:val="00276E7A"/>
    <w:rsid w:val="00284BAA"/>
    <w:rsid w:val="002862CE"/>
    <w:rsid w:val="00287164"/>
    <w:rsid w:val="002872AF"/>
    <w:rsid w:val="00292DD7"/>
    <w:rsid w:val="00297B30"/>
    <w:rsid w:val="002A2831"/>
    <w:rsid w:val="002A4639"/>
    <w:rsid w:val="002A6A4F"/>
    <w:rsid w:val="002A72E7"/>
    <w:rsid w:val="002A7477"/>
    <w:rsid w:val="002B009D"/>
    <w:rsid w:val="002B08C4"/>
    <w:rsid w:val="002B1F48"/>
    <w:rsid w:val="002B2E1D"/>
    <w:rsid w:val="002B56AC"/>
    <w:rsid w:val="002B690A"/>
    <w:rsid w:val="002C142D"/>
    <w:rsid w:val="002C1909"/>
    <w:rsid w:val="002C3977"/>
    <w:rsid w:val="002C3D2F"/>
    <w:rsid w:val="002C65CD"/>
    <w:rsid w:val="002D5236"/>
    <w:rsid w:val="002D6B8D"/>
    <w:rsid w:val="002D7353"/>
    <w:rsid w:val="002E29E4"/>
    <w:rsid w:val="002E6034"/>
    <w:rsid w:val="002E7598"/>
    <w:rsid w:val="002F0ABD"/>
    <w:rsid w:val="002F1C66"/>
    <w:rsid w:val="002F2893"/>
    <w:rsid w:val="002F3408"/>
    <w:rsid w:val="002F3F83"/>
    <w:rsid w:val="002F47E4"/>
    <w:rsid w:val="002F4933"/>
    <w:rsid w:val="002F4E55"/>
    <w:rsid w:val="002F6AC2"/>
    <w:rsid w:val="002F78CD"/>
    <w:rsid w:val="00300370"/>
    <w:rsid w:val="00300FBA"/>
    <w:rsid w:val="00302E45"/>
    <w:rsid w:val="00303081"/>
    <w:rsid w:val="00304635"/>
    <w:rsid w:val="00305A0D"/>
    <w:rsid w:val="00305A1C"/>
    <w:rsid w:val="00306C16"/>
    <w:rsid w:val="00312F0F"/>
    <w:rsid w:val="003161CF"/>
    <w:rsid w:val="003174BA"/>
    <w:rsid w:val="003174D5"/>
    <w:rsid w:val="00321692"/>
    <w:rsid w:val="00322A8D"/>
    <w:rsid w:val="00322AC5"/>
    <w:rsid w:val="003239D4"/>
    <w:rsid w:val="00323D16"/>
    <w:rsid w:val="00325C98"/>
    <w:rsid w:val="00330631"/>
    <w:rsid w:val="0033086F"/>
    <w:rsid w:val="00333F85"/>
    <w:rsid w:val="00334411"/>
    <w:rsid w:val="00335875"/>
    <w:rsid w:val="003407A1"/>
    <w:rsid w:val="003425F4"/>
    <w:rsid w:val="00342D3B"/>
    <w:rsid w:val="0034546B"/>
    <w:rsid w:val="00345917"/>
    <w:rsid w:val="00346283"/>
    <w:rsid w:val="0035036D"/>
    <w:rsid w:val="003516A5"/>
    <w:rsid w:val="00351B9D"/>
    <w:rsid w:val="00351BEC"/>
    <w:rsid w:val="00351E4C"/>
    <w:rsid w:val="003541F7"/>
    <w:rsid w:val="003551A8"/>
    <w:rsid w:val="00355D20"/>
    <w:rsid w:val="0035785C"/>
    <w:rsid w:val="00360519"/>
    <w:rsid w:val="003644DA"/>
    <w:rsid w:val="003663C8"/>
    <w:rsid w:val="00366C44"/>
    <w:rsid w:val="0036792C"/>
    <w:rsid w:val="003710EF"/>
    <w:rsid w:val="00372E2B"/>
    <w:rsid w:val="003734D0"/>
    <w:rsid w:val="003734FC"/>
    <w:rsid w:val="00373FF7"/>
    <w:rsid w:val="0037541F"/>
    <w:rsid w:val="003758F3"/>
    <w:rsid w:val="0037639B"/>
    <w:rsid w:val="00376569"/>
    <w:rsid w:val="00376867"/>
    <w:rsid w:val="00376E0D"/>
    <w:rsid w:val="00377BBC"/>
    <w:rsid w:val="003819D4"/>
    <w:rsid w:val="00382D33"/>
    <w:rsid w:val="00382F7D"/>
    <w:rsid w:val="0038604D"/>
    <w:rsid w:val="003868DE"/>
    <w:rsid w:val="00386D96"/>
    <w:rsid w:val="003876B5"/>
    <w:rsid w:val="003879FA"/>
    <w:rsid w:val="003913B6"/>
    <w:rsid w:val="00393323"/>
    <w:rsid w:val="003961AD"/>
    <w:rsid w:val="003976C2"/>
    <w:rsid w:val="003A0341"/>
    <w:rsid w:val="003A4C56"/>
    <w:rsid w:val="003A5168"/>
    <w:rsid w:val="003A5BBA"/>
    <w:rsid w:val="003B02F1"/>
    <w:rsid w:val="003B1F40"/>
    <w:rsid w:val="003B44FB"/>
    <w:rsid w:val="003B46E0"/>
    <w:rsid w:val="003B4CE2"/>
    <w:rsid w:val="003B5580"/>
    <w:rsid w:val="003B6B2F"/>
    <w:rsid w:val="003C1C7C"/>
    <w:rsid w:val="003C310F"/>
    <w:rsid w:val="003C577C"/>
    <w:rsid w:val="003C7C3C"/>
    <w:rsid w:val="003D0C3C"/>
    <w:rsid w:val="003D2805"/>
    <w:rsid w:val="003D2A7D"/>
    <w:rsid w:val="003D4BB8"/>
    <w:rsid w:val="003D58AC"/>
    <w:rsid w:val="003D748E"/>
    <w:rsid w:val="003E1B5D"/>
    <w:rsid w:val="003E3C30"/>
    <w:rsid w:val="003E3C6A"/>
    <w:rsid w:val="003E4D06"/>
    <w:rsid w:val="003E5758"/>
    <w:rsid w:val="003E5EB0"/>
    <w:rsid w:val="003E6FD8"/>
    <w:rsid w:val="003E7933"/>
    <w:rsid w:val="003F6602"/>
    <w:rsid w:val="00400033"/>
    <w:rsid w:val="004002CC"/>
    <w:rsid w:val="00405A43"/>
    <w:rsid w:val="00405B35"/>
    <w:rsid w:val="00405E39"/>
    <w:rsid w:val="004072F5"/>
    <w:rsid w:val="00410645"/>
    <w:rsid w:val="00411526"/>
    <w:rsid w:val="004157ED"/>
    <w:rsid w:val="00420933"/>
    <w:rsid w:val="004232A0"/>
    <w:rsid w:val="00424FFD"/>
    <w:rsid w:val="00425B0B"/>
    <w:rsid w:val="00427A6D"/>
    <w:rsid w:val="00431967"/>
    <w:rsid w:val="0043263D"/>
    <w:rsid w:val="00432696"/>
    <w:rsid w:val="004354AC"/>
    <w:rsid w:val="00436E14"/>
    <w:rsid w:val="00437D70"/>
    <w:rsid w:val="00441318"/>
    <w:rsid w:val="0044591C"/>
    <w:rsid w:val="00453465"/>
    <w:rsid w:val="0045376B"/>
    <w:rsid w:val="00457D19"/>
    <w:rsid w:val="0046340E"/>
    <w:rsid w:val="0046402D"/>
    <w:rsid w:val="004656EA"/>
    <w:rsid w:val="004665B1"/>
    <w:rsid w:val="00471067"/>
    <w:rsid w:val="00471115"/>
    <w:rsid w:val="004750D9"/>
    <w:rsid w:val="00477DA3"/>
    <w:rsid w:val="004801AC"/>
    <w:rsid w:val="00480FDF"/>
    <w:rsid w:val="004811AD"/>
    <w:rsid w:val="00483898"/>
    <w:rsid w:val="00485E77"/>
    <w:rsid w:val="004902D4"/>
    <w:rsid w:val="0049119A"/>
    <w:rsid w:val="00495341"/>
    <w:rsid w:val="00497D83"/>
    <w:rsid w:val="004A0C50"/>
    <w:rsid w:val="004A1F2E"/>
    <w:rsid w:val="004A4CB5"/>
    <w:rsid w:val="004B2AD8"/>
    <w:rsid w:val="004B3F43"/>
    <w:rsid w:val="004B4D99"/>
    <w:rsid w:val="004B5CB4"/>
    <w:rsid w:val="004B70D9"/>
    <w:rsid w:val="004B72DD"/>
    <w:rsid w:val="004C00A6"/>
    <w:rsid w:val="004C1721"/>
    <w:rsid w:val="004C2370"/>
    <w:rsid w:val="004C39A5"/>
    <w:rsid w:val="004C4B8D"/>
    <w:rsid w:val="004C4F23"/>
    <w:rsid w:val="004C5BB0"/>
    <w:rsid w:val="004C6D40"/>
    <w:rsid w:val="004D027D"/>
    <w:rsid w:val="004D5587"/>
    <w:rsid w:val="004D59AA"/>
    <w:rsid w:val="004D5BCD"/>
    <w:rsid w:val="004D68F6"/>
    <w:rsid w:val="004E4627"/>
    <w:rsid w:val="004E51A7"/>
    <w:rsid w:val="004E5D70"/>
    <w:rsid w:val="004E6089"/>
    <w:rsid w:val="004E71FA"/>
    <w:rsid w:val="004F0498"/>
    <w:rsid w:val="004F2E4B"/>
    <w:rsid w:val="004F526E"/>
    <w:rsid w:val="004F6BB3"/>
    <w:rsid w:val="004F7D5F"/>
    <w:rsid w:val="00500BE8"/>
    <w:rsid w:val="00502058"/>
    <w:rsid w:val="00502C79"/>
    <w:rsid w:val="00506E3E"/>
    <w:rsid w:val="005121F8"/>
    <w:rsid w:val="00513AC4"/>
    <w:rsid w:val="00513E3D"/>
    <w:rsid w:val="005151D0"/>
    <w:rsid w:val="00516DAB"/>
    <w:rsid w:val="00516F6E"/>
    <w:rsid w:val="00517EC7"/>
    <w:rsid w:val="00520E7C"/>
    <w:rsid w:val="005213F6"/>
    <w:rsid w:val="00522999"/>
    <w:rsid w:val="00522EBA"/>
    <w:rsid w:val="00523610"/>
    <w:rsid w:val="005241C2"/>
    <w:rsid w:val="00524C03"/>
    <w:rsid w:val="00525E21"/>
    <w:rsid w:val="00530F59"/>
    <w:rsid w:val="005335A6"/>
    <w:rsid w:val="00533E83"/>
    <w:rsid w:val="005363C5"/>
    <w:rsid w:val="0054240B"/>
    <w:rsid w:val="00543508"/>
    <w:rsid w:val="00544B68"/>
    <w:rsid w:val="00545BDC"/>
    <w:rsid w:val="00550C82"/>
    <w:rsid w:val="00550E53"/>
    <w:rsid w:val="00551DAF"/>
    <w:rsid w:val="00553339"/>
    <w:rsid w:val="0055387E"/>
    <w:rsid w:val="00553D2E"/>
    <w:rsid w:val="00555E0F"/>
    <w:rsid w:val="00555F1E"/>
    <w:rsid w:val="00556A05"/>
    <w:rsid w:val="00557F84"/>
    <w:rsid w:val="005612AD"/>
    <w:rsid w:val="00562AF9"/>
    <w:rsid w:val="005643D0"/>
    <w:rsid w:val="00566EE0"/>
    <w:rsid w:val="00573315"/>
    <w:rsid w:val="0057385E"/>
    <w:rsid w:val="0057573C"/>
    <w:rsid w:val="00575A71"/>
    <w:rsid w:val="00576A3F"/>
    <w:rsid w:val="00576A5E"/>
    <w:rsid w:val="00577380"/>
    <w:rsid w:val="00580C4C"/>
    <w:rsid w:val="00580DB3"/>
    <w:rsid w:val="005839CE"/>
    <w:rsid w:val="005844BF"/>
    <w:rsid w:val="00585233"/>
    <w:rsid w:val="00590178"/>
    <w:rsid w:val="0059103B"/>
    <w:rsid w:val="0059493D"/>
    <w:rsid w:val="00597B62"/>
    <w:rsid w:val="005A0BC9"/>
    <w:rsid w:val="005A1A23"/>
    <w:rsid w:val="005A500F"/>
    <w:rsid w:val="005A5152"/>
    <w:rsid w:val="005A5330"/>
    <w:rsid w:val="005A59EC"/>
    <w:rsid w:val="005B26EC"/>
    <w:rsid w:val="005B654C"/>
    <w:rsid w:val="005C2A41"/>
    <w:rsid w:val="005C2F8E"/>
    <w:rsid w:val="005C45D0"/>
    <w:rsid w:val="005C4E85"/>
    <w:rsid w:val="005C62B5"/>
    <w:rsid w:val="005C73EC"/>
    <w:rsid w:val="005C7435"/>
    <w:rsid w:val="005C74E3"/>
    <w:rsid w:val="005D015C"/>
    <w:rsid w:val="005D1AB8"/>
    <w:rsid w:val="005D1DD8"/>
    <w:rsid w:val="005D3755"/>
    <w:rsid w:val="005D759D"/>
    <w:rsid w:val="005D763E"/>
    <w:rsid w:val="005E2790"/>
    <w:rsid w:val="005E2EC1"/>
    <w:rsid w:val="005E7F5E"/>
    <w:rsid w:val="005F1930"/>
    <w:rsid w:val="005F68AB"/>
    <w:rsid w:val="005F781E"/>
    <w:rsid w:val="005F7E6C"/>
    <w:rsid w:val="00603B1F"/>
    <w:rsid w:val="00605821"/>
    <w:rsid w:val="006069CF"/>
    <w:rsid w:val="0060730D"/>
    <w:rsid w:val="006075E4"/>
    <w:rsid w:val="006101CF"/>
    <w:rsid w:val="00610F8B"/>
    <w:rsid w:val="0061233C"/>
    <w:rsid w:val="00612D07"/>
    <w:rsid w:val="00613D03"/>
    <w:rsid w:val="00617406"/>
    <w:rsid w:val="00617511"/>
    <w:rsid w:val="0062296C"/>
    <w:rsid w:val="006231D0"/>
    <w:rsid w:val="0062393B"/>
    <w:rsid w:val="00625F6C"/>
    <w:rsid w:val="00626970"/>
    <w:rsid w:val="0063104B"/>
    <w:rsid w:val="0063273A"/>
    <w:rsid w:val="0063540B"/>
    <w:rsid w:val="006362A5"/>
    <w:rsid w:val="006452D3"/>
    <w:rsid w:val="0064584F"/>
    <w:rsid w:val="0064704D"/>
    <w:rsid w:val="006470FC"/>
    <w:rsid w:val="00650E59"/>
    <w:rsid w:val="00651810"/>
    <w:rsid w:val="006518C2"/>
    <w:rsid w:val="00652E49"/>
    <w:rsid w:val="00653371"/>
    <w:rsid w:val="00654C30"/>
    <w:rsid w:val="006627C1"/>
    <w:rsid w:val="00662CBC"/>
    <w:rsid w:val="00663B59"/>
    <w:rsid w:val="00665123"/>
    <w:rsid w:val="006674AB"/>
    <w:rsid w:val="00670388"/>
    <w:rsid w:val="006703EC"/>
    <w:rsid w:val="006757D5"/>
    <w:rsid w:val="00675F1C"/>
    <w:rsid w:val="006832C0"/>
    <w:rsid w:val="00683862"/>
    <w:rsid w:val="00683B51"/>
    <w:rsid w:val="006860B7"/>
    <w:rsid w:val="00686B22"/>
    <w:rsid w:val="00686ED0"/>
    <w:rsid w:val="00687C81"/>
    <w:rsid w:val="00692BB3"/>
    <w:rsid w:val="006947A8"/>
    <w:rsid w:val="006970EE"/>
    <w:rsid w:val="006A1630"/>
    <w:rsid w:val="006A3C99"/>
    <w:rsid w:val="006A63EF"/>
    <w:rsid w:val="006A6C99"/>
    <w:rsid w:val="006B1D6A"/>
    <w:rsid w:val="006B2F9B"/>
    <w:rsid w:val="006B33FA"/>
    <w:rsid w:val="006B5016"/>
    <w:rsid w:val="006B5CB1"/>
    <w:rsid w:val="006B7090"/>
    <w:rsid w:val="006C24DA"/>
    <w:rsid w:val="006C2780"/>
    <w:rsid w:val="006C4E10"/>
    <w:rsid w:val="006C5E00"/>
    <w:rsid w:val="006C5E06"/>
    <w:rsid w:val="006D0700"/>
    <w:rsid w:val="006D0C42"/>
    <w:rsid w:val="006D2D5D"/>
    <w:rsid w:val="006D3838"/>
    <w:rsid w:val="006D556F"/>
    <w:rsid w:val="006D607C"/>
    <w:rsid w:val="006E132C"/>
    <w:rsid w:val="006E28EE"/>
    <w:rsid w:val="006E4C6B"/>
    <w:rsid w:val="006E781E"/>
    <w:rsid w:val="006E784A"/>
    <w:rsid w:val="006E7D61"/>
    <w:rsid w:val="006F2F27"/>
    <w:rsid w:val="006F441F"/>
    <w:rsid w:val="006F529A"/>
    <w:rsid w:val="00700D42"/>
    <w:rsid w:val="00701DF8"/>
    <w:rsid w:val="0070412F"/>
    <w:rsid w:val="007044CD"/>
    <w:rsid w:val="007065B9"/>
    <w:rsid w:val="00706731"/>
    <w:rsid w:val="00706EA7"/>
    <w:rsid w:val="00707E65"/>
    <w:rsid w:val="00710E6D"/>
    <w:rsid w:val="00711982"/>
    <w:rsid w:val="00713498"/>
    <w:rsid w:val="0071406E"/>
    <w:rsid w:val="00714BF8"/>
    <w:rsid w:val="00714EB6"/>
    <w:rsid w:val="00715361"/>
    <w:rsid w:val="007208C6"/>
    <w:rsid w:val="00720D91"/>
    <w:rsid w:val="00721CFD"/>
    <w:rsid w:val="00722B88"/>
    <w:rsid w:val="00722DDD"/>
    <w:rsid w:val="00723073"/>
    <w:rsid w:val="0072347B"/>
    <w:rsid w:val="00724F97"/>
    <w:rsid w:val="00725735"/>
    <w:rsid w:val="00726CB6"/>
    <w:rsid w:val="007275B0"/>
    <w:rsid w:val="00731581"/>
    <w:rsid w:val="00731A3D"/>
    <w:rsid w:val="00731DFA"/>
    <w:rsid w:val="007320D7"/>
    <w:rsid w:val="00732523"/>
    <w:rsid w:val="00734655"/>
    <w:rsid w:val="00735C9D"/>
    <w:rsid w:val="007364BE"/>
    <w:rsid w:val="00737B3D"/>
    <w:rsid w:val="00740AED"/>
    <w:rsid w:val="00742D0C"/>
    <w:rsid w:val="00743615"/>
    <w:rsid w:val="007440C8"/>
    <w:rsid w:val="00744493"/>
    <w:rsid w:val="007448DE"/>
    <w:rsid w:val="00746A53"/>
    <w:rsid w:val="00751019"/>
    <w:rsid w:val="00751651"/>
    <w:rsid w:val="0075386E"/>
    <w:rsid w:val="00753CB4"/>
    <w:rsid w:val="00755095"/>
    <w:rsid w:val="0075520F"/>
    <w:rsid w:val="007552B3"/>
    <w:rsid w:val="00756F96"/>
    <w:rsid w:val="0075751C"/>
    <w:rsid w:val="00762ABB"/>
    <w:rsid w:val="00764329"/>
    <w:rsid w:val="007646F6"/>
    <w:rsid w:val="007651F1"/>
    <w:rsid w:val="00766CD0"/>
    <w:rsid w:val="00770155"/>
    <w:rsid w:val="00770D5F"/>
    <w:rsid w:val="00771DE3"/>
    <w:rsid w:val="00771EE1"/>
    <w:rsid w:val="00774CB2"/>
    <w:rsid w:val="007753CC"/>
    <w:rsid w:val="00775666"/>
    <w:rsid w:val="00780CB6"/>
    <w:rsid w:val="00787F04"/>
    <w:rsid w:val="00790A4A"/>
    <w:rsid w:val="00794190"/>
    <w:rsid w:val="00794CF0"/>
    <w:rsid w:val="007A1F19"/>
    <w:rsid w:val="007A469D"/>
    <w:rsid w:val="007A4A07"/>
    <w:rsid w:val="007A62DF"/>
    <w:rsid w:val="007A7342"/>
    <w:rsid w:val="007A7660"/>
    <w:rsid w:val="007B005C"/>
    <w:rsid w:val="007B00E0"/>
    <w:rsid w:val="007B0459"/>
    <w:rsid w:val="007B05FE"/>
    <w:rsid w:val="007B116D"/>
    <w:rsid w:val="007B5D92"/>
    <w:rsid w:val="007B62A8"/>
    <w:rsid w:val="007B7482"/>
    <w:rsid w:val="007B7E45"/>
    <w:rsid w:val="007C5CE8"/>
    <w:rsid w:val="007C6042"/>
    <w:rsid w:val="007D0396"/>
    <w:rsid w:val="007D12AC"/>
    <w:rsid w:val="007D3371"/>
    <w:rsid w:val="007D33A6"/>
    <w:rsid w:val="007D604A"/>
    <w:rsid w:val="007D6102"/>
    <w:rsid w:val="007E1056"/>
    <w:rsid w:val="007E4049"/>
    <w:rsid w:val="007E59C4"/>
    <w:rsid w:val="007E7DAF"/>
    <w:rsid w:val="007F19B2"/>
    <w:rsid w:val="007F27B0"/>
    <w:rsid w:val="007F28E5"/>
    <w:rsid w:val="007F2A8D"/>
    <w:rsid w:val="007F2BE7"/>
    <w:rsid w:val="007F2C51"/>
    <w:rsid w:val="007F539C"/>
    <w:rsid w:val="007F5E2B"/>
    <w:rsid w:val="00801DFC"/>
    <w:rsid w:val="008027E0"/>
    <w:rsid w:val="0080328E"/>
    <w:rsid w:val="008039A8"/>
    <w:rsid w:val="00804AE0"/>
    <w:rsid w:val="00804F3C"/>
    <w:rsid w:val="00811BF5"/>
    <w:rsid w:val="0081204D"/>
    <w:rsid w:val="00812147"/>
    <w:rsid w:val="00813854"/>
    <w:rsid w:val="008147C9"/>
    <w:rsid w:val="00814EEE"/>
    <w:rsid w:val="00815A03"/>
    <w:rsid w:val="00817C6E"/>
    <w:rsid w:val="00820551"/>
    <w:rsid w:val="008237C9"/>
    <w:rsid w:val="00825056"/>
    <w:rsid w:val="00825A39"/>
    <w:rsid w:val="0083113F"/>
    <w:rsid w:val="00835C48"/>
    <w:rsid w:val="00836297"/>
    <w:rsid w:val="00844C4B"/>
    <w:rsid w:val="00846A01"/>
    <w:rsid w:val="008473D3"/>
    <w:rsid w:val="0085331C"/>
    <w:rsid w:val="008603AE"/>
    <w:rsid w:val="00861388"/>
    <w:rsid w:val="00863152"/>
    <w:rsid w:val="00864D4F"/>
    <w:rsid w:val="008653E4"/>
    <w:rsid w:val="00871297"/>
    <w:rsid w:val="00871581"/>
    <w:rsid w:val="0087260B"/>
    <w:rsid w:val="008729E8"/>
    <w:rsid w:val="00872C03"/>
    <w:rsid w:val="008733ED"/>
    <w:rsid w:val="00874C34"/>
    <w:rsid w:val="00876F6B"/>
    <w:rsid w:val="00880207"/>
    <w:rsid w:val="008802BA"/>
    <w:rsid w:val="00880D1D"/>
    <w:rsid w:val="00883B8A"/>
    <w:rsid w:val="00884519"/>
    <w:rsid w:val="00885824"/>
    <w:rsid w:val="008864E0"/>
    <w:rsid w:val="008873DC"/>
    <w:rsid w:val="008875EA"/>
    <w:rsid w:val="00891EE6"/>
    <w:rsid w:val="0089337D"/>
    <w:rsid w:val="00893A62"/>
    <w:rsid w:val="00893C2A"/>
    <w:rsid w:val="00896680"/>
    <w:rsid w:val="00896FF4"/>
    <w:rsid w:val="008A19F1"/>
    <w:rsid w:val="008A31AD"/>
    <w:rsid w:val="008A3EE7"/>
    <w:rsid w:val="008A696A"/>
    <w:rsid w:val="008A6CEB"/>
    <w:rsid w:val="008A6DFD"/>
    <w:rsid w:val="008B0375"/>
    <w:rsid w:val="008B3030"/>
    <w:rsid w:val="008B35ED"/>
    <w:rsid w:val="008B4F4B"/>
    <w:rsid w:val="008B68DE"/>
    <w:rsid w:val="008B6E9A"/>
    <w:rsid w:val="008C1B31"/>
    <w:rsid w:val="008C2159"/>
    <w:rsid w:val="008C2CD7"/>
    <w:rsid w:val="008C4041"/>
    <w:rsid w:val="008C4469"/>
    <w:rsid w:val="008C598E"/>
    <w:rsid w:val="008C59AD"/>
    <w:rsid w:val="008C60D9"/>
    <w:rsid w:val="008D1992"/>
    <w:rsid w:val="008D1B5F"/>
    <w:rsid w:val="008D5524"/>
    <w:rsid w:val="008D6683"/>
    <w:rsid w:val="008E1A25"/>
    <w:rsid w:val="008E20A7"/>
    <w:rsid w:val="008E53FA"/>
    <w:rsid w:val="008E68F0"/>
    <w:rsid w:val="008E7F49"/>
    <w:rsid w:val="008F0E9F"/>
    <w:rsid w:val="008F14F2"/>
    <w:rsid w:val="008F1812"/>
    <w:rsid w:val="008F4C60"/>
    <w:rsid w:val="008F5F59"/>
    <w:rsid w:val="008F7506"/>
    <w:rsid w:val="00901F9E"/>
    <w:rsid w:val="00904146"/>
    <w:rsid w:val="0090768A"/>
    <w:rsid w:val="0091088A"/>
    <w:rsid w:val="00910BF7"/>
    <w:rsid w:val="00910FFB"/>
    <w:rsid w:val="00911505"/>
    <w:rsid w:val="00911784"/>
    <w:rsid w:val="00911B23"/>
    <w:rsid w:val="0091324F"/>
    <w:rsid w:val="009141F0"/>
    <w:rsid w:val="009142D0"/>
    <w:rsid w:val="00914FDE"/>
    <w:rsid w:val="009200C0"/>
    <w:rsid w:val="00921783"/>
    <w:rsid w:val="009253C6"/>
    <w:rsid w:val="00931083"/>
    <w:rsid w:val="009321C7"/>
    <w:rsid w:val="0093278A"/>
    <w:rsid w:val="0093471E"/>
    <w:rsid w:val="00935FE5"/>
    <w:rsid w:val="00936BD2"/>
    <w:rsid w:val="00940B19"/>
    <w:rsid w:val="009434E2"/>
    <w:rsid w:val="00944E5C"/>
    <w:rsid w:val="00945ED7"/>
    <w:rsid w:val="00947096"/>
    <w:rsid w:val="009472B7"/>
    <w:rsid w:val="00950470"/>
    <w:rsid w:val="00951A01"/>
    <w:rsid w:val="009543D7"/>
    <w:rsid w:val="009553BB"/>
    <w:rsid w:val="009614FC"/>
    <w:rsid w:val="00962021"/>
    <w:rsid w:val="0096268B"/>
    <w:rsid w:val="00962798"/>
    <w:rsid w:val="009770AC"/>
    <w:rsid w:val="009770CF"/>
    <w:rsid w:val="00977E2D"/>
    <w:rsid w:val="009811E1"/>
    <w:rsid w:val="00981D3C"/>
    <w:rsid w:val="00983BF9"/>
    <w:rsid w:val="00983C04"/>
    <w:rsid w:val="00987A41"/>
    <w:rsid w:val="0099004E"/>
    <w:rsid w:val="00993D14"/>
    <w:rsid w:val="00993E23"/>
    <w:rsid w:val="00997542"/>
    <w:rsid w:val="009A005B"/>
    <w:rsid w:val="009A26B6"/>
    <w:rsid w:val="009A3879"/>
    <w:rsid w:val="009A3F6E"/>
    <w:rsid w:val="009A5953"/>
    <w:rsid w:val="009A62F9"/>
    <w:rsid w:val="009A64AA"/>
    <w:rsid w:val="009B3140"/>
    <w:rsid w:val="009B46DD"/>
    <w:rsid w:val="009B7F06"/>
    <w:rsid w:val="009C12C5"/>
    <w:rsid w:val="009C26C7"/>
    <w:rsid w:val="009C2D0C"/>
    <w:rsid w:val="009C4260"/>
    <w:rsid w:val="009C7602"/>
    <w:rsid w:val="009D0538"/>
    <w:rsid w:val="009D0F61"/>
    <w:rsid w:val="009D280A"/>
    <w:rsid w:val="009D4C0C"/>
    <w:rsid w:val="009E1BF4"/>
    <w:rsid w:val="009E2055"/>
    <w:rsid w:val="009E2313"/>
    <w:rsid w:val="009E3429"/>
    <w:rsid w:val="009E350E"/>
    <w:rsid w:val="009E5B19"/>
    <w:rsid w:val="009F1D7D"/>
    <w:rsid w:val="009F46AB"/>
    <w:rsid w:val="009F5C31"/>
    <w:rsid w:val="009F67AA"/>
    <w:rsid w:val="009F6809"/>
    <w:rsid w:val="009F7980"/>
    <w:rsid w:val="00A0122C"/>
    <w:rsid w:val="00A03FB9"/>
    <w:rsid w:val="00A051AD"/>
    <w:rsid w:val="00A0520F"/>
    <w:rsid w:val="00A05895"/>
    <w:rsid w:val="00A06943"/>
    <w:rsid w:val="00A07255"/>
    <w:rsid w:val="00A1029A"/>
    <w:rsid w:val="00A1363F"/>
    <w:rsid w:val="00A13FFD"/>
    <w:rsid w:val="00A15AAF"/>
    <w:rsid w:val="00A22327"/>
    <w:rsid w:val="00A23ED0"/>
    <w:rsid w:val="00A266A9"/>
    <w:rsid w:val="00A26CD6"/>
    <w:rsid w:val="00A30649"/>
    <w:rsid w:val="00A327C2"/>
    <w:rsid w:val="00A3330B"/>
    <w:rsid w:val="00A36985"/>
    <w:rsid w:val="00A36E23"/>
    <w:rsid w:val="00A3740F"/>
    <w:rsid w:val="00A37758"/>
    <w:rsid w:val="00A37D64"/>
    <w:rsid w:val="00A440A0"/>
    <w:rsid w:val="00A4647C"/>
    <w:rsid w:val="00A46FCF"/>
    <w:rsid w:val="00A51B94"/>
    <w:rsid w:val="00A524B6"/>
    <w:rsid w:val="00A54927"/>
    <w:rsid w:val="00A564ED"/>
    <w:rsid w:val="00A57F4C"/>
    <w:rsid w:val="00A60135"/>
    <w:rsid w:val="00A63C45"/>
    <w:rsid w:val="00A63E8F"/>
    <w:rsid w:val="00A64C04"/>
    <w:rsid w:val="00A653F8"/>
    <w:rsid w:val="00A6674C"/>
    <w:rsid w:val="00A67F44"/>
    <w:rsid w:val="00A769AD"/>
    <w:rsid w:val="00A77125"/>
    <w:rsid w:val="00A80FDA"/>
    <w:rsid w:val="00A82C89"/>
    <w:rsid w:val="00A83387"/>
    <w:rsid w:val="00A83673"/>
    <w:rsid w:val="00A846D9"/>
    <w:rsid w:val="00A84CC9"/>
    <w:rsid w:val="00A85381"/>
    <w:rsid w:val="00A85416"/>
    <w:rsid w:val="00A8736A"/>
    <w:rsid w:val="00A965CF"/>
    <w:rsid w:val="00A97DD8"/>
    <w:rsid w:val="00AA1AB9"/>
    <w:rsid w:val="00AA21E0"/>
    <w:rsid w:val="00AA2E9F"/>
    <w:rsid w:val="00AA309B"/>
    <w:rsid w:val="00AA5498"/>
    <w:rsid w:val="00AA5B09"/>
    <w:rsid w:val="00AB20E1"/>
    <w:rsid w:val="00AB27A6"/>
    <w:rsid w:val="00AB5294"/>
    <w:rsid w:val="00AB5526"/>
    <w:rsid w:val="00AC1967"/>
    <w:rsid w:val="00AC2A1D"/>
    <w:rsid w:val="00AC471A"/>
    <w:rsid w:val="00AC7925"/>
    <w:rsid w:val="00AC7E2A"/>
    <w:rsid w:val="00AD0445"/>
    <w:rsid w:val="00AD1D02"/>
    <w:rsid w:val="00AD2ACC"/>
    <w:rsid w:val="00AD4559"/>
    <w:rsid w:val="00AD6CC3"/>
    <w:rsid w:val="00AD7864"/>
    <w:rsid w:val="00AD7BFB"/>
    <w:rsid w:val="00AE0D9B"/>
    <w:rsid w:val="00AE13B2"/>
    <w:rsid w:val="00AE3861"/>
    <w:rsid w:val="00AE40C4"/>
    <w:rsid w:val="00AE76E6"/>
    <w:rsid w:val="00AF21D1"/>
    <w:rsid w:val="00AF2B42"/>
    <w:rsid w:val="00AF5A26"/>
    <w:rsid w:val="00AF7188"/>
    <w:rsid w:val="00AF75C1"/>
    <w:rsid w:val="00B00D48"/>
    <w:rsid w:val="00B028C1"/>
    <w:rsid w:val="00B03AC5"/>
    <w:rsid w:val="00B03E7D"/>
    <w:rsid w:val="00B05CAE"/>
    <w:rsid w:val="00B06129"/>
    <w:rsid w:val="00B11967"/>
    <w:rsid w:val="00B13434"/>
    <w:rsid w:val="00B13D06"/>
    <w:rsid w:val="00B15CC1"/>
    <w:rsid w:val="00B16F30"/>
    <w:rsid w:val="00B1753F"/>
    <w:rsid w:val="00B17F61"/>
    <w:rsid w:val="00B202FB"/>
    <w:rsid w:val="00B20733"/>
    <w:rsid w:val="00B22ADF"/>
    <w:rsid w:val="00B2325B"/>
    <w:rsid w:val="00B24BA8"/>
    <w:rsid w:val="00B24C16"/>
    <w:rsid w:val="00B27868"/>
    <w:rsid w:val="00B30B1B"/>
    <w:rsid w:val="00B31C62"/>
    <w:rsid w:val="00B3380F"/>
    <w:rsid w:val="00B35186"/>
    <w:rsid w:val="00B36F5A"/>
    <w:rsid w:val="00B45D68"/>
    <w:rsid w:val="00B509A4"/>
    <w:rsid w:val="00B51296"/>
    <w:rsid w:val="00B51589"/>
    <w:rsid w:val="00B5251B"/>
    <w:rsid w:val="00B52BF7"/>
    <w:rsid w:val="00B548AC"/>
    <w:rsid w:val="00B55051"/>
    <w:rsid w:val="00B5747C"/>
    <w:rsid w:val="00B57D31"/>
    <w:rsid w:val="00B57F48"/>
    <w:rsid w:val="00B6135E"/>
    <w:rsid w:val="00B6407C"/>
    <w:rsid w:val="00B6456E"/>
    <w:rsid w:val="00B66896"/>
    <w:rsid w:val="00B71E83"/>
    <w:rsid w:val="00B72248"/>
    <w:rsid w:val="00B72E27"/>
    <w:rsid w:val="00B7735C"/>
    <w:rsid w:val="00B77F5F"/>
    <w:rsid w:val="00B800E7"/>
    <w:rsid w:val="00B81C55"/>
    <w:rsid w:val="00B8203F"/>
    <w:rsid w:val="00B82658"/>
    <w:rsid w:val="00B84457"/>
    <w:rsid w:val="00B8448F"/>
    <w:rsid w:val="00B85AAE"/>
    <w:rsid w:val="00B8691C"/>
    <w:rsid w:val="00B931A4"/>
    <w:rsid w:val="00B951F3"/>
    <w:rsid w:val="00BA0463"/>
    <w:rsid w:val="00BA17BC"/>
    <w:rsid w:val="00BA1A55"/>
    <w:rsid w:val="00BA33DE"/>
    <w:rsid w:val="00BA505C"/>
    <w:rsid w:val="00BA5C05"/>
    <w:rsid w:val="00BA67EA"/>
    <w:rsid w:val="00BA6B92"/>
    <w:rsid w:val="00BB2684"/>
    <w:rsid w:val="00BB429D"/>
    <w:rsid w:val="00BB6F94"/>
    <w:rsid w:val="00BC2372"/>
    <w:rsid w:val="00BC240D"/>
    <w:rsid w:val="00BC3D7D"/>
    <w:rsid w:val="00BC3DF3"/>
    <w:rsid w:val="00BC41EE"/>
    <w:rsid w:val="00BC538E"/>
    <w:rsid w:val="00BC5B5B"/>
    <w:rsid w:val="00BC71C6"/>
    <w:rsid w:val="00BD615E"/>
    <w:rsid w:val="00BE23DE"/>
    <w:rsid w:val="00BE3041"/>
    <w:rsid w:val="00BE3078"/>
    <w:rsid w:val="00BE3B7F"/>
    <w:rsid w:val="00BE3D46"/>
    <w:rsid w:val="00BE4702"/>
    <w:rsid w:val="00BE69D9"/>
    <w:rsid w:val="00BE75FA"/>
    <w:rsid w:val="00BF1ABF"/>
    <w:rsid w:val="00BF347A"/>
    <w:rsid w:val="00BF4E40"/>
    <w:rsid w:val="00BF6C6F"/>
    <w:rsid w:val="00C001F8"/>
    <w:rsid w:val="00C03208"/>
    <w:rsid w:val="00C071BA"/>
    <w:rsid w:val="00C0741A"/>
    <w:rsid w:val="00C0743E"/>
    <w:rsid w:val="00C118BA"/>
    <w:rsid w:val="00C13D8B"/>
    <w:rsid w:val="00C13EF6"/>
    <w:rsid w:val="00C14A3E"/>
    <w:rsid w:val="00C2083F"/>
    <w:rsid w:val="00C2226E"/>
    <w:rsid w:val="00C22987"/>
    <w:rsid w:val="00C22E96"/>
    <w:rsid w:val="00C22EC5"/>
    <w:rsid w:val="00C23506"/>
    <w:rsid w:val="00C238BB"/>
    <w:rsid w:val="00C2495C"/>
    <w:rsid w:val="00C24A93"/>
    <w:rsid w:val="00C25AB8"/>
    <w:rsid w:val="00C26D88"/>
    <w:rsid w:val="00C271B2"/>
    <w:rsid w:val="00C27697"/>
    <w:rsid w:val="00C27766"/>
    <w:rsid w:val="00C30230"/>
    <w:rsid w:val="00C31B60"/>
    <w:rsid w:val="00C32E60"/>
    <w:rsid w:val="00C33A34"/>
    <w:rsid w:val="00C3431B"/>
    <w:rsid w:val="00C361BF"/>
    <w:rsid w:val="00C3654B"/>
    <w:rsid w:val="00C41659"/>
    <w:rsid w:val="00C46108"/>
    <w:rsid w:val="00C4799E"/>
    <w:rsid w:val="00C5044D"/>
    <w:rsid w:val="00C50632"/>
    <w:rsid w:val="00C51297"/>
    <w:rsid w:val="00C52864"/>
    <w:rsid w:val="00C53160"/>
    <w:rsid w:val="00C61236"/>
    <w:rsid w:val="00C613A8"/>
    <w:rsid w:val="00C641BE"/>
    <w:rsid w:val="00C642C1"/>
    <w:rsid w:val="00C65608"/>
    <w:rsid w:val="00C65FFC"/>
    <w:rsid w:val="00C7141C"/>
    <w:rsid w:val="00C729BB"/>
    <w:rsid w:val="00C73FEB"/>
    <w:rsid w:val="00C77865"/>
    <w:rsid w:val="00C81539"/>
    <w:rsid w:val="00C82623"/>
    <w:rsid w:val="00C8585D"/>
    <w:rsid w:val="00C86E60"/>
    <w:rsid w:val="00C91046"/>
    <w:rsid w:val="00C92143"/>
    <w:rsid w:val="00C9482E"/>
    <w:rsid w:val="00C96188"/>
    <w:rsid w:val="00CA10CA"/>
    <w:rsid w:val="00CA1CEB"/>
    <w:rsid w:val="00CA1DA6"/>
    <w:rsid w:val="00CA23FD"/>
    <w:rsid w:val="00CA2705"/>
    <w:rsid w:val="00CA2F3E"/>
    <w:rsid w:val="00CA5616"/>
    <w:rsid w:val="00CA634F"/>
    <w:rsid w:val="00CB0959"/>
    <w:rsid w:val="00CB2C32"/>
    <w:rsid w:val="00CB4757"/>
    <w:rsid w:val="00CB5B88"/>
    <w:rsid w:val="00CB63D4"/>
    <w:rsid w:val="00CB6943"/>
    <w:rsid w:val="00CC1DA9"/>
    <w:rsid w:val="00CC27D5"/>
    <w:rsid w:val="00CC38E8"/>
    <w:rsid w:val="00CC3CA9"/>
    <w:rsid w:val="00CC52E9"/>
    <w:rsid w:val="00CC7EF9"/>
    <w:rsid w:val="00CD4735"/>
    <w:rsid w:val="00CD5B31"/>
    <w:rsid w:val="00CD6A3A"/>
    <w:rsid w:val="00CD6F5A"/>
    <w:rsid w:val="00CE09A9"/>
    <w:rsid w:val="00CE4F62"/>
    <w:rsid w:val="00CF0D4E"/>
    <w:rsid w:val="00CF1EB8"/>
    <w:rsid w:val="00CF45EF"/>
    <w:rsid w:val="00D039C9"/>
    <w:rsid w:val="00D10616"/>
    <w:rsid w:val="00D10E34"/>
    <w:rsid w:val="00D1299D"/>
    <w:rsid w:val="00D13188"/>
    <w:rsid w:val="00D16BF8"/>
    <w:rsid w:val="00D1700A"/>
    <w:rsid w:val="00D204D6"/>
    <w:rsid w:val="00D20D0F"/>
    <w:rsid w:val="00D21C66"/>
    <w:rsid w:val="00D2539D"/>
    <w:rsid w:val="00D255AC"/>
    <w:rsid w:val="00D318E2"/>
    <w:rsid w:val="00D31DC4"/>
    <w:rsid w:val="00D327D2"/>
    <w:rsid w:val="00D34228"/>
    <w:rsid w:val="00D3466E"/>
    <w:rsid w:val="00D35FF5"/>
    <w:rsid w:val="00D372D2"/>
    <w:rsid w:val="00D407F1"/>
    <w:rsid w:val="00D40D23"/>
    <w:rsid w:val="00D4463B"/>
    <w:rsid w:val="00D44979"/>
    <w:rsid w:val="00D46AFC"/>
    <w:rsid w:val="00D473AE"/>
    <w:rsid w:val="00D51F07"/>
    <w:rsid w:val="00D5651A"/>
    <w:rsid w:val="00D56717"/>
    <w:rsid w:val="00D57D09"/>
    <w:rsid w:val="00D63B2C"/>
    <w:rsid w:val="00D650BE"/>
    <w:rsid w:val="00D73AB6"/>
    <w:rsid w:val="00D74747"/>
    <w:rsid w:val="00D751A4"/>
    <w:rsid w:val="00D8051F"/>
    <w:rsid w:val="00D8111A"/>
    <w:rsid w:val="00D81661"/>
    <w:rsid w:val="00D8178E"/>
    <w:rsid w:val="00D8206D"/>
    <w:rsid w:val="00D84840"/>
    <w:rsid w:val="00D86AFC"/>
    <w:rsid w:val="00D90CD0"/>
    <w:rsid w:val="00D91105"/>
    <w:rsid w:val="00D957DE"/>
    <w:rsid w:val="00D95D01"/>
    <w:rsid w:val="00D977C2"/>
    <w:rsid w:val="00D9780E"/>
    <w:rsid w:val="00D97E25"/>
    <w:rsid w:val="00DA053D"/>
    <w:rsid w:val="00DA06EA"/>
    <w:rsid w:val="00DA3375"/>
    <w:rsid w:val="00DA5868"/>
    <w:rsid w:val="00DB128E"/>
    <w:rsid w:val="00DB4794"/>
    <w:rsid w:val="00DB6294"/>
    <w:rsid w:val="00DB7868"/>
    <w:rsid w:val="00DC17AE"/>
    <w:rsid w:val="00DC3AF4"/>
    <w:rsid w:val="00DC3C30"/>
    <w:rsid w:val="00DC64E1"/>
    <w:rsid w:val="00DC79B6"/>
    <w:rsid w:val="00DC7C5C"/>
    <w:rsid w:val="00DD3808"/>
    <w:rsid w:val="00DD52C4"/>
    <w:rsid w:val="00DD6167"/>
    <w:rsid w:val="00DD71F5"/>
    <w:rsid w:val="00DD7ED4"/>
    <w:rsid w:val="00DE46A5"/>
    <w:rsid w:val="00DE558C"/>
    <w:rsid w:val="00DE6115"/>
    <w:rsid w:val="00DF134A"/>
    <w:rsid w:val="00DF488F"/>
    <w:rsid w:val="00E01115"/>
    <w:rsid w:val="00E04537"/>
    <w:rsid w:val="00E04FFE"/>
    <w:rsid w:val="00E05DBB"/>
    <w:rsid w:val="00E10318"/>
    <w:rsid w:val="00E1157B"/>
    <w:rsid w:val="00E11D21"/>
    <w:rsid w:val="00E123ED"/>
    <w:rsid w:val="00E12A92"/>
    <w:rsid w:val="00E158D3"/>
    <w:rsid w:val="00E1667D"/>
    <w:rsid w:val="00E20E4F"/>
    <w:rsid w:val="00E21564"/>
    <w:rsid w:val="00E221B6"/>
    <w:rsid w:val="00E224F6"/>
    <w:rsid w:val="00E2392B"/>
    <w:rsid w:val="00E31941"/>
    <w:rsid w:val="00E31F7D"/>
    <w:rsid w:val="00E33E81"/>
    <w:rsid w:val="00E34FFC"/>
    <w:rsid w:val="00E353C7"/>
    <w:rsid w:val="00E358EA"/>
    <w:rsid w:val="00E35D4D"/>
    <w:rsid w:val="00E35F33"/>
    <w:rsid w:val="00E41C3A"/>
    <w:rsid w:val="00E42B5C"/>
    <w:rsid w:val="00E42D90"/>
    <w:rsid w:val="00E44F54"/>
    <w:rsid w:val="00E46730"/>
    <w:rsid w:val="00E4786F"/>
    <w:rsid w:val="00E551AC"/>
    <w:rsid w:val="00E5549B"/>
    <w:rsid w:val="00E56D06"/>
    <w:rsid w:val="00E577D2"/>
    <w:rsid w:val="00E62B51"/>
    <w:rsid w:val="00E63CC8"/>
    <w:rsid w:val="00E676FC"/>
    <w:rsid w:val="00E703C9"/>
    <w:rsid w:val="00E71ABE"/>
    <w:rsid w:val="00E74B7E"/>
    <w:rsid w:val="00E751D7"/>
    <w:rsid w:val="00E76BA1"/>
    <w:rsid w:val="00E77454"/>
    <w:rsid w:val="00E77CA4"/>
    <w:rsid w:val="00E81F64"/>
    <w:rsid w:val="00E83CC4"/>
    <w:rsid w:val="00E8532B"/>
    <w:rsid w:val="00E90CDD"/>
    <w:rsid w:val="00E93199"/>
    <w:rsid w:val="00E95A85"/>
    <w:rsid w:val="00E95A8B"/>
    <w:rsid w:val="00E96D5C"/>
    <w:rsid w:val="00EA06A5"/>
    <w:rsid w:val="00EA7294"/>
    <w:rsid w:val="00EA7A80"/>
    <w:rsid w:val="00EB272A"/>
    <w:rsid w:val="00EB2F11"/>
    <w:rsid w:val="00EB3D9F"/>
    <w:rsid w:val="00EB452D"/>
    <w:rsid w:val="00EB54C3"/>
    <w:rsid w:val="00EB5EE5"/>
    <w:rsid w:val="00EB7616"/>
    <w:rsid w:val="00EC011F"/>
    <w:rsid w:val="00EC1E6B"/>
    <w:rsid w:val="00EC2449"/>
    <w:rsid w:val="00EC4C28"/>
    <w:rsid w:val="00EC584B"/>
    <w:rsid w:val="00EC6647"/>
    <w:rsid w:val="00EC75CA"/>
    <w:rsid w:val="00EC7D59"/>
    <w:rsid w:val="00ED2B78"/>
    <w:rsid w:val="00ED3239"/>
    <w:rsid w:val="00ED3495"/>
    <w:rsid w:val="00ED47AA"/>
    <w:rsid w:val="00ED6B86"/>
    <w:rsid w:val="00ED6C53"/>
    <w:rsid w:val="00EE148B"/>
    <w:rsid w:val="00EE4E4D"/>
    <w:rsid w:val="00EE5D29"/>
    <w:rsid w:val="00EE7BC3"/>
    <w:rsid w:val="00EF09F9"/>
    <w:rsid w:val="00EF13D9"/>
    <w:rsid w:val="00EF1C5C"/>
    <w:rsid w:val="00EF35D5"/>
    <w:rsid w:val="00EF4520"/>
    <w:rsid w:val="00EF691A"/>
    <w:rsid w:val="00EF722A"/>
    <w:rsid w:val="00F0113D"/>
    <w:rsid w:val="00F02E4C"/>
    <w:rsid w:val="00F034BE"/>
    <w:rsid w:val="00F04755"/>
    <w:rsid w:val="00F051B7"/>
    <w:rsid w:val="00F057FB"/>
    <w:rsid w:val="00F060AB"/>
    <w:rsid w:val="00F1225C"/>
    <w:rsid w:val="00F1237D"/>
    <w:rsid w:val="00F12D15"/>
    <w:rsid w:val="00F13CC4"/>
    <w:rsid w:val="00F14646"/>
    <w:rsid w:val="00F15A1C"/>
    <w:rsid w:val="00F15E99"/>
    <w:rsid w:val="00F16200"/>
    <w:rsid w:val="00F16DB7"/>
    <w:rsid w:val="00F23B4B"/>
    <w:rsid w:val="00F272C8"/>
    <w:rsid w:val="00F30D52"/>
    <w:rsid w:val="00F315E6"/>
    <w:rsid w:val="00F31EBE"/>
    <w:rsid w:val="00F321AE"/>
    <w:rsid w:val="00F35FD2"/>
    <w:rsid w:val="00F360C3"/>
    <w:rsid w:val="00F400BC"/>
    <w:rsid w:val="00F44B1C"/>
    <w:rsid w:val="00F452D3"/>
    <w:rsid w:val="00F45654"/>
    <w:rsid w:val="00F471A9"/>
    <w:rsid w:val="00F50CF0"/>
    <w:rsid w:val="00F5337B"/>
    <w:rsid w:val="00F53B7C"/>
    <w:rsid w:val="00F55371"/>
    <w:rsid w:val="00F56065"/>
    <w:rsid w:val="00F562C7"/>
    <w:rsid w:val="00F56BEE"/>
    <w:rsid w:val="00F60115"/>
    <w:rsid w:val="00F61906"/>
    <w:rsid w:val="00F626B6"/>
    <w:rsid w:val="00F62F6E"/>
    <w:rsid w:val="00F6507B"/>
    <w:rsid w:val="00F661BF"/>
    <w:rsid w:val="00F66E33"/>
    <w:rsid w:val="00F67192"/>
    <w:rsid w:val="00F678C2"/>
    <w:rsid w:val="00F72BED"/>
    <w:rsid w:val="00F74316"/>
    <w:rsid w:val="00F75E04"/>
    <w:rsid w:val="00F777D7"/>
    <w:rsid w:val="00F81D30"/>
    <w:rsid w:val="00F83048"/>
    <w:rsid w:val="00F84182"/>
    <w:rsid w:val="00F87631"/>
    <w:rsid w:val="00F91748"/>
    <w:rsid w:val="00F926E8"/>
    <w:rsid w:val="00F9357A"/>
    <w:rsid w:val="00FA364B"/>
    <w:rsid w:val="00FA536F"/>
    <w:rsid w:val="00FA5E32"/>
    <w:rsid w:val="00FB2505"/>
    <w:rsid w:val="00FB63F2"/>
    <w:rsid w:val="00FB6B6A"/>
    <w:rsid w:val="00FC0756"/>
    <w:rsid w:val="00FC093A"/>
    <w:rsid w:val="00FC190A"/>
    <w:rsid w:val="00FC5009"/>
    <w:rsid w:val="00FC639C"/>
    <w:rsid w:val="00FC7329"/>
    <w:rsid w:val="00FD133E"/>
    <w:rsid w:val="00FD1E07"/>
    <w:rsid w:val="00FD1ED7"/>
    <w:rsid w:val="00FD201F"/>
    <w:rsid w:val="00FD50B2"/>
    <w:rsid w:val="00FD58EA"/>
    <w:rsid w:val="00FD6E44"/>
    <w:rsid w:val="00FE0A28"/>
    <w:rsid w:val="00FE24F6"/>
    <w:rsid w:val="00FE2AE8"/>
    <w:rsid w:val="00FE3647"/>
    <w:rsid w:val="00FE3D60"/>
    <w:rsid w:val="00FE7E9C"/>
    <w:rsid w:val="00FF1539"/>
    <w:rsid w:val="00FF5217"/>
    <w:rsid w:val="00FF6C97"/>
    <w:rsid w:val="01005277"/>
    <w:rsid w:val="01013057"/>
    <w:rsid w:val="01051A9A"/>
    <w:rsid w:val="01055842"/>
    <w:rsid w:val="011D7103"/>
    <w:rsid w:val="012D0479"/>
    <w:rsid w:val="013A722E"/>
    <w:rsid w:val="015110FC"/>
    <w:rsid w:val="015370E6"/>
    <w:rsid w:val="01676C4B"/>
    <w:rsid w:val="016A4A27"/>
    <w:rsid w:val="01801274"/>
    <w:rsid w:val="01903659"/>
    <w:rsid w:val="01BD7361"/>
    <w:rsid w:val="01E178C4"/>
    <w:rsid w:val="01EB4F22"/>
    <w:rsid w:val="01F73325"/>
    <w:rsid w:val="01FD42EF"/>
    <w:rsid w:val="020411A2"/>
    <w:rsid w:val="02167776"/>
    <w:rsid w:val="0223176F"/>
    <w:rsid w:val="02363853"/>
    <w:rsid w:val="024B6F09"/>
    <w:rsid w:val="025227E9"/>
    <w:rsid w:val="025B5DBD"/>
    <w:rsid w:val="02684255"/>
    <w:rsid w:val="02703872"/>
    <w:rsid w:val="02763434"/>
    <w:rsid w:val="027A530E"/>
    <w:rsid w:val="027B5B32"/>
    <w:rsid w:val="028154B2"/>
    <w:rsid w:val="02836C1A"/>
    <w:rsid w:val="02894FD8"/>
    <w:rsid w:val="028D65E1"/>
    <w:rsid w:val="029E085A"/>
    <w:rsid w:val="02B50726"/>
    <w:rsid w:val="02CA140C"/>
    <w:rsid w:val="02DE6350"/>
    <w:rsid w:val="02E16A3E"/>
    <w:rsid w:val="02E23A99"/>
    <w:rsid w:val="02E43A81"/>
    <w:rsid w:val="02F42EA9"/>
    <w:rsid w:val="030103E7"/>
    <w:rsid w:val="03067499"/>
    <w:rsid w:val="0306798E"/>
    <w:rsid w:val="033A15B3"/>
    <w:rsid w:val="033C0E47"/>
    <w:rsid w:val="034234BE"/>
    <w:rsid w:val="035D7F8B"/>
    <w:rsid w:val="03686DA2"/>
    <w:rsid w:val="039823BA"/>
    <w:rsid w:val="03A350C6"/>
    <w:rsid w:val="03AA0C3B"/>
    <w:rsid w:val="03AD36FA"/>
    <w:rsid w:val="03BF28FD"/>
    <w:rsid w:val="03C1216A"/>
    <w:rsid w:val="03C231A7"/>
    <w:rsid w:val="03C7185D"/>
    <w:rsid w:val="03C77208"/>
    <w:rsid w:val="03E30184"/>
    <w:rsid w:val="040E25AE"/>
    <w:rsid w:val="0415525F"/>
    <w:rsid w:val="041A1F5F"/>
    <w:rsid w:val="04260523"/>
    <w:rsid w:val="043F36E4"/>
    <w:rsid w:val="044B1342"/>
    <w:rsid w:val="0453069E"/>
    <w:rsid w:val="045C4312"/>
    <w:rsid w:val="046B41CF"/>
    <w:rsid w:val="048036C4"/>
    <w:rsid w:val="049249DC"/>
    <w:rsid w:val="049B7588"/>
    <w:rsid w:val="04AD00B4"/>
    <w:rsid w:val="04B231F7"/>
    <w:rsid w:val="04B31F74"/>
    <w:rsid w:val="04BC7C20"/>
    <w:rsid w:val="04C71F56"/>
    <w:rsid w:val="04D774B8"/>
    <w:rsid w:val="04DF1410"/>
    <w:rsid w:val="04E31116"/>
    <w:rsid w:val="050032C4"/>
    <w:rsid w:val="05035C2C"/>
    <w:rsid w:val="05096958"/>
    <w:rsid w:val="050A7CB5"/>
    <w:rsid w:val="051407B0"/>
    <w:rsid w:val="05205B0F"/>
    <w:rsid w:val="05366240"/>
    <w:rsid w:val="053A3879"/>
    <w:rsid w:val="0559183C"/>
    <w:rsid w:val="057073C1"/>
    <w:rsid w:val="05AE42C7"/>
    <w:rsid w:val="05B2438C"/>
    <w:rsid w:val="05CC0F84"/>
    <w:rsid w:val="05D04C11"/>
    <w:rsid w:val="05D40951"/>
    <w:rsid w:val="05F31E37"/>
    <w:rsid w:val="06273CC8"/>
    <w:rsid w:val="063335BD"/>
    <w:rsid w:val="063B2701"/>
    <w:rsid w:val="063C05AE"/>
    <w:rsid w:val="06464445"/>
    <w:rsid w:val="064904CF"/>
    <w:rsid w:val="064C1FA2"/>
    <w:rsid w:val="064F1B08"/>
    <w:rsid w:val="06543F6F"/>
    <w:rsid w:val="0655503A"/>
    <w:rsid w:val="065D7253"/>
    <w:rsid w:val="066761DB"/>
    <w:rsid w:val="066E7FAB"/>
    <w:rsid w:val="066F5CF4"/>
    <w:rsid w:val="067D70A4"/>
    <w:rsid w:val="06854B9E"/>
    <w:rsid w:val="06917D47"/>
    <w:rsid w:val="069A28E6"/>
    <w:rsid w:val="069F13F8"/>
    <w:rsid w:val="06A54224"/>
    <w:rsid w:val="06BA71A9"/>
    <w:rsid w:val="06BB1358"/>
    <w:rsid w:val="06C4249E"/>
    <w:rsid w:val="06CE162A"/>
    <w:rsid w:val="06D12535"/>
    <w:rsid w:val="06EC0324"/>
    <w:rsid w:val="06FA6902"/>
    <w:rsid w:val="07014DD8"/>
    <w:rsid w:val="07022CF3"/>
    <w:rsid w:val="070A29EC"/>
    <w:rsid w:val="0711154C"/>
    <w:rsid w:val="07256CA5"/>
    <w:rsid w:val="073B58EF"/>
    <w:rsid w:val="07402BE8"/>
    <w:rsid w:val="07504EC1"/>
    <w:rsid w:val="076B7541"/>
    <w:rsid w:val="076F2EB0"/>
    <w:rsid w:val="078E443A"/>
    <w:rsid w:val="07950C10"/>
    <w:rsid w:val="07B51096"/>
    <w:rsid w:val="07B65B6B"/>
    <w:rsid w:val="07BD66A5"/>
    <w:rsid w:val="07BE346D"/>
    <w:rsid w:val="07D53B6A"/>
    <w:rsid w:val="07DC3080"/>
    <w:rsid w:val="08010D19"/>
    <w:rsid w:val="081612AA"/>
    <w:rsid w:val="081F09D6"/>
    <w:rsid w:val="08267AE4"/>
    <w:rsid w:val="084542FA"/>
    <w:rsid w:val="084550ED"/>
    <w:rsid w:val="08461AA5"/>
    <w:rsid w:val="085C46F9"/>
    <w:rsid w:val="086470B8"/>
    <w:rsid w:val="08884285"/>
    <w:rsid w:val="08A97FCD"/>
    <w:rsid w:val="08CE2581"/>
    <w:rsid w:val="08D86F1C"/>
    <w:rsid w:val="08E40BFB"/>
    <w:rsid w:val="08F520B2"/>
    <w:rsid w:val="08FE469D"/>
    <w:rsid w:val="0905193D"/>
    <w:rsid w:val="090926FC"/>
    <w:rsid w:val="090B34B5"/>
    <w:rsid w:val="09155336"/>
    <w:rsid w:val="092E3DA2"/>
    <w:rsid w:val="093A6F38"/>
    <w:rsid w:val="093A7432"/>
    <w:rsid w:val="094A2E12"/>
    <w:rsid w:val="094E2325"/>
    <w:rsid w:val="09542EDE"/>
    <w:rsid w:val="096316DD"/>
    <w:rsid w:val="096F48EA"/>
    <w:rsid w:val="097C67D2"/>
    <w:rsid w:val="099D363D"/>
    <w:rsid w:val="09A84F40"/>
    <w:rsid w:val="09B853AD"/>
    <w:rsid w:val="09BC032B"/>
    <w:rsid w:val="09BC23B5"/>
    <w:rsid w:val="09C13917"/>
    <w:rsid w:val="09C37596"/>
    <w:rsid w:val="09C66AF4"/>
    <w:rsid w:val="09DC40DA"/>
    <w:rsid w:val="09DF301E"/>
    <w:rsid w:val="09EE4D6B"/>
    <w:rsid w:val="0A02784C"/>
    <w:rsid w:val="0A061DA1"/>
    <w:rsid w:val="0A065614"/>
    <w:rsid w:val="0A0D0E47"/>
    <w:rsid w:val="0A101C73"/>
    <w:rsid w:val="0A1176EC"/>
    <w:rsid w:val="0A186101"/>
    <w:rsid w:val="0A2672CF"/>
    <w:rsid w:val="0A391A34"/>
    <w:rsid w:val="0A3A1EA4"/>
    <w:rsid w:val="0A3B1CDC"/>
    <w:rsid w:val="0A3E42D4"/>
    <w:rsid w:val="0A560A40"/>
    <w:rsid w:val="0A694793"/>
    <w:rsid w:val="0A6C1E1B"/>
    <w:rsid w:val="0A6D20C1"/>
    <w:rsid w:val="0A7228DF"/>
    <w:rsid w:val="0A762E91"/>
    <w:rsid w:val="0A8122FC"/>
    <w:rsid w:val="0A9926DB"/>
    <w:rsid w:val="0A9C6524"/>
    <w:rsid w:val="0AC834C9"/>
    <w:rsid w:val="0AEB42B7"/>
    <w:rsid w:val="0AF04774"/>
    <w:rsid w:val="0B125BC7"/>
    <w:rsid w:val="0B173E82"/>
    <w:rsid w:val="0B1D4BF8"/>
    <w:rsid w:val="0B341E88"/>
    <w:rsid w:val="0B4033FE"/>
    <w:rsid w:val="0B665E96"/>
    <w:rsid w:val="0B6E778B"/>
    <w:rsid w:val="0B786ADF"/>
    <w:rsid w:val="0B952045"/>
    <w:rsid w:val="0B9547FD"/>
    <w:rsid w:val="0B960744"/>
    <w:rsid w:val="0BA92DF2"/>
    <w:rsid w:val="0BC82368"/>
    <w:rsid w:val="0C2B0EAF"/>
    <w:rsid w:val="0C337DA3"/>
    <w:rsid w:val="0C40339E"/>
    <w:rsid w:val="0C4A1721"/>
    <w:rsid w:val="0C6F2BA6"/>
    <w:rsid w:val="0C7D0506"/>
    <w:rsid w:val="0C8041C4"/>
    <w:rsid w:val="0C941439"/>
    <w:rsid w:val="0CB57378"/>
    <w:rsid w:val="0CC10E18"/>
    <w:rsid w:val="0CC77979"/>
    <w:rsid w:val="0CE14F03"/>
    <w:rsid w:val="0CE9136A"/>
    <w:rsid w:val="0CF76C48"/>
    <w:rsid w:val="0CFF53BF"/>
    <w:rsid w:val="0D064385"/>
    <w:rsid w:val="0D195054"/>
    <w:rsid w:val="0D242B20"/>
    <w:rsid w:val="0D330602"/>
    <w:rsid w:val="0D4661D7"/>
    <w:rsid w:val="0D491B2F"/>
    <w:rsid w:val="0D531267"/>
    <w:rsid w:val="0D5E6594"/>
    <w:rsid w:val="0D655820"/>
    <w:rsid w:val="0D726EFD"/>
    <w:rsid w:val="0D735559"/>
    <w:rsid w:val="0D821EF8"/>
    <w:rsid w:val="0DA371D4"/>
    <w:rsid w:val="0DA66CA2"/>
    <w:rsid w:val="0DAB4BFF"/>
    <w:rsid w:val="0DCF60DF"/>
    <w:rsid w:val="0DD70EA9"/>
    <w:rsid w:val="0DF05919"/>
    <w:rsid w:val="0DFB2558"/>
    <w:rsid w:val="0DFC245C"/>
    <w:rsid w:val="0E043608"/>
    <w:rsid w:val="0E083CC5"/>
    <w:rsid w:val="0E230983"/>
    <w:rsid w:val="0E2C3C73"/>
    <w:rsid w:val="0E435AD9"/>
    <w:rsid w:val="0E522CCF"/>
    <w:rsid w:val="0E531CCE"/>
    <w:rsid w:val="0E71103D"/>
    <w:rsid w:val="0E714ECD"/>
    <w:rsid w:val="0E795232"/>
    <w:rsid w:val="0E7D322E"/>
    <w:rsid w:val="0E8E621B"/>
    <w:rsid w:val="0E9A4DCC"/>
    <w:rsid w:val="0EA65A3E"/>
    <w:rsid w:val="0EB77BF5"/>
    <w:rsid w:val="0EC110E5"/>
    <w:rsid w:val="0ECA7401"/>
    <w:rsid w:val="0ED66230"/>
    <w:rsid w:val="0EE473D2"/>
    <w:rsid w:val="0EED1E35"/>
    <w:rsid w:val="0EF63D35"/>
    <w:rsid w:val="0EFF4DE6"/>
    <w:rsid w:val="0F052FA6"/>
    <w:rsid w:val="0F0D65C6"/>
    <w:rsid w:val="0F0E033C"/>
    <w:rsid w:val="0F0E456B"/>
    <w:rsid w:val="0F1C46C2"/>
    <w:rsid w:val="0F1E64AE"/>
    <w:rsid w:val="0F24270E"/>
    <w:rsid w:val="0F3168AD"/>
    <w:rsid w:val="0F390A43"/>
    <w:rsid w:val="0F3D5FC2"/>
    <w:rsid w:val="0F5051A3"/>
    <w:rsid w:val="0F551BE9"/>
    <w:rsid w:val="0F803B58"/>
    <w:rsid w:val="0F886A82"/>
    <w:rsid w:val="0F8F0B45"/>
    <w:rsid w:val="0F9A4151"/>
    <w:rsid w:val="0FBC1B5E"/>
    <w:rsid w:val="0FD414E7"/>
    <w:rsid w:val="0FDD7534"/>
    <w:rsid w:val="0FF82D5F"/>
    <w:rsid w:val="100A145F"/>
    <w:rsid w:val="10214D47"/>
    <w:rsid w:val="102C62DC"/>
    <w:rsid w:val="10321608"/>
    <w:rsid w:val="103D5E85"/>
    <w:rsid w:val="104837ED"/>
    <w:rsid w:val="10492BB2"/>
    <w:rsid w:val="104F5C27"/>
    <w:rsid w:val="10581217"/>
    <w:rsid w:val="107077B5"/>
    <w:rsid w:val="10793355"/>
    <w:rsid w:val="107A5CC8"/>
    <w:rsid w:val="107C4C7E"/>
    <w:rsid w:val="1082341E"/>
    <w:rsid w:val="108300B5"/>
    <w:rsid w:val="1083501A"/>
    <w:rsid w:val="10AD20B3"/>
    <w:rsid w:val="10B0428A"/>
    <w:rsid w:val="10B20DF6"/>
    <w:rsid w:val="10DB4414"/>
    <w:rsid w:val="10DF62FB"/>
    <w:rsid w:val="10EA7E3D"/>
    <w:rsid w:val="10F22F6F"/>
    <w:rsid w:val="10F835EC"/>
    <w:rsid w:val="10FF1DCB"/>
    <w:rsid w:val="11006DBD"/>
    <w:rsid w:val="1111121D"/>
    <w:rsid w:val="111147E1"/>
    <w:rsid w:val="11120CA0"/>
    <w:rsid w:val="1127217F"/>
    <w:rsid w:val="112F7141"/>
    <w:rsid w:val="113735B8"/>
    <w:rsid w:val="1142050B"/>
    <w:rsid w:val="11447CBE"/>
    <w:rsid w:val="11466BA1"/>
    <w:rsid w:val="11504466"/>
    <w:rsid w:val="11601B36"/>
    <w:rsid w:val="11773838"/>
    <w:rsid w:val="11B00D75"/>
    <w:rsid w:val="11B133ED"/>
    <w:rsid w:val="11B14B29"/>
    <w:rsid w:val="11B56AE2"/>
    <w:rsid w:val="11C41C8A"/>
    <w:rsid w:val="11D47F22"/>
    <w:rsid w:val="11D77D7C"/>
    <w:rsid w:val="11DE7173"/>
    <w:rsid w:val="11E5200B"/>
    <w:rsid w:val="11E73734"/>
    <w:rsid w:val="11FB3587"/>
    <w:rsid w:val="12034DBB"/>
    <w:rsid w:val="1207720A"/>
    <w:rsid w:val="1209282A"/>
    <w:rsid w:val="1209357F"/>
    <w:rsid w:val="120A4844"/>
    <w:rsid w:val="121531FE"/>
    <w:rsid w:val="12250957"/>
    <w:rsid w:val="126111F2"/>
    <w:rsid w:val="12670F9D"/>
    <w:rsid w:val="126825FF"/>
    <w:rsid w:val="1271283B"/>
    <w:rsid w:val="12921438"/>
    <w:rsid w:val="12A165D1"/>
    <w:rsid w:val="12AF01B7"/>
    <w:rsid w:val="12C66037"/>
    <w:rsid w:val="12CA698E"/>
    <w:rsid w:val="12D17D24"/>
    <w:rsid w:val="12DD45EE"/>
    <w:rsid w:val="12F237D8"/>
    <w:rsid w:val="12FF7BEA"/>
    <w:rsid w:val="130F0B3A"/>
    <w:rsid w:val="131E46DD"/>
    <w:rsid w:val="132D3F6C"/>
    <w:rsid w:val="13363FEA"/>
    <w:rsid w:val="133B5594"/>
    <w:rsid w:val="13453987"/>
    <w:rsid w:val="134639A2"/>
    <w:rsid w:val="13477BEF"/>
    <w:rsid w:val="1371396A"/>
    <w:rsid w:val="137361BF"/>
    <w:rsid w:val="137501A2"/>
    <w:rsid w:val="13760616"/>
    <w:rsid w:val="139842DC"/>
    <w:rsid w:val="13CA52F9"/>
    <w:rsid w:val="13E94984"/>
    <w:rsid w:val="13FE76C1"/>
    <w:rsid w:val="144933C4"/>
    <w:rsid w:val="1463137B"/>
    <w:rsid w:val="1463707A"/>
    <w:rsid w:val="147F3115"/>
    <w:rsid w:val="148A3D24"/>
    <w:rsid w:val="148E3175"/>
    <w:rsid w:val="149F780D"/>
    <w:rsid w:val="14A55640"/>
    <w:rsid w:val="14C523CB"/>
    <w:rsid w:val="14D81889"/>
    <w:rsid w:val="14DD71AA"/>
    <w:rsid w:val="14E06E04"/>
    <w:rsid w:val="14F27934"/>
    <w:rsid w:val="15147DDB"/>
    <w:rsid w:val="152F4368"/>
    <w:rsid w:val="153B7861"/>
    <w:rsid w:val="153C0D55"/>
    <w:rsid w:val="153D3D8A"/>
    <w:rsid w:val="155910A6"/>
    <w:rsid w:val="156B77B1"/>
    <w:rsid w:val="157D1E3D"/>
    <w:rsid w:val="158D2B9A"/>
    <w:rsid w:val="15A32FD1"/>
    <w:rsid w:val="15AB576F"/>
    <w:rsid w:val="15AF2B9E"/>
    <w:rsid w:val="15BE755B"/>
    <w:rsid w:val="15C2164B"/>
    <w:rsid w:val="15C24B49"/>
    <w:rsid w:val="15D02B44"/>
    <w:rsid w:val="15DF2984"/>
    <w:rsid w:val="15EE6815"/>
    <w:rsid w:val="15FC40D8"/>
    <w:rsid w:val="16170B9C"/>
    <w:rsid w:val="161C0378"/>
    <w:rsid w:val="161C3425"/>
    <w:rsid w:val="161C3FB9"/>
    <w:rsid w:val="163A38E8"/>
    <w:rsid w:val="16484A2B"/>
    <w:rsid w:val="164D0350"/>
    <w:rsid w:val="164D4DC8"/>
    <w:rsid w:val="16525356"/>
    <w:rsid w:val="167A41E1"/>
    <w:rsid w:val="167A6B18"/>
    <w:rsid w:val="167D1499"/>
    <w:rsid w:val="168E35AC"/>
    <w:rsid w:val="16A10657"/>
    <w:rsid w:val="16A73661"/>
    <w:rsid w:val="16C22E47"/>
    <w:rsid w:val="16D1227E"/>
    <w:rsid w:val="16D125AA"/>
    <w:rsid w:val="16F56894"/>
    <w:rsid w:val="16FB70D4"/>
    <w:rsid w:val="1707202D"/>
    <w:rsid w:val="170D7C4A"/>
    <w:rsid w:val="1718570D"/>
    <w:rsid w:val="176115FF"/>
    <w:rsid w:val="177D19FD"/>
    <w:rsid w:val="177F22D5"/>
    <w:rsid w:val="179450F0"/>
    <w:rsid w:val="17B72203"/>
    <w:rsid w:val="17BE24BF"/>
    <w:rsid w:val="17CF2F37"/>
    <w:rsid w:val="17DA283E"/>
    <w:rsid w:val="17E53404"/>
    <w:rsid w:val="17E76FBD"/>
    <w:rsid w:val="17EB4F66"/>
    <w:rsid w:val="17EF221C"/>
    <w:rsid w:val="17F13B56"/>
    <w:rsid w:val="17F3167D"/>
    <w:rsid w:val="17FE78CC"/>
    <w:rsid w:val="18096A99"/>
    <w:rsid w:val="1813609C"/>
    <w:rsid w:val="18220CBC"/>
    <w:rsid w:val="182A7C15"/>
    <w:rsid w:val="1845424E"/>
    <w:rsid w:val="18506ACF"/>
    <w:rsid w:val="185A05DF"/>
    <w:rsid w:val="185E2F80"/>
    <w:rsid w:val="187F5E1F"/>
    <w:rsid w:val="1885117D"/>
    <w:rsid w:val="188C28B7"/>
    <w:rsid w:val="189D4D99"/>
    <w:rsid w:val="18A8425C"/>
    <w:rsid w:val="18B1576C"/>
    <w:rsid w:val="18B97ADF"/>
    <w:rsid w:val="18BC1B88"/>
    <w:rsid w:val="18DA1AA2"/>
    <w:rsid w:val="18F1635A"/>
    <w:rsid w:val="18F31BA0"/>
    <w:rsid w:val="19017AC8"/>
    <w:rsid w:val="19031C14"/>
    <w:rsid w:val="192F40CE"/>
    <w:rsid w:val="19334323"/>
    <w:rsid w:val="193475E4"/>
    <w:rsid w:val="19541EFE"/>
    <w:rsid w:val="195E64EE"/>
    <w:rsid w:val="19910E30"/>
    <w:rsid w:val="19936E81"/>
    <w:rsid w:val="199704AB"/>
    <w:rsid w:val="19A84F3F"/>
    <w:rsid w:val="19A97EF6"/>
    <w:rsid w:val="19B43D79"/>
    <w:rsid w:val="19B47531"/>
    <w:rsid w:val="19BD2D15"/>
    <w:rsid w:val="19C03D26"/>
    <w:rsid w:val="19C747EB"/>
    <w:rsid w:val="19E214BC"/>
    <w:rsid w:val="19E27BFB"/>
    <w:rsid w:val="19ED659F"/>
    <w:rsid w:val="19F340FF"/>
    <w:rsid w:val="1A191474"/>
    <w:rsid w:val="1A1B3A20"/>
    <w:rsid w:val="1A1F76DA"/>
    <w:rsid w:val="1A243254"/>
    <w:rsid w:val="1A2C514E"/>
    <w:rsid w:val="1A3F504D"/>
    <w:rsid w:val="1A41456F"/>
    <w:rsid w:val="1A4763B7"/>
    <w:rsid w:val="1A4C5EE2"/>
    <w:rsid w:val="1A523AE2"/>
    <w:rsid w:val="1A5B0208"/>
    <w:rsid w:val="1A6367DC"/>
    <w:rsid w:val="1A764CA4"/>
    <w:rsid w:val="1A826583"/>
    <w:rsid w:val="1A87301B"/>
    <w:rsid w:val="1A9D54B3"/>
    <w:rsid w:val="1AB444EB"/>
    <w:rsid w:val="1ABA2447"/>
    <w:rsid w:val="1AD25A75"/>
    <w:rsid w:val="1AD607C7"/>
    <w:rsid w:val="1AD67BE0"/>
    <w:rsid w:val="1ADE176E"/>
    <w:rsid w:val="1AE97874"/>
    <w:rsid w:val="1AEB2CA3"/>
    <w:rsid w:val="1B02790E"/>
    <w:rsid w:val="1B0B13D3"/>
    <w:rsid w:val="1B110DE2"/>
    <w:rsid w:val="1B150443"/>
    <w:rsid w:val="1B356450"/>
    <w:rsid w:val="1B3A4EED"/>
    <w:rsid w:val="1B445B44"/>
    <w:rsid w:val="1B52147A"/>
    <w:rsid w:val="1B5779EA"/>
    <w:rsid w:val="1B632AAE"/>
    <w:rsid w:val="1B67686B"/>
    <w:rsid w:val="1B6C00C4"/>
    <w:rsid w:val="1B800BAB"/>
    <w:rsid w:val="1B9E68C6"/>
    <w:rsid w:val="1BA5015C"/>
    <w:rsid w:val="1BA85FCC"/>
    <w:rsid w:val="1BAA4759"/>
    <w:rsid w:val="1BBD0F01"/>
    <w:rsid w:val="1BC13B13"/>
    <w:rsid w:val="1BC26DFF"/>
    <w:rsid w:val="1BC35360"/>
    <w:rsid w:val="1BCF794D"/>
    <w:rsid w:val="1BD01BAA"/>
    <w:rsid w:val="1BD47A09"/>
    <w:rsid w:val="1BDF2E1E"/>
    <w:rsid w:val="1C0950FA"/>
    <w:rsid w:val="1C112B23"/>
    <w:rsid w:val="1C140E6D"/>
    <w:rsid w:val="1C1C4F1A"/>
    <w:rsid w:val="1C245592"/>
    <w:rsid w:val="1C4B02FD"/>
    <w:rsid w:val="1C60019E"/>
    <w:rsid w:val="1C7B7E24"/>
    <w:rsid w:val="1C8175DD"/>
    <w:rsid w:val="1C833404"/>
    <w:rsid w:val="1C8F7E98"/>
    <w:rsid w:val="1C9C2746"/>
    <w:rsid w:val="1CB8492A"/>
    <w:rsid w:val="1CC50B10"/>
    <w:rsid w:val="1CCA10D8"/>
    <w:rsid w:val="1CD955B8"/>
    <w:rsid w:val="1CD95B4F"/>
    <w:rsid w:val="1CD97C24"/>
    <w:rsid w:val="1CFE4207"/>
    <w:rsid w:val="1CFE79E9"/>
    <w:rsid w:val="1D057E20"/>
    <w:rsid w:val="1D0846CE"/>
    <w:rsid w:val="1D1643E0"/>
    <w:rsid w:val="1D21155B"/>
    <w:rsid w:val="1D213064"/>
    <w:rsid w:val="1D3A24E4"/>
    <w:rsid w:val="1D471D4E"/>
    <w:rsid w:val="1D5522FD"/>
    <w:rsid w:val="1D566E73"/>
    <w:rsid w:val="1D5674D8"/>
    <w:rsid w:val="1D7E1706"/>
    <w:rsid w:val="1D84728B"/>
    <w:rsid w:val="1D89324E"/>
    <w:rsid w:val="1D8B4238"/>
    <w:rsid w:val="1D8D6A06"/>
    <w:rsid w:val="1D91489F"/>
    <w:rsid w:val="1D917F91"/>
    <w:rsid w:val="1D934B0D"/>
    <w:rsid w:val="1D964A85"/>
    <w:rsid w:val="1D9A4A4A"/>
    <w:rsid w:val="1D9D4C78"/>
    <w:rsid w:val="1DA30551"/>
    <w:rsid w:val="1DBB3C85"/>
    <w:rsid w:val="1DC74261"/>
    <w:rsid w:val="1DD37E0F"/>
    <w:rsid w:val="1DDE7AEB"/>
    <w:rsid w:val="1DEB4719"/>
    <w:rsid w:val="1DF05464"/>
    <w:rsid w:val="1DF613DC"/>
    <w:rsid w:val="1DFF3C52"/>
    <w:rsid w:val="1E1C2502"/>
    <w:rsid w:val="1E2E0000"/>
    <w:rsid w:val="1E327433"/>
    <w:rsid w:val="1E3763CE"/>
    <w:rsid w:val="1E4521E0"/>
    <w:rsid w:val="1E495AAD"/>
    <w:rsid w:val="1E5D49B0"/>
    <w:rsid w:val="1E641526"/>
    <w:rsid w:val="1E6A5BC6"/>
    <w:rsid w:val="1E7D7BB1"/>
    <w:rsid w:val="1E845436"/>
    <w:rsid w:val="1E873842"/>
    <w:rsid w:val="1E8F07E5"/>
    <w:rsid w:val="1E971BB6"/>
    <w:rsid w:val="1E9A03AD"/>
    <w:rsid w:val="1EA5432D"/>
    <w:rsid w:val="1EAB7EFF"/>
    <w:rsid w:val="1EB916DC"/>
    <w:rsid w:val="1EBE34F0"/>
    <w:rsid w:val="1ECE4E41"/>
    <w:rsid w:val="1EE50BD0"/>
    <w:rsid w:val="1EF301FE"/>
    <w:rsid w:val="1EF5606E"/>
    <w:rsid w:val="1F1F10F7"/>
    <w:rsid w:val="1F201DBF"/>
    <w:rsid w:val="1F2D1559"/>
    <w:rsid w:val="1F2D3141"/>
    <w:rsid w:val="1F37326F"/>
    <w:rsid w:val="1F3E38E8"/>
    <w:rsid w:val="1F4458EF"/>
    <w:rsid w:val="1F4675DA"/>
    <w:rsid w:val="1F610CFA"/>
    <w:rsid w:val="1F663C5B"/>
    <w:rsid w:val="1F677843"/>
    <w:rsid w:val="1F691847"/>
    <w:rsid w:val="1F6C732C"/>
    <w:rsid w:val="1F6D08E0"/>
    <w:rsid w:val="1F79122F"/>
    <w:rsid w:val="1F7D10B1"/>
    <w:rsid w:val="1F914780"/>
    <w:rsid w:val="1FA630CD"/>
    <w:rsid w:val="1FBA7920"/>
    <w:rsid w:val="1FC37B8B"/>
    <w:rsid w:val="1FC52E0C"/>
    <w:rsid w:val="1FCF3534"/>
    <w:rsid w:val="1FDE5450"/>
    <w:rsid w:val="1FE663B6"/>
    <w:rsid w:val="1FFC66E5"/>
    <w:rsid w:val="20014AE0"/>
    <w:rsid w:val="201146DA"/>
    <w:rsid w:val="202926B8"/>
    <w:rsid w:val="202F3FE2"/>
    <w:rsid w:val="20346C2B"/>
    <w:rsid w:val="205261A9"/>
    <w:rsid w:val="205A62E0"/>
    <w:rsid w:val="205D2F72"/>
    <w:rsid w:val="205E2EF0"/>
    <w:rsid w:val="2069045C"/>
    <w:rsid w:val="206A662D"/>
    <w:rsid w:val="206D26A9"/>
    <w:rsid w:val="20707031"/>
    <w:rsid w:val="20776481"/>
    <w:rsid w:val="207F5F97"/>
    <w:rsid w:val="208025B8"/>
    <w:rsid w:val="20954B9A"/>
    <w:rsid w:val="209D4031"/>
    <w:rsid w:val="20BD0CC7"/>
    <w:rsid w:val="20C64E1C"/>
    <w:rsid w:val="20C66D7A"/>
    <w:rsid w:val="20DC43BF"/>
    <w:rsid w:val="20EB1171"/>
    <w:rsid w:val="20EE157B"/>
    <w:rsid w:val="20F140E9"/>
    <w:rsid w:val="20FF5D9E"/>
    <w:rsid w:val="21025D0B"/>
    <w:rsid w:val="21043809"/>
    <w:rsid w:val="2110273A"/>
    <w:rsid w:val="21132D65"/>
    <w:rsid w:val="212F6E12"/>
    <w:rsid w:val="215431D3"/>
    <w:rsid w:val="215C2309"/>
    <w:rsid w:val="2169507C"/>
    <w:rsid w:val="21865330"/>
    <w:rsid w:val="21A96AE3"/>
    <w:rsid w:val="21AE73F0"/>
    <w:rsid w:val="21C11F85"/>
    <w:rsid w:val="21C26D8B"/>
    <w:rsid w:val="21CC43B5"/>
    <w:rsid w:val="21CE08B3"/>
    <w:rsid w:val="21DB192B"/>
    <w:rsid w:val="21FC193B"/>
    <w:rsid w:val="21FC6DDC"/>
    <w:rsid w:val="22101813"/>
    <w:rsid w:val="22102632"/>
    <w:rsid w:val="223A2EAD"/>
    <w:rsid w:val="223A6713"/>
    <w:rsid w:val="223C1E72"/>
    <w:rsid w:val="223F5327"/>
    <w:rsid w:val="22485B8D"/>
    <w:rsid w:val="22583EFB"/>
    <w:rsid w:val="22721474"/>
    <w:rsid w:val="22992B75"/>
    <w:rsid w:val="22A11239"/>
    <w:rsid w:val="22AD385B"/>
    <w:rsid w:val="22BE0591"/>
    <w:rsid w:val="22CA6A9E"/>
    <w:rsid w:val="22CB4D0D"/>
    <w:rsid w:val="22D520F2"/>
    <w:rsid w:val="22E105D6"/>
    <w:rsid w:val="22E45EE1"/>
    <w:rsid w:val="22F9725E"/>
    <w:rsid w:val="231D26C3"/>
    <w:rsid w:val="232B32C2"/>
    <w:rsid w:val="2338405E"/>
    <w:rsid w:val="23396C90"/>
    <w:rsid w:val="234251DF"/>
    <w:rsid w:val="2342599E"/>
    <w:rsid w:val="234F5596"/>
    <w:rsid w:val="23594A36"/>
    <w:rsid w:val="236413F1"/>
    <w:rsid w:val="236D1545"/>
    <w:rsid w:val="23776BF1"/>
    <w:rsid w:val="238209BB"/>
    <w:rsid w:val="238F75E4"/>
    <w:rsid w:val="23991276"/>
    <w:rsid w:val="23AE63F6"/>
    <w:rsid w:val="23C46538"/>
    <w:rsid w:val="23C702FF"/>
    <w:rsid w:val="23D45123"/>
    <w:rsid w:val="23E40DE6"/>
    <w:rsid w:val="23E519E3"/>
    <w:rsid w:val="23EE6EBC"/>
    <w:rsid w:val="24041A14"/>
    <w:rsid w:val="240532C6"/>
    <w:rsid w:val="241A5DFB"/>
    <w:rsid w:val="24255F35"/>
    <w:rsid w:val="242E2318"/>
    <w:rsid w:val="244707B1"/>
    <w:rsid w:val="244B1629"/>
    <w:rsid w:val="244E2B3E"/>
    <w:rsid w:val="24706796"/>
    <w:rsid w:val="24765E2C"/>
    <w:rsid w:val="24882964"/>
    <w:rsid w:val="248E6C6D"/>
    <w:rsid w:val="24B64561"/>
    <w:rsid w:val="24B96252"/>
    <w:rsid w:val="24C76233"/>
    <w:rsid w:val="24CC572F"/>
    <w:rsid w:val="24D16AB2"/>
    <w:rsid w:val="24D84FC7"/>
    <w:rsid w:val="24EA76CB"/>
    <w:rsid w:val="24F17A37"/>
    <w:rsid w:val="24F54175"/>
    <w:rsid w:val="250010F5"/>
    <w:rsid w:val="2502581D"/>
    <w:rsid w:val="25096521"/>
    <w:rsid w:val="250A619D"/>
    <w:rsid w:val="25260D36"/>
    <w:rsid w:val="25324AB6"/>
    <w:rsid w:val="253D4FA2"/>
    <w:rsid w:val="25411EA5"/>
    <w:rsid w:val="25491F8C"/>
    <w:rsid w:val="254D1203"/>
    <w:rsid w:val="25553168"/>
    <w:rsid w:val="25575E7D"/>
    <w:rsid w:val="255B585B"/>
    <w:rsid w:val="25654794"/>
    <w:rsid w:val="256C3888"/>
    <w:rsid w:val="25792BC2"/>
    <w:rsid w:val="257C4F26"/>
    <w:rsid w:val="257E4EA6"/>
    <w:rsid w:val="25816D50"/>
    <w:rsid w:val="25835C73"/>
    <w:rsid w:val="25A518E6"/>
    <w:rsid w:val="25A924A1"/>
    <w:rsid w:val="25A95E99"/>
    <w:rsid w:val="25C225DC"/>
    <w:rsid w:val="25CE4891"/>
    <w:rsid w:val="25EE0891"/>
    <w:rsid w:val="260B1249"/>
    <w:rsid w:val="2626558A"/>
    <w:rsid w:val="2629518D"/>
    <w:rsid w:val="26351E55"/>
    <w:rsid w:val="263F4335"/>
    <w:rsid w:val="265722F4"/>
    <w:rsid w:val="265F53A2"/>
    <w:rsid w:val="265F5D79"/>
    <w:rsid w:val="2666329A"/>
    <w:rsid w:val="26672F2E"/>
    <w:rsid w:val="26694055"/>
    <w:rsid w:val="267C1C5F"/>
    <w:rsid w:val="269B07DB"/>
    <w:rsid w:val="269E134D"/>
    <w:rsid w:val="26AF4BC4"/>
    <w:rsid w:val="26B977BE"/>
    <w:rsid w:val="26CB19B7"/>
    <w:rsid w:val="26D15547"/>
    <w:rsid w:val="26D246A6"/>
    <w:rsid w:val="26DB7EC5"/>
    <w:rsid w:val="26E83E8F"/>
    <w:rsid w:val="27043590"/>
    <w:rsid w:val="27063863"/>
    <w:rsid w:val="270B44A8"/>
    <w:rsid w:val="27133CE9"/>
    <w:rsid w:val="271402B2"/>
    <w:rsid w:val="2714160F"/>
    <w:rsid w:val="274C4944"/>
    <w:rsid w:val="277E4B55"/>
    <w:rsid w:val="27AD33F0"/>
    <w:rsid w:val="27B1135E"/>
    <w:rsid w:val="27D32B23"/>
    <w:rsid w:val="27D35A17"/>
    <w:rsid w:val="27D53267"/>
    <w:rsid w:val="27F436DE"/>
    <w:rsid w:val="28054DFE"/>
    <w:rsid w:val="2835183D"/>
    <w:rsid w:val="28417CB0"/>
    <w:rsid w:val="28447984"/>
    <w:rsid w:val="284909B6"/>
    <w:rsid w:val="28526ECF"/>
    <w:rsid w:val="2865671F"/>
    <w:rsid w:val="28676980"/>
    <w:rsid w:val="28685C73"/>
    <w:rsid w:val="2869005B"/>
    <w:rsid w:val="286C5A40"/>
    <w:rsid w:val="28830845"/>
    <w:rsid w:val="288E0D91"/>
    <w:rsid w:val="289E00C2"/>
    <w:rsid w:val="28B331FA"/>
    <w:rsid w:val="29056BC3"/>
    <w:rsid w:val="2920429C"/>
    <w:rsid w:val="29311ACB"/>
    <w:rsid w:val="293F5922"/>
    <w:rsid w:val="29514C00"/>
    <w:rsid w:val="296435BB"/>
    <w:rsid w:val="29653599"/>
    <w:rsid w:val="296E3A0A"/>
    <w:rsid w:val="298003D6"/>
    <w:rsid w:val="298107C5"/>
    <w:rsid w:val="29927A54"/>
    <w:rsid w:val="29931E24"/>
    <w:rsid w:val="29A54727"/>
    <w:rsid w:val="29A7197B"/>
    <w:rsid w:val="29B32D2D"/>
    <w:rsid w:val="29BE375F"/>
    <w:rsid w:val="29C21EEB"/>
    <w:rsid w:val="29CF5CEF"/>
    <w:rsid w:val="29D15B4F"/>
    <w:rsid w:val="29D959D4"/>
    <w:rsid w:val="29DD4030"/>
    <w:rsid w:val="2A015236"/>
    <w:rsid w:val="2A222AD4"/>
    <w:rsid w:val="2A344AFB"/>
    <w:rsid w:val="2A443395"/>
    <w:rsid w:val="2A5A1A2F"/>
    <w:rsid w:val="2A617862"/>
    <w:rsid w:val="2A63463B"/>
    <w:rsid w:val="2A684D61"/>
    <w:rsid w:val="2A6E1037"/>
    <w:rsid w:val="2A6F777F"/>
    <w:rsid w:val="2A801B6B"/>
    <w:rsid w:val="2A845717"/>
    <w:rsid w:val="2A9201B4"/>
    <w:rsid w:val="2A970E61"/>
    <w:rsid w:val="2AA07E7A"/>
    <w:rsid w:val="2AA607D0"/>
    <w:rsid w:val="2AB64789"/>
    <w:rsid w:val="2ABD4027"/>
    <w:rsid w:val="2ACC66AC"/>
    <w:rsid w:val="2ACD5616"/>
    <w:rsid w:val="2ADA66CC"/>
    <w:rsid w:val="2AE00C53"/>
    <w:rsid w:val="2AE47790"/>
    <w:rsid w:val="2AEC1044"/>
    <w:rsid w:val="2AF440C9"/>
    <w:rsid w:val="2AFC386C"/>
    <w:rsid w:val="2B2213C6"/>
    <w:rsid w:val="2B26616A"/>
    <w:rsid w:val="2B2C32D1"/>
    <w:rsid w:val="2B2F0EFE"/>
    <w:rsid w:val="2B38775A"/>
    <w:rsid w:val="2B3C509F"/>
    <w:rsid w:val="2B46115E"/>
    <w:rsid w:val="2B5C0026"/>
    <w:rsid w:val="2B634D8E"/>
    <w:rsid w:val="2B655487"/>
    <w:rsid w:val="2B764D62"/>
    <w:rsid w:val="2B7A1993"/>
    <w:rsid w:val="2B824D9A"/>
    <w:rsid w:val="2B914998"/>
    <w:rsid w:val="2B964133"/>
    <w:rsid w:val="2BAC7638"/>
    <w:rsid w:val="2BB538D4"/>
    <w:rsid w:val="2BC40764"/>
    <w:rsid w:val="2BCF3EA0"/>
    <w:rsid w:val="2BD739D1"/>
    <w:rsid w:val="2BE271C7"/>
    <w:rsid w:val="2BF841F4"/>
    <w:rsid w:val="2C081696"/>
    <w:rsid w:val="2C112005"/>
    <w:rsid w:val="2C124023"/>
    <w:rsid w:val="2C1D1968"/>
    <w:rsid w:val="2C3571EE"/>
    <w:rsid w:val="2C395036"/>
    <w:rsid w:val="2C4007AD"/>
    <w:rsid w:val="2C493168"/>
    <w:rsid w:val="2C4A5A69"/>
    <w:rsid w:val="2C54533B"/>
    <w:rsid w:val="2C5A4C4A"/>
    <w:rsid w:val="2C6E3570"/>
    <w:rsid w:val="2C781ABD"/>
    <w:rsid w:val="2C890AEE"/>
    <w:rsid w:val="2C8D7245"/>
    <w:rsid w:val="2C901738"/>
    <w:rsid w:val="2CA1349D"/>
    <w:rsid w:val="2CAF435B"/>
    <w:rsid w:val="2CB45568"/>
    <w:rsid w:val="2CB729EF"/>
    <w:rsid w:val="2CB85AB9"/>
    <w:rsid w:val="2CBE77C8"/>
    <w:rsid w:val="2CD4593A"/>
    <w:rsid w:val="2CD61F3C"/>
    <w:rsid w:val="2CD83E03"/>
    <w:rsid w:val="2CD8628F"/>
    <w:rsid w:val="2CDB0900"/>
    <w:rsid w:val="2CE111C4"/>
    <w:rsid w:val="2CEE1818"/>
    <w:rsid w:val="2CF73ADF"/>
    <w:rsid w:val="2D0D1787"/>
    <w:rsid w:val="2D102879"/>
    <w:rsid w:val="2D2A5DE1"/>
    <w:rsid w:val="2D2B5125"/>
    <w:rsid w:val="2D3C090C"/>
    <w:rsid w:val="2D40393F"/>
    <w:rsid w:val="2D41217B"/>
    <w:rsid w:val="2D520103"/>
    <w:rsid w:val="2D553F1A"/>
    <w:rsid w:val="2D5703D9"/>
    <w:rsid w:val="2D5D255F"/>
    <w:rsid w:val="2D603A8A"/>
    <w:rsid w:val="2D6327A4"/>
    <w:rsid w:val="2D7C094E"/>
    <w:rsid w:val="2D8A43D9"/>
    <w:rsid w:val="2D945258"/>
    <w:rsid w:val="2DA05985"/>
    <w:rsid w:val="2DD06253"/>
    <w:rsid w:val="2DD70BF7"/>
    <w:rsid w:val="2DD769A4"/>
    <w:rsid w:val="2DE67EEB"/>
    <w:rsid w:val="2DEA558D"/>
    <w:rsid w:val="2DEF1093"/>
    <w:rsid w:val="2DF76739"/>
    <w:rsid w:val="2DFB2ABF"/>
    <w:rsid w:val="2E2F6D2F"/>
    <w:rsid w:val="2E4C4579"/>
    <w:rsid w:val="2E4D70E9"/>
    <w:rsid w:val="2E4E136E"/>
    <w:rsid w:val="2E615714"/>
    <w:rsid w:val="2E76495E"/>
    <w:rsid w:val="2E766E44"/>
    <w:rsid w:val="2E852DFA"/>
    <w:rsid w:val="2E9508AA"/>
    <w:rsid w:val="2E9B4554"/>
    <w:rsid w:val="2E9F17CC"/>
    <w:rsid w:val="2EA70EAC"/>
    <w:rsid w:val="2EAE0AE8"/>
    <w:rsid w:val="2EB57234"/>
    <w:rsid w:val="2EBD0E37"/>
    <w:rsid w:val="2EBD62EF"/>
    <w:rsid w:val="2ED00E79"/>
    <w:rsid w:val="2EE4737D"/>
    <w:rsid w:val="2EE84298"/>
    <w:rsid w:val="2EF57F78"/>
    <w:rsid w:val="2EFC3B18"/>
    <w:rsid w:val="2F26783F"/>
    <w:rsid w:val="2F276196"/>
    <w:rsid w:val="2F2A6C0E"/>
    <w:rsid w:val="2F4C27CE"/>
    <w:rsid w:val="2F623852"/>
    <w:rsid w:val="2F6C1D19"/>
    <w:rsid w:val="2F6F2C93"/>
    <w:rsid w:val="2F755A5F"/>
    <w:rsid w:val="2F7F5395"/>
    <w:rsid w:val="2F847B28"/>
    <w:rsid w:val="2F8F0ECE"/>
    <w:rsid w:val="2F9E1131"/>
    <w:rsid w:val="2FA3001A"/>
    <w:rsid w:val="2FB44CB8"/>
    <w:rsid w:val="2FB7624C"/>
    <w:rsid w:val="2FBC33B9"/>
    <w:rsid w:val="2FC21522"/>
    <w:rsid w:val="2FC90C29"/>
    <w:rsid w:val="2FD119C1"/>
    <w:rsid w:val="2FD172C3"/>
    <w:rsid w:val="2FD3342C"/>
    <w:rsid w:val="2FE55858"/>
    <w:rsid w:val="2FF210F5"/>
    <w:rsid w:val="2FFB24FA"/>
    <w:rsid w:val="300A470A"/>
    <w:rsid w:val="302C4710"/>
    <w:rsid w:val="303E6DDB"/>
    <w:rsid w:val="304304B0"/>
    <w:rsid w:val="30444D13"/>
    <w:rsid w:val="30510BAB"/>
    <w:rsid w:val="30671C0C"/>
    <w:rsid w:val="30775B02"/>
    <w:rsid w:val="308D75C8"/>
    <w:rsid w:val="30935EB5"/>
    <w:rsid w:val="30A27434"/>
    <w:rsid w:val="30A62F84"/>
    <w:rsid w:val="30C47111"/>
    <w:rsid w:val="30C57554"/>
    <w:rsid w:val="30E619C8"/>
    <w:rsid w:val="30E908F0"/>
    <w:rsid w:val="31131107"/>
    <w:rsid w:val="31215D47"/>
    <w:rsid w:val="31347843"/>
    <w:rsid w:val="31496338"/>
    <w:rsid w:val="31532D34"/>
    <w:rsid w:val="31581C56"/>
    <w:rsid w:val="31823EA3"/>
    <w:rsid w:val="31860C90"/>
    <w:rsid w:val="31936BAC"/>
    <w:rsid w:val="31B4493B"/>
    <w:rsid w:val="31B922D4"/>
    <w:rsid w:val="31D40741"/>
    <w:rsid w:val="31DB10AD"/>
    <w:rsid w:val="31DC46F2"/>
    <w:rsid w:val="31E2347F"/>
    <w:rsid w:val="31EB5029"/>
    <w:rsid w:val="31EC60C4"/>
    <w:rsid w:val="31F544E0"/>
    <w:rsid w:val="31F94360"/>
    <w:rsid w:val="31FA49DA"/>
    <w:rsid w:val="31FE4924"/>
    <w:rsid w:val="31FF7830"/>
    <w:rsid w:val="3210269D"/>
    <w:rsid w:val="321347C2"/>
    <w:rsid w:val="32315E6C"/>
    <w:rsid w:val="3258124A"/>
    <w:rsid w:val="3258557C"/>
    <w:rsid w:val="32596BE2"/>
    <w:rsid w:val="325A1E82"/>
    <w:rsid w:val="325C3D88"/>
    <w:rsid w:val="325E2182"/>
    <w:rsid w:val="325F5C9E"/>
    <w:rsid w:val="3260700D"/>
    <w:rsid w:val="3261496D"/>
    <w:rsid w:val="3289590F"/>
    <w:rsid w:val="329906BC"/>
    <w:rsid w:val="329920D6"/>
    <w:rsid w:val="32A5466B"/>
    <w:rsid w:val="32BD4883"/>
    <w:rsid w:val="32C61E4D"/>
    <w:rsid w:val="32CE1314"/>
    <w:rsid w:val="32D5730A"/>
    <w:rsid w:val="32D662E2"/>
    <w:rsid w:val="32D748C1"/>
    <w:rsid w:val="32E968D0"/>
    <w:rsid w:val="32EB2371"/>
    <w:rsid w:val="32EB76C8"/>
    <w:rsid w:val="32F333F9"/>
    <w:rsid w:val="32F903A6"/>
    <w:rsid w:val="331726DB"/>
    <w:rsid w:val="331E2D26"/>
    <w:rsid w:val="33223563"/>
    <w:rsid w:val="333637B5"/>
    <w:rsid w:val="33464F9C"/>
    <w:rsid w:val="33670441"/>
    <w:rsid w:val="338B4A07"/>
    <w:rsid w:val="33B15725"/>
    <w:rsid w:val="33BB0088"/>
    <w:rsid w:val="33BD49F2"/>
    <w:rsid w:val="33C7507A"/>
    <w:rsid w:val="33CA63F0"/>
    <w:rsid w:val="33CD2051"/>
    <w:rsid w:val="33D37747"/>
    <w:rsid w:val="33F11E48"/>
    <w:rsid w:val="33F32FC9"/>
    <w:rsid w:val="34053A9C"/>
    <w:rsid w:val="340D01B6"/>
    <w:rsid w:val="341544E9"/>
    <w:rsid w:val="3419151D"/>
    <w:rsid w:val="34271EEC"/>
    <w:rsid w:val="34362B71"/>
    <w:rsid w:val="344040FF"/>
    <w:rsid w:val="34500459"/>
    <w:rsid w:val="34554B64"/>
    <w:rsid w:val="346A7ABA"/>
    <w:rsid w:val="346E1795"/>
    <w:rsid w:val="348B7796"/>
    <w:rsid w:val="348D7282"/>
    <w:rsid w:val="349769A9"/>
    <w:rsid w:val="349A3000"/>
    <w:rsid w:val="349C44DB"/>
    <w:rsid w:val="349E4F5B"/>
    <w:rsid w:val="34A0222D"/>
    <w:rsid w:val="34B34065"/>
    <w:rsid w:val="34B540FB"/>
    <w:rsid w:val="34C427EE"/>
    <w:rsid w:val="34CE21CD"/>
    <w:rsid w:val="34D2660C"/>
    <w:rsid w:val="34DC02AE"/>
    <w:rsid w:val="34E56B19"/>
    <w:rsid w:val="34E975FC"/>
    <w:rsid w:val="35047130"/>
    <w:rsid w:val="35057C59"/>
    <w:rsid w:val="3507693F"/>
    <w:rsid w:val="3508670D"/>
    <w:rsid w:val="350B2D7E"/>
    <w:rsid w:val="351C5CD1"/>
    <w:rsid w:val="352532C2"/>
    <w:rsid w:val="3535794B"/>
    <w:rsid w:val="35392D4A"/>
    <w:rsid w:val="353E69AD"/>
    <w:rsid w:val="355361E3"/>
    <w:rsid w:val="35621199"/>
    <w:rsid w:val="35750446"/>
    <w:rsid w:val="3575302F"/>
    <w:rsid w:val="35757A16"/>
    <w:rsid w:val="35833A0D"/>
    <w:rsid w:val="35841A27"/>
    <w:rsid w:val="358455F9"/>
    <w:rsid w:val="358B1497"/>
    <w:rsid w:val="3596391D"/>
    <w:rsid w:val="35A6322B"/>
    <w:rsid w:val="35C01129"/>
    <w:rsid w:val="35D60974"/>
    <w:rsid w:val="35E63122"/>
    <w:rsid w:val="35EC4C02"/>
    <w:rsid w:val="35EF17AB"/>
    <w:rsid w:val="360145A5"/>
    <w:rsid w:val="3604031F"/>
    <w:rsid w:val="360C191D"/>
    <w:rsid w:val="360C7846"/>
    <w:rsid w:val="36117B65"/>
    <w:rsid w:val="361333E2"/>
    <w:rsid w:val="361D2512"/>
    <w:rsid w:val="36346730"/>
    <w:rsid w:val="363B0355"/>
    <w:rsid w:val="364564CE"/>
    <w:rsid w:val="36817C4E"/>
    <w:rsid w:val="368609D9"/>
    <w:rsid w:val="36A208C6"/>
    <w:rsid w:val="36C44057"/>
    <w:rsid w:val="36CB2F7F"/>
    <w:rsid w:val="36F27CCF"/>
    <w:rsid w:val="36F705E3"/>
    <w:rsid w:val="36F716E4"/>
    <w:rsid w:val="370074BA"/>
    <w:rsid w:val="372370B3"/>
    <w:rsid w:val="37337FDC"/>
    <w:rsid w:val="37343632"/>
    <w:rsid w:val="374E4FEB"/>
    <w:rsid w:val="37501232"/>
    <w:rsid w:val="37523651"/>
    <w:rsid w:val="377905F7"/>
    <w:rsid w:val="37822181"/>
    <w:rsid w:val="37A24479"/>
    <w:rsid w:val="37A95FD5"/>
    <w:rsid w:val="37AF787D"/>
    <w:rsid w:val="37C8622A"/>
    <w:rsid w:val="37CC72A4"/>
    <w:rsid w:val="37DD7461"/>
    <w:rsid w:val="37E008E9"/>
    <w:rsid w:val="37E42938"/>
    <w:rsid w:val="37E54835"/>
    <w:rsid w:val="37EC226B"/>
    <w:rsid w:val="37EE5DBC"/>
    <w:rsid w:val="37FC4D13"/>
    <w:rsid w:val="38192134"/>
    <w:rsid w:val="38290DA2"/>
    <w:rsid w:val="38346D54"/>
    <w:rsid w:val="38473E32"/>
    <w:rsid w:val="38507FCD"/>
    <w:rsid w:val="38542886"/>
    <w:rsid w:val="38571502"/>
    <w:rsid w:val="386A74E2"/>
    <w:rsid w:val="387137AF"/>
    <w:rsid w:val="38845EDB"/>
    <w:rsid w:val="38973E05"/>
    <w:rsid w:val="38984C9C"/>
    <w:rsid w:val="38AC78FA"/>
    <w:rsid w:val="38B5159B"/>
    <w:rsid w:val="38C11EA7"/>
    <w:rsid w:val="38CD63CB"/>
    <w:rsid w:val="38DB01DF"/>
    <w:rsid w:val="38DB575C"/>
    <w:rsid w:val="38F14786"/>
    <w:rsid w:val="38F90665"/>
    <w:rsid w:val="38F970FC"/>
    <w:rsid w:val="38FD676D"/>
    <w:rsid w:val="39001767"/>
    <w:rsid w:val="390557BD"/>
    <w:rsid w:val="39240CB1"/>
    <w:rsid w:val="392A29F5"/>
    <w:rsid w:val="393655EF"/>
    <w:rsid w:val="393A50BC"/>
    <w:rsid w:val="393D0DD4"/>
    <w:rsid w:val="395E7444"/>
    <w:rsid w:val="39676A14"/>
    <w:rsid w:val="396B3C9B"/>
    <w:rsid w:val="39797A33"/>
    <w:rsid w:val="397B037C"/>
    <w:rsid w:val="397C1326"/>
    <w:rsid w:val="398506AE"/>
    <w:rsid w:val="39871DD1"/>
    <w:rsid w:val="39942B74"/>
    <w:rsid w:val="39946D1D"/>
    <w:rsid w:val="399578DA"/>
    <w:rsid w:val="39B63041"/>
    <w:rsid w:val="39B80063"/>
    <w:rsid w:val="39C70836"/>
    <w:rsid w:val="39D20AA3"/>
    <w:rsid w:val="39F03FDE"/>
    <w:rsid w:val="39F864BA"/>
    <w:rsid w:val="39FB45DE"/>
    <w:rsid w:val="3A022EFE"/>
    <w:rsid w:val="3A0449A3"/>
    <w:rsid w:val="3A081183"/>
    <w:rsid w:val="3A14367A"/>
    <w:rsid w:val="3A1B60AC"/>
    <w:rsid w:val="3A1B7590"/>
    <w:rsid w:val="3A2D5B98"/>
    <w:rsid w:val="3A361ED7"/>
    <w:rsid w:val="3A4007F0"/>
    <w:rsid w:val="3A440F61"/>
    <w:rsid w:val="3A451DB4"/>
    <w:rsid w:val="3A4E3717"/>
    <w:rsid w:val="3A523F74"/>
    <w:rsid w:val="3A5804D0"/>
    <w:rsid w:val="3A666034"/>
    <w:rsid w:val="3A6A25FE"/>
    <w:rsid w:val="3A712BA9"/>
    <w:rsid w:val="3A8522B8"/>
    <w:rsid w:val="3A9627F6"/>
    <w:rsid w:val="3AAB2255"/>
    <w:rsid w:val="3AD2777E"/>
    <w:rsid w:val="3AD90A71"/>
    <w:rsid w:val="3ADD40CE"/>
    <w:rsid w:val="3AEE6D67"/>
    <w:rsid w:val="3AF05D59"/>
    <w:rsid w:val="3AF71BB0"/>
    <w:rsid w:val="3B0D364F"/>
    <w:rsid w:val="3B2958F0"/>
    <w:rsid w:val="3B2C4CDD"/>
    <w:rsid w:val="3B327914"/>
    <w:rsid w:val="3B3D09A3"/>
    <w:rsid w:val="3B50392A"/>
    <w:rsid w:val="3B5E76AD"/>
    <w:rsid w:val="3B6670A8"/>
    <w:rsid w:val="3B700805"/>
    <w:rsid w:val="3B7C5340"/>
    <w:rsid w:val="3B7F1B6E"/>
    <w:rsid w:val="3B955618"/>
    <w:rsid w:val="3B9A2A87"/>
    <w:rsid w:val="3B9E31CF"/>
    <w:rsid w:val="3BA4235D"/>
    <w:rsid w:val="3BBF48DA"/>
    <w:rsid w:val="3BC83078"/>
    <w:rsid w:val="3BC84C52"/>
    <w:rsid w:val="3BEA26AF"/>
    <w:rsid w:val="3BEA50EA"/>
    <w:rsid w:val="3BFA4218"/>
    <w:rsid w:val="3C0947DF"/>
    <w:rsid w:val="3C0F436B"/>
    <w:rsid w:val="3C1C5145"/>
    <w:rsid w:val="3C20265B"/>
    <w:rsid w:val="3C316477"/>
    <w:rsid w:val="3C583727"/>
    <w:rsid w:val="3C761F58"/>
    <w:rsid w:val="3C7B7D0F"/>
    <w:rsid w:val="3CCC225C"/>
    <w:rsid w:val="3CDB07AE"/>
    <w:rsid w:val="3CE1295D"/>
    <w:rsid w:val="3CFB1FD5"/>
    <w:rsid w:val="3D0D0F7F"/>
    <w:rsid w:val="3D227E49"/>
    <w:rsid w:val="3D344357"/>
    <w:rsid w:val="3D3E1EE5"/>
    <w:rsid w:val="3D6C6C92"/>
    <w:rsid w:val="3D6D50C0"/>
    <w:rsid w:val="3D785B1D"/>
    <w:rsid w:val="3D7B0985"/>
    <w:rsid w:val="3D863017"/>
    <w:rsid w:val="3D872E69"/>
    <w:rsid w:val="3DA21740"/>
    <w:rsid w:val="3DAC052F"/>
    <w:rsid w:val="3DC1010B"/>
    <w:rsid w:val="3DC15D53"/>
    <w:rsid w:val="3DCE1BBF"/>
    <w:rsid w:val="3DCF7B74"/>
    <w:rsid w:val="3DDD28AF"/>
    <w:rsid w:val="3DDD4A3B"/>
    <w:rsid w:val="3DDF1F42"/>
    <w:rsid w:val="3DE96C96"/>
    <w:rsid w:val="3DEA123D"/>
    <w:rsid w:val="3E041B87"/>
    <w:rsid w:val="3E232355"/>
    <w:rsid w:val="3E263CAA"/>
    <w:rsid w:val="3E372FCE"/>
    <w:rsid w:val="3E3D2180"/>
    <w:rsid w:val="3E5E173C"/>
    <w:rsid w:val="3E6A1C6C"/>
    <w:rsid w:val="3E6E11AD"/>
    <w:rsid w:val="3E77522F"/>
    <w:rsid w:val="3E7D0CB1"/>
    <w:rsid w:val="3E7F6A62"/>
    <w:rsid w:val="3E957BDC"/>
    <w:rsid w:val="3E9B2A15"/>
    <w:rsid w:val="3EB31EE7"/>
    <w:rsid w:val="3EB741C0"/>
    <w:rsid w:val="3EC6367D"/>
    <w:rsid w:val="3ECF713C"/>
    <w:rsid w:val="3ED404CD"/>
    <w:rsid w:val="3EF34C38"/>
    <w:rsid w:val="3EF7014A"/>
    <w:rsid w:val="3F0B5D10"/>
    <w:rsid w:val="3F0B65C3"/>
    <w:rsid w:val="3F165B80"/>
    <w:rsid w:val="3F2D51BF"/>
    <w:rsid w:val="3F4518FC"/>
    <w:rsid w:val="3F5540FD"/>
    <w:rsid w:val="3F56139C"/>
    <w:rsid w:val="3F634931"/>
    <w:rsid w:val="3F6A1818"/>
    <w:rsid w:val="3F754AF3"/>
    <w:rsid w:val="3F7916E8"/>
    <w:rsid w:val="3F7C16F6"/>
    <w:rsid w:val="3FCD35F8"/>
    <w:rsid w:val="3FD655EF"/>
    <w:rsid w:val="3FEF0B07"/>
    <w:rsid w:val="3FF53970"/>
    <w:rsid w:val="3FF810D6"/>
    <w:rsid w:val="3FFB2F44"/>
    <w:rsid w:val="3FFE7E31"/>
    <w:rsid w:val="401F1CDD"/>
    <w:rsid w:val="402278B7"/>
    <w:rsid w:val="403675B2"/>
    <w:rsid w:val="403C379C"/>
    <w:rsid w:val="40431C22"/>
    <w:rsid w:val="40494903"/>
    <w:rsid w:val="404E4C61"/>
    <w:rsid w:val="40620B50"/>
    <w:rsid w:val="406E445C"/>
    <w:rsid w:val="407A6ABC"/>
    <w:rsid w:val="40806C73"/>
    <w:rsid w:val="408A227B"/>
    <w:rsid w:val="408E4834"/>
    <w:rsid w:val="409018AE"/>
    <w:rsid w:val="40A739EC"/>
    <w:rsid w:val="40B3559D"/>
    <w:rsid w:val="40BD641D"/>
    <w:rsid w:val="40C34ACC"/>
    <w:rsid w:val="40FA513F"/>
    <w:rsid w:val="41037270"/>
    <w:rsid w:val="4106066F"/>
    <w:rsid w:val="412E2DF9"/>
    <w:rsid w:val="41457213"/>
    <w:rsid w:val="415152F6"/>
    <w:rsid w:val="416E26E0"/>
    <w:rsid w:val="4175399E"/>
    <w:rsid w:val="41761669"/>
    <w:rsid w:val="41795497"/>
    <w:rsid w:val="417A4063"/>
    <w:rsid w:val="417D15BA"/>
    <w:rsid w:val="41A20A91"/>
    <w:rsid w:val="41C15720"/>
    <w:rsid w:val="41C21949"/>
    <w:rsid w:val="41D64531"/>
    <w:rsid w:val="41F10262"/>
    <w:rsid w:val="420908EE"/>
    <w:rsid w:val="420B38E3"/>
    <w:rsid w:val="42186000"/>
    <w:rsid w:val="421A5986"/>
    <w:rsid w:val="421B7C41"/>
    <w:rsid w:val="42207859"/>
    <w:rsid w:val="42236B8C"/>
    <w:rsid w:val="42277FF1"/>
    <w:rsid w:val="42284009"/>
    <w:rsid w:val="422D3624"/>
    <w:rsid w:val="4235300B"/>
    <w:rsid w:val="42484FFE"/>
    <w:rsid w:val="424B11D5"/>
    <w:rsid w:val="42505E46"/>
    <w:rsid w:val="425648BC"/>
    <w:rsid w:val="425F3468"/>
    <w:rsid w:val="427066D0"/>
    <w:rsid w:val="42750F7E"/>
    <w:rsid w:val="42845443"/>
    <w:rsid w:val="42A26995"/>
    <w:rsid w:val="42BA713C"/>
    <w:rsid w:val="42C77653"/>
    <w:rsid w:val="42DE00E8"/>
    <w:rsid w:val="42DE0F67"/>
    <w:rsid w:val="42E8183C"/>
    <w:rsid w:val="42EE69D4"/>
    <w:rsid w:val="43167F51"/>
    <w:rsid w:val="431A0701"/>
    <w:rsid w:val="432E489F"/>
    <w:rsid w:val="432E7C31"/>
    <w:rsid w:val="43380774"/>
    <w:rsid w:val="433B61E5"/>
    <w:rsid w:val="433C3BE7"/>
    <w:rsid w:val="43506323"/>
    <w:rsid w:val="435F0FD4"/>
    <w:rsid w:val="43663266"/>
    <w:rsid w:val="437B103F"/>
    <w:rsid w:val="43AE7D42"/>
    <w:rsid w:val="43B667B3"/>
    <w:rsid w:val="43B859E4"/>
    <w:rsid w:val="43BD578B"/>
    <w:rsid w:val="43C27A86"/>
    <w:rsid w:val="43D16466"/>
    <w:rsid w:val="43D40B31"/>
    <w:rsid w:val="43E056F7"/>
    <w:rsid w:val="43F07CEF"/>
    <w:rsid w:val="43F632B8"/>
    <w:rsid w:val="4400700D"/>
    <w:rsid w:val="4408120F"/>
    <w:rsid w:val="440A0D76"/>
    <w:rsid w:val="440D68F5"/>
    <w:rsid w:val="44241CD7"/>
    <w:rsid w:val="442B442E"/>
    <w:rsid w:val="4441183E"/>
    <w:rsid w:val="44491AAB"/>
    <w:rsid w:val="44604CDD"/>
    <w:rsid w:val="446302E9"/>
    <w:rsid w:val="446A4693"/>
    <w:rsid w:val="447A628D"/>
    <w:rsid w:val="4488446D"/>
    <w:rsid w:val="448E7268"/>
    <w:rsid w:val="44AD22CD"/>
    <w:rsid w:val="44C750E3"/>
    <w:rsid w:val="44D10987"/>
    <w:rsid w:val="44D83372"/>
    <w:rsid w:val="44E629AD"/>
    <w:rsid w:val="450E486E"/>
    <w:rsid w:val="45135110"/>
    <w:rsid w:val="4525215A"/>
    <w:rsid w:val="452E0ACA"/>
    <w:rsid w:val="453C306E"/>
    <w:rsid w:val="45665101"/>
    <w:rsid w:val="45677BFE"/>
    <w:rsid w:val="45736FE1"/>
    <w:rsid w:val="457E2FEE"/>
    <w:rsid w:val="45852F8E"/>
    <w:rsid w:val="458A59EE"/>
    <w:rsid w:val="458D5318"/>
    <w:rsid w:val="45941A70"/>
    <w:rsid w:val="459470BC"/>
    <w:rsid w:val="459C2AA4"/>
    <w:rsid w:val="45C342B8"/>
    <w:rsid w:val="45C508FB"/>
    <w:rsid w:val="45C73EF4"/>
    <w:rsid w:val="45EA6DEC"/>
    <w:rsid w:val="45F97FD5"/>
    <w:rsid w:val="45FD5678"/>
    <w:rsid w:val="46080DC3"/>
    <w:rsid w:val="463263D8"/>
    <w:rsid w:val="463C12D7"/>
    <w:rsid w:val="467E1519"/>
    <w:rsid w:val="46865A3E"/>
    <w:rsid w:val="468954A5"/>
    <w:rsid w:val="468E063F"/>
    <w:rsid w:val="46926286"/>
    <w:rsid w:val="46965867"/>
    <w:rsid w:val="469A2B0A"/>
    <w:rsid w:val="46B350D5"/>
    <w:rsid w:val="46B37EEB"/>
    <w:rsid w:val="46B83897"/>
    <w:rsid w:val="46CF4BD5"/>
    <w:rsid w:val="46D10B18"/>
    <w:rsid w:val="46DA5083"/>
    <w:rsid w:val="46E816C4"/>
    <w:rsid w:val="46EB10FE"/>
    <w:rsid w:val="46FB3417"/>
    <w:rsid w:val="47093248"/>
    <w:rsid w:val="471D3592"/>
    <w:rsid w:val="472134E0"/>
    <w:rsid w:val="47401031"/>
    <w:rsid w:val="47436278"/>
    <w:rsid w:val="47456AA5"/>
    <w:rsid w:val="474A7478"/>
    <w:rsid w:val="476371BE"/>
    <w:rsid w:val="477A61E2"/>
    <w:rsid w:val="477B37EF"/>
    <w:rsid w:val="478C5146"/>
    <w:rsid w:val="479A3A25"/>
    <w:rsid w:val="47B46E59"/>
    <w:rsid w:val="47B83D1C"/>
    <w:rsid w:val="47BA3C5C"/>
    <w:rsid w:val="47BA708E"/>
    <w:rsid w:val="47CE2738"/>
    <w:rsid w:val="480035A7"/>
    <w:rsid w:val="481B0651"/>
    <w:rsid w:val="48252F32"/>
    <w:rsid w:val="483D10B1"/>
    <w:rsid w:val="484F05C5"/>
    <w:rsid w:val="485309B3"/>
    <w:rsid w:val="485E0984"/>
    <w:rsid w:val="486A75A0"/>
    <w:rsid w:val="487D2C26"/>
    <w:rsid w:val="48816C1A"/>
    <w:rsid w:val="488442B3"/>
    <w:rsid w:val="488D36FF"/>
    <w:rsid w:val="489D4F2E"/>
    <w:rsid w:val="489E48BD"/>
    <w:rsid w:val="48A370CB"/>
    <w:rsid w:val="48AE1537"/>
    <w:rsid w:val="48CA72E1"/>
    <w:rsid w:val="48DB1AEB"/>
    <w:rsid w:val="48E36E98"/>
    <w:rsid w:val="490B2411"/>
    <w:rsid w:val="4914735E"/>
    <w:rsid w:val="491A590B"/>
    <w:rsid w:val="492D016D"/>
    <w:rsid w:val="4933371F"/>
    <w:rsid w:val="49336DB7"/>
    <w:rsid w:val="49542040"/>
    <w:rsid w:val="495F7A2E"/>
    <w:rsid w:val="49715A81"/>
    <w:rsid w:val="497F2750"/>
    <w:rsid w:val="498E67E3"/>
    <w:rsid w:val="49954DBC"/>
    <w:rsid w:val="49994737"/>
    <w:rsid w:val="49A72BF3"/>
    <w:rsid w:val="49B12658"/>
    <w:rsid w:val="49BB2478"/>
    <w:rsid w:val="49C81812"/>
    <w:rsid w:val="49C824CD"/>
    <w:rsid w:val="49D346B1"/>
    <w:rsid w:val="49D639BB"/>
    <w:rsid w:val="49DF4499"/>
    <w:rsid w:val="49F80774"/>
    <w:rsid w:val="4A003CCC"/>
    <w:rsid w:val="4A0B5015"/>
    <w:rsid w:val="4A1C44D9"/>
    <w:rsid w:val="4A265BD7"/>
    <w:rsid w:val="4A447F64"/>
    <w:rsid w:val="4A4E30DB"/>
    <w:rsid w:val="4A50300D"/>
    <w:rsid w:val="4A510AE8"/>
    <w:rsid w:val="4A804734"/>
    <w:rsid w:val="4A91424B"/>
    <w:rsid w:val="4A926B95"/>
    <w:rsid w:val="4A9F7F2E"/>
    <w:rsid w:val="4AC24E95"/>
    <w:rsid w:val="4AD340FB"/>
    <w:rsid w:val="4AD925BB"/>
    <w:rsid w:val="4AEA0B37"/>
    <w:rsid w:val="4AEC7338"/>
    <w:rsid w:val="4AFE01D7"/>
    <w:rsid w:val="4AFE0A6B"/>
    <w:rsid w:val="4B00086E"/>
    <w:rsid w:val="4B087031"/>
    <w:rsid w:val="4B2405D0"/>
    <w:rsid w:val="4B3A6697"/>
    <w:rsid w:val="4B4665CB"/>
    <w:rsid w:val="4B4A3475"/>
    <w:rsid w:val="4B5F6E41"/>
    <w:rsid w:val="4B5F6F5F"/>
    <w:rsid w:val="4B6D17E9"/>
    <w:rsid w:val="4B76623C"/>
    <w:rsid w:val="4B795620"/>
    <w:rsid w:val="4B894B45"/>
    <w:rsid w:val="4B957CE6"/>
    <w:rsid w:val="4BA721A9"/>
    <w:rsid w:val="4BB02C36"/>
    <w:rsid w:val="4BC74EF0"/>
    <w:rsid w:val="4BC84F16"/>
    <w:rsid w:val="4BC93EF5"/>
    <w:rsid w:val="4BCE73A0"/>
    <w:rsid w:val="4BD45DBC"/>
    <w:rsid w:val="4BD76527"/>
    <w:rsid w:val="4BE05D64"/>
    <w:rsid w:val="4BE35EAC"/>
    <w:rsid w:val="4BE60171"/>
    <w:rsid w:val="4BEA27F7"/>
    <w:rsid w:val="4BEF7DD1"/>
    <w:rsid w:val="4C005BE4"/>
    <w:rsid w:val="4C030F6E"/>
    <w:rsid w:val="4C3413A3"/>
    <w:rsid w:val="4C353138"/>
    <w:rsid w:val="4C3C2189"/>
    <w:rsid w:val="4C4257B6"/>
    <w:rsid w:val="4C64517B"/>
    <w:rsid w:val="4C645A95"/>
    <w:rsid w:val="4C8300CC"/>
    <w:rsid w:val="4C9F5075"/>
    <w:rsid w:val="4CA7611F"/>
    <w:rsid w:val="4CB2472B"/>
    <w:rsid w:val="4CB31FF7"/>
    <w:rsid w:val="4CBE0BCE"/>
    <w:rsid w:val="4CC0040D"/>
    <w:rsid w:val="4CD54C0F"/>
    <w:rsid w:val="4CE62D14"/>
    <w:rsid w:val="4CE77E93"/>
    <w:rsid w:val="4CF62C6E"/>
    <w:rsid w:val="4D087490"/>
    <w:rsid w:val="4D1062F9"/>
    <w:rsid w:val="4D2236E4"/>
    <w:rsid w:val="4D2C52B8"/>
    <w:rsid w:val="4D3139D2"/>
    <w:rsid w:val="4D3442E8"/>
    <w:rsid w:val="4D3B00B2"/>
    <w:rsid w:val="4D4F5E6A"/>
    <w:rsid w:val="4D600B18"/>
    <w:rsid w:val="4D617EC2"/>
    <w:rsid w:val="4D681BA1"/>
    <w:rsid w:val="4D7056F8"/>
    <w:rsid w:val="4D785714"/>
    <w:rsid w:val="4D8C4113"/>
    <w:rsid w:val="4D8E11A0"/>
    <w:rsid w:val="4D912B10"/>
    <w:rsid w:val="4DA438F2"/>
    <w:rsid w:val="4DA44558"/>
    <w:rsid w:val="4DAB453D"/>
    <w:rsid w:val="4DEF0E15"/>
    <w:rsid w:val="4DF932EA"/>
    <w:rsid w:val="4E030825"/>
    <w:rsid w:val="4E0336C0"/>
    <w:rsid w:val="4E1A6F73"/>
    <w:rsid w:val="4E2C5C4E"/>
    <w:rsid w:val="4E2D5E72"/>
    <w:rsid w:val="4E37599B"/>
    <w:rsid w:val="4E433523"/>
    <w:rsid w:val="4E491A5C"/>
    <w:rsid w:val="4E4F168F"/>
    <w:rsid w:val="4E5B174E"/>
    <w:rsid w:val="4E734CD3"/>
    <w:rsid w:val="4E856622"/>
    <w:rsid w:val="4E901295"/>
    <w:rsid w:val="4E927F77"/>
    <w:rsid w:val="4EB15812"/>
    <w:rsid w:val="4EC1762F"/>
    <w:rsid w:val="4EE157E1"/>
    <w:rsid w:val="4EE36604"/>
    <w:rsid w:val="4EE540FC"/>
    <w:rsid w:val="4F004BDF"/>
    <w:rsid w:val="4F0412C9"/>
    <w:rsid w:val="4F084A20"/>
    <w:rsid w:val="4F11364C"/>
    <w:rsid w:val="4F1E07FE"/>
    <w:rsid w:val="4F1F1E6B"/>
    <w:rsid w:val="4F2E3B73"/>
    <w:rsid w:val="4F314450"/>
    <w:rsid w:val="4F3527AE"/>
    <w:rsid w:val="4F505DFA"/>
    <w:rsid w:val="4F52118A"/>
    <w:rsid w:val="4FD345C6"/>
    <w:rsid w:val="4FEB69C2"/>
    <w:rsid w:val="4FED6E11"/>
    <w:rsid w:val="4FF21608"/>
    <w:rsid w:val="500B3049"/>
    <w:rsid w:val="50175B49"/>
    <w:rsid w:val="50196D46"/>
    <w:rsid w:val="50197A87"/>
    <w:rsid w:val="50412A05"/>
    <w:rsid w:val="50414974"/>
    <w:rsid w:val="50426F8B"/>
    <w:rsid w:val="505003E4"/>
    <w:rsid w:val="50641A4E"/>
    <w:rsid w:val="50761598"/>
    <w:rsid w:val="50845100"/>
    <w:rsid w:val="50B05655"/>
    <w:rsid w:val="50BD3A7B"/>
    <w:rsid w:val="50C26CC8"/>
    <w:rsid w:val="50D62020"/>
    <w:rsid w:val="50E07727"/>
    <w:rsid w:val="50E14251"/>
    <w:rsid w:val="50FA7E19"/>
    <w:rsid w:val="51022A17"/>
    <w:rsid w:val="51047343"/>
    <w:rsid w:val="51172A27"/>
    <w:rsid w:val="512175C4"/>
    <w:rsid w:val="512F6CD4"/>
    <w:rsid w:val="513027A1"/>
    <w:rsid w:val="514054BF"/>
    <w:rsid w:val="51442419"/>
    <w:rsid w:val="514748E3"/>
    <w:rsid w:val="515F1555"/>
    <w:rsid w:val="5164730A"/>
    <w:rsid w:val="516B396B"/>
    <w:rsid w:val="517419A2"/>
    <w:rsid w:val="51891C2B"/>
    <w:rsid w:val="518B7CD3"/>
    <w:rsid w:val="5190404F"/>
    <w:rsid w:val="51987BCB"/>
    <w:rsid w:val="51A0391C"/>
    <w:rsid w:val="51A31798"/>
    <w:rsid w:val="5210021E"/>
    <w:rsid w:val="52132AA4"/>
    <w:rsid w:val="52165829"/>
    <w:rsid w:val="523C31AB"/>
    <w:rsid w:val="523E60D6"/>
    <w:rsid w:val="52406237"/>
    <w:rsid w:val="52525400"/>
    <w:rsid w:val="52545ED5"/>
    <w:rsid w:val="525A4530"/>
    <w:rsid w:val="525D2334"/>
    <w:rsid w:val="52646438"/>
    <w:rsid w:val="52664905"/>
    <w:rsid w:val="526752AC"/>
    <w:rsid w:val="526B641D"/>
    <w:rsid w:val="52792942"/>
    <w:rsid w:val="528D5EAF"/>
    <w:rsid w:val="52916B49"/>
    <w:rsid w:val="52A15ADE"/>
    <w:rsid w:val="52A17A54"/>
    <w:rsid w:val="52A91B20"/>
    <w:rsid w:val="52B01490"/>
    <w:rsid w:val="52BC03F6"/>
    <w:rsid w:val="52C059A9"/>
    <w:rsid w:val="52CF0B9A"/>
    <w:rsid w:val="52D95519"/>
    <w:rsid w:val="52F10C71"/>
    <w:rsid w:val="52F232C5"/>
    <w:rsid w:val="52F421ED"/>
    <w:rsid w:val="530A5D05"/>
    <w:rsid w:val="530E6257"/>
    <w:rsid w:val="5322502D"/>
    <w:rsid w:val="532F6ADD"/>
    <w:rsid w:val="53617568"/>
    <w:rsid w:val="53644E26"/>
    <w:rsid w:val="536C7B65"/>
    <w:rsid w:val="537E65A9"/>
    <w:rsid w:val="53852B5F"/>
    <w:rsid w:val="53964302"/>
    <w:rsid w:val="53981134"/>
    <w:rsid w:val="539F63B4"/>
    <w:rsid w:val="53A0140E"/>
    <w:rsid w:val="53A35161"/>
    <w:rsid w:val="53D31ACD"/>
    <w:rsid w:val="53D55747"/>
    <w:rsid w:val="53E44308"/>
    <w:rsid w:val="53E85C81"/>
    <w:rsid w:val="54053048"/>
    <w:rsid w:val="54255654"/>
    <w:rsid w:val="54326122"/>
    <w:rsid w:val="544A2CB1"/>
    <w:rsid w:val="5472334E"/>
    <w:rsid w:val="5476480A"/>
    <w:rsid w:val="54813CC8"/>
    <w:rsid w:val="548913DD"/>
    <w:rsid w:val="549E703F"/>
    <w:rsid w:val="54A8694D"/>
    <w:rsid w:val="54B27153"/>
    <w:rsid w:val="54C2113F"/>
    <w:rsid w:val="54D973C0"/>
    <w:rsid w:val="54EC5D7E"/>
    <w:rsid w:val="54EF56D5"/>
    <w:rsid w:val="54F95C1E"/>
    <w:rsid w:val="551318CE"/>
    <w:rsid w:val="55134FC2"/>
    <w:rsid w:val="55227681"/>
    <w:rsid w:val="55330841"/>
    <w:rsid w:val="55382B99"/>
    <w:rsid w:val="555E1AA3"/>
    <w:rsid w:val="556D72F2"/>
    <w:rsid w:val="55706640"/>
    <w:rsid w:val="5574257F"/>
    <w:rsid w:val="55794BB0"/>
    <w:rsid w:val="557C4C43"/>
    <w:rsid w:val="558374A9"/>
    <w:rsid w:val="55915872"/>
    <w:rsid w:val="55B94B4C"/>
    <w:rsid w:val="55C92881"/>
    <w:rsid w:val="55D122F6"/>
    <w:rsid w:val="55DD39AB"/>
    <w:rsid w:val="55E11031"/>
    <w:rsid w:val="55F10BEA"/>
    <w:rsid w:val="55F424A4"/>
    <w:rsid w:val="55F9408F"/>
    <w:rsid w:val="56117E48"/>
    <w:rsid w:val="561A3C9D"/>
    <w:rsid w:val="561E4D80"/>
    <w:rsid w:val="563B4BD8"/>
    <w:rsid w:val="563D5BDD"/>
    <w:rsid w:val="563D5EE5"/>
    <w:rsid w:val="56497A84"/>
    <w:rsid w:val="564C6529"/>
    <w:rsid w:val="565C0685"/>
    <w:rsid w:val="565E2489"/>
    <w:rsid w:val="5668533D"/>
    <w:rsid w:val="567015BC"/>
    <w:rsid w:val="567E79B3"/>
    <w:rsid w:val="56A8048B"/>
    <w:rsid w:val="56AC0D1F"/>
    <w:rsid w:val="56B36672"/>
    <w:rsid w:val="56CA333F"/>
    <w:rsid w:val="56CF4F3E"/>
    <w:rsid w:val="56D47958"/>
    <w:rsid w:val="56EC3A99"/>
    <w:rsid w:val="56F12193"/>
    <w:rsid w:val="5700112C"/>
    <w:rsid w:val="57124967"/>
    <w:rsid w:val="57132519"/>
    <w:rsid w:val="571F04CC"/>
    <w:rsid w:val="574501BC"/>
    <w:rsid w:val="57481FAA"/>
    <w:rsid w:val="574E0884"/>
    <w:rsid w:val="57521209"/>
    <w:rsid w:val="575238B3"/>
    <w:rsid w:val="57633860"/>
    <w:rsid w:val="576701A7"/>
    <w:rsid w:val="577323F4"/>
    <w:rsid w:val="57A14951"/>
    <w:rsid w:val="57A5446A"/>
    <w:rsid w:val="57AC738D"/>
    <w:rsid w:val="57B57492"/>
    <w:rsid w:val="57DC45FD"/>
    <w:rsid w:val="57EC2260"/>
    <w:rsid w:val="57F20E8E"/>
    <w:rsid w:val="57F35ECB"/>
    <w:rsid w:val="57F81DBC"/>
    <w:rsid w:val="57FB163D"/>
    <w:rsid w:val="580A478A"/>
    <w:rsid w:val="583359AD"/>
    <w:rsid w:val="58337659"/>
    <w:rsid w:val="58345C29"/>
    <w:rsid w:val="5853793A"/>
    <w:rsid w:val="58607013"/>
    <w:rsid w:val="58673712"/>
    <w:rsid w:val="586B23D8"/>
    <w:rsid w:val="587A4EC7"/>
    <w:rsid w:val="587D5EE4"/>
    <w:rsid w:val="587E245C"/>
    <w:rsid w:val="58802838"/>
    <w:rsid w:val="588D020A"/>
    <w:rsid w:val="58921AD3"/>
    <w:rsid w:val="58A2255F"/>
    <w:rsid w:val="58B74FED"/>
    <w:rsid w:val="58B90904"/>
    <w:rsid w:val="58C42FE1"/>
    <w:rsid w:val="58CB1FFC"/>
    <w:rsid w:val="58E50B7F"/>
    <w:rsid w:val="58F1444C"/>
    <w:rsid w:val="58F357D8"/>
    <w:rsid w:val="58F3727C"/>
    <w:rsid w:val="58FA2468"/>
    <w:rsid w:val="5908514C"/>
    <w:rsid w:val="591915EA"/>
    <w:rsid w:val="5929162B"/>
    <w:rsid w:val="5930247A"/>
    <w:rsid w:val="593A78BD"/>
    <w:rsid w:val="5960230F"/>
    <w:rsid w:val="59636E37"/>
    <w:rsid w:val="59762A27"/>
    <w:rsid w:val="59776CEB"/>
    <w:rsid w:val="5978464A"/>
    <w:rsid w:val="59803216"/>
    <w:rsid w:val="59830DD6"/>
    <w:rsid w:val="598D760A"/>
    <w:rsid w:val="59903A17"/>
    <w:rsid w:val="59935FAD"/>
    <w:rsid w:val="599A55C6"/>
    <w:rsid w:val="599F4447"/>
    <w:rsid w:val="59A57D21"/>
    <w:rsid w:val="59AA7642"/>
    <w:rsid w:val="59B71043"/>
    <w:rsid w:val="59D446FC"/>
    <w:rsid w:val="59DE3233"/>
    <w:rsid w:val="59E12080"/>
    <w:rsid w:val="5A1A78F6"/>
    <w:rsid w:val="5A1E0E46"/>
    <w:rsid w:val="5A270FFA"/>
    <w:rsid w:val="5A2B35E0"/>
    <w:rsid w:val="5A317807"/>
    <w:rsid w:val="5A400C49"/>
    <w:rsid w:val="5A487DC6"/>
    <w:rsid w:val="5A4F0676"/>
    <w:rsid w:val="5A547093"/>
    <w:rsid w:val="5A587672"/>
    <w:rsid w:val="5A5F7687"/>
    <w:rsid w:val="5A6000F7"/>
    <w:rsid w:val="5A801046"/>
    <w:rsid w:val="5A93688A"/>
    <w:rsid w:val="5A9A6CF2"/>
    <w:rsid w:val="5AA16E2A"/>
    <w:rsid w:val="5AB17F29"/>
    <w:rsid w:val="5AB56C7B"/>
    <w:rsid w:val="5AB67E08"/>
    <w:rsid w:val="5AD645C8"/>
    <w:rsid w:val="5AE975AA"/>
    <w:rsid w:val="5B011427"/>
    <w:rsid w:val="5B1D2FDE"/>
    <w:rsid w:val="5B6C0681"/>
    <w:rsid w:val="5B7C12BE"/>
    <w:rsid w:val="5B866FD3"/>
    <w:rsid w:val="5B8724CD"/>
    <w:rsid w:val="5B960369"/>
    <w:rsid w:val="5B9B688F"/>
    <w:rsid w:val="5BA23958"/>
    <w:rsid w:val="5BC654ED"/>
    <w:rsid w:val="5BC76895"/>
    <w:rsid w:val="5BD939CC"/>
    <w:rsid w:val="5BE92D24"/>
    <w:rsid w:val="5BEA4096"/>
    <w:rsid w:val="5BF9142F"/>
    <w:rsid w:val="5C0C435C"/>
    <w:rsid w:val="5C107820"/>
    <w:rsid w:val="5C18234A"/>
    <w:rsid w:val="5C1D6295"/>
    <w:rsid w:val="5C1E3DBB"/>
    <w:rsid w:val="5C280360"/>
    <w:rsid w:val="5C2C5721"/>
    <w:rsid w:val="5C387D87"/>
    <w:rsid w:val="5C5B2D88"/>
    <w:rsid w:val="5C5C32EA"/>
    <w:rsid w:val="5C605D2D"/>
    <w:rsid w:val="5C66556B"/>
    <w:rsid w:val="5C6D393E"/>
    <w:rsid w:val="5C6E28E3"/>
    <w:rsid w:val="5C7116A3"/>
    <w:rsid w:val="5C770B17"/>
    <w:rsid w:val="5C82259C"/>
    <w:rsid w:val="5C974B7D"/>
    <w:rsid w:val="5CA208E6"/>
    <w:rsid w:val="5CA73A3C"/>
    <w:rsid w:val="5CB12943"/>
    <w:rsid w:val="5CD11365"/>
    <w:rsid w:val="5CDD3472"/>
    <w:rsid w:val="5CE1529F"/>
    <w:rsid w:val="5CEE240E"/>
    <w:rsid w:val="5CF0438D"/>
    <w:rsid w:val="5D221C2A"/>
    <w:rsid w:val="5D3E4015"/>
    <w:rsid w:val="5D3E6E88"/>
    <w:rsid w:val="5D441CBD"/>
    <w:rsid w:val="5D4A06BF"/>
    <w:rsid w:val="5D4E45C5"/>
    <w:rsid w:val="5D563589"/>
    <w:rsid w:val="5D5955AA"/>
    <w:rsid w:val="5D61566A"/>
    <w:rsid w:val="5D6A2846"/>
    <w:rsid w:val="5D6A43BD"/>
    <w:rsid w:val="5D6E4AE4"/>
    <w:rsid w:val="5D785803"/>
    <w:rsid w:val="5D7874FB"/>
    <w:rsid w:val="5D822486"/>
    <w:rsid w:val="5D854006"/>
    <w:rsid w:val="5D863A07"/>
    <w:rsid w:val="5DA1476D"/>
    <w:rsid w:val="5DAE18BC"/>
    <w:rsid w:val="5DAE5BD3"/>
    <w:rsid w:val="5DBC6E50"/>
    <w:rsid w:val="5DF95E14"/>
    <w:rsid w:val="5E002055"/>
    <w:rsid w:val="5E183C05"/>
    <w:rsid w:val="5E1A1574"/>
    <w:rsid w:val="5E2C257F"/>
    <w:rsid w:val="5E5D69F0"/>
    <w:rsid w:val="5E653F23"/>
    <w:rsid w:val="5E8C79AC"/>
    <w:rsid w:val="5E9311D9"/>
    <w:rsid w:val="5E9420B3"/>
    <w:rsid w:val="5E9C19B1"/>
    <w:rsid w:val="5EA21F1E"/>
    <w:rsid w:val="5EAB00A3"/>
    <w:rsid w:val="5EBB3A25"/>
    <w:rsid w:val="5EBD01FF"/>
    <w:rsid w:val="5EC10479"/>
    <w:rsid w:val="5EC1319B"/>
    <w:rsid w:val="5ECB0ED9"/>
    <w:rsid w:val="5ECE1BEE"/>
    <w:rsid w:val="5EEC0315"/>
    <w:rsid w:val="5EF137EA"/>
    <w:rsid w:val="5EF27650"/>
    <w:rsid w:val="5EFE483C"/>
    <w:rsid w:val="5F105C38"/>
    <w:rsid w:val="5F191895"/>
    <w:rsid w:val="5F1B2B11"/>
    <w:rsid w:val="5F2A22DA"/>
    <w:rsid w:val="5F3538F6"/>
    <w:rsid w:val="5F3F4774"/>
    <w:rsid w:val="5F4E5F8F"/>
    <w:rsid w:val="5F4F0BFA"/>
    <w:rsid w:val="5F6D4418"/>
    <w:rsid w:val="5F6E0942"/>
    <w:rsid w:val="5F795ED8"/>
    <w:rsid w:val="5F7D4EBE"/>
    <w:rsid w:val="5F832828"/>
    <w:rsid w:val="5F8F7EFE"/>
    <w:rsid w:val="5FAB403A"/>
    <w:rsid w:val="5FB435E5"/>
    <w:rsid w:val="5FB90746"/>
    <w:rsid w:val="5FBA119F"/>
    <w:rsid w:val="5FCC4854"/>
    <w:rsid w:val="5FD247DC"/>
    <w:rsid w:val="5FD63677"/>
    <w:rsid w:val="5FDA7620"/>
    <w:rsid w:val="5FE87006"/>
    <w:rsid w:val="5FEC07A4"/>
    <w:rsid w:val="5FF226EE"/>
    <w:rsid w:val="5FF73A4A"/>
    <w:rsid w:val="601D6C92"/>
    <w:rsid w:val="60301CDC"/>
    <w:rsid w:val="60581EA2"/>
    <w:rsid w:val="60624BBE"/>
    <w:rsid w:val="60671601"/>
    <w:rsid w:val="60773708"/>
    <w:rsid w:val="60871DA1"/>
    <w:rsid w:val="60873408"/>
    <w:rsid w:val="608D06E9"/>
    <w:rsid w:val="608E0672"/>
    <w:rsid w:val="60900BFD"/>
    <w:rsid w:val="609A637A"/>
    <w:rsid w:val="609F7FE5"/>
    <w:rsid w:val="60A87C3C"/>
    <w:rsid w:val="60AF2B0B"/>
    <w:rsid w:val="60B3204E"/>
    <w:rsid w:val="60BD7538"/>
    <w:rsid w:val="60CB4582"/>
    <w:rsid w:val="60EA102F"/>
    <w:rsid w:val="60ED41C1"/>
    <w:rsid w:val="610677ED"/>
    <w:rsid w:val="61291797"/>
    <w:rsid w:val="613521AE"/>
    <w:rsid w:val="615B017D"/>
    <w:rsid w:val="616109D2"/>
    <w:rsid w:val="616B7F1A"/>
    <w:rsid w:val="61723ABE"/>
    <w:rsid w:val="61A564AF"/>
    <w:rsid w:val="61B5041C"/>
    <w:rsid w:val="61C14BD4"/>
    <w:rsid w:val="61C94B21"/>
    <w:rsid w:val="61CE67D8"/>
    <w:rsid w:val="61D65641"/>
    <w:rsid w:val="61E1035F"/>
    <w:rsid w:val="61E3273C"/>
    <w:rsid w:val="61F327C6"/>
    <w:rsid w:val="61FB51B8"/>
    <w:rsid w:val="620F042E"/>
    <w:rsid w:val="621041A6"/>
    <w:rsid w:val="6211787D"/>
    <w:rsid w:val="62180E42"/>
    <w:rsid w:val="622701DB"/>
    <w:rsid w:val="623226BA"/>
    <w:rsid w:val="623442F4"/>
    <w:rsid w:val="623666D2"/>
    <w:rsid w:val="623E6B39"/>
    <w:rsid w:val="62602ABB"/>
    <w:rsid w:val="62660FEE"/>
    <w:rsid w:val="626C2610"/>
    <w:rsid w:val="62726BBB"/>
    <w:rsid w:val="627316AB"/>
    <w:rsid w:val="628B4FE3"/>
    <w:rsid w:val="629372B1"/>
    <w:rsid w:val="62AC45E7"/>
    <w:rsid w:val="62AE32AD"/>
    <w:rsid w:val="62B31701"/>
    <w:rsid w:val="62BD08EC"/>
    <w:rsid w:val="62D11A7F"/>
    <w:rsid w:val="62E57256"/>
    <w:rsid w:val="62EE6C91"/>
    <w:rsid w:val="631B0018"/>
    <w:rsid w:val="63243A53"/>
    <w:rsid w:val="63666859"/>
    <w:rsid w:val="637F53AE"/>
    <w:rsid w:val="63903C23"/>
    <w:rsid w:val="639A4404"/>
    <w:rsid w:val="639E0381"/>
    <w:rsid w:val="63C04DAB"/>
    <w:rsid w:val="63C66C83"/>
    <w:rsid w:val="63D3420F"/>
    <w:rsid w:val="63E74AD8"/>
    <w:rsid w:val="63EB4ECB"/>
    <w:rsid w:val="641C5804"/>
    <w:rsid w:val="64225836"/>
    <w:rsid w:val="64271EAB"/>
    <w:rsid w:val="64306D81"/>
    <w:rsid w:val="64307FA3"/>
    <w:rsid w:val="6453539A"/>
    <w:rsid w:val="64574A3E"/>
    <w:rsid w:val="646031C3"/>
    <w:rsid w:val="64611EE2"/>
    <w:rsid w:val="647A2562"/>
    <w:rsid w:val="64807547"/>
    <w:rsid w:val="6495096E"/>
    <w:rsid w:val="649C1EB3"/>
    <w:rsid w:val="649E188D"/>
    <w:rsid w:val="649E741B"/>
    <w:rsid w:val="64D3668C"/>
    <w:rsid w:val="64DA7997"/>
    <w:rsid w:val="64E93B83"/>
    <w:rsid w:val="650B64B6"/>
    <w:rsid w:val="650E78DE"/>
    <w:rsid w:val="65152F76"/>
    <w:rsid w:val="651A53BB"/>
    <w:rsid w:val="652A0AAF"/>
    <w:rsid w:val="653470E1"/>
    <w:rsid w:val="653B1D9B"/>
    <w:rsid w:val="654C6A66"/>
    <w:rsid w:val="655349D6"/>
    <w:rsid w:val="65537605"/>
    <w:rsid w:val="655F0A6B"/>
    <w:rsid w:val="657820AE"/>
    <w:rsid w:val="65825800"/>
    <w:rsid w:val="65851804"/>
    <w:rsid w:val="658527B0"/>
    <w:rsid w:val="658A5984"/>
    <w:rsid w:val="65D011EB"/>
    <w:rsid w:val="65D8147F"/>
    <w:rsid w:val="65F10C4D"/>
    <w:rsid w:val="65FF1B0B"/>
    <w:rsid w:val="65FF2C3A"/>
    <w:rsid w:val="661C3B7B"/>
    <w:rsid w:val="66203470"/>
    <w:rsid w:val="66225965"/>
    <w:rsid w:val="66282854"/>
    <w:rsid w:val="663A2AD0"/>
    <w:rsid w:val="66485466"/>
    <w:rsid w:val="664B3981"/>
    <w:rsid w:val="665430E5"/>
    <w:rsid w:val="665F2A22"/>
    <w:rsid w:val="66626471"/>
    <w:rsid w:val="666568D0"/>
    <w:rsid w:val="666A19A0"/>
    <w:rsid w:val="66874B0A"/>
    <w:rsid w:val="668E3764"/>
    <w:rsid w:val="66A56F80"/>
    <w:rsid w:val="66CD4418"/>
    <w:rsid w:val="66D10C89"/>
    <w:rsid w:val="66FD33FE"/>
    <w:rsid w:val="67015FDA"/>
    <w:rsid w:val="670C0BF6"/>
    <w:rsid w:val="67122428"/>
    <w:rsid w:val="671F694B"/>
    <w:rsid w:val="673A6EAE"/>
    <w:rsid w:val="67412933"/>
    <w:rsid w:val="67483945"/>
    <w:rsid w:val="674945C1"/>
    <w:rsid w:val="675F6674"/>
    <w:rsid w:val="67AF5086"/>
    <w:rsid w:val="67B534DF"/>
    <w:rsid w:val="67C14F0C"/>
    <w:rsid w:val="67C151B8"/>
    <w:rsid w:val="67C6264C"/>
    <w:rsid w:val="67CB3340"/>
    <w:rsid w:val="67CD4742"/>
    <w:rsid w:val="67E57423"/>
    <w:rsid w:val="67E67CBE"/>
    <w:rsid w:val="67E82907"/>
    <w:rsid w:val="67E85616"/>
    <w:rsid w:val="67F02AB0"/>
    <w:rsid w:val="67FD51CC"/>
    <w:rsid w:val="68002DCE"/>
    <w:rsid w:val="6808604B"/>
    <w:rsid w:val="68265AB1"/>
    <w:rsid w:val="682C63FE"/>
    <w:rsid w:val="68380D6D"/>
    <w:rsid w:val="683B6442"/>
    <w:rsid w:val="6841330B"/>
    <w:rsid w:val="685F413B"/>
    <w:rsid w:val="68706B20"/>
    <w:rsid w:val="687526C8"/>
    <w:rsid w:val="687804DA"/>
    <w:rsid w:val="687B55EB"/>
    <w:rsid w:val="687D7756"/>
    <w:rsid w:val="688024F3"/>
    <w:rsid w:val="6882003F"/>
    <w:rsid w:val="6898638F"/>
    <w:rsid w:val="68994EF5"/>
    <w:rsid w:val="689C42AD"/>
    <w:rsid w:val="689D5A4F"/>
    <w:rsid w:val="68A04974"/>
    <w:rsid w:val="68A97761"/>
    <w:rsid w:val="68AD1282"/>
    <w:rsid w:val="68B968F1"/>
    <w:rsid w:val="68CF6313"/>
    <w:rsid w:val="68D92243"/>
    <w:rsid w:val="68FB7766"/>
    <w:rsid w:val="69040087"/>
    <w:rsid w:val="691C3D88"/>
    <w:rsid w:val="69214BF5"/>
    <w:rsid w:val="692C7755"/>
    <w:rsid w:val="69375C02"/>
    <w:rsid w:val="693970F0"/>
    <w:rsid w:val="6949722A"/>
    <w:rsid w:val="69683EE6"/>
    <w:rsid w:val="696A55DD"/>
    <w:rsid w:val="696B2AA9"/>
    <w:rsid w:val="69743986"/>
    <w:rsid w:val="69796170"/>
    <w:rsid w:val="697B2ADF"/>
    <w:rsid w:val="69834E1C"/>
    <w:rsid w:val="699F6B13"/>
    <w:rsid w:val="69AB752A"/>
    <w:rsid w:val="69B764A3"/>
    <w:rsid w:val="69BC750D"/>
    <w:rsid w:val="69D0442C"/>
    <w:rsid w:val="69DE5902"/>
    <w:rsid w:val="69E1434F"/>
    <w:rsid w:val="6A050368"/>
    <w:rsid w:val="6A0E2BC3"/>
    <w:rsid w:val="6A1002B7"/>
    <w:rsid w:val="6A150419"/>
    <w:rsid w:val="6A162478"/>
    <w:rsid w:val="6A1E68E8"/>
    <w:rsid w:val="6A224847"/>
    <w:rsid w:val="6A364414"/>
    <w:rsid w:val="6A4B4824"/>
    <w:rsid w:val="6A6D03E7"/>
    <w:rsid w:val="6A721A26"/>
    <w:rsid w:val="6A7C77E9"/>
    <w:rsid w:val="6A8E180D"/>
    <w:rsid w:val="6A937E96"/>
    <w:rsid w:val="6A96084A"/>
    <w:rsid w:val="6A9B4960"/>
    <w:rsid w:val="6AA65337"/>
    <w:rsid w:val="6AB21449"/>
    <w:rsid w:val="6AC703E3"/>
    <w:rsid w:val="6AD9505A"/>
    <w:rsid w:val="6AF20E66"/>
    <w:rsid w:val="6AFA2950"/>
    <w:rsid w:val="6B0A3666"/>
    <w:rsid w:val="6B105D62"/>
    <w:rsid w:val="6B134BF6"/>
    <w:rsid w:val="6B2B3A11"/>
    <w:rsid w:val="6B5376F3"/>
    <w:rsid w:val="6B5433FA"/>
    <w:rsid w:val="6B5B22CE"/>
    <w:rsid w:val="6B5D75F2"/>
    <w:rsid w:val="6B6132FE"/>
    <w:rsid w:val="6B89036B"/>
    <w:rsid w:val="6B9A566D"/>
    <w:rsid w:val="6BA8748D"/>
    <w:rsid w:val="6BB60D3F"/>
    <w:rsid w:val="6BBC4A5F"/>
    <w:rsid w:val="6BBC61DF"/>
    <w:rsid w:val="6BC075B6"/>
    <w:rsid w:val="6BC41FB0"/>
    <w:rsid w:val="6BC44902"/>
    <w:rsid w:val="6BCC213D"/>
    <w:rsid w:val="6BE63113"/>
    <w:rsid w:val="6BEF2C09"/>
    <w:rsid w:val="6BEF6DCB"/>
    <w:rsid w:val="6BF32511"/>
    <w:rsid w:val="6C1D5ADC"/>
    <w:rsid w:val="6C1F1BB5"/>
    <w:rsid w:val="6C2A0A64"/>
    <w:rsid w:val="6C315445"/>
    <w:rsid w:val="6C515B12"/>
    <w:rsid w:val="6C516B50"/>
    <w:rsid w:val="6C634260"/>
    <w:rsid w:val="6C7452B4"/>
    <w:rsid w:val="6C99244E"/>
    <w:rsid w:val="6C9C3206"/>
    <w:rsid w:val="6C9D72F9"/>
    <w:rsid w:val="6CA0445E"/>
    <w:rsid w:val="6CA76728"/>
    <w:rsid w:val="6CAA2137"/>
    <w:rsid w:val="6CB41EB9"/>
    <w:rsid w:val="6CBA4CB0"/>
    <w:rsid w:val="6CBC1224"/>
    <w:rsid w:val="6CC1271C"/>
    <w:rsid w:val="6CD21919"/>
    <w:rsid w:val="6CD63142"/>
    <w:rsid w:val="6CDB234B"/>
    <w:rsid w:val="6CDD4691"/>
    <w:rsid w:val="6CDE6CAC"/>
    <w:rsid w:val="6CE457B1"/>
    <w:rsid w:val="6CF424BB"/>
    <w:rsid w:val="6CFD00B4"/>
    <w:rsid w:val="6D125625"/>
    <w:rsid w:val="6D1F7993"/>
    <w:rsid w:val="6D2B5264"/>
    <w:rsid w:val="6D2D5E62"/>
    <w:rsid w:val="6D3B2E1C"/>
    <w:rsid w:val="6D3D6ACD"/>
    <w:rsid w:val="6D4A14F6"/>
    <w:rsid w:val="6D562BF4"/>
    <w:rsid w:val="6D570824"/>
    <w:rsid w:val="6D6548D7"/>
    <w:rsid w:val="6D741E3A"/>
    <w:rsid w:val="6D7B3634"/>
    <w:rsid w:val="6D843DF5"/>
    <w:rsid w:val="6D93481A"/>
    <w:rsid w:val="6DBB76BC"/>
    <w:rsid w:val="6DC049BF"/>
    <w:rsid w:val="6DC451ED"/>
    <w:rsid w:val="6DD02F58"/>
    <w:rsid w:val="6DDE15FC"/>
    <w:rsid w:val="6DE34210"/>
    <w:rsid w:val="6DEA1302"/>
    <w:rsid w:val="6DEB2764"/>
    <w:rsid w:val="6E0C6169"/>
    <w:rsid w:val="6E1A6C48"/>
    <w:rsid w:val="6E1C4648"/>
    <w:rsid w:val="6E245F51"/>
    <w:rsid w:val="6E41203C"/>
    <w:rsid w:val="6E4B36E9"/>
    <w:rsid w:val="6E5763EE"/>
    <w:rsid w:val="6E582322"/>
    <w:rsid w:val="6E59710C"/>
    <w:rsid w:val="6E5D189A"/>
    <w:rsid w:val="6E611803"/>
    <w:rsid w:val="6E76631C"/>
    <w:rsid w:val="6E8A7A3A"/>
    <w:rsid w:val="6E8F05C0"/>
    <w:rsid w:val="6E8F32ED"/>
    <w:rsid w:val="6E9329F2"/>
    <w:rsid w:val="6EAF0208"/>
    <w:rsid w:val="6EB447CD"/>
    <w:rsid w:val="6ED02948"/>
    <w:rsid w:val="6EE3511C"/>
    <w:rsid w:val="6EE840ED"/>
    <w:rsid w:val="6EFA5BB6"/>
    <w:rsid w:val="6F0A6258"/>
    <w:rsid w:val="6F13676D"/>
    <w:rsid w:val="6F286D25"/>
    <w:rsid w:val="6F37062C"/>
    <w:rsid w:val="6F3761E7"/>
    <w:rsid w:val="6F384EDE"/>
    <w:rsid w:val="6F454ABA"/>
    <w:rsid w:val="6F476B84"/>
    <w:rsid w:val="6F527778"/>
    <w:rsid w:val="6F6C6579"/>
    <w:rsid w:val="6F750060"/>
    <w:rsid w:val="6F8C06D5"/>
    <w:rsid w:val="6F947F2B"/>
    <w:rsid w:val="6FB22292"/>
    <w:rsid w:val="6FBC31BB"/>
    <w:rsid w:val="6FD168AC"/>
    <w:rsid w:val="6FD9134E"/>
    <w:rsid w:val="6FE935F9"/>
    <w:rsid w:val="700015A0"/>
    <w:rsid w:val="70017C5C"/>
    <w:rsid w:val="70036DBA"/>
    <w:rsid w:val="701C7277"/>
    <w:rsid w:val="701F42A3"/>
    <w:rsid w:val="702A21AF"/>
    <w:rsid w:val="707908B2"/>
    <w:rsid w:val="708423A4"/>
    <w:rsid w:val="70847A5C"/>
    <w:rsid w:val="70943806"/>
    <w:rsid w:val="709F2FDB"/>
    <w:rsid w:val="70B4327D"/>
    <w:rsid w:val="70BE10B0"/>
    <w:rsid w:val="70CA0F2B"/>
    <w:rsid w:val="70D13D7F"/>
    <w:rsid w:val="70D475FC"/>
    <w:rsid w:val="70D96B17"/>
    <w:rsid w:val="70E833AB"/>
    <w:rsid w:val="70F27D8D"/>
    <w:rsid w:val="70FB7C5E"/>
    <w:rsid w:val="710F69FE"/>
    <w:rsid w:val="711B267B"/>
    <w:rsid w:val="711E5BAA"/>
    <w:rsid w:val="712F482B"/>
    <w:rsid w:val="713032D9"/>
    <w:rsid w:val="7133093A"/>
    <w:rsid w:val="716618AF"/>
    <w:rsid w:val="716B039C"/>
    <w:rsid w:val="718518F0"/>
    <w:rsid w:val="719426FE"/>
    <w:rsid w:val="71A37C8C"/>
    <w:rsid w:val="71AF60A0"/>
    <w:rsid w:val="71B151B2"/>
    <w:rsid w:val="71B40792"/>
    <w:rsid w:val="71B63CFA"/>
    <w:rsid w:val="71BB0BD6"/>
    <w:rsid w:val="71BF4BB8"/>
    <w:rsid w:val="71DA0897"/>
    <w:rsid w:val="71F25AEC"/>
    <w:rsid w:val="7202207B"/>
    <w:rsid w:val="72037E06"/>
    <w:rsid w:val="72075027"/>
    <w:rsid w:val="720D0456"/>
    <w:rsid w:val="72103BEF"/>
    <w:rsid w:val="721147DD"/>
    <w:rsid w:val="721159BA"/>
    <w:rsid w:val="72127A84"/>
    <w:rsid w:val="723C5B4E"/>
    <w:rsid w:val="72465A08"/>
    <w:rsid w:val="724F4761"/>
    <w:rsid w:val="7258261E"/>
    <w:rsid w:val="725C4DE7"/>
    <w:rsid w:val="725D5828"/>
    <w:rsid w:val="72621FFF"/>
    <w:rsid w:val="726A345E"/>
    <w:rsid w:val="726E2470"/>
    <w:rsid w:val="72793D4D"/>
    <w:rsid w:val="728910EA"/>
    <w:rsid w:val="7296393B"/>
    <w:rsid w:val="72AB5745"/>
    <w:rsid w:val="72AD5633"/>
    <w:rsid w:val="72AF1452"/>
    <w:rsid w:val="72B831E1"/>
    <w:rsid w:val="72BA7FA0"/>
    <w:rsid w:val="72C22F45"/>
    <w:rsid w:val="72C51E60"/>
    <w:rsid w:val="72D066F9"/>
    <w:rsid w:val="72DE7135"/>
    <w:rsid w:val="72DF0ABE"/>
    <w:rsid w:val="72DF5DF8"/>
    <w:rsid w:val="72EC0317"/>
    <w:rsid w:val="72FD0B88"/>
    <w:rsid w:val="731E38AE"/>
    <w:rsid w:val="732B7316"/>
    <w:rsid w:val="732E5FF6"/>
    <w:rsid w:val="73371343"/>
    <w:rsid w:val="733834B5"/>
    <w:rsid w:val="73410062"/>
    <w:rsid w:val="734A241E"/>
    <w:rsid w:val="734B0FCB"/>
    <w:rsid w:val="735660E4"/>
    <w:rsid w:val="73721FE7"/>
    <w:rsid w:val="73760083"/>
    <w:rsid w:val="73836A3B"/>
    <w:rsid w:val="73A83109"/>
    <w:rsid w:val="73A864DD"/>
    <w:rsid w:val="73A91D7A"/>
    <w:rsid w:val="73A97559"/>
    <w:rsid w:val="73AE79D9"/>
    <w:rsid w:val="73C35079"/>
    <w:rsid w:val="73C40838"/>
    <w:rsid w:val="73C45477"/>
    <w:rsid w:val="73C94ABA"/>
    <w:rsid w:val="73E739B4"/>
    <w:rsid w:val="73EE5289"/>
    <w:rsid w:val="73FA5D04"/>
    <w:rsid w:val="74020EDE"/>
    <w:rsid w:val="7406215E"/>
    <w:rsid w:val="7416389E"/>
    <w:rsid w:val="74192FF5"/>
    <w:rsid w:val="74225409"/>
    <w:rsid w:val="742359E5"/>
    <w:rsid w:val="74251FC0"/>
    <w:rsid w:val="74263709"/>
    <w:rsid w:val="743C3DE5"/>
    <w:rsid w:val="74445AAD"/>
    <w:rsid w:val="746809C7"/>
    <w:rsid w:val="746911FD"/>
    <w:rsid w:val="746F6DD1"/>
    <w:rsid w:val="747D6B35"/>
    <w:rsid w:val="748402A4"/>
    <w:rsid w:val="748F095E"/>
    <w:rsid w:val="74963EEE"/>
    <w:rsid w:val="74A264FE"/>
    <w:rsid w:val="74AB7CB1"/>
    <w:rsid w:val="74AC2E5D"/>
    <w:rsid w:val="74AC42D1"/>
    <w:rsid w:val="74BE552C"/>
    <w:rsid w:val="74C5000B"/>
    <w:rsid w:val="74D14FB2"/>
    <w:rsid w:val="74D6127F"/>
    <w:rsid w:val="74D9539C"/>
    <w:rsid w:val="74E53270"/>
    <w:rsid w:val="74E76064"/>
    <w:rsid w:val="74E846D2"/>
    <w:rsid w:val="74E96B92"/>
    <w:rsid w:val="74F37919"/>
    <w:rsid w:val="7509077D"/>
    <w:rsid w:val="75096ADA"/>
    <w:rsid w:val="751248A6"/>
    <w:rsid w:val="7515478C"/>
    <w:rsid w:val="752711CE"/>
    <w:rsid w:val="752D3933"/>
    <w:rsid w:val="75343637"/>
    <w:rsid w:val="754B4E23"/>
    <w:rsid w:val="75511533"/>
    <w:rsid w:val="755522C7"/>
    <w:rsid w:val="755F2CAB"/>
    <w:rsid w:val="756519AE"/>
    <w:rsid w:val="756B4F1F"/>
    <w:rsid w:val="75870269"/>
    <w:rsid w:val="758F7D7A"/>
    <w:rsid w:val="75967DD2"/>
    <w:rsid w:val="75A123E8"/>
    <w:rsid w:val="75A27F79"/>
    <w:rsid w:val="75C81609"/>
    <w:rsid w:val="75D34F86"/>
    <w:rsid w:val="75EA0FF5"/>
    <w:rsid w:val="75F55735"/>
    <w:rsid w:val="75FC4940"/>
    <w:rsid w:val="76096989"/>
    <w:rsid w:val="760D75A3"/>
    <w:rsid w:val="761C3ED3"/>
    <w:rsid w:val="761F1CC0"/>
    <w:rsid w:val="76206395"/>
    <w:rsid w:val="762517D0"/>
    <w:rsid w:val="762F6E99"/>
    <w:rsid w:val="76361FD5"/>
    <w:rsid w:val="76453418"/>
    <w:rsid w:val="765D53C3"/>
    <w:rsid w:val="76674F49"/>
    <w:rsid w:val="766B7282"/>
    <w:rsid w:val="76792A34"/>
    <w:rsid w:val="769D1212"/>
    <w:rsid w:val="76A67029"/>
    <w:rsid w:val="76B276EB"/>
    <w:rsid w:val="76BE005D"/>
    <w:rsid w:val="76C10BAC"/>
    <w:rsid w:val="76C55828"/>
    <w:rsid w:val="76CB4D27"/>
    <w:rsid w:val="76D36086"/>
    <w:rsid w:val="76FC02F4"/>
    <w:rsid w:val="76FD0EFC"/>
    <w:rsid w:val="77144543"/>
    <w:rsid w:val="7723776B"/>
    <w:rsid w:val="77302D7A"/>
    <w:rsid w:val="77325DDB"/>
    <w:rsid w:val="773F3B6C"/>
    <w:rsid w:val="774B6D57"/>
    <w:rsid w:val="775B6214"/>
    <w:rsid w:val="777003FD"/>
    <w:rsid w:val="77773DC1"/>
    <w:rsid w:val="77797701"/>
    <w:rsid w:val="777F52C5"/>
    <w:rsid w:val="77803305"/>
    <w:rsid w:val="77830F83"/>
    <w:rsid w:val="778E352F"/>
    <w:rsid w:val="778F3562"/>
    <w:rsid w:val="77A5208D"/>
    <w:rsid w:val="77CD4F2D"/>
    <w:rsid w:val="77D82474"/>
    <w:rsid w:val="77DD5B72"/>
    <w:rsid w:val="77EB6DF0"/>
    <w:rsid w:val="77F032F2"/>
    <w:rsid w:val="77F84B60"/>
    <w:rsid w:val="78035DD9"/>
    <w:rsid w:val="78104D80"/>
    <w:rsid w:val="78206E7E"/>
    <w:rsid w:val="78283BA0"/>
    <w:rsid w:val="78532F9A"/>
    <w:rsid w:val="78713960"/>
    <w:rsid w:val="78937FE1"/>
    <w:rsid w:val="78973B98"/>
    <w:rsid w:val="7898486E"/>
    <w:rsid w:val="78994511"/>
    <w:rsid w:val="789C2CB4"/>
    <w:rsid w:val="789C633C"/>
    <w:rsid w:val="78A53442"/>
    <w:rsid w:val="78A714DA"/>
    <w:rsid w:val="78B354D9"/>
    <w:rsid w:val="78BC5E8F"/>
    <w:rsid w:val="78D2039E"/>
    <w:rsid w:val="78DC59E9"/>
    <w:rsid w:val="78FC67C1"/>
    <w:rsid w:val="79061402"/>
    <w:rsid w:val="790C2823"/>
    <w:rsid w:val="79164CAC"/>
    <w:rsid w:val="792C11CA"/>
    <w:rsid w:val="792C12AA"/>
    <w:rsid w:val="79380518"/>
    <w:rsid w:val="793F3C9F"/>
    <w:rsid w:val="794B1E04"/>
    <w:rsid w:val="795162CE"/>
    <w:rsid w:val="79536EF9"/>
    <w:rsid w:val="79550D79"/>
    <w:rsid w:val="795B432F"/>
    <w:rsid w:val="795F0A3E"/>
    <w:rsid w:val="79633317"/>
    <w:rsid w:val="796715CF"/>
    <w:rsid w:val="79672223"/>
    <w:rsid w:val="796F2769"/>
    <w:rsid w:val="79790093"/>
    <w:rsid w:val="797D04FF"/>
    <w:rsid w:val="79832BCF"/>
    <w:rsid w:val="7983721F"/>
    <w:rsid w:val="798758ED"/>
    <w:rsid w:val="79B34319"/>
    <w:rsid w:val="79CF535A"/>
    <w:rsid w:val="79E470BB"/>
    <w:rsid w:val="79F01804"/>
    <w:rsid w:val="7A021993"/>
    <w:rsid w:val="7A041962"/>
    <w:rsid w:val="7A04240B"/>
    <w:rsid w:val="7A105A3B"/>
    <w:rsid w:val="7A122D59"/>
    <w:rsid w:val="7A127578"/>
    <w:rsid w:val="7A1C5ECF"/>
    <w:rsid w:val="7A247C85"/>
    <w:rsid w:val="7A2B4873"/>
    <w:rsid w:val="7A2D36EF"/>
    <w:rsid w:val="7A30337E"/>
    <w:rsid w:val="7A373193"/>
    <w:rsid w:val="7A424173"/>
    <w:rsid w:val="7A5565B6"/>
    <w:rsid w:val="7A5E7C5A"/>
    <w:rsid w:val="7A6275DA"/>
    <w:rsid w:val="7A7B7C4C"/>
    <w:rsid w:val="7A7D2A24"/>
    <w:rsid w:val="7A7E1658"/>
    <w:rsid w:val="7A7F787E"/>
    <w:rsid w:val="7A992301"/>
    <w:rsid w:val="7AA4070D"/>
    <w:rsid w:val="7AAA0A03"/>
    <w:rsid w:val="7AB343F8"/>
    <w:rsid w:val="7AB563B3"/>
    <w:rsid w:val="7ABB7303"/>
    <w:rsid w:val="7ABC419E"/>
    <w:rsid w:val="7ACB7266"/>
    <w:rsid w:val="7ADA4B41"/>
    <w:rsid w:val="7ADE2C3C"/>
    <w:rsid w:val="7AE746D9"/>
    <w:rsid w:val="7AF04927"/>
    <w:rsid w:val="7AF054C9"/>
    <w:rsid w:val="7B297E63"/>
    <w:rsid w:val="7B2F7B9A"/>
    <w:rsid w:val="7B3041C5"/>
    <w:rsid w:val="7B3D0137"/>
    <w:rsid w:val="7B3D3E3C"/>
    <w:rsid w:val="7B486C57"/>
    <w:rsid w:val="7B5555DB"/>
    <w:rsid w:val="7B6E0E43"/>
    <w:rsid w:val="7B723FFE"/>
    <w:rsid w:val="7B741BBA"/>
    <w:rsid w:val="7B781872"/>
    <w:rsid w:val="7B9A75DE"/>
    <w:rsid w:val="7B9F7419"/>
    <w:rsid w:val="7BA05D31"/>
    <w:rsid w:val="7BA80B50"/>
    <w:rsid w:val="7BA8567A"/>
    <w:rsid w:val="7BAA31BA"/>
    <w:rsid w:val="7BAD5CCA"/>
    <w:rsid w:val="7BB75BE4"/>
    <w:rsid w:val="7BBE0C57"/>
    <w:rsid w:val="7BCB31C0"/>
    <w:rsid w:val="7BCF5CB7"/>
    <w:rsid w:val="7BDB604F"/>
    <w:rsid w:val="7BDB7E39"/>
    <w:rsid w:val="7BEA6CBD"/>
    <w:rsid w:val="7BFA7FB2"/>
    <w:rsid w:val="7BFB4A9B"/>
    <w:rsid w:val="7C0040B1"/>
    <w:rsid w:val="7C1942A5"/>
    <w:rsid w:val="7C221BC9"/>
    <w:rsid w:val="7C2E7DC8"/>
    <w:rsid w:val="7C567832"/>
    <w:rsid w:val="7C7669B7"/>
    <w:rsid w:val="7C8B715D"/>
    <w:rsid w:val="7C943EFA"/>
    <w:rsid w:val="7CA56763"/>
    <w:rsid w:val="7CB1384D"/>
    <w:rsid w:val="7CB769E5"/>
    <w:rsid w:val="7CC30B14"/>
    <w:rsid w:val="7CE07155"/>
    <w:rsid w:val="7CEA6451"/>
    <w:rsid w:val="7CFE4474"/>
    <w:rsid w:val="7D1D1BA3"/>
    <w:rsid w:val="7D1D3EEF"/>
    <w:rsid w:val="7D27616B"/>
    <w:rsid w:val="7D2E5AE6"/>
    <w:rsid w:val="7D31012B"/>
    <w:rsid w:val="7D455E28"/>
    <w:rsid w:val="7D52089B"/>
    <w:rsid w:val="7D6116ED"/>
    <w:rsid w:val="7D6D490A"/>
    <w:rsid w:val="7D725A61"/>
    <w:rsid w:val="7D911A79"/>
    <w:rsid w:val="7D9E34F3"/>
    <w:rsid w:val="7DA13F8E"/>
    <w:rsid w:val="7DA36D4C"/>
    <w:rsid w:val="7DA737B9"/>
    <w:rsid w:val="7DB9210C"/>
    <w:rsid w:val="7DCD47A5"/>
    <w:rsid w:val="7DD442D3"/>
    <w:rsid w:val="7DD656BE"/>
    <w:rsid w:val="7DD805E0"/>
    <w:rsid w:val="7DD92139"/>
    <w:rsid w:val="7E062238"/>
    <w:rsid w:val="7E2961B6"/>
    <w:rsid w:val="7E2A59DB"/>
    <w:rsid w:val="7E327711"/>
    <w:rsid w:val="7E3E5472"/>
    <w:rsid w:val="7E43210F"/>
    <w:rsid w:val="7E435C54"/>
    <w:rsid w:val="7E4C610E"/>
    <w:rsid w:val="7E54379F"/>
    <w:rsid w:val="7E5B7DDB"/>
    <w:rsid w:val="7E8835B6"/>
    <w:rsid w:val="7E9E22FB"/>
    <w:rsid w:val="7EA13CA0"/>
    <w:rsid w:val="7EA92B96"/>
    <w:rsid w:val="7EB45B92"/>
    <w:rsid w:val="7EBE150B"/>
    <w:rsid w:val="7EC9775F"/>
    <w:rsid w:val="7ED07089"/>
    <w:rsid w:val="7EE34ACF"/>
    <w:rsid w:val="7EEE5230"/>
    <w:rsid w:val="7EF6742D"/>
    <w:rsid w:val="7EFF05BA"/>
    <w:rsid w:val="7F076541"/>
    <w:rsid w:val="7F1870B0"/>
    <w:rsid w:val="7F1E7233"/>
    <w:rsid w:val="7F207BD7"/>
    <w:rsid w:val="7F2624C4"/>
    <w:rsid w:val="7F265635"/>
    <w:rsid w:val="7F2B0605"/>
    <w:rsid w:val="7F354927"/>
    <w:rsid w:val="7F587F32"/>
    <w:rsid w:val="7F59181B"/>
    <w:rsid w:val="7F60211A"/>
    <w:rsid w:val="7F734650"/>
    <w:rsid w:val="7F765B38"/>
    <w:rsid w:val="7F8B0BC4"/>
    <w:rsid w:val="7F9D3F2F"/>
    <w:rsid w:val="7F9F51CF"/>
    <w:rsid w:val="7FA41071"/>
    <w:rsid w:val="7FBD33FC"/>
    <w:rsid w:val="7FCC1180"/>
    <w:rsid w:val="7FCE7682"/>
    <w:rsid w:val="7FDD4DD3"/>
    <w:rsid w:val="7FEF38D6"/>
    <w:rsid w:val="7FFE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0"/>
    <w:pPr>
      <w:widowControl/>
      <w:spacing w:before="100" w:beforeAutospacing="1" w:after="100" w:afterAutospacing="1"/>
      <w:jc w:val="left"/>
      <w:outlineLvl w:val="0"/>
    </w:pPr>
    <w:rPr>
      <w:rFonts w:ascii="Times New Roman" w:hAnsi="Times New Roman"/>
      <w:b/>
      <w:bCs/>
      <w:kern w:val="36"/>
      <w:sz w:val="48"/>
      <w:szCs w:val="48"/>
    </w:rPr>
  </w:style>
  <w:style w:type="paragraph" w:styleId="4">
    <w:name w:val="heading 2"/>
    <w:basedOn w:val="1"/>
    <w:next w:val="1"/>
    <w:link w:val="39"/>
    <w:qFormat/>
    <w:uiPriority w:val="0"/>
    <w:pPr>
      <w:keepNext/>
      <w:spacing w:before="240" w:after="60"/>
      <w:outlineLvl w:val="1"/>
    </w:pPr>
    <w:rPr>
      <w:rFonts w:ascii="Arial" w:hAnsi="Arial" w:cs="Arial"/>
      <w:b/>
      <w:bCs/>
      <w:i/>
      <w:iCs/>
      <w:sz w:val="28"/>
      <w:szCs w:val="28"/>
    </w:rPr>
  </w:style>
  <w:style w:type="paragraph" w:styleId="5">
    <w:name w:val="heading 3"/>
    <w:basedOn w:val="1"/>
    <w:next w:val="1"/>
    <w:link w:val="40"/>
    <w:qFormat/>
    <w:uiPriority w:val="0"/>
    <w:pPr>
      <w:keepNext/>
      <w:spacing w:line="360" w:lineRule="auto"/>
      <w:ind w:firstLine="1121" w:firstLineChars="200"/>
      <w:outlineLvl w:val="2"/>
    </w:pPr>
    <w:rPr>
      <w:rFonts w:ascii="Arial" w:hAnsi="Arial" w:eastAsia="仿宋" w:cs="Arial"/>
      <w:b/>
      <w:bCs/>
      <w:sz w:val="32"/>
      <w:szCs w:val="26"/>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toc 7"/>
    <w:basedOn w:val="1"/>
    <w:next w:val="1"/>
    <w:unhideWhenUsed/>
    <w:qFormat/>
    <w:uiPriority w:val="39"/>
    <w:pPr>
      <w:ind w:left="2520" w:leftChars="1200"/>
    </w:pPr>
    <w:rPr>
      <w:rFonts w:asciiTheme="minorHAnsi" w:hAnsiTheme="minorHAnsi" w:eastAsiaTheme="minorEastAsia" w:cstheme="minorBidi"/>
    </w:rPr>
  </w:style>
  <w:style w:type="paragraph" w:styleId="7">
    <w:name w:val="annotation text"/>
    <w:basedOn w:val="1"/>
    <w:link w:val="41"/>
    <w:qFormat/>
    <w:uiPriority w:val="0"/>
    <w:pPr>
      <w:jc w:val="left"/>
    </w:pPr>
  </w:style>
  <w:style w:type="paragraph" w:styleId="8">
    <w:name w:val="Body Text"/>
    <w:basedOn w:val="1"/>
    <w:link w:val="36"/>
    <w:unhideWhenUsed/>
    <w:qFormat/>
    <w:uiPriority w:val="99"/>
    <w:pPr>
      <w:spacing w:after="120"/>
    </w:pPr>
  </w:style>
  <w:style w:type="paragraph" w:styleId="9">
    <w:name w:val="Body Text Indent"/>
    <w:basedOn w:val="1"/>
    <w:link w:val="42"/>
    <w:unhideWhenUsed/>
    <w:qFormat/>
    <w:uiPriority w:val="99"/>
    <w:pPr>
      <w:spacing w:after="120"/>
      <w:ind w:left="420" w:leftChars="200"/>
    </w:pPr>
    <w:rPr>
      <w:kern w:val="0"/>
      <w:sz w:val="20"/>
    </w:rPr>
  </w:style>
  <w:style w:type="paragraph" w:styleId="10">
    <w:name w:val="toc 5"/>
    <w:basedOn w:val="1"/>
    <w:next w:val="1"/>
    <w:unhideWhenUsed/>
    <w:qFormat/>
    <w:uiPriority w:val="39"/>
    <w:pPr>
      <w:ind w:left="1680" w:leftChars="800"/>
    </w:pPr>
    <w:rPr>
      <w:rFonts w:asciiTheme="minorHAnsi" w:hAnsiTheme="minorHAnsi" w:eastAsiaTheme="minorEastAsia" w:cstheme="minorBidi"/>
    </w:rPr>
  </w:style>
  <w:style w:type="paragraph" w:styleId="11">
    <w:name w:val="toc 3"/>
    <w:basedOn w:val="1"/>
    <w:next w:val="1"/>
    <w:unhideWhenUsed/>
    <w:qFormat/>
    <w:uiPriority w:val="39"/>
    <w:pPr>
      <w:ind w:left="840" w:leftChars="400"/>
    </w:pPr>
  </w:style>
  <w:style w:type="paragraph" w:styleId="12">
    <w:name w:val="Plain Text"/>
    <w:basedOn w:val="1"/>
    <w:link w:val="43"/>
    <w:qFormat/>
    <w:uiPriority w:val="0"/>
    <w:rPr>
      <w:rFonts w:ascii="宋体" w:hAnsi="Courier New"/>
      <w:szCs w:val="21"/>
    </w:rPr>
  </w:style>
  <w:style w:type="paragraph" w:styleId="13">
    <w:name w:val="toc 8"/>
    <w:basedOn w:val="1"/>
    <w:next w:val="1"/>
    <w:unhideWhenUsed/>
    <w:qFormat/>
    <w:uiPriority w:val="39"/>
    <w:rPr>
      <w:rFonts w:asciiTheme="minorHAnsi" w:hAnsiTheme="minorHAnsi" w:eastAsiaTheme="minorEastAsia" w:cstheme="minorBidi"/>
    </w:rPr>
  </w:style>
  <w:style w:type="paragraph" w:styleId="14">
    <w:name w:val="Body Text Indent 2"/>
    <w:basedOn w:val="15"/>
    <w:next w:val="15"/>
    <w:link w:val="45"/>
    <w:unhideWhenUsed/>
    <w:qFormat/>
    <w:uiPriority w:val="99"/>
    <w:pPr>
      <w:tabs>
        <w:tab w:val="left" w:pos="3360"/>
      </w:tabs>
      <w:ind w:firstLine="600"/>
    </w:pPr>
    <w:rPr>
      <w:sz w:val="30"/>
      <w:szCs w:val="20"/>
    </w:rPr>
  </w:style>
  <w:style w:type="paragraph" w:styleId="15">
    <w:name w:val="Body Text First Indent 2"/>
    <w:basedOn w:val="9"/>
    <w:link w:val="44"/>
    <w:unhideWhenUsed/>
    <w:qFormat/>
    <w:uiPriority w:val="99"/>
    <w:pPr>
      <w:ind w:firstLine="420"/>
    </w:pPr>
  </w:style>
  <w:style w:type="paragraph" w:styleId="16">
    <w:name w:val="Balloon Text"/>
    <w:basedOn w:val="1"/>
    <w:link w:val="46"/>
    <w:qFormat/>
    <w:uiPriority w:val="0"/>
    <w:rPr>
      <w:sz w:val="18"/>
      <w:szCs w:val="18"/>
    </w:rPr>
  </w:style>
  <w:style w:type="paragraph" w:styleId="17">
    <w:name w:val="footer"/>
    <w:basedOn w:val="1"/>
    <w:link w:val="47"/>
    <w:qFormat/>
    <w:uiPriority w:val="99"/>
    <w:pPr>
      <w:tabs>
        <w:tab w:val="center" w:pos="4153"/>
        <w:tab w:val="right" w:pos="8306"/>
      </w:tabs>
      <w:snapToGrid w:val="0"/>
      <w:jc w:val="left"/>
    </w:pPr>
    <w:rPr>
      <w:sz w:val="18"/>
      <w:szCs w:val="18"/>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rFonts w:asciiTheme="minorHAnsi" w:hAnsiTheme="minorHAnsi" w:eastAsiaTheme="minorEastAsia" w:cstheme="minorBidi"/>
    </w:rPr>
  </w:style>
  <w:style w:type="paragraph" w:styleId="21">
    <w:name w:val="footnote text"/>
    <w:basedOn w:val="1"/>
    <w:link w:val="49"/>
    <w:semiHidden/>
    <w:unhideWhenUsed/>
    <w:qFormat/>
    <w:uiPriority w:val="99"/>
    <w:pPr>
      <w:snapToGrid w:val="0"/>
      <w:jc w:val="left"/>
    </w:pPr>
    <w:rPr>
      <w:sz w:val="18"/>
    </w:rPr>
  </w:style>
  <w:style w:type="paragraph" w:styleId="22">
    <w:name w:val="toc 6"/>
    <w:basedOn w:val="1"/>
    <w:next w:val="1"/>
    <w:unhideWhenUsed/>
    <w:qFormat/>
    <w:uiPriority w:val="39"/>
    <w:pPr>
      <w:ind w:left="2100" w:leftChars="1000"/>
    </w:pPr>
    <w:rPr>
      <w:rFonts w:asciiTheme="minorHAnsi" w:hAnsiTheme="minorHAnsi" w:eastAsiaTheme="minorEastAsia" w:cstheme="minorBidi"/>
    </w:r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ind w:left="3360" w:leftChars="1600"/>
    </w:pPr>
    <w:rPr>
      <w:rFonts w:asciiTheme="minorHAnsi" w:hAnsiTheme="minorHAnsi" w:eastAsiaTheme="minorEastAsia" w:cstheme="minorBidi"/>
    </w:rPr>
  </w:style>
  <w:style w:type="paragraph" w:styleId="25">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26">
    <w:name w:val="annotation subject"/>
    <w:basedOn w:val="7"/>
    <w:next w:val="7"/>
    <w:link w:val="50"/>
    <w:qFormat/>
    <w:uiPriority w:val="0"/>
    <w:rPr>
      <w:b/>
      <w:bCs/>
    </w:rPr>
  </w:style>
  <w:style w:type="paragraph" w:styleId="27">
    <w:name w:val="Body Text First Indent"/>
    <w:basedOn w:val="8"/>
    <w:link w:val="37"/>
    <w:qFormat/>
    <w:uiPriority w:val="99"/>
    <w:pPr>
      <w:spacing w:after="0"/>
      <w:ind w:left="150" w:firstLine="420" w:firstLineChars="100"/>
    </w:pPr>
    <w:rPr>
      <w:rFonts w:ascii="Arial Unicode MS" w:hAnsi="Arial Unicode MS" w:eastAsia="Arial Unicode MS" w:cs="Arial Unicode MS"/>
      <w:lang w:val="zh-CN" w:bidi="zh-CN"/>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rFonts w:eastAsia="宋体"/>
      <w:b/>
      <w:bCs/>
      <w:sz w:val="21"/>
    </w:rPr>
  </w:style>
  <w:style w:type="character" w:styleId="32">
    <w:name w:val="Hyperlink"/>
    <w:unhideWhenUsed/>
    <w:qFormat/>
    <w:uiPriority w:val="99"/>
    <w:rPr>
      <w:rFonts w:eastAsia="宋体"/>
      <w:color w:val="005C81"/>
      <w:sz w:val="21"/>
      <w:u w:val="none"/>
    </w:rPr>
  </w:style>
  <w:style w:type="character" w:styleId="33">
    <w:name w:val="annotation reference"/>
    <w:basedOn w:val="30"/>
    <w:semiHidden/>
    <w:unhideWhenUsed/>
    <w:qFormat/>
    <w:uiPriority w:val="0"/>
    <w:rPr>
      <w:sz w:val="21"/>
      <w:szCs w:val="21"/>
    </w:rPr>
  </w:style>
  <w:style w:type="character" w:styleId="34">
    <w:name w:val="footnote reference"/>
    <w:basedOn w:val="30"/>
    <w:semiHidden/>
    <w:unhideWhenUsed/>
    <w:qFormat/>
    <w:uiPriority w:val="99"/>
    <w:rPr>
      <w:vertAlign w:val="superscript"/>
    </w:rPr>
  </w:style>
  <w:style w:type="paragraph" w:customStyle="1" w:styleId="35">
    <w:name w:val="一、"/>
    <w:basedOn w:val="1"/>
    <w:next w:val="8"/>
    <w:qFormat/>
    <w:uiPriority w:val="0"/>
    <w:pPr>
      <w:spacing w:line="360" w:lineRule="auto"/>
      <w:ind w:firstLine="720" w:firstLineChars="200"/>
      <w:outlineLvl w:val="0"/>
    </w:pPr>
    <w:rPr>
      <w:rFonts w:eastAsia="黑体"/>
      <w:sz w:val="36"/>
      <w:szCs w:val="36"/>
    </w:rPr>
  </w:style>
  <w:style w:type="character" w:customStyle="1" w:styleId="36">
    <w:name w:val="正文文本 字符"/>
    <w:basedOn w:val="30"/>
    <w:link w:val="8"/>
    <w:semiHidden/>
    <w:qFormat/>
    <w:uiPriority w:val="99"/>
    <w:rPr>
      <w:rFonts w:ascii="Calibri" w:hAnsi="Calibri" w:eastAsia="宋体" w:cs="Times New Roman"/>
    </w:rPr>
  </w:style>
  <w:style w:type="character" w:customStyle="1" w:styleId="37">
    <w:name w:val="正文首行缩进 字符"/>
    <w:basedOn w:val="36"/>
    <w:link w:val="27"/>
    <w:qFormat/>
    <w:uiPriority w:val="99"/>
    <w:rPr>
      <w:rFonts w:ascii="Arial Unicode MS" w:hAnsi="Arial Unicode MS" w:eastAsia="Arial Unicode MS" w:cs="Arial Unicode MS"/>
      <w:lang w:val="zh-CN" w:bidi="zh-CN"/>
    </w:rPr>
  </w:style>
  <w:style w:type="character" w:customStyle="1" w:styleId="38">
    <w:name w:val="标题 1 字符"/>
    <w:basedOn w:val="30"/>
    <w:link w:val="3"/>
    <w:qFormat/>
    <w:uiPriority w:val="0"/>
    <w:rPr>
      <w:rFonts w:ascii="Times New Roman" w:hAnsi="Times New Roman" w:eastAsia="宋体" w:cs="Times New Roman"/>
      <w:b/>
      <w:bCs/>
      <w:kern w:val="36"/>
      <w:sz w:val="48"/>
      <w:szCs w:val="48"/>
    </w:rPr>
  </w:style>
  <w:style w:type="character" w:customStyle="1" w:styleId="39">
    <w:name w:val="标题 2 字符"/>
    <w:link w:val="4"/>
    <w:qFormat/>
    <w:uiPriority w:val="0"/>
    <w:rPr>
      <w:rFonts w:ascii="Arial" w:hAnsi="Arial" w:eastAsia="宋体" w:cs="Arial"/>
      <w:b/>
      <w:bCs/>
      <w:i/>
      <w:iCs/>
      <w:sz w:val="28"/>
      <w:szCs w:val="28"/>
    </w:rPr>
  </w:style>
  <w:style w:type="character" w:customStyle="1" w:styleId="40">
    <w:name w:val="标题 3 字符"/>
    <w:basedOn w:val="30"/>
    <w:link w:val="5"/>
    <w:qFormat/>
    <w:uiPriority w:val="0"/>
    <w:rPr>
      <w:rFonts w:ascii="Arial" w:hAnsi="Arial" w:eastAsia="仿宋" w:cs="Arial"/>
      <w:b/>
      <w:bCs/>
      <w:sz w:val="32"/>
      <w:szCs w:val="26"/>
    </w:rPr>
  </w:style>
  <w:style w:type="character" w:customStyle="1" w:styleId="41">
    <w:name w:val="批注文字 字符"/>
    <w:basedOn w:val="30"/>
    <w:link w:val="7"/>
    <w:qFormat/>
    <w:uiPriority w:val="0"/>
    <w:rPr>
      <w:rFonts w:ascii="Calibri" w:hAnsi="Calibri" w:eastAsia="宋体" w:cs="Times New Roman"/>
    </w:rPr>
  </w:style>
  <w:style w:type="character" w:customStyle="1" w:styleId="42">
    <w:name w:val="正文文本缩进 字符"/>
    <w:basedOn w:val="30"/>
    <w:link w:val="9"/>
    <w:qFormat/>
    <w:uiPriority w:val="99"/>
    <w:rPr>
      <w:rFonts w:ascii="Calibri" w:hAnsi="Calibri" w:eastAsia="宋体" w:cs="Times New Roman"/>
      <w:kern w:val="0"/>
      <w:sz w:val="20"/>
    </w:rPr>
  </w:style>
  <w:style w:type="character" w:customStyle="1" w:styleId="43">
    <w:name w:val="纯文本 字符"/>
    <w:basedOn w:val="30"/>
    <w:link w:val="12"/>
    <w:qFormat/>
    <w:uiPriority w:val="0"/>
    <w:rPr>
      <w:rFonts w:ascii="宋体" w:hAnsi="Courier New" w:eastAsia="宋体" w:cs="Times New Roman"/>
      <w:szCs w:val="21"/>
    </w:rPr>
  </w:style>
  <w:style w:type="character" w:customStyle="1" w:styleId="44">
    <w:name w:val="正文首行缩进 2 字符"/>
    <w:basedOn w:val="42"/>
    <w:link w:val="15"/>
    <w:qFormat/>
    <w:uiPriority w:val="99"/>
    <w:rPr>
      <w:rFonts w:ascii="Calibri" w:hAnsi="Calibri" w:eastAsia="宋体" w:cs="Times New Roman"/>
      <w:kern w:val="0"/>
      <w:sz w:val="20"/>
    </w:rPr>
  </w:style>
  <w:style w:type="character" w:customStyle="1" w:styleId="45">
    <w:name w:val="正文文本缩进 2 字符"/>
    <w:basedOn w:val="30"/>
    <w:link w:val="14"/>
    <w:qFormat/>
    <w:uiPriority w:val="99"/>
    <w:rPr>
      <w:rFonts w:ascii="Calibri" w:hAnsi="Calibri" w:eastAsia="宋体" w:cs="Times New Roman"/>
      <w:kern w:val="0"/>
      <w:sz w:val="30"/>
      <w:szCs w:val="20"/>
    </w:rPr>
  </w:style>
  <w:style w:type="character" w:customStyle="1" w:styleId="46">
    <w:name w:val="批注框文本 字符"/>
    <w:basedOn w:val="30"/>
    <w:link w:val="16"/>
    <w:qFormat/>
    <w:uiPriority w:val="0"/>
    <w:rPr>
      <w:rFonts w:ascii="Calibri" w:hAnsi="Calibri" w:eastAsia="宋体" w:cs="Times New Roman"/>
      <w:sz w:val="18"/>
      <w:szCs w:val="18"/>
    </w:rPr>
  </w:style>
  <w:style w:type="character" w:customStyle="1" w:styleId="47">
    <w:name w:val="页脚 字符"/>
    <w:basedOn w:val="30"/>
    <w:link w:val="17"/>
    <w:qFormat/>
    <w:uiPriority w:val="99"/>
    <w:rPr>
      <w:rFonts w:ascii="Calibri" w:hAnsi="Calibri" w:eastAsia="宋体" w:cs="Times New Roman"/>
      <w:sz w:val="18"/>
      <w:szCs w:val="18"/>
    </w:rPr>
  </w:style>
  <w:style w:type="character" w:customStyle="1" w:styleId="48">
    <w:name w:val="页眉 字符"/>
    <w:basedOn w:val="30"/>
    <w:link w:val="18"/>
    <w:qFormat/>
    <w:uiPriority w:val="0"/>
    <w:rPr>
      <w:rFonts w:ascii="Calibri" w:hAnsi="Calibri" w:eastAsia="宋体" w:cs="Times New Roman"/>
      <w:sz w:val="18"/>
      <w:szCs w:val="18"/>
    </w:rPr>
  </w:style>
  <w:style w:type="character" w:customStyle="1" w:styleId="49">
    <w:name w:val="脚注文本 字符"/>
    <w:basedOn w:val="30"/>
    <w:link w:val="21"/>
    <w:semiHidden/>
    <w:qFormat/>
    <w:uiPriority w:val="99"/>
    <w:rPr>
      <w:rFonts w:ascii="Calibri" w:hAnsi="Calibri"/>
      <w:kern w:val="2"/>
      <w:sz w:val="18"/>
      <w:szCs w:val="22"/>
    </w:rPr>
  </w:style>
  <w:style w:type="character" w:customStyle="1" w:styleId="50">
    <w:name w:val="批注主题 字符"/>
    <w:basedOn w:val="41"/>
    <w:link w:val="26"/>
    <w:qFormat/>
    <w:uiPriority w:val="0"/>
    <w:rPr>
      <w:rFonts w:ascii="Calibri" w:hAnsi="Calibri" w:eastAsia="宋体" w:cs="Times New Roman"/>
      <w:b/>
      <w:bCs/>
    </w:rPr>
  </w:style>
  <w:style w:type="character" w:customStyle="1" w:styleId="51">
    <w:name w:val="标题 2 Char"/>
    <w:basedOn w:val="30"/>
    <w:qFormat/>
    <w:uiPriority w:val="0"/>
    <w:rPr>
      <w:rFonts w:asciiTheme="majorHAnsi" w:hAnsiTheme="majorHAnsi" w:eastAsiaTheme="majorEastAsia" w:cstheme="majorBidi"/>
      <w:b/>
      <w:bCs/>
      <w:sz w:val="32"/>
      <w:szCs w:val="32"/>
    </w:rPr>
  </w:style>
  <w:style w:type="character" w:customStyle="1" w:styleId="52">
    <w:name w:val="正文 T 字符"/>
    <w:link w:val="53"/>
    <w:qFormat/>
    <w:uiPriority w:val="0"/>
    <w:rPr>
      <w:rFonts w:ascii="Times New Roman" w:hAnsi="Times New Roman" w:eastAsia="宋体" w:cs="Times New Roman"/>
    </w:rPr>
  </w:style>
  <w:style w:type="paragraph" w:customStyle="1" w:styleId="53">
    <w:name w:val="正文 T"/>
    <w:basedOn w:val="1"/>
    <w:link w:val="52"/>
    <w:qFormat/>
    <w:uiPriority w:val="0"/>
    <w:pPr>
      <w:ind w:firstLine="480"/>
    </w:pPr>
    <w:rPr>
      <w:rFonts w:ascii="Times New Roman" w:hAnsi="Times New Roman"/>
    </w:rPr>
  </w:style>
  <w:style w:type="character" w:customStyle="1" w:styleId="54">
    <w:name w:val="font31"/>
    <w:qFormat/>
    <w:uiPriority w:val="0"/>
    <w:rPr>
      <w:rFonts w:hint="default" w:ascii="Times New Roman" w:hAnsi="Times New Roman" w:eastAsia="宋体" w:cs="Times New Roman"/>
      <w:color w:val="000000"/>
      <w:sz w:val="18"/>
      <w:szCs w:val="18"/>
      <w:u w:val="none"/>
    </w:rPr>
  </w:style>
  <w:style w:type="character" w:customStyle="1" w:styleId="55">
    <w:name w:val="font21"/>
    <w:qFormat/>
    <w:uiPriority w:val="0"/>
    <w:rPr>
      <w:rFonts w:hint="eastAsia" w:ascii="宋体" w:hAnsi="宋体" w:eastAsia="宋体" w:cs="宋体"/>
      <w:color w:val="000000"/>
      <w:sz w:val="18"/>
      <w:szCs w:val="18"/>
      <w:u w:val="none"/>
    </w:rPr>
  </w:style>
  <w:style w:type="character" w:customStyle="1" w:styleId="56">
    <w:name w:val="font71"/>
    <w:basedOn w:val="30"/>
    <w:qFormat/>
    <w:uiPriority w:val="0"/>
    <w:rPr>
      <w:rFonts w:hint="default" w:ascii="Times New Roman" w:hAnsi="Times New Roman" w:eastAsia="宋体" w:cs="Times New Roman"/>
      <w:color w:val="000000"/>
      <w:sz w:val="18"/>
      <w:szCs w:val="18"/>
      <w:u w:val="none"/>
    </w:rPr>
  </w:style>
  <w:style w:type="character" w:customStyle="1" w:styleId="57">
    <w:name w:val="font81"/>
    <w:qFormat/>
    <w:uiPriority w:val="0"/>
    <w:rPr>
      <w:rFonts w:hint="default" w:ascii="Times New Roman" w:hAnsi="Times New Roman" w:eastAsia="宋体" w:cs="Times New Roman"/>
      <w:color w:val="000000"/>
      <w:sz w:val="18"/>
      <w:szCs w:val="18"/>
      <w:u w:val="none"/>
      <w:vertAlign w:val="subscript"/>
    </w:rPr>
  </w:style>
  <w:style w:type="character" w:customStyle="1" w:styleId="58">
    <w:name w:val="font41"/>
    <w:qFormat/>
    <w:uiPriority w:val="0"/>
    <w:rPr>
      <w:rFonts w:ascii="仿宋" w:hAnsi="仿宋" w:eastAsia="仿宋" w:cs="仿宋"/>
      <w:color w:val="000000"/>
      <w:sz w:val="16"/>
      <w:szCs w:val="16"/>
      <w:u w:val="none"/>
    </w:rPr>
  </w:style>
  <w:style w:type="character" w:customStyle="1" w:styleId="59">
    <w:name w:val="font51"/>
    <w:qFormat/>
    <w:uiPriority w:val="0"/>
    <w:rPr>
      <w:rFonts w:hint="default" w:ascii="Times New Roman" w:hAnsi="Times New Roman" w:eastAsia="宋体" w:cs="Times New Roman"/>
      <w:color w:val="000000"/>
      <w:sz w:val="16"/>
      <w:szCs w:val="16"/>
      <w:u w:val="none"/>
    </w:r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2">
    <w:name w:val="NormalCharacter"/>
    <w:semiHidden/>
    <w:qFormat/>
    <w:uiPriority w:val="0"/>
  </w:style>
  <w:style w:type="character" w:customStyle="1" w:styleId="63">
    <w:name w:val="fontstyle01"/>
    <w:basedOn w:val="30"/>
    <w:qFormat/>
    <w:uiPriority w:val="0"/>
    <w:rPr>
      <w:rFonts w:hint="default" w:ascii="FZXBSK--GBK1-0" w:hAnsi="FZXBSK--GBK1-0"/>
      <w:color w:val="000000"/>
      <w:sz w:val="40"/>
      <w:szCs w:val="40"/>
    </w:rPr>
  </w:style>
  <w:style w:type="character" w:customStyle="1" w:styleId="64">
    <w:name w:val="font61"/>
    <w:basedOn w:val="30"/>
    <w:qFormat/>
    <w:uiPriority w:val="0"/>
    <w:rPr>
      <w:rFonts w:hint="default" w:ascii="Times New Roman" w:hAnsi="Times New Roman" w:cs="Times New Roman"/>
      <w:b/>
      <w:bCs/>
      <w:color w:val="000000"/>
      <w:sz w:val="18"/>
      <w:szCs w:val="18"/>
      <w:u w:val="none"/>
      <w:vertAlign w:val="superscript"/>
    </w:rPr>
  </w:style>
  <w:style w:type="character" w:customStyle="1" w:styleId="65">
    <w:name w:val="font01"/>
    <w:basedOn w:val="30"/>
    <w:qFormat/>
    <w:uiPriority w:val="0"/>
    <w:rPr>
      <w:rFonts w:hint="eastAsia" w:ascii="宋体" w:hAnsi="宋体" w:eastAsia="宋体" w:cs="宋体"/>
      <w:color w:val="000000"/>
      <w:sz w:val="18"/>
      <w:szCs w:val="18"/>
      <w:u w:val="none"/>
    </w:rPr>
  </w:style>
  <w:style w:type="paragraph" w:customStyle="1" w:styleId="66">
    <w:name w:val="Table Paragraph"/>
    <w:basedOn w:val="1"/>
    <w:qFormat/>
    <w:uiPriority w:val="1"/>
    <w:pPr>
      <w:jc w:val="left"/>
    </w:pPr>
    <w:rPr>
      <w:rFonts w:asciiTheme="minorHAnsi" w:hAnsiTheme="minorHAnsi" w:eastAsiaTheme="minorEastAsia" w:cstheme="minorBidi"/>
      <w:kern w:val="0"/>
      <w:sz w:val="22"/>
      <w:lang w:eastAsia="en-US"/>
    </w:rPr>
  </w:style>
  <w:style w:type="character" w:customStyle="1" w:styleId="67">
    <w:name w:val="font91"/>
    <w:basedOn w:val="30"/>
    <w:qFormat/>
    <w:uiPriority w:val="0"/>
    <w:rPr>
      <w:rFonts w:hint="eastAsia" w:ascii="宋体" w:hAnsi="宋体" w:eastAsia="宋体" w:cs="宋体"/>
      <w:color w:val="000000"/>
      <w:sz w:val="20"/>
      <w:szCs w:val="20"/>
      <w:u w:val="none"/>
    </w:rPr>
  </w:style>
  <w:style w:type="character" w:customStyle="1" w:styleId="68">
    <w:name w:val="font11"/>
    <w:basedOn w:val="30"/>
    <w:qFormat/>
    <w:uiPriority w:val="0"/>
    <w:rPr>
      <w:rFonts w:hint="default" w:ascii="Times New Roman" w:hAnsi="Times New Roman" w:cs="Times New Roman"/>
      <w:color w:val="000000"/>
      <w:sz w:val="20"/>
      <w:szCs w:val="20"/>
      <w:u w:val="none"/>
    </w:rPr>
  </w:style>
  <w:style w:type="character" w:customStyle="1" w:styleId="69">
    <w:name w:val="font112"/>
    <w:basedOn w:val="30"/>
    <w:qFormat/>
    <w:uiPriority w:val="0"/>
    <w:rPr>
      <w:rFonts w:hint="default" w:ascii="Times New Roman" w:hAnsi="Times New Roman" w:cs="Times New Roman"/>
      <w:b/>
      <w:bCs/>
      <w:color w:val="000000"/>
      <w:sz w:val="22"/>
      <w:szCs w:val="22"/>
      <w:u w:val="none"/>
    </w:rPr>
  </w:style>
  <w:style w:type="character" w:customStyle="1" w:styleId="70">
    <w:name w:val="font101"/>
    <w:basedOn w:val="30"/>
    <w:qFormat/>
    <w:uiPriority w:val="0"/>
    <w:rPr>
      <w:rFonts w:hint="default" w:ascii="Times New Roman" w:hAnsi="Times New Roman" w:cs="Times New Roman"/>
      <w:color w:val="000000"/>
      <w:sz w:val="22"/>
      <w:szCs w:val="22"/>
      <w:u w:val="none"/>
    </w:rPr>
  </w:style>
  <w:style w:type="character" w:customStyle="1" w:styleId="71">
    <w:name w:val="font121"/>
    <w:basedOn w:val="30"/>
    <w:qFormat/>
    <w:uiPriority w:val="0"/>
    <w:rPr>
      <w:rFonts w:hint="default" w:ascii="Times New Roman" w:hAnsi="Times New Roman" w:cs="Times New Roman"/>
      <w:color w:val="000000"/>
      <w:sz w:val="22"/>
      <w:szCs w:val="22"/>
      <w:u w:val="none"/>
      <w:vertAlign w:val="subscript"/>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8FFDC-EC25-4724-B311-836C48F0F4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17199</Words>
  <Characters>17370</Characters>
  <Lines>125</Lines>
  <Paragraphs>35</Paragraphs>
  <TotalTime>6</TotalTime>
  <ScaleCrop>false</ScaleCrop>
  <LinksUpToDate>false</LinksUpToDate>
  <CharactersWithSpaces>17374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2022-10-24T07:57:00Z</dcterms:created>
  <dc:creator>石先滨</dc:creator>
  <cp:lastModifiedBy>生如夏花</cp:lastModifiedBy>
  <cp:lastPrinted>2022-03-18T03:43:00Z</cp:lastPrinted>
  <dcterms:modified xsi:type="dcterms:W3CDTF">2022-11-21T09:13:54Z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BAD597D1224D40B2BAA9AE18E47EEF68</vt:lpwstr>
  </property>
  <property fmtid="{D5CDD505-2E9C-101B-9397-08002B2CF9AE}" pid="4" name="commondata">
    <vt:lpwstr>eyJoZGlkIjoiNzk2NDYyYjFiYjA0NjZlODg1NzBkNTljZDhlYWQ3YjcifQ==</vt:lpwstr>
  </property>
</Properties>
</file>