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F48C9" w14:textId="77777777" w:rsidR="00232C37" w:rsidRDefault="00232C37">
      <w:pPr>
        <w:ind w:firstLine="480"/>
      </w:pPr>
    </w:p>
    <w:p w14:paraId="10084880" w14:textId="77777777" w:rsidR="00232C37" w:rsidRDefault="00232C37">
      <w:pPr>
        <w:ind w:firstLine="480"/>
      </w:pPr>
    </w:p>
    <w:p w14:paraId="28D2052F" w14:textId="77777777" w:rsidR="00232C37" w:rsidRDefault="00232C37">
      <w:pPr>
        <w:ind w:firstLine="480"/>
      </w:pPr>
    </w:p>
    <w:p w14:paraId="1C1D95C6" w14:textId="77777777" w:rsidR="00232C37" w:rsidRDefault="00232C37">
      <w:pPr>
        <w:ind w:firstLine="480"/>
      </w:pPr>
    </w:p>
    <w:p w14:paraId="36077B29" w14:textId="77777777" w:rsidR="00232C37" w:rsidRDefault="00232C37">
      <w:pPr>
        <w:ind w:firstLine="480"/>
      </w:pPr>
    </w:p>
    <w:p w14:paraId="580CB081" w14:textId="77777777" w:rsidR="00E43D15" w:rsidRPr="00DA18A8" w:rsidRDefault="00E43D15">
      <w:pPr>
        <w:pStyle w:val="afffa"/>
        <w:spacing w:after="160"/>
        <w:ind w:firstLine="960"/>
        <w:rPr>
          <w:rFonts w:ascii="方正小标宋_GBK" w:eastAsia="方正小标宋_GBK" w:hAnsi="___WRD_EMBED_SUB_57" w:cs="___WRD_EMBED_SUB_57"/>
          <w:sz w:val="48"/>
        </w:rPr>
      </w:pPr>
      <w:r w:rsidRPr="00DA18A8">
        <w:rPr>
          <w:rFonts w:ascii="方正小标宋_GBK" w:eastAsia="方正小标宋_GBK" w:hint="eastAsia"/>
        </w:rPr>
        <w:t>湖北省矿产资源“十五五”规划</w:t>
      </w:r>
    </w:p>
    <w:p w14:paraId="79DC322E" w14:textId="77777777" w:rsidR="00232C37" w:rsidRDefault="00E8348F">
      <w:pPr>
        <w:pStyle w:val="afffa"/>
        <w:spacing w:after="160"/>
        <w:ind w:firstLine="1120"/>
      </w:pPr>
      <w:r>
        <w:t>环境影响报告书</w:t>
      </w:r>
    </w:p>
    <w:p w14:paraId="0F7E0F71" w14:textId="77777777" w:rsidR="00232C37" w:rsidRDefault="00E8348F">
      <w:pPr>
        <w:pStyle w:val="afffa"/>
        <w:spacing w:after="320"/>
        <w:ind w:firstLine="803"/>
      </w:pPr>
      <w:r>
        <w:rPr>
          <w:sz w:val="36"/>
        </w:rPr>
        <w:t>征求意见稿简本</w:t>
      </w:r>
    </w:p>
    <w:p w14:paraId="722317EC" w14:textId="77777777" w:rsidR="00232C37" w:rsidRDefault="00232C37">
      <w:pPr>
        <w:ind w:firstLine="480"/>
      </w:pPr>
    </w:p>
    <w:p w14:paraId="4759A994" w14:textId="77777777" w:rsidR="00232C37" w:rsidRDefault="00232C37">
      <w:pPr>
        <w:ind w:firstLine="480"/>
      </w:pPr>
    </w:p>
    <w:p w14:paraId="55CB5B85" w14:textId="77777777" w:rsidR="00232C37" w:rsidRDefault="00232C37">
      <w:pPr>
        <w:ind w:firstLine="480"/>
      </w:pPr>
    </w:p>
    <w:p w14:paraId="7582E577" w14:textId="77777777" w:rsidR="00232C37" w:rsidRDefault="00232C37">
      <w:pPr>
        <w:ind w:firstLine="480"/>
      </w:pPr>
    </w:p>
    <w:p w14:paraId="39A9F281" w14:textId="77777777" w:rsidR="00232C37" w:rsidRDefault="00232C37">
      <w:pPr>
        <w:ind w:firstLine="480"/>
      </w:pPr>
    </w:p>
    <w:p w14:paraId="47C90479" w14:textId="77777777" w:rsidR="00E43D15" w:rsidRDefault="00E43D15">
      <w:pPr>
        <w:ind w:firstLine="480"/>
      </w:pPr>
    </w:p>
    <w:p w14:paraId="05BD65FC" w14:textId="77777777" w:rsidR="00E43D15" w:rsidRDefault="00E43D15">
      <w:pPr>
        <w:ind w:firstLine="480"/>
      </w:pPr>
    </w:p>
    <w:p w14:paraId="4DFE27B9" w14:textId="77777777" w:rsidR="00232C37" w:rsidRDefault="00232C37">
      <w:pPr>
        <w:ind w:firstLine="480"/>
      </w:pPr>
    </w:p>
    <w:p w14:paraId="2A46C05F" w14:textId="77777777" w:rsidR="00232C37" w:rsidRDefault="00232C37">
      <w:pPr>
        <w:ind w:firstLine="480"/>
      </w:pPr>
    </w:p>
    <w:p w14:paraId="774EC005" w14:textId="77777777" w:rsidR="00232C37" w:rsidRDefault="00232C37">
      <w:pPr>
        <w:ind w:firstLine="480"/>
      </w:pPr>
    </w:p>
    <w:p w14:paraId="232972E9" w14:textId="77777777" w:rsidR="00232C37" w:rsidRDefault="00232C37">
      <w:pPr>
        <w:ind w:firstLine="480"/>
      </w:pPr>
    </w:p>
    <w:p w14:paraId="082A0820" w14:textId="77777777" w:rsidR="00232C37" w:rsidRDefault="00232C37">
      <w:pPr>
        <w:ind w:firstLine="480"/>
      </w:pPr>
    </w:p>
    <w:p w14:paraId="4F865EEF" w14:textId="77777777" w:rsidR="00232C37" w:rsidRDefault="00232C37">
      <w:pPr>
        <w:ind w:firstLine="480"/>
      </w:pPr>
    </w:p>
    <w:p w14:paraId="70F4D036" w14:textId="77777777" w:rsidR="00232C37" w:rsidRDefault="00E8348F">
      <w:pPr>
        <w:spacing w:after="160"/>
        <w:ind w:firstLine="480"/>
        <w:jc w:val="center"/>
      </w:pPr>
      <w:r>
        <w:rPr>
          <w:rFonts w:cs="Times New Roman"/>
        </w:rPr>
        <w:t>规划编制机关：湖北省自然资源厅</w:t>
      </w:r>
    </w:p>
    <w:p w14:paraId="7AE49C34" w14:textId="77777777" w:rsidR="00232C37" w:rsidRDefault="00E8348F">
      <w:pPr>
        <w:spacing w:after="160"/>
        <w:ind w:firstLine="480"/>
        <w:jc w:val="center"/>
      </w:pPr>
      <w:r>
        <w:rPr>
          <w:rFonts w:cs="Times New Roman"/>
        </w:rPr>
        <w:t>环境影响评价单位：永业</w:t>
      </w:r>
      <w:proofErr w:type="gramStart"/>
      <w:r>
        <w:rPr>
          <w:rFonts w:cs="Times New Roman"/>
        </w:rPr>
        <w:t>行资源</w:t>
      </w:r>
      <w:proofErr w:type="gramEnd"/>
      <w:r>
        <w:rPr>
          <w:rFonts w:cs="Times New Roman"/>
        </w:rPr>
        <w:t>环境科技股份有限公司</w:t>
      </w:r>
    </w:p>
    <w:p w14:paraId="2F496902" w14:textId="77777777" w:rsidR="00232C37" w:rsidRDefault="00E8348F">
      <w:pPr>
        <w:spacing w:before="200" w:after="160"/>
        <w:ind w:firstLine="480"/>
        <w:jc w:val="center"/>
      </w:pPr>
      <w:r>
        <w:t>二〇二六年</w:t>
      </w:r>
      <w:r w:rsidR="00E43D15">
        <w:t>十</w:t>
      </w:r>
      <w:r>
        <w:t>月</w:t>
      </w:r>
    </w:p>
    <w:p w14:paraId="0AA4E326" w14:textId="72F8665D" w:rsidR="00232C37" w:rsidRPr="00DA18A8" w:rsidRDefault="00E8348F" w:rsidP="00DA18A8">
      <w:pPr>
        <w:ind w:firstLine="480"/>
        <w:jc w:val="center"/>
        <w:rPr>
          <w:b/>
          <w:bCs/>
        </w:rPr>
      </w:pPr>
      <w:r>
        <w:br w:type="page"/>
      </w:r>
      <w:r w:rsidRPr="00DA18A8">
        <w:rPr>
          <w:b/>
          <w:bCs/>
          <w:sz w:val="28"/>
          <w:szCs w:val="24"/>
        </w:rPr>
        <w:lastRenderedPageBreak/>
        <w:t>说明</w:t>
      </w:r>
    </w:p>
    <w:p w14:paraId="72AAD2D6" w14:textId="77777777" w:rsidR="00232C37" w:rsidRDefault="00E8348F">
      <w:pPr>
        <w:ind w:firstLine="480"/>
      </w:pPr>
      <w:r>
        <w:t>本简本依据《</w:t>
      </w:r>
      <w:bookmarkStart w:id="0" w:name="_Hlk241652202"/>
      <w:r w:rsidR="00E43D15" w:rsidRPr="00E43D15">
        <w:t>湖北省矿产资源</w:t>
      </w:r>
      <w:r w:rsidR="00E43D15" w:rsidRPr="00E43D15">
        <w:t>“</w:t>
      </w:r>
      <w:r w:rsidR="00E43D15" w:rsidRPr="00E43D15">
        <w:t>十五五</w:t>
      </w:r>
      <w:r w:rsidR="00E43D15" w:rsidRPr="00E43D15">
        <w:t>”</w:t>
      </w:r>
      <w:r w:rsidR="00E43D15" w:rsidRPr="00E43D15">
        <w:t>规划</w:t>
      </w:r>
      <w:bookmarkEnd w:id="0"/>
      <w:r>
        <w:t>》及其环境影响报告书征求意见稿编制，用于规划环境影响评价第二次信息公示和公众意见征集。简本重点公开规划方案、区域生态环境现状、资源环境制约因素、主要环境影响、规划优化调整建议、环境保护措施、跟踪评价安排和评价结论。详细内容以环境影响报告书征求意见稿为准。</w:t>
      </w:r>
    </w:p>
    <w:p w14:paraId="1E675820" w14:textId="77777777" w:rsidR="00232C37" w:rsidRDefault="00E8348F">
      <w:pPr>
        <w:ind w:firstLine="480"/>
      </w:pPr>
      <w:r>
        <w:t>本次公众参与主要征求公众对规划布局环境合理性、规划实施可能产生的生态环境影响、环境风险、规划优化调整建议和环境影响减缓措施等方面的意见。涉及征地拆迁、财产补偿、矿业权权益等与规划环境影响评价无直接关系的事项，不属于本次意见征集的主要内容。</w:t>
      </w:r>
    </w:p>
    <w:p w14:paraId="7DAC8B2E" w14:textId="77777777" w:rsidR="00232C37" w:rsidRDefault="00E8348F">
      <w:pPr>
        <w:pStyle w:val="afffb"/>
        <w:spacing w:before="120" w:after="60"/>
      </w:pPr>
      <w:r>
        <w:lastRenderedPageBreak/>
        <w:t>目录</w:t>
      </w:r>
    </w:p>
    <w:p w14:paraId="5F644F75" w14:textId="77777777" w:rsidR="00232C37" w:rsidRDefault="00E8348F">
      <w:pPr>
        <w:pStyle w:val="afffe"/>
        <w:ind w:firstLine="480"/>
        <w:jc w:val="both"/>
      </w:pPr>
      <w:r>
        <w:t xml:space="preserve">1 </w:t>
      </w:r>
      <w:r>
        <w:t>规划及评价工作概况</w:t>
      </w:r>
    </w:p>
    <w:p w14:paraId="26491D23" w14:textId="77777777" w:rsidR="00232C37" w:rsidRDefault="00E8348F">
      <w:pPr>
        <w:pStyle w:val="afffe"/>
        <w:ind w:firstLine="480"/>
        <w:jc w:val="both"/>
      </w:pPr>
      <w:r>
        <w:t xml:space="preserve">2 </w:t>
      </w:r>
      <w:r>
        <w:t>规划方案概述</w:t>
      </w:r>
    </w:p>
    <w:p w14:paraId="5DEF9530" w14:textId="77777777" w:rsidR="00232C37" w:rsidRDefault="00E8348F">
      <w:pPr>
        <w:pStyle w:val="afffe"/>
        <w:ind w:firstLine="480"/>
        <w:jc w:val="both"/>
      </w:pPr>
      <w:r>
        <w:t xml:space="preserve">3 </w:t>
      </w:r>
      <w:r>
        <w:t>区域生态环境现状</w:t>
      </w:r>
    </w:p>
    <w:p w14:paraId="4B3B4B99" w14:textId="77777777" w:rsidR="00232C37" w:rsidRDefault="00E8348F">
      <w:pPr>
        <w:pStyle w:val="afffe"/>
        <w:ind w:firstLine="480"/>
        <w:jc w:val="both"/>
      </w:pPr>
      <w:r>
        <w:t xml:space="preserve">4 </w:t>
      </w:r>
      <w:r>
        <w:t>规划实施回顾性分析</w:t>
      </w:r>
    </w:p>
    <w:p w14:paraId="3CCFFB68" w14:textId="77777777" w:rsidR="00232C37" w:rsidRDefault="00E8348F">
      <w:pPr>
        <w:pStyle w:val="afffe"/>
        <w:ind w:firstLine="480"/>
        <w:jc w:val="both"/>
      </w:pPr>
      <w:r>
        <w:t xml:space="preserve">5 </w:t>
      </w:r>
      <w:r>
        <w:t>规划协调性及资源环境制约因素</w:t>
      </w:r>
    </w:p>
    <w:p w14:paraId="11ECA1EC" w14:textId="77777777" w:rsidR="00232C37" w:rsidRDefault="00E8348F">
      <w:pPr>
        <w:pStyle w:val="afffe"/>
        <w:ind w:firstLine="480"/>
        <w:jc w:val="both"/>
      </w:pPr>
      <w:r>
        <w:t xml:space="preserve">6 </w:t>
      </w:r>
      <w:r>
        <w:t>环境影响识别</w:t>
      </w:r>
    </w:p>
    <w:p w14:paraId="3E0C85BE" w14:textId="77777777" w:rsidR="00232C37" w:rsidRDefault="00E8348F">
      <w:pPr>
        <w:pStyle w:val="afffe"/>
        <w:ind w:firstLine="480"/>
        <w:jc w:val="both"/>
      </w:pPr>
      <w:r>
        <w:t xml:space="preserve">7 </w:t>
      </w:r>
      <w:r>
        <w:t>规划实施的环境影响预测与评价</w:t>
      </w:r>
    </w:p>
    <w:p w14:paraId="0173ADE8" w14:textId="77777777" w:rsidR="00232C37" w:rsidRDefault="00E8348F">
      <w:pPr>
        <w:pStyle w:val="afffe"/>
        <w:ind w:firstLine="480"/>
        <w:jc w:val="both"/>
      </w:pPr>
      <w:r>
        <w:t xml:space="preserve">8 </w:t>
      </w:r>
      <w:r>
        <w:t>重点矿种特定生态环境影响</w:t>
      </w:r>
    </w:p>
    <w:p w14:paraId="4DE355A0" w14:textId="77777777" w:rsidR="00232C37" w:rsidRDefault="00E8348F">
      <w:pPr>
        <w:pStyle w:val="afffe"/>
        <w:ind w:firstLine="480"/>
        <w:jc w:val="both"/>
      </w:pPr>
      <w:r>
        <w:t xml:space="preserve">9 </w:t>
      </w:r>
      <w:r>
        <w:t>规划方案综合论证与优化调整建议</w:t>
      </w:r>
    </w:p>
    <w:p w14:paraId="2558CBBF" w14:textId="77777777" w:rsidR="00232C37" w:rsidRDefault="00E8348F">
      <w:pPr>
        <w:pStyle w:val="afffe"/>
        <w:ind w:firstLine="480"/>
        <w:jc w:val="both"/>
      </w:pPr>
      <w:r>
        <w:t xml:space="preserve">10 </w:t>
      </w:r>
      <w:r>
        <w:t>环境影响预防和减缓措施</w:t>
      </w:r>
    </w:p>
    <w:p w14:paraId="5A8D1D8D" w14:textId="77777777" w:rsidR="00232C37" w:rsidRDefault="00E8348F">
      <w:pPr>
        <w:pStyle w:val="afffe"/>
        <w:ind w:firstLine="480"/>
        <w:jc w:val="both"/>
      </w:pPr>
      <w:r>
        <w:t xml:space="preserve">11 </w:t>
      </w:r>
      <w:r>
        <w:t>环境影响跟踪评价</w:t>
      </w:r>
    </w:p>
    <w:p w14:paraId="72B388C8" w14:textId="77777777" w:rsidR="00232C37" w:rsidRDefault="00E8348F">
      <w:pPr>
        <w:pStyle w:val="afffe"/>
        <w:ind w:firstLine="480"/>
        <w:jc w:val="both"/>
      </w:pPr>
      <w:r>
        <w:t xml:space="preserve">12 </w:t>
      </w:r>
      <w:r>
        <w:t>评价结论与公众意见重点</w:t>
      </w:r>
    </w:p>
    <w:p w14:paraId="6C934356" w14:textId="77777777" w:rsidR="00232C37" w:rsidRDefault="00E8348F">
      <w:pPr>
        <w:ind w:firstLine="480"/>
      </w:pPr>
      <w:r>
        <w:br w:type="page"/>
      </w:r>
    </w:p>
    <w:p w14:paraId="688B1C9F" w14:textId="77777777" w:rsidR="00232C37" w:rsidRDefault="00E8348F">
      <w:pPr>
        <w:pStyle w:val="afffb"/>
        <w:spacing w:before="120" w:after="60"/>
      </w:pPr>
      <w:r>
        <w:lastRenderedPageBreak/>
        <w:t xml:space="preserve">1 </w:t>
      </w:r>
      <w:r>
        <w:t>规划及评价工作概况</w:t>
      </w:r>
    </w:p>
    <w:p w14:paraId="3BD5ECA2" w14:textId="77777777" w:rsidR="00232C37" w:rsidRDefault="00E8348F">
      <w:pPr>
        <w:pStyle w:val="afffc"/>
        <w:spacing w:before="60" w:after="60"/>
      </w:pPr>
      <w:r>
        <w:t xml:space="preserve">1.1 </w:t>
      </w:r>
      <w:r>
        <w:t>任务由来</w:t>
      </w:r>
    </w:p>
    <w:p w14:paraId="18E3D9C5" w14:textId="5F19028F" w:rsidR="00232C37" w:rsidRDefault="00E8348F">
      <w:pPr>
        <w:ind w:firstLine="480"/>
      </w:pPr>
      <w:r>
        <w:t>“</w:t>
      </w:r>
      <w:r>
        <w:t>十五五</w:t>
      </w:r>
      <w:r>
        <w:t>”</w:t>
      </w:r>
      <w:r>
        <w:t>时期是湖北加快建成中部地区崛起重要战略支点聚力突破、全面提升的关键时期。为落实国家能源资源安全要求，推动矿产资源产业发展与区域发展战略深度融合，提高矿产资源对全省经济社会高质量发展的保障能力，湖北省自然资源厅依据矿产资源管理有关法律法规，</w:t>
      </w:r>
      <w:r w:rsidR="00921DAB" w:rsidRPr="00921DAB">
        <w:rPr>
          <w:rFonts w:hint="eastAsia"/>
        </w:rPr>
        <w:t>依据《习近平关于自然资源工作论述摘编》《中华人民共和国矿产资源法》《中华人民共和国国民经济和社会发展第十五个五年规划纲要》《全国矿产资源“十五五”规划》《湖北省国民经济和社会发展第十五个五年规划纲要》《湖北省国土空间规划（</w:t>
      </w:r>
      <w:r w:rsidR="00921DAB" w:rsidRPr="00921DAB">
        <w:rPr>
          <w:rFonts w:hint="eastAsia"/>
        </w:rPr>
        <w:t>2021</w:t>
      </w:r>
      <w:r w:rsidR="00921DAB" w:rsidRPr="00921DAB">
        <w:rPr>
          <w:rFonts w:hint="eastAsia"/>
        </w:rPr>
        <w:t>—</w:t>
      </w:r>
      <w:r w:rsidR="00921DAB" w:rsidRPr="00921DAB">
        <w:rPr>
          <w:rFonts w:hint="eastAsia"/>
        </w:rPr>
        <w:t>2035</w:t>
      </w:r>
      <w:r w:rsidR="00921DAB" w:rsidRPr="00921DAB">
        <w:rPr>
          <w:rFonts w:hint="eastAsia"/>
        </w:rPr>
        <w:t>年）》《湖北省自然资源保护利用“十五五”规划》，</w:t>
      </w:r>
      <w:r w:rsidR="00921DAB">
        <w:rPr>
          <w:rFonts w:hint="eastAsia"/>
        </w:rPr>
        <w:t>组织编制</w:t>
      </w:r>
      <w:r w:rsidR="00921DAB" w:rsidRPr="00921DAB">
        <w:rPr>
          <w:rFonts w:hint="eastAsia"/>
        </w:rPr>
        <w:t>《湖北省矿产资源“十五五”规划》（以下简称《规划》）</w:t>
      </w:r>
      <w:r w:rsidR="00E43D15" w:rsidRPr="00E43D15">
        <w:t>。</w:t>
      </w:r>
    </w:p>
    <w:p w14:paraId="78262903" w14:textId="77777777" w:rsidR="00232C37" w:rsidRDefault="00E8348F">
      <w:pPr>
        <w:ind w:firstLine="480"/>
      </w:pPr>
      <w:r>
        <w:t>按照规划环境影响评价有关法律法规和技术导则要求，湖北省自然资源厅委托永业</w:t>
      </w:r>
      <w:proofErr w:type="gramStart"/>
      <w:r>
        <w:t>行资源</w:t>
      </w:r>
      <w:proofErr w:type="gramEnd"/>
      <w:r>
        <w:t>环境科技股份有限公司承担规划环境影响评价工作。评价单位在资料收集、现场调查、规划方案分析和资源环境制约因素识别的基础上，对规划实施可能产生的生态环境影响进行预测与评价，并在规划编制过程中反馈优化调整建议。</w:t>
      </w:r>
    </w:p>
    <w:p w14:paraId="6B005F1C" w14:textId="77777777" w:rsidR="00232C37" w:rsidRDefault="00E8348F">
      <w:pPr>
        <w:pStyle w:val="afffc"/>
        <w:spacing w:before="60" w:after="60"/>
      </w:pPr>
      <w:r>
        <w:t xml:space="preserve">1.2 </w:t>
      </w:r>
      <w:r>
        <w:t>评价目的</w:t>
      </w:r>
    </w:p>
    <w:p w14:paraId="084D9B4E" w14:textId="77777777" w:rsidR="00232C37" w:rsidRDefault="00E8348F">
      <w:pPr>
        <w:ind w:firstLine="480"/>
      </w:pPr>
      <w:r>
        <w:t>本次评价以改善生态环境质量、维护生态安全和促进矿业绿色高质量发展为目标，识别规划实施的资源环境制约因素和潜在生态环境影响，论证规划目标、规模、布局、结构和时序的环境合理性，提出规划优化调整建议、生态环境准入要求和不良环境影响减缓措施，为规划决策、实施管理、跟踪评价以及下层级规划和具体建设项目环境影响评价提供依据。</w:t>
      </w:r>
    </w:p>
    <w:p w14:paraId="244BA2A1" w14:textId="77777777" w:rsidR="00232C37" w:rsidRDefault="00E8348F">
      <w:pPr>
        <w:pStyle w:val="afffc"/>
        <w:spacing w:before="60" w:after="60"/>
      </w:pPr>
      <w:r>
        <w:t xml:space="preserve">1.3 </w:t>
      </w:r>
      <w:r>
        <w:t>评价原则</w:t>
      </w:r>
    </w:p>
    <w:p w14:paraId="04AAC32C" w14:textId="77777777" w:rsidR="00232C37" w:rsidRDefault="00E8348F">
      <w:pPr>
        <w:ind w:firstLine="480"/>
      </w:pPr>
      <w:r>
        <w:t>（</w:t>
      </w:r>
      <w:r>
        <w:t>1</w:t>
      </w:r>
      <w:r>
        <w:t>）早期介入、过程互动。在规划方案形成和论证过程中同步开展环境影响评价，及时反馈环境制约因素和优化意见。</w:t>
      </w:r>
    </w:p>
    <w:p w14:paraId="260E29CE" w14:textId="77777777" w:rsidR="00232C37" w:rsidRDefault="00E8348F">
      <w:pPr>
        <w:ind w:firstLine="480"/>
      </w:pPr>
      <w:r>
        <w:t>（</w:t>
      </w:r>
      <w:r>
        <w:t>2</w:t>
      </w:r>
      <w:r>
        <w:t>）统筹衔接、分类指导。衔接国土空间规划、生态环境保护规划和生态环境分区管控成果，针对不同区域、矿种和开发方式提出差异化要求。</w:t>
      </w:r>
    </w:p>
    <w:p w14:paraId="08668DDE" w14:textId="77777777" w:rsidR="00232C37" w:rsidRDefault="00E8348F">
      <w:pPr>
        <w:ind w:firstLine="480"/>
      </w:pPr>
      <w:r>
        <w:lastRenderedPageBreak/>
        <w:t>（</w:t>
      </w:r>
      <w:r>
        <w:t>3</w:t>
      </w:r>
      <w:r>
        <w:t>）客观评价、结论科学。根据规划层级和现有资料条件，采用成熟方法评价规划实施的影响范围、程度和可控性。</w:t>
      </w:r>
    </w:p>
    <w:p w14:paraId="615D42CE" w14:textId="77777777" w:rsidR="00232C37" w:rsidRDefault="00E8348F">
      <w:pPr>
        <w:ind w:firstLine="480"/>
      </w:pPr>
      <w:r>
        <w:t>（</w:t>
      </w:r>
      <w:r>
        <w:t>4</w:t>
      </w:r>
      <w:r>
        <w:t>）突出重点、注重实效。重点关注空间布局冲突、磷矿总磷污染、金属矿重金属污染、尾矿</w:t>
      </w:r>
      <w:proofErr w:type="gramStart"/>
      <w:r>
        <w:t>库风险</w:t>
      </w:r>
      <w:proofErr w:type="gramEnd"/>
      <w:r>
        <w:t>和矿山生态修复等问题。</w:t>
      </w:r>
    </w:p>
    <w:p w14:paraId="51D8CBC6" w14:textId="77777777" w:rsidR="00232C37" w:rsidRDefault="00E8348F">
      <w:pPr>
        <w:pStyle w:val="afffc"/>
        <w:spacing w:before="60" w:after="60"/>
      </w:pPr>
      <w:r>
        <w:t xml:space="preserve">1.4 </w:t>
      </w:r>
      <w:r>
        <w:t>评价范围和时段</w:t>
      </w:r>
    </w:p>
    <w:p w14:paraId="050E5D33" w14:textId="77777777" w:rsidR="00232C37" w:rsidRDefault="00E8348F">
      <w:pPr>
        <w:ind w:firstLine="480"/>
      </w:pPr>
      <w:r>
        <w:t>评价范围为湖北省行政区域，并根据地表水、地下水、大气、生态和环境风险等影响特征，适当延伸</w:t>
      </w:r>
      <w:proofErr w:type="gramStart"/>
      <w:r>
        <w:t>至规划</w:t>
      </w:r>
      <w:proofErr w:type="gramEnd"/>
      <w:r>
        <w:t>实施可能影响的相关流域、生态功能区和环境敏感目标。</w:t>
      </w:r>
      <w:r w:rsidR="00597DE8" w:rsidRPr="00597DE8">
        <w:t>《规划》以</w:t>
      </w:r>
      <w:r w:rsidR="00597DE8" w:rsidRPr="00597DE8">
        <w:t>2025</w:t>
      </w:r>
      <w:r w:rsidR="00597DE8" w:rsidRPr="00597DE8">
        <w:t>年为基期，以</w:t>
      </w:r>
      <w:r w:rsidR="00597DE8" w:rsidRPr="00597DE8">
        <w:t>2030</w:t>
      </w:r>
      <w:r w:rsidR="00597DE8" w:rsidRPr="00597DE8">
        <w:t>年为目标年，展望到</w:t>
      </w:r>
      <w:r w:rsidR="00597DE8" w:rsidRPr="00597DE8">
        <w:t>2035</w:t>
      </w:r>
      <w:r w:rsidR="00597DE8" w:rsidRPr="00597DE8">
        <w:t>年。</w:t>
      </w:r>
    </w:p>
    <w:p w14:paraId="131A2115" w14:textId="77777777" w:rsidR="00232C37" w:rsidRDefault="00E8348F">
      <w:pPr>
        <w:pStyle w:val="afffb"/>
        <w:spacing w:before="120" w:after="60"/>
      </w:pPr>
      <w:r>
        <w:lastRenderedPageBreak/>
        <w:t xml:space="preserve">2 </w:t>
      </w:r>
      <w:r>
        <w:t>规划方案概述</w:t>
      </w:r>
    </w:p>
    <w:p w14:paraId="6C73D4E7" w14:textId="77777777" w:rsidR="00232C37" w:rsidRDefault="00E8348F">
      <w:pPr>
        <w:pStyle w:val="afffc"/>
        <w:spacing w:before="60" w:after="60"/>
      </w:pPr>
      <w:r>
        <w:t xml:space="preserve">2.1 </w:t>
      </w:r>
      <w:r>
        <w:t>规划性质、范围与期限</w:t>
      </w:r>
    </w:p>
    <w:p w14:paraId="32BB9D8D" w14:textId="77777777" w:rsidR="00232C37" w:rsidRDefault="00E8348F">
      <w:pPr>
        <w:pStyle w:val="affff"/>
        <w:spacing w:before="156" w:after="156"/>
      </w:pPr>
      <w:r>
        <w:t>表</w:t>
      </w:r>
      <w:r>
        <w:t xml:space="preserve">2.1-1 </w:t>
      </w:r>
      <w:r>
        <w:t>规划基本情况</w:t>
      </w:r>
    </w:p>
    <w:tbl>
      <w:tblPr>
        <w:tblW w:w="5000" w:type="pct"/>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1894"/>
        <w:gridCol w:w="6941"/>
      </w:tblGrid>
      <w:tr w:rsidR="00232C37" w14:paraId="116A559F" w14:textId="77777777" w:rsidTr="00DA18A8">
        <w:trPr>
          <w:tblHeader/>
          <w:jc w:val="center"/>
        </w:trPr>
        <w:tc>
          <w:tcPr>
            <w:tcW w:w="1072" w:type="pct"/>
            <w:tcBorders>
              <w:top w:val="single" w:sz="4" w:space="0" w:color="000000"/>
              <w:left w:val="single" w:sz="4" w:space="0" w:color="000000"/>
              <w:bottom w:val="single" w:sz="4" w:space="0" w:color="000000"/>
              <w:right w:val="single" w:sz="4" w:space="0" w:color="000000"/>
            </w:tcBorders>
            <w:shd w:val="clear" w:color="auto" w:fill="E7E6E6"/>
            <w:tcMar>
              <w:top w:w="90" w:type="dxa"/>
              <w:left w:w="100" w:type="dxa"/>
              <w:bottom w:w="90" w:type="dxa"/>
              <w:right w:w="100" w:type="dxa"/>
            </w:tcMar>
            <w:vAlign w:val="center"/>
          </w:tcPr>
          <w:p w14:paraId="6297F8F8" w14:textId="77777777" w:rsidR="00232C37" w:rsidRDefault="00E8348F" w:rsidP="00DA18A8">
            <w:pPr>
              <w:spacing w:line="276" w:lineRule="auto"/>
              <w:ind w:firstLineChars="0" w:firstLine="0"/>
              <w:jc w:val="center"/>
            </w:pPr>
            <w:r>
              <w:rPr>
                <w:rFonts w:cs="Times New Roman"/>
                <w:b/>
                <w:sz w:val="21"/>
              </w:rPr>
              <w:t>项目</w:t>
            </w:r>
          </w:p>
        </w:tc>
        <w:tc>
          <w:tcPr>
            <w:tcW w:w="3928" w:type="pct"/>
            <w:tcBorders>
              <w:top w:val="single" w:sz="4" w:space="0" w:color="000000"/>
              <w:left w:val="single" w:sz="4" w:space="0" w:color="000000"/>
              <w:bottom w:val="single" w:sz="4" w:space="0" w:color="000000"/>
              <w:right w:val="single" w:sz="4" w:space="0" w:color="000000"/>
            </w:tcBorders>
            <w:shd w:val="clear" w:color="auto" w:fill="E7E6E6"/>
            <w:tcMar>
              <w:top w:w="90" w:type="dxa"/>
              <w:left w:w="100" w:type="dxa"/>
              <w:bottom w:w="90" w:type="dxa"/>
              <w:right w:w="100" w:type="dxa"/>
            </w:tcMar>
            <w:vAlign w:val="center"/>
          </w:tcPr>
          <w:p w14:paraId="7B373E9F" w14:textId="77777777" w:rsidR="00232C37" w:rsidRDefault="00E8348F" w:rsidP="00DA18A8">
            <w:pPr>
              <w:spacing w:line="276" w:lineRule="auto"/>
              <w:ind w:firstLineChars="0" w:firstLine="0"/>
              <w:jc w:val="center"/>
            </w:pPr>
            <w:r>
              <w:rPr>
                <w:rFonts w:cs="Times New Roman"/>
                <w:b/>
                <w:sz w:val="21"/>
              </w:rPr>
              <w:t>主要内容</w:t>
            </w:r>
          </w:p>
        </w:tc>
      </w:tr>
      <w:tr w:rsidR="00232C37" w14:paraId="2D1B338E" w14:textId="77777777" w:rsidTr="00DA18A8">
        <w:trPr>
          <w:jc w:val="center"/>
        </w:trPr>
        <w:tc>
          <w:tcPr>
            <w:tcW w:w="1072" w:type="pct"/>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376371FB" w14:textId="77777777" w:rsidR="00232C37" w:rsidRDefault="00E8348F" w:rsidP="00DA18A8">
            <w:pPr>
              <w:spacing w:line="276" w:lineRule="auto"/>
              <w:ind w:firstLineChars="0" w:firstLine="0"/>
              <w:jc w:val="center"/>
            </w:pPr>
            <w:r>
              <w:rPr>
                <w:rFonts w:cs="Times New Roman"/>
                <w:sz w:val="21"/>
              </w:rPr>
              <w:t>规划性质</w:t>
            </w:r>
          </w:p>
        </w:tc>
        <w:tc>
          <w:tcPr>
            <w:tcW w:w="3928" w:type="pct"/>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7D186D04" w14:textId="77777777" w:rsidR="00961A67" w:rsidRDefault="004263C4" w:rsidP="00DA18A8">
            <w:pPr>
              <w:spacing w:line="276" w:lineRule="auto"/>
              <w:ind w:firstLineChars="0" w:firstLine="0"/>
              <w:jc w:val="left"/>
            </w:pPr>
            <w:r>
              <w:rPr>
                <w:rFonts w:cs="Times New Roman"/>
                <w:sz w:val="21"/>
              </w:rPr>
              <w:t>规划是全省辖区内依法审批和监督管理地质调查和矿产资源勘查、开采、保护及矿区生态修复的基本依据。</w:t>
            </w:r>
          </w:p>
        </w:tc>
      </w:tr>
      <w:tr w:rsidR="00232C37" w14:paraId="2D9AA535" w14:textId="77777777" w:rsidTr="00DA18A8">
        <w:trPr>
          <w:jc w:val="center"/>
        </w:trPr>
        <w:tc>
          <w:tcPr>
            <w:tcW w:w="1072" w:type="pct"/>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0795A73B" w14:textId="77777777" w:rsidR="00232C37" w:rsidRDefault="00E8348F" w:rsidP="00DA18A8">
            <w:pPr>
              <w:spacing w:line="276" w:lineRule="auto"/>
              <w:ind w:firstLineChars="0" w:firstLine="0"/>
              <w:jc w:val="center"/>
            </w:pPr>
            <w:r>
              <w:rPr>
                <w:rFonts w:cs="Times New Roman"/>
                <w:sz w:val="21"/>
              </w:rPr>
              <w:t>规划范围</w:t>
            </w:r>
          </w:p>
        </w:tc>
        <w:tc>
          <w:tcPr>
            <w:tcW w:w="3928" w:type="pct"/>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133D3157" w14:textId="77777777" w:rsidR="00961A67" w:rsidRDefault="004263C4" w:rsidP="00DA18A8">
            <w:pPr>
              <w:spacing w:line="276" w:lineRule="auto"/>
              <w:ind w:firstLineChars="0" w:firstLine="0"/>
              <w:jc w:val="center"/>
            </w:pPr>
            <w:r>
              <w:rPr>
                <w:rFonts w:cs="Times New Roman"/>
                <w:sz w:val="21"/>
              </w:rPr>
              <w:t>湖北省所辖行政区域</w:t>
            </w:r>
          </w:p>
        </w:tc>
      </w:tr>
      <w:tr w:rsidR="00232C37" w14:paraId="6B4ABF69" w14:textId="77777777" w:rsidTr="00DA18A8">
        <w:trPr>
          <w:jc w:val="center"/>
        </w:trPr>
        <w:tc>
          <w:tcPr>
            <w:tcW w:w="1072" w:type="pct"/>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20C0AA7D" w14:textId="77777777" w:rsidR="00232C37" w:rsidRDefault="00E8348F" w:rsidP="00DA18A8">
            <w:pPr>
              <w:spacing w:line="276" w:lineRule="auto"/>
              <w:ind w:firstLineChars="0" w:firstLine="0"/>
              <w:jc w:val="center"/>
            </w:pPr>
            <w:r>
              <w:rPr>
                <w:rFonts w:cs="Times New Roman"/>
                <w:sz w:val="21"/>
              </w:rPr>
              <w:t>规划基期</w:t>
            </w:r>
          </w:p>
        </w:tc>
        <w:tc>
          <w:tcPr>
            <w:tcW w:w="3928" w:type="pct"/>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1A5934C9" w14:textId="77777777" w:rsidR="00961A67" w:rsidRDefault="004263C4" w:rsidP="00DA18A8">
            <w:pPr>
              <w:spacing w:line="276" w:lineRule="auto"/>
              <w:ind w:firstLineChars="0" w:firstLine="0"/>
              <w:jc w:val="center"/>
            </w:pPr>
            <w:r>
              <w:rPr>
                <w:rFonts w:cs="Times New Roman"/>
                <w:sz w:val="21"/>
              </w:rPr>
              <w:t>2025</w:t>
            </w:r>
            <w:r>
              <w:rPr>
                <w:rFonts w:cs="Times New Roman"/>
                <w:sz w:val="21"/>
              </w:rPr>
              <w:t>年</w:t>
            </w:r>
          </w:p>
        </w:tc>
      </w:tr>
      <w:tr w:rsidR="00232C37" w14:paraId="345F2C15" w14:textId="77777777" w:rsidTr="00DA18A8">
        <w:trPr>
          <w:jc w:val="center"/>
        </w:trPr>
        <w:tc>
          <w:tcPr>
            <w:tcW w:w="1072" w:type="pct"/>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2D9E086C" w14:textId="77777777" w:rsidR="00232C37" w:rsidRDefault="00E8348F" w:rsidP="00DA18A8">
            <w:pPr>
              <w:spacing w:line="276" w:lineRule="auto"/>
              <w:ind w:firstLineChars="0" w:firstLine="0"/>
              <w:jc w:val="center"/>
            </w:pPr>
            <w:r>
              <w:rPr>
                <w:rFonts w:cs="Times New Roman"/>
                <w:sz w:val="21"/>
              </w:rPr>
              <w:t>规划期</w:t>
            </w:r>
          </w:p>
        </w:tc>
        <w:tc>
          <w:tcPr>
            <w:tcW w:w="3928" w:type="pct"/>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22B5D2A8" w14:textId="77777777" w:rsidR="00961A67" w:rsidRDefault="004263C4" w:rsidP="00DA18A8">
            <w:pPr>
              <w:spacing w:line="276" w:lineRule="auto"/>
              <w:ind w:firstLineChars="0" w:firstLine="0"/>
              <w:jc w:val="center"/>
            </w:pPr>
            <w:r>
              <w:rPr>
                <w:rFonts w:cs="Times New Roman"/>
                <w:sz w:val="21"/>
              </w:rPr>
              <w:t>2026—2030</w:t>
            </w:r>
            <w:r>
              <w:rPr>
                <w:rFonts w:cs="Times New Roman"/>
                <w:sz w:val="21"/>
              </w:rPr>
              <w:t>年</w:t>
            </w:r>
          </w:p>
        </w:tc>
      </w:tr>
      <w:tr w:rsidR="00232C37" w14:paraId="1BA73466" w14:textId="77777777" w:rsidTr="00DA18A8">
        <w:trPr>
          <w:jc w:val="center"/>
        </w:trPr>
        <w:tc>
          <w:tcPr>
            <w:tcW w:w="1072" w:type="pct"/>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422AEC2F" w14:textId="77777777" w:rsidR="00232C37" w:rsidRDefault="00E8348F" w:rsidP="00DA18A8">
            <w:pPr>
              <w:spacing w:line="276" w:lineRule="auto"/>
              <w:ind w:firstLineChars="0" w:firstLine="0"/>
              <w:jc w:val="center"/>
            </w:pPr>
            <w:r>
              <w:rPr>
                <w:rFonts w:cs="Times New Roman"/>
                <w:sz w:val="21"/>
              </w:rPr>
              <w:t>目标年</w:t>
            </w:r>
          </w:p>
        </w:tc>
        <w:tc>
          <w:tcPr>
            <w:tcW w:w="3928" w:type="pct"/>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03B396A7" w14:textId="77777777" w:rsidR="00961A67" w:rsidRDefault="004263C4" w:rsidP="00DA18A8">
            <w:pPr>
              <w:spacing w:line="276" w:lineRule="auto"/>
              <w:ind w:firstLineChars="0" w:firstLine="0"/>
              <w:jc w:val="center"/>
            </w:pPr>
            <w:r>
              <w:rPr>
                <w:rFonts w:cs="Times New Roman"/>
                <w:sz w:val="21"/>
              </w:rPr>
              <w:t>2030</w:t>
            </w:r>
            <w:r>
              <w:rPr>
                <w:rFonts w:cs="Times New Roman"/>
                <w:sz w:val="21"/>
              </w:rPr>
              <w:t>年，展望到</w:t>
            </w:r>
            <w:r>
              <w:rPr>
                <w:rFonts w:cs="Times New Roman"/>
                <w:sz w:val="21"/>
              </w:rPr>
              <w:t>2035</w:t>
            </w:r>
            <w:r>
              <w:rPr>
                <w:rFonts w:cs="Times New Roman"/>
                <w:sz w:val="21"/>
              </w:rPr>
              <w:t>年</w:t>
            </w:r>
          </w:p>
        </w:tc>
      </w:tr>
    </w:tbl>
    <w:p w14:paraId="7891FB94" w14:textId="77777777" w:rsidR="00232C37" w:rsidRDefault="00232C37">
      <w:pPr>
        <w:ind w:firstLine="480"/>
      </w:pPr>
    </w:p>
    <w:p w14:paraId="136D4465" w14:textId="77777777" w:rsidR="00232C37" w:rsidRDefault="00E8348F">
      <w:pPr>
        <w:pStyle w:val="afffc"/>
        <w:spacing w:before="60" w:after="60"/>
      </w:pPr>
      <w:r>
        <w:t xml:space="preserve">2.2 </w:t>
      </w:r>
      <w:r>
        <w:t>指导思想</w:t>
      </w:r>
    </w:p>
    <w:p w14:paraId="61E59242" w14:textId="77777777" w:rsidR="00597DE8" w:rsidRPr="00597DE8" w:rsidRDefault="00597DE8" w:rsidP="00597DE8">
      <w:pPr>
        <w:ind w:firstLine="480"/>
      </w:pPr>
      <w:r w:rsidRPr="00597DE8">
        <w:t>以习近平新时代中国特色社会主义思想为指导，全面贯彻落实党的二十大和二十届历次全会精神，深入学</w:t>
      </w:r>
      <w:proofErr w:type="gramStart"/>
      <w:r w:rsidRPr="00597DE8">
        <w:t>习习近</w:t>
      </w:r>
      <w:proofErr w:type="gramEnd"/>
      <w:r w:rsidRPr="00597DE8">
        <w:t>平总书记关于自然资源工作重要论述和考察湖北重要讲话精神，紧紧围绕省委、省政府决策部署，以提升矿产资源保障能力和促进矿业高质量发展为目标，以保障安全、强化支撑，优化布局、协调发展，节约集约、高效利用，绿色发展、保护同行为原则，加强矿产资源规划引领与管控，健全战略性</w:t>
      </w:r>
      <w:proofErr w:type="gramStart"/>
      <w:r w:rsidRPr="00597DE8">
        <w:t>矿产资源探产供储销</w:t>
      </w:r>
      <w:proofErr w:type="gramEnd"/>
      <w:r w:rsidRPr="00597DE8">
        <w:t>全链条统筹和衔接体系，深入开展综合性基础性地质调查，加强战略性矿产资源勘探开发和储备，全面提高资源开发利用水平和效率，推动矿业领域设备更新、工艺升级、</w:t>
      </w:r>
      <w:proofErr w:type="gramStart"/>
      <w:r w:rsidRPr="00597DE8">
        <w:t>数智赋能</w:t>
      </w:r>
      <w:proofErr w:type="gramEnd"/>
      <w:r w:rsidRPr="00597DE8">
        <w:t>，积极发展矿业新质生产力，深化矿产资源管理改革和科技创新，促进矿业绿色高质量发展，构建安全、绿色、高效的矿产资源保障体系，为推动加快建成中部地区崛起的重要战略支点取得决定性进展，贡献更加有力的矿产资源支撑。</w:t>
      </w:r>
    </w:p>
    <w:p w14:paraId="3F28D753" w14:textId="77777777" w:rsidR="00232C37" w:rsidRDefault="00E8348F">
      <w:pPr>
        <w:pStyle w:val="afffc"/>
        <w:spacing w:before="60" w:after="60"/>
      </w:pPr>
      <w:r>
        <w:t xml:space="preserve">2.3 </w:t>
      </w:r>
      <w:r>
        <w:t>规划目标</w:t>
      </w:r>
    </w:p>
    <w:p w14:paraId="1CD973D4" w14:textId="77777777" w:rsidR="00232C37" w:rsidRDefault="00597DE8">
      <w:pPr>
        <w:ind w:firstLine="480"/>
      </w:pPr>
      <w:r w:rsidRPr="00597DE8">
        <w:t>到</w:t>
      </w:r>
      <w:r w:rsidRPr="00597DE8">
        <w:t>2030</w:t>
      </w:r>
      <w:r w:rsidRPr="00597DE8">
        <w:t>年底，地质找矿取得新突破，资源供给质量和效益稳步提升，开采总量得到有效调控，开发利用空间布局进一步优化，矿产资源规模化、集约化利用程度进一步提高，矿产资源综合利用水平进一步提升，全省绿色矿山建设工作机制更加</w:t>
      </w:r>
      <w:r w:rsidRPr="00597DE8">
        <w:lastRenderedPageBreak/>
        <w:t>完善，矿山生态环境持续好转。展望</w:t>
      </w:r>
      <w:r w:rsidRPr="00597DE8">
        <w:t>2035</w:t>
      </w:r>
      <w:r w:rsidRPr="00597DE8">
        <w:t>年，全面构建与建成中部地区崛起重要战略支点战略定位高度适配的现代化矿产资源保障体系。</w:t>
      </w:r>
    </w:p>
    <w:p w14:paraId="5D3D5C56" w14:textId="77777777" w:rsidR="00232C37" w:rsidRDefault="00E8348F">
      <w:pPr>
        <w:pStyle w:val="afffc"/>
        <w:spacing w:before="60" w:after="60"/>
      </w:pPr>
      <w:r>
        <w:t xml:space="preserve">2.4 </w:t>
      </w:r>
      <w:r>
        <w:t>勘查开发保护区域布局</w:t>
      </w:r>
    </w:p>
    <w:p w14:paraId="160C44A8" w14:textId="77777777" w:rsidR="00232C37" w:rsidRDefault="00E8348F">
      <w:pPr>
        <w:pStyle w:val="affff"/>
        <w:spacing w:before="156" w:after="156"/>
      </w:pPr>
      <w:r>
        <w:t>表</w:t>
      </w:r>
      <w:r>
        <w:t xml:space="preserve">2.4-1 </w:t>
      </w:r>
      <w:r>
        <w:t>矿产资源勘查开发保护区域布局</w:t>
      </w:r>
    </w:p>
    <w:tbl>
      <w:tblPr>
        <w:tblW w:w="5000" w:type="pct"/>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2831"/>
        <w:gridCol w:w="6004"/>
      </w:tblGrid>
      <w:tr w:rsidR="00232C37" w14:paraId="5A84BBB4" w14:textId="77777777" w:rsidTr="00DA18A8">
        <w:trPr>
          <w:tblHeader/>
          <w:jc w:val="center"/>
        </w:trPr>
        <w:tc>
          <w:tcPr>
            <w:tcW w:w="1602" w:type="pct"/>
            <w:tcBorders>
              <w:top w:val="single" w:sz="4" w:space="0" w:color="000000"/>
              <w:left w:val="single" w:sz="4" w:space="0" w:color="000000"/>
              <w:bottom w:val="single" w:sz="4" w:space="0" w:color="000000"/>
              <w:right w:val="single" w:sz="4" w:space="0" w:color="000000"/>
            </w:tcBorders>
            <w:shd w:val="clear" w:color="auto" w:fill="E7E6E6"/>
            <w:tcMar>
              <w:top w:w="90" w:type="dxa"/>
              <w:left w:w="100" w:type="dxa"/>
              <w:bottom w:w="90" w:type="dxa"/>
              <w:right w:w="100" w:type="dxa"/>
            </w:tcMar>
            <w:vAlign w:val="center"/>
          </w:tcPr>
          <w:p w14:paraId="6FB2ACB5" w14:textId="77777777" w:rsidR="00232C37" w:rsidRDefault="00E8348F" w:rsidP="00DA18A8">
            <w:pPr>
              <w:spacing w:line="276" w:lineRule="auto"/>
              <w:ind w:firstLineChars="0" w:firstLine="0"/>
              <w:jc w:val="center"/>
            </w:pPr>
            <w:r>
              <w:rPr>
                <w:rFonts w:cs="Times New Roman"/>
                <w:b/>
                <w:sz w:val="21"/>
              </w:rPr>
              <w:t>区域</w:t>
            </w:r>
          </w:p>
        </w:tc>
        <w:tc>
          <w:tcPr>
            <w:tcW w:w="3398" w:type="pct"/>
            <w:tcBorders>
              <w:top w:val="single" w:sz="4" w:space="0" w:color="000000"/>
              <w:left w:val="single" w:sz="4" w:space="0" w:color="000000"/>
              <w:bottom w:val="single" w:sz="4" w:space="0" w:color="000000"/>
              <w:right w:val="single" w:sz="4" w:space="0" w:color="000000"/>
            </w:tcBorders>
            <w:shd w:val="clear" w:color="auto" w:fill="E7E6E6"/>
            <w:tcMar>
              <w:top w:w="90" w:type="dxa"/>
              <w:left w:w="100" w:type="dxa"/>
              <w:bottom w:w="90" w:type="dxa"/>
              <w:right w:w="100" w:type="dxa"/>
            </w:tcMar>
            <w:vAlign w:val="center"/>
          </w:tcPr>
          <w:p w14:paraId="34988721" w14:textId="77777777" w:rsidR="00232C37" w:rsidRDefault="00E8348F" w:rsidP="00DA18A8">
            <w:pPr>
              <w:spacing w:line="276" w:lineRule="auto"/>
              <w:ind w:firstLineChars="0" w:firstLine="0"/>
              <w:jc w:val="center"/>
            </w:pPr>
            <w:r>
              <w:rPr>
                <w:rFonts w:cs="Times New Roman"/>
                <w:b/>
                <w:sz w:val="21"/>
              </w:rPr>
              <w:t>范围与重点方向</w:t>
            </w:r>
          </w:p>
        </w:tc>
      </w:tr>
      <w:tr w:rsidR="00232C37" w14:paraId="396DA457" w14:textId="77777777" w:rsidTr="00DA18A8">
        <w:trPr>
          <w:jc w:val="center"/>
        </w:trPr>
        <w:tc>
          <w:tcPr>
            <w:tcW w:w="1602" w:type="pct"/>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3121C381" w14:textId="77777777" w:rsidR="00961A67" w:rsidRDefault="004263C4" w:rsidP="00DA18A8">
            <w:pPr>
              <w:spacing w:line="276" w:lineRule="auto"/>
              <w:ind w:firstLineChars="0" w:firstLine="0"/>
              <w:jc w:val="center"/>
            </w:pPr>
            <w:r>
              <w:rPr>
                <w:rFonts w:cs="Times New Roman"/>
                <w:sz w:val="21"/>
              </w:rPr>
              <w:t>战略性金属矿产资源保障区</w:t>
            </w:r>
          </w:p>
        </w:tc>
        <w:tc>
          <w:tcPr>
            <w:tcW w:w="3398" w:type="pct"/>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775600E7" w14:textId="77777777" w:rsidR="00961A67" w:rsidRDefault="004263C4" w:rsidP="00DA18A8">
            <w:pPr>
              <w:spacing w:line="276" w:lineRule="auto"/>
              <w:ind w:firstLineChars="0" w:firstLine="0"/>
              <w:jc w:val="left"/>
            </w:pPr>
            <w:r>
              <w:rPr>
                <w:rFonts w:cs="Times New Roman"/>
                <w:sz w:val="21"/>
              </w:rPr>
              <w:t>黄石</w:t>
            </w:r>
            <w:r>
              <w:rPr>
                <w:rFonts w:cs="Times New Roman"/>
                <w:sz w:val="21"/>
              </w:rPr>
              <w:t>—</w:t>
            </w:r>
            <w:r>
              <w:rPr>
                <w:rFonts w:cs="Times New Roman"/>
                <w:sz w:val="21"/>
              </w:rPr>
              <w:t>鄂州</w:t>
            </w:r>
            <w:r>
              <w:rPr>
                <w:rFonts w:cs="Times New Roman"/>
                <w:sz w:val="21"/>
              </w:rPr>
              <w:t>—</w:t>
            </w:r>
            <w:r>
              <w:rPr>
                <w:rFonts w:cs="Times New Roman"/>
                <w:sz w:val="21"/>
              </w:rPr>
              <w:t>咸宁为战略性金属矿产资源保障区，依托铜、铁、金、钨资源禀赋优势与深厚产业基础，建强能源资源基地，筑牢国家金属矿产资源安全</w:t>
            </w:r>
            <w:r>
              <w:rPr>
                <w:rFonts w:cs="Times New Roman"/>
                <w:sz w:val="21"/>
              </w:rPr>
              <w:t>“</w:t>
            </w:r>
            <w:r>
              <w:rPr>
                <w:rFonts w:cs="Times New Roman"/>
                <w:sz w:val="21"/>
              </w:rPr>
              <w:t>压舱石</w:t>
            </w:r>
            <w:r>
              <w:rPr>
                <w:rFonts w:cs="Times New Roman"/>
                <w:sz w:val="21"/>
              </w:rPr>
              <w:t>”</w:t>
            </w:r>
          </w:p>
        </w:tc>
      </w:tr>
      <w:tr w:rsidR="00232C37" w14:paraId="4EB15ED1" w14:textId="77777777" w:rsidTr="00DA18A8">
        <w:trPr>
          <w:jc w:val="center"/>
        </w:trPr>
        <w:tc>
          <w:tcPr>
            <w:tcW w:w="1602" w:type="pct"/>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3E46725A" w14:textId="77777777" w:rsidR="00961A67" w:rsidRDefault="004263C4" w:rsidP="00DA18A8">
            <w:pPr>
              <w:spacing w:line="276" w:lineRule="auto"/>
              <w:ind w:firstLineChars="0" w:firstLine="0"/>
              <w:jc w:val="center"/>
            </w:pPr>
            <w:r>
              <w:rPr>
                <w:rFonts w:cs="Times New Roman"/>
                <w:sz w:val="21"/>
              </w:rPr>
              <w:t>优势矿产资源供应区</w:t>
            </w:r>
          </w:p>
        </w:tc>
        <w:tc>
          <w:tcPr>
            <w:tcW w:w="3398" w:type="pct"/>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2F9DAAE2" w14:textId="77777777" w:rsidR="00961A67" w:rsidRDefault="004263C4" w:rsidP="00DA18A8">
            <w:pPr>
              <w:spacing w:line="276" w:lineRule="auto"/>
              <w:ind w:firstLineChars="0" w:firstLine="0"/>
              <w:jc w:val="left"/>
            </w:pPr>
            <w:r>
              <w:rPr>
                <w:rFonts w:cs="Times New Roman"/>
                <w:sz w:val="21"/>
              </w:rPr>
              <w:t>随州</w:t>
            </w:r>
            <w:r>
              <w:rPr>
                <w:rFonts w:cs="Times New Roman"/>
                <w:sz w:val="21"/>
              </w:rPr>
              <w:t>—</w:t>
            </w:r>
            <w:r>
              <w:rPr>
                <w:rFonts w:cs="Times New Roman"/>
                <w:sz w:val="21"/>
              </w:rPr>
              <w:t>黄冈</w:t>
            </w:r>
            <w:r>
              <w:rPr>
                <w:rFonts w:cs="Times New Roman"/>
                <w:sz w:val="21"/>
              </w:rPr>
              <w:t>—</w:t>
            </w:r>
            <w:r>
              <w:rPr>
                <w:rFonts w:cs="Times New Roman"/>
                <w:sz w:val="21"/>
              </w:rPr>
              <w:t>孝感</w:t>
            </w:r>
            <w:r>
              <w:rPr>
                <w:rFonts w:cs="Times New Roman"/>
                <w:sz w:val="21"/>
              </w:rPr>
              <w:t>—</w:t>
            </w:r>
            <w:r>
              <w:rPr>
                <w:rFonts w:cs="Times New Roman"/>
                <w:sz w:val="21"/>
              </w:rPr>
              <w:t>荆州</w:t>
            </w:r>
            <w:r>
              <w:rPr>
                <w:rFonts w:cs="Times New Roman"/>
                <w:sz w:val="21"/>
              </w:rPr>
              <w:t>—</w:t>
            </w:r>
            <w:r>
              <w:rPr>
                <w:rFonts w:cs="Times New Roman"/>
                <w:sz w:val="21"/>
              </w:rPr>
              <w:t>潜江</w:t>
            </w:r>
            <w:r>
              <w:rPr>
                <w:rFonts w:cs="Times New Roman"/>
                <w:sz w:val="21"/>
              </w:rPr>
              <w:t>—</w:t>
            </w:r>
            <w:r>
              <w:rPr>
                <w:rFonts w:cs="Times New Roman"/>
                <w:sz w:val="21"/>
              </w:rPr>
              <w:t>天门</w:t>
            </w:r>
            <w:r>
              <w:rPr>
                <w:rFonts w:cs="Times New Roman"/>
                <w:sz w:val="21"/>
              </w:rPr>
              <w:t>—</w:t>
            </w:r>
            <w:r>
              <w:rPr>
                <w:rFonts w:cs="Times New Roman"/>
                <w:sz w:val="21"/>
              </w:rPr>
              <w:t>仙桃为优势矿产资源供应区，围绕岩盐、卤水（含锂、钾等）、石材及地热等资源，聚焦化工、建材、康养旅游领域，提升资源开发利用效率、产业链协同水平与绿色发展能力</w:t>
            </w:r>
          </w:p>
        </w:tc>
      </w:tr>
      <w:tr w:rsidR="00232C37" w14:paraId="2AA27BE8" w14:textId="77777777" w:rsidTr="00DA18A8">
        <w:trPr>
          <w:jc w:val="center"/>
        </w:trPr>
        <w:tc>
          <w:tcPr>
            <w:tcW w:w="1602" w:type="pct"/>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058F530B" w14:textId="77777777" w:rsidR="00961A67" w:rsidRDefault="004263C4" w:rsidP="00DA18A8">
            <w:pPr>
              <w:spacing w:line="276" w:lineRule="auto"/>
              <w:ind w:firstLineChars="0" w:firstLine="0"/>
              <w:jc w:val="center"/>
            </w:pPr>
            <w:r>
              <w:rPr>
                <w:rFonts w:cs="Times New Roman"/>
                <w:sz w:val="21"/>
              </w:rPr>
              <w:t>战略性非金属矿产资源保障区</w:t>
            </w:r>
          </w:p>
        </w:tc>
        <w:tc>
          <w:tcPr>
            <w:tcW w:w="3398" w:type="pct"/>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66717BAD" w14:textId="77777777" w:rsidR="00961A67" w:rsidRDefault="004263C4" w:rsidP="00DA18A8">
            <w:pPr>
              <w:spacing w:line="276" w:lineRule="auto"/>
              <w:ind w:firstLineChars="0" w:firstLine="0"/>
              <w:jc w:val="left"/>
            </w:pPr>
            <w:r>
              <w:rPr>
                <w:rFonts w:cs="Times New Roman"/>
                <w:sz w:val="21"/>
              </w:rPr>
              <w:t>宜昌</w:t>
            </w:r>
            <w:r>
              <w:rPr>
                <w:rFonts w:cs="Times New Roman"/>
                <w:sz w:val="21"/>
              </w:rPr>
              <w:t>—</w:t>
            </w:r>
            <w:r>
              <w:rPr>
                <w:rFonts w:cs="Times New Roman"/>
                <w:sz w:val="21"/>
              </w:rPr>
              <w:t>襄阳</w:t>
            </w:r>
            <w:r>
              <w:rPr>
                <w:rFonts w:cs="Times New Roman"/>
                <w:sz w:val="21"/>
              </w:rPr>
              <w:t>—</w:t>
            </w:r>
            <w:r>
              <w:rPr>
                <w:rFonts w:cs="Times New Roman"/>
                <w:sz w:val="21"/>
              </w:rPr>
              <w:t>荆门</w:t>
            </w:r>
            <w:r>
              <w:rPr>
                <w:rFonts w:cs="Times New Roman"/>
                <w:sz w:val="21"/>
              </w:rPr>
              <w:t>—</w:t>
            </w:r>
            <w:r>
              <w:rPr>
                <w:rFonts w:cs="Times New Roman"/>
                <w:sz w:val="21"/>
              </w:rPr>
              <w:t>神农架为战略性非金属矿产资源保障区，发挥磷、晶质石墨等资源优势，强化能源资源基地建设，重点保障磷、晶质石墨等战略性非金属矿产稳定供应</w:t>
            </w:r>
          </w:p>
        </w:tc>
      </w:tr>
      <w:tr w:rsidR="00232C37" w14:paraId="691908DD" w14:textId="77777777" w:rsidTr="00DA18A8">
        <w:trPr>
          <w:jc w:val="center"/>
        </w:trPr>
        <w:tc>
          <w:tcPr>
            <w:tcW w:w="1602" w:type="pct"/>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367847E0" w14:textId="77777777" w:rsidR="00961A67" w:rsidRDefault="004263C4" w:rsidP="00DA18A8">
            <w:pPr>
              <w:spacing w:line="276" w:lineRule="auto"/>
              <w:ind w:firstLineChars="0" w:firstLine="0"/>
              <w:jc w:val="center"/>
            </w:pPr>
            <w:r>
              <w:rPr>
                <w:rFonts w:cs="Times New Roman"/>
                <w:sz w:val="21"/>
              </w:rPr>
              <w:t>战略性新兴矿产资源培育区</w:t>
            </w:r>
          </w:p>
        </w:tc>
        <w:tc>
          <w:tcPr>
            <w:tcW w:w="3398" w:type="pct"/>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3F6A38FD" w14:textId="77777777" w:rsidR="00961A67" w:rsidRDefault="004263C4" w:rsidP="00DA18A8">
            <w:pPr>
              <w:spacing w:line="276" w:lineRule="auto"/>
              <w:ind w:firstLineChars="0" w:firstLine="0"/>
              <w:jc w:val="left"/>
            </w:pPr>
            <w:r>
              <w:rPr>
                <w:rFonts w:cs="Times New Roman"/>
                <w:sz w:val="21"/>
              </w:rPr>
              <w:t>十堰</w:t>
            </w:r>
            <w:r>
              <w:rPr>
                <w:rFonts w:cs="Times New Roman"/>
                <w:sz w:val="21"/>
              </w:rPr>
              <w:t>—</w:t>
            </w:r>
            <w:r>
              <w:rPr>
                <w:rFonts w:cs="Times New Roman"/>
                <w:sz w:val="21"/>
              </w:rPr>
              <w:t>恩施为战略性新兴矿产资源培育区，立足区内铌、钽、稀土、页岩气等资源禀赋与生态条件，加大勘查开发力度与技术创新攻坚，推动潜在资源优势向经济优势转化</w:t>
            </w:r>
          </w:p>
        </w:tc>
      </w:tr>
    </w:tbl>
    <w:p w14:paraId="00760704" w14:textId="77777777" w:rsidR="00232C37" w:rsidRDefault="00232C37">
      <w:pPr>
        <w:ind w:firstLine="480"/>
      </w:pPr>
    </w:p>
    <w:p w14:paraId="4AF7DA2D" w14:textId="77777777" w:rsidR="00232C37" w:rsidRDefault="00E8348F">
      <w:pPr>
        <w:pStyle w:val="afffc"/>
        <w:spacing w:before="60" w:after="60"/>
      </w:pPr>
      <w:r>
        <w:t xml:space="preserve">2.5 </w:t>
      </w:r>
      <w:r>
        <w:t>主要规划部署</w:t>
      </w:r>
    </w:p>
    <w:p w14:paraId="2179D342" w14:textId="77777777" w:rsidR="00232C37" w:rsidRDefault="00E8348F">
      <w:pPr>
        <w:ind w:firstLine="480"/>
      </w:pPr>
      <w:r>
        <w:t>实施四大矿产资源支撑先进制造业重点产业链建设重大工程。立足全省矿产资源禀赋和现代化产业体系发展情况，重点实施四个覆盖多矿种的矿产资源支撑先进制造业重点产业链建设重大工程，在矿业权投放、增储上产、用地用林、矿产资源综合利用、绿色矿山建设等方面给予重点支持，为现代化工、低碳冶金、新能源等重点产业链提供核心资源保障与多元支撑，为服务我省先进制造业重点产业链建设，加快建成中部地区崛起的重要战略支点提供坚实的矿产资源保障。</w:t>
      </w:r>
    </w:p>
    <w:p w14:paraId="59AA40EC" w14:textId="1F4585A4" w:rsidR="00232C37" w:rsidRDefault="00E8348F">
      <w:pPr>
        <w:ind w:firstLine="480"/>
      </w:pPr>
      <w:r>
        <w:t>建设战略性矿产安全保障区域。</w:t>
      </w:r>
      <w:proofErr w:type="gramStart"/>
      <w:r>
        <w:t>落实非</w:t>
      </w:r>
      <w:proofErr w:type="gramEnd"/>
      <w:r>
        <w:t>油气能源资源基地、非油气国家规划矿区，优先保障战略性矿产勘查开采，有序推进国家规划矿区建设成为新的能源资源基地。落实战略性矿产资源储备地，在非油气能源资源基地及国家规划矿区内划定拟储备地。严格落实储备地属地监管责任，对储备地开展必要的补充勘查，拓展矿</w:t>
      </w:r>
      <w:r>
        <w:lastRenderedPageBreak/>
        <w:t>产地储备来源，提升应急开发能力。鼓励企业利用自有矿业权开展储备，形成的储备地按探矿权保留管理。</w:t>
      </w:r>
    </w:p>
    <w:p w14:paraId="7389958B" w14:textId="5D46C386" w:rsidR="00232C37" w:rsidRDefault="00E8348F">
      <w:pPr>
        <w:ind w:firstLine="480"/>
      </w:pPr>
      <w:r>
        <w:t>调整重点勘查布局。聚焦重要成矿区带，</w:t>
      </w:r>
      <w:proofErr w:type="gramStart"/>
      <w:r>
        <w:t>落实非</w:t>
      </w:r>
      <w:proofErr w:type="gramEnd"/>
      <w:r>
        <w:t>油气国家级重点勘查区，划定省级重点勘查区，部署省级重点勘查项目，支持大中型老矿山深部和外围勘查，加大战略性矿产探矿权投放力度，发现一批新的矿产地，新增一批资源量。以国家、省级重点</w:t>
      </w:r>
      <w:proofErr w:type="gramStart"/>
      <w:r>
        <w:t>勘查区</w:t>
      </w:r>
      <w:proofErr w:type="gramEnd"/>
      <w:r>
        <w:t>为主，与国土空间规划充分衔接，统筹划定部、省出让权限矿种勘查规划区块，引导探矿权设置。各级财政出资勘查的成果应及时纳入规划，形成勘查规划区块或开采规划区块。一个勘查规划区块原则上对应一个勘查项目。</w:t>
      </w:r>
    </w:p>
    <w:p w14:paraId="003AE059" w14:textId="7EC7C7D7" w:rsidR="00232C37" w:rsidRDefault="00E8348F">
      <w:pPr>
        <w:ind w:firstLine="480"/>
      </w:pPr>
      <w:r>
        <w:t>实施开采矿种分类管控。重点开采烃类天然气、地热、铁（高磷铁矿、</w:t>
      </w:r>
      <w:proofErr w:type="gramStart"/>
      <w:r>
        <w:t>超贫磁铁矿</w:t>
      </w:r>
      <w:proofErr w:type="gramEnd"/>
      <w:r>
        <w:t>除外）、铜、锂、金（砂金除外）、银、熔剂用灰岩、冶金用白云岩、重晶石、岩盐、磷矿、长石、脉石英、冶金用石英岩、硅灰石等矿种。</w:t>
      </w:r>
    </w:p>
    <w:p w14:paraId="6DBD6AB4" w14:textId="5143955A" w:rsidR="00232C37" w:rsidRDefault="00E8348F">
      <w:pPr>
        <w:ind w:firstLine="480"/>
      </w:pPr>
      <w:r>
        <w:t>调整重点开采布局。划定重点开采区，</w:t>
      </w:r>
      <w:proofErr w:type="gramStart"/>
      <w:r>
        <w:t>落实非</w:t>
      </w:r>
      <w:proofErr w:type="gramEnd"/>
      <w:r>
        <w:t>油气战略性矿产资源重点开采项目（含新建、改扩建），引导重点开采项目部署及资金投入。在重点开采区、大中型矿产地、大中型矿山的深部和外围区域、地质勘查工作程度符合</w:t>
      </w:r>
      <w:proofErr w:type="gramStart"/>
      <w:r>
        <w:t>转采要求</w:t>
      </w:r>
      <w:proofErr w:type="gramEnd"/>
      <w:r>
        <w:t>的区域，划定部、省出让权限矿种开采规划区块，引导采矿权设置。一个开采规划区块原则上对应一个开采项目。拟新设采矿权或扩大矿区范围时，必须达到规定勘查程度。除符合规定情形外，新设采矿权范围不得与已设采矿权垂直投影范围重叠；对具备集中开发条件的同一矿体，严禁设立两个及以上采矿权，一个采矿权范围内原则上只能设置一个生产系统。</w:t>
      </w:r>
    </w:p>
    <w:p w14:paraId="7E687879" w14:textId="660E7E64" w:rsidR="00232C37" w:rsidRDefault="00E8348F">
      <w:pPr>
        <w:ind w:firstLine="480"/>
      </w:pPr>
      <w:r>
        <w:t>合理调控开发利用强度。稳定石油、烃类天然气供给，加大页岩气区块推介力度，督促企业加大勘查开发工作投入。提升矿产资源开发规模结构水平。严格执行国家和省对新（改、扩）建矿山最小生产规模及开采最低服务年限要求，鼓励大型矿山企业兼并重组和整合技改中小型矿山企业，不断提高大中型矿山比例。</w:t>
      </w:r>
    </w:p>
    <w:p w14:paraId="08E2AE40" w14:textId="77777777" w:rsidR="00232C37" w:rsidRDefault="00E8348F">
      <w:pPr>
        <w:pStyle w:val="afffc"/>
        <w:spacing w:before="60" w:after="60"/>
      </w:pPr>
      <w:r>
        <w:t xml:space="preserve">2.6 </w:t>
      </w:r>
      <w:r>
        <w:t>绿色矿业和生态修复</w:t>
      </w:r>
    </w:p>
    <w:p w14:paraId="7B437D20" w14:textId="77777777" w:rsidR="00232C37" w:rsidRDefault="00E8348F">
      <w:pPr>
        <w:ind w:firstLine="480"/>
      </w:pPr>
      <w:r>
        <w:t>全面实施绿色勘查。严格执行绿色勘查标准规范，将绿色勘查要求和责任落实到具体勘查工作中。健全绿色勘查工作机制，推进绿色勘查相关标准研制，完善绿色勘查相关技术规范，鼓励勘查单位、矿业权人积极研发使用绿色勘查关键装备、材料与工艺。</w:t>
      </w:r>
    </w:p>
    <w:p w14:paraId="67243773" w14:textId="77777777" w:rsidR="00232C37" w:rsidRDefault="00E8348F">
      <w:pPr>
        <w:ind w:firstLine="480"/>
      </w:pPr>
      <w:r>
        <w:lastRenderedPageBreak/>
        <w:t>全面推进绿色矿山建设。压实矿山企业主体责任，推动新建、改扩建、生产矿山全部开展绿色矿山建设，将绿色矿山建设要求纳入采矿权出让合同，新建矿山严格按照绿色矿山建设标准进行规划设计、建设运行，生产矿山加快绿色化升级改造，限期达标。建立采矿权新设与绿色矿山建设率挂钩的机制，根据各市（州）绿色矿山建设完成率，</w:t>
      </w:r>
      <w:r>
        <w:t>2025</w:t>
      </w:r>
      <w:r>
        <w:t>年底未达到</w:t>
      </w:r>
      <w:r>
        <w:t>75%</w:t>
      </w:r>
      <w:r>
        <w:t>、</w:t>
      </w:r>
      <w:r>
        <w:t>2026</w:t>
      </w:r>
      <w:r>
        <w:t>年底未达到</w:t>
      </w:r>
      <w:r>
        <w:t>85%</w:t>
      </w:r>
      <w:r>
        <w:t>、</w:t>
      </w:r>
      <w:r>
        <w:t>2027</w:t>
      </w:r>
      <w:r>
        <w:t>年底未达到</w:t>
      </w:r>
      <w:r>
        <w:t>90%</w:t>
      </w:r>
      <w:r>
        <w:t>，从第二年开始，原则上该市（州）不得新设采矿权，直至暂停该市（州）采矿权新设。实行绿色矿山名录动态管理，持续提升全省绿色矿山建设整体质量。探索完善绿色矿山建设激励政策，加大税收及信贷优惠政策支持力度，强化用地、用矿、用林政策支持。</w:t>
      </w:r>
    </w:p>
    <w:p w14:paraId="7370164F" w14:textId="77777777" w:rsidR="00232C37" w:rsidRDefault="00E8348F">
      <w:pPr>
        <w:ind w:firstLine="480"/>
      </w:pPr>
      <w:r>
        <w:t>加强矿产资源节约与综合利用。完善综合利用制度，常态化开展矿产资源开发利用水平调查评估，严格落实</w:t>
      </w:r>
      <w:r>
        <w:t>“</w:t>
      </w:r>
      <w:r>
        <w:t>三率</w:t>
      </w:r>
      <w:r>
        <w:t>”</w:t>
      </w:r>
      <w:r>
        <w:t>指标要求，优化评估结果应用。加强技术创新，积极推广应用先进适用技术，鼓励和支持矿山企业与科研院所研发矿产资源勘查、开采环节先进技术、装备。鼓励加强中低品位磷矿综合利用，加大难选冶铌钽矿、高磷铁矿与金红石等难选资源的选冶技术攻关力度。推进尾矿和废石的资源化与综合利用。</w:t>
      </w:r>
    </w:p>
    <w:p w14:paraId="2E14C53E" w14:textId="77777777" w:rsidR="00232C37" w:rsidRDefault="00E8348F">
      <w:pPr>
        <w:ind w:firstLine="480"/>
      </w:pPr>
      <w:r>
        <w:t>加强矿区生态修复。强化地方政府和主管部门动态监管职责力度，压实矿山企业矿区生态修复主体责任，严格执行矿区生态修复方案，落实矿区生态修复费用计提、使用制度。健全矿区生态环境制度体系、标准体系。探索矿山生态修复与产业融合发展新路径，鼓励通过生态修复方式，深入挖掘矿山再利用价值，盘活各类矿山资源。引导社会资本参与矿区生态修复，建立财政奖补等激励机制，鼓励和支持矿山生态修复植入产业融合发展。</w:t>
      </w:r>
    </w:p>
    <w:p w14:paraId="6DDFAEC4" w14:textId="77777777" w:rsidR="00232C37" w:rsidRDefault="00E8348F">
      <w:pPr>
        <w:pStyle w:val="afffb"/>
        <w:spacing w:before="120" w:after="60"/>
      </w:pPr>
      <w:r>
        <w:lastRenderedPageBreak/>
        <w:t xml:space="preserve">3 </w:t>
      </w:r>
      <w:r>
        <w:t>区域生态环境现状</w:t>
      </w:r>
    </w:p>
    <w:p w14:paraId="39408DD7" w14:textId="77777777" w:rsidR="00232C37" w:rsidRDefault="00E8348F">
      <w:pPr>
        <w:pStyle w:val="afffc"/>
        <w:spacing w:before="60" w:after="60"/>
      </w:pPr>
      <w:r>
        <w:t xml:space="preserve">3.1 </w:t>
      </w:r>
      <w:r>
        <w:t>自然环境和社会经济概况</w:t>
      </w:r>
    </w:p>
    <w:p w14:paraId="7C8E35A9" w14:textId="77777777" w:rsidR="00232C37" w:rsidRDefault="00E8348F">
      <w:pPr>
        <w:ind w:firstLine="480"/>
      </w:pPr>
      <w:r>
        <w:t>湖北省位于长江中游，地势总体呈西高东低，山地、丘陵、岗地和平原相间分布。西部和西北部以山地为主，中部为丘陵岗地，江汉平原及沿江地区地势相对平缓。复杂的地形地貌和丰富的水热条件形成多样的生态系统，也使矿产资源开发面临明显的区域差异。</w:t>
      </w:r>
    </w:p>
    <w:p w14:paraId="76AD9C50" w14:textId="77777777" w:rsidR="00232C37" w:rsidRDefault="00E8348F">
      <w:pPr>
        <w:ind w:firstLine="480"/>
      </w:pPr>
      <w:r>
        <w:t>全省河流众多，长江自西向东贯穿省境，汉江、清江等重要支流承担供水、灌溉、航运和生态服务功能。丹江口库区是南水北调中线工程重要水源地，三峡库区及其上游地区具有重要水土保持和水源涵养功能。</w:t>
      </w:r>
    </w:p>
    <w:p w14:paraId="7D529614" w14:textId="77777777" w:rsidR="00232C37" w:rsidRDefault="00E8348F">
      <w:pPr>
        <w:pStyle w:val="afffc"/>
        <w:spacing w:before="60" w:after="60"/>
      </w:pPr>
      <w:r>
        <w:t xml:space="preserve">3.2 </w:t>
      </w:r>
      <w:r>
        <w:t>地表水环境质量</w:t>
      </w:r>
    </w:p>
    <w:p w14:paraId="6454888E" w14:textId="77777777" w:rsidR="00232C37" w:rsidRDefault="00E8348F">
      <w:pPr>
        <w:ind w:firstLine="480"/>
      </w:pPr>
      <w:r>
        <w:t>近年来湖北省地表水环境质量总体保持稳定并持续改善，长江、汉江干流及主要</w:t>
      </w:r>
      <w:proofErr w:type="gramStart"/>
      <w:r>
        <w:t>支流国控</w:t>
      </w:r>
      <w:proofErr w:type="gramEnd"/>
      <w:r>
        <w:t>、省控断面优良水体比例保持较高水平。饮用水水源水质总体稳定，但不同流域和支流水环境容量存在差异，部分磷矿集中区支流仍需重点关注总磷污染，矿山开发不得增加重点流域水环境改善压力。</w:t>
      </w:r>
    </w:p>
    <w:p w14:paraId="1A07A334" w14:textId="77777777" w:rsidR="00232C37" w:rsidRDefault="00E8348F">
      <w:pPr>
        <w:ind w:firstLine="480"/>
      </w:pPr>
      <w:r>
        <w:t>磷矿、金属矿和盐卤矿开发涉及的矿井涌水、选矿废水、废石淋溶水和高矿化度废水具有明显的矿种特征。项目实施阶段应根据受纳水体功能、环境容量和流域管</w:t>
      </w:r>
      <w:proofErr w:type="gramStart"/>
      <w:r>
        <w:t>控要求</w:t>
      </w:r>
      <w:proofErr w:type="gramEnd"/>
      <w:r>
        <w:t>确定排放去向，优先实施处理回用和分质利用。</w:t>
      </w:r>
    </w:p>
    <w:p w14:paraId="320CBFC8" w14:textId="77777777" w:rsidR="00232C37" w:rsidRDefault="00E8348F">
      <w:pPr>
        <w:pStyle w:val="afffc"/>
        <w:spacing w:before="60" w:after="60"/>
      </w:pPr>
      <w:r>
        <w:t xml:space="preserve">3.3 </w:t>
      </w:r>
      <w:r>
        <w:t>环境空气质量</w:t>
      </w:r>
    </w:p>
    <w:p w14:paraId="2E2636D8" w14:textId="77777777" w:rsidR="00232C37" w:rsidRDefault="00E8348F">
      <w:pPr>
        <w:ind w:firstLine="480"/>
      </w:pPr>
      <w:r>
        <w:t>全省环境空气质量总体</w:t>
      </w:r>
      <w:proofErr w:type="gramStart"/>
      <w:r>
        <w:t>呈改善</w:t>
      </w:r>
      <w:proofErr w:type="gramEnd"/>
      <w:r>
        <w:t>趋势，细颗粒物浓度下降，但部分城市臭氧和颗粒物协同控制压力仍然存在。矿山开发产生的大气污染主要为穿孔、爆破、装卸、破碎筛分、堆存及道路运输扬尘，以及非道路移动机械尾气。露天矿山集中区、运输通道及居民点周边属于重点管控区域。</w:t>
      </w:r>
    </w:p>
    <w:p w14:paraId="0B12D87C" w14:textId="77777777" w:rsidR="00232C37" w:rsidRDefault="00E8348F">
      <w:pPr>
        <w:pStyle w:val="afffc"/>
        <w:spacing w:before="60" w:after="60"/>
      </w:pPr>
      <w:r>
        <w:t xml:space="preserve">3.4 </w:t>
      </w:r>
      <w:r>
        <w:t>地下水和土壤环境</w:t>
      </w:r>
    </w:p>
    <w:p w14:paraId="6D07C29E" w14:textId="77777777" w:rsidR="00232C37" w:rsidRDefault="00E8348F">
      <w:pPr>
        <w:ind w:firstLine="480"/>
      </w:pPr>
      <w:r>
        <w:t>全省地下水环境质量总体稳定，局部矿区可能受到地下开采疏排水、尾矿库和废石场渗漏、井场施工及历史遗留污染影响。金属矿山、磷矿、尾矿库、危险废物</w:t>
      </w:r>
      <w:r>
        <w:lastRenderedPageBreak/>
        <w:t>贮存设施、页岩</w:t>
      </w:r>
      <w:proofErr w:type="gramStart"/>
      <w:r>
        <w:t>气井场</w:t>
      </w:r>
      <w:proofErr w:type="gramEnd"/>
      <w:r>
        <w:t>和地下水型饮用水水源周边应加强水位、水质和特征污染物监测。</w:t>
      </w:r>
    </w:p>
    <w:p w14:paraId="5DC222BB" w14:textId="77777777" w:rsidR="00232C37" w:rsidRDefault="00E8348F">
      <w:pPr>
        <w:ind w:firstLine="480"/>
      </w:pPr>
      <w:r>
        <w:t>土壤环境风险总体可控。涉重金属矿山、选矿厂、尾矿库及历史遗留工矿用地可能存在重金属、氰化物、石油类等污染风险，应强化源头防渗、渗滤液收集和土壤地下水协同监测，防止污染物通过沉降、漫流和入渗途径进入环境。</w:t>
      </w:r>
    </w:p>
    <w:p w14:paraId="7BBB392B" w14:textId="77777777" w:rsidR="00232C37" w:rsidRDefault="00E8348F">
      <w:pPr>
        <w:pStyle w:val="afffc"/>
        <w:spacing w:before="60" w:after="60"/>
      </w:pPr>
      <w:r>
        <w:t xml:space="preserve">3.5 </w:t>
      </w:r>
      <w:r>
        <w:t>生态环境现状</w:t>
      </w:r>
    </w:p>
    <w:p w14:paraId="588D33A3" w14:textId="77777777" w:rsidR="00232C37" w:rsidRDefault="00E8348F">
      <w:pPr>
        <w:ind w:firstLine="480"/>
      </w:pPr>
      <w:r>
        <w:t>湖北省生态系统类型丰富，森林、湿地、河湖和农田生态系统共同构成区域生态安全格局。鄂西、鄂西北和鄂东北山区承担水源涵养、生物多样性维护和水土保持功能，江汉平原和沿江湖群承担粮食生产、洪水调蓄和湿地生态服务功能。</w:t>
      </w:r>
    </w:p>
    <w:p w14:paraId="3C02C85C" w14:textId="77777777" w:rsidR="00232C37" w:rsidRDefault="00E8348F">
      <w:pPr>
        <w:ind w:firstLine="480"/>
      </w:pPr>
      <w:r>
        <w:t>全省划定生态保护红线，并建立以国家公园为主体的自然保护地体系。生态保护红线、自然保护区核心保护区、饮用水水源一级和二级保护区等依法禁止或严格限制矿产勘查开发，是规划布局和矿业权设置必须优先避让的刚性空间。</w:t>
      </w:r>
    </w:p>
    <w:p w14:paraId="51CD4A96" w14:textId="77777777" w:rsidR="00232C37" w:rsidRDefault="00E8348F">
      <w:pPr>
        <w:pStyle w:val="afffc"/>
        <w:spacing w:before="60" w:after="60"/>
      </w:pPr>
      <w:r>
        <w:t xml:space="preserve">3.6 </w:t>
      </w:r>
      <w:r>
        <w:t>矿山生态环境现状</w:t>
      </w:r>
    </w:p>
    <w:p w14:paraId="4BB33C2D" w14:textId="77777777" w:rsidR="00232C37" w:rsidRDefault="00E8348F">
      <w:pPr>
        <w:ind w:firstLine="480"/>
      </w:pPr>
      <w:r>
        <w:t>“</w:t>
      </w:r>
      <w:r>
        <w:t>十四五</w:t>
      </w:r>
      <w:r>
        <w:t>”</w:t>
      </w:r>
      <w:r>
        <w:t>期间，全省矿山数量持续压减，大中型矿山比例明显提高，绿色矿山建设、历史遗留矿山生态修复和生产矿山分类监管持续推进，矿山生态环境总体好转。但部分老矿区历史欠账较多，仍存在采空塌陷、边坡稳定、废石尾矿堆存、矿井涌水、植被恢复和土地复垦等问题。</w:t>
      </w:r>
    </w:p>
    <w:p w14:paraId="36186277" w14:textId="77777777" w:rsidR="00232C37" w:rsidRDefault="00E8348F">
      <w:pPr>
        <w:ind w:firstLine="480"/>
      </w:pPr>
      <w:r>
        <w:t>鄂东南金属</w:t>
      </w:r>
      <w:proofErr w:type="gramStart"/>
      <w:r>
        <w:t>矿集中</w:t>
      </w:r>
      <w:proofErr w:type="gramEnd"/>
      <w:r>
        <w:t>区需重点防控酸性矿山废水、重金属和尾矿库风险；宜昌、襄阳、荆门、神农架等磷矿集中区需重点控制总磷污染；鄂西页岩气区需重视返排液、油基岩屑和甲烷逸散；砂石石材</w:t>
      </w:r>
      <w:proofErr w:type="gramStart"/>
      <w:r>
        <w:t>矿集中</w:t>
      </w:r>
      <w:proofErr w:type="gramEnd"/>
      <w:r>
        <w:t>区需加强扬尘、景观和水土流失防治。</w:t>
      </w:r>
    </w:p>
    <w:p w14:paraId="60863A15" w14:textId="77777777" w:rsidR="00232C37" w:rsidRDefault="00E8348F">
      <w:pPr>
        <w:pStyle w:val="afffb"/>
        <w:spacing w:before="120" w:after="60"/>
      </w:pPr>
      <w:r>
        <w:lastRenderedPageBreak/>
        <w:t xml:space="preserve">4 </w:t>
      </w:r>
      <w:r>
        <w:t>规划实施回顾性分析</w:t>
      </w:r>
    </w:p>
    <w:p w14:paraId="186F2314" w14:textId="77777777" w:rsidR="00232C37" w:rsidRDefault="00E8348F">
      <w:pPr>
        <w:pStyle w:val="afffc"/>
        <w:spacing w:before="60" w:after="60"/>
      </w:pPr>
      <w:r>
        <w:t xml:space="preserve">4.1 </w:t>
      </w:r>
      <w:r>
        <w:t>上轮规划实施总体情况</w:t>
      </w:r>
    </w:p>
    <w:p w14:paraId="7AA17BDF" w14:textId="77777777" w:rsidR="00232C37" w:rsidRDefault="00E8348F">
      <w:pPr>
        <w:ind w:firstLine="480"/>
      </w:pPr>
      <w:r>
        <w:t>“</w:t>
      </w:r>
      <w:r>
        <w:t>十四五</w:t>
      </w:r>
      <w:r>
        <w:t>”</w:t>
      </w:r>
      <w:r>
        <w:t>期间，全省基础地质调查和战略性矿产勘查取得积极进展，新增一批磷、铁、锰、铜、金、晶质石墨和页岩气资源量。矿山规模结构进一步优化，有效期内采矿权数量减少，大中型矿山逐步成为开发主体。矿业权出让和登记制度持续改革，矿产资源全流程监管能力不断增强。</w:t>
      </w:r>
    </w:p>
    <w:p w14:paraId="201A1067" w14:textId="77777777" w:rsidR="00232C37" w:rsidRDefault="00E8348F">
      <w:pPr>
        <w:ind w:firstLine="480"/>
      </w:pPr>
      <w:r>
        <w:t>绿色矿业发展取得明显成效。湖北省完善绿色矿山建设管理制度，推进绿色勘查和绿色矿山遴选，加强矿山地质环境治理恢复基金管理，实施历史遗留矿山生态修复行动，对长江干支流沿线、交通干线周边和重点区域废弃矿山进行治理。</w:t>
      </w:r>
    </w:p>
    <w:p w14:paraId="22F3F299" w14:textId="77777777" w:rsidR="00232C37" w:rsidRDefault="00E8348F">
      <w:pPr>
        <w:pStyle w:val="afffc"/>
        <w:spacing w:before="60" w:after="60"/>
      </w:pPr>
      <w:r>
        <w:t xml:space="preserve">4.2 </w:t>
      </w:r>
      <w:r>
        <w:t>上轮规划环境影响及环保措施落实</w:t>
      </w:r>
    </w:p>
    <w:p w14:paraId="03AE8D62" w14:textId="77777777" w:rsidR="00232C37" w:rsidRDefault="00E8348F">
      <w:pPr>
        <w:ind w:firstLine="480"/>
      </w:pPr>
      <w:r>
        <w:t>上轮规划实施期间，全省矿产开发活动总体未造成区域生态环境功能和环境质量趋势性恶化，规划环</w:t>
      </w:r>
      <w:proofErr w:type="gramStart"/>
      <w:r>
        <w:t>评提出</w:t>
      </w:r>
      <w:proofErr w:type="gramEnd"/>
      <w:r>
        <w:t>的空间避让、总量控制、绿色矿山、污染防治和生态修复要求基本得到落实。矿山企业环保手续和污染治理设施逐步完善，矿井水和选矿废水回用、扬尘控制、固体废物综合利用水平有所提高。</w:t>
      </w:r>
    </w:p>
    <w:p w14:paraId="5A72AC1C" w14:textId="77777777" w:rsidR="00232C37" w:rsidRDefault="00E8348F">
      <w:pPr>
        <w:ind w:firstLine="480"/>
      </w:pPr>
      <w:r>
        <w:t>同时，部分现状矿业权与生态保护红线、自然保护地、永久基本农田、天然林、公益林及生态环境分区管控单元存在不同程度的空间交叉，部分矿山边开采边修复、地下水和土壤监测、固体废物规范管理仍需加强。历史遗留矿山权责复杂、治理资金需求较大，长效管护和成效评估机制有待完善。</w:t>
      </w:r>
    </w:p>
    <w:p w14:paraId="7C41A142" w14:textId="77777777" w:rsidR="00232C37" w:rsidRDefault="00E8348F">
      <w:pPr>
        <w:pStyle w:val="afffc"/>
        <w:spacing w:before="60" w:after="60"/>
      </w:pPr>
      <w:r>
        <w:t xml:space="preserve">4.3 </w:t>
      </w:r>
      <w:r>
        <w:t>回顾性评价结论</w:t>
      </w:r>
    </w:p>
    <w:p w14:paraId="7CD4612D" w14:textId="77777777" w:rsidR="00232C37" w:rsidRDefault="00E8348F">
      <w:pPr>
        <w:ind w:firstLine="480"/>
      </w:pPr>
      <w:r>
        <w:t>总体上，上轮规划实施促进了矿产资源开发秩序改善和矿业绿色转型，主要不利环境影响处于可控范围。新一轮规划应进一步强化生态环境分区管控和空间叠加核查，严格环境准入，推动污染防治由末端治理向全过程控制转变，持续推进历史遗留问题治理和生产矿山生态修复。</w:t>
      </w:r>
    </w:p>
    <w:p w14:paraId="7AA0F374" w14:textId="77777777" w:rsidR="00232C37" w:rsidRDefault="00E8348F">
      <w:pPr>
        <w:pStyle w:val="afffb"/>
        <w:spacing w:before="120" w:after="60"/>
      </w:pPr>
      <w:r>
        <w:lastRenderedPageBreak/>
        <w:t xml:space="preserve">5 </w:t>
      </w:r>
      <w:r>
        <w:t>规划协调性及资源环境制约因素</w:t>
      </w:r>
    </w:p>
    <w:p w14:paraId="0BA8AFF1" w14:textId="77777777" w:rsidR="00232C37" w:rsidRDefault="00E8348F">
      <w:pPr>
        <w:pStyle w:val="afffc"/>
        <w:spacing w:before="60" w:after="60"/>
      </w:pPr>
      <w:r>
        <w:t xml:space="preserve">5.1 </w:t>
      </w:r>
      <w:r>
        <w:t>与相关规划政策的协调性</w:t>
      </w:r>
    </w:p>
    <w:p w14:paraId="61725B55" w14:textId="77777777" w:rsidR="00232C37" w:rsidRDefault="00E8348F">
      <w:pPr>
        <w:ind w:firstLine="480"/>
      </w:pPr>
      <w:r>
        <w:t>规划的发展定位、规划目标、功能分区、勘查开发方向和重大工程部署，符合保障能源资源安全、推进新一轮找矿突破战略行动、促进发展方式绿色转型和建设美丽中国的总体要求，与国家及湖北省国民经济和社会发展规划、国土空间规划、生态环境保护规划、长江经济带发展战略及矿产资源保护利用政策总体协调。</w:t>
      </w:r>
    </w:p>
    <w:p w14:paraId="7B26C137" w14:textId="77777777" w:rsidR="00232C37" w:rsidRDefault="00E8348F">
      <w:pPr>
        <w:ind w:firstLine="480"/>
      </w:pPr>
      <w:r>
        <w:t>规划落实生态保护红线、永久基本农田、城镇开发边界和生态环境分区管控要求，对能源资源基地、国家规划矿区、重点勘查区、重点开采区及规划区块进行空间布局优化。由于矿产资源赋存具有客观性，局部仍可能存在资源勘查开发需求与生态环境保护要求不完全协调的情形，应通过依法避让、边界优化、限制开发方式和强化准入予以解决。</w:t>
      </w:r>
    </w:p>
    <w:p w14:paraId="18CF460E" w14:textId="77777777" w:rsidR="00232C37" w:rsidRDefault="00E8348F">
      <w:pPr>
        <w:pStyle w:val="afffc"/>
        <w:spacing w:before="60" w:after="60"/>
      </w:pPr>
      <w:r>
        <w:t xml:space="preserve">5.2 </w:t>
      </w:r>
      <w:r>
        <w:t>主要资源环境制约因素</w:t>
      </w:r>
    </w:p>
    <w:p w14:paraId="62BF504A" w14:textId="77777777" w:rsidR="00232C37" w:rsidRDefault="00E8348F">
      <w:pPr>
        <w:pStyle w:val="affff"/>
        <w:spacing w:before="156" w:after="156"/>
      </w:pPr>
      <w:r>
        <w:t>表</w:t>
      </w:r>
      <w:r>
        <w:t xml:space="preserve">5.2-1 </w:t>
      </w:r>
      <w:r>
        <w:t>规划实施的主要资源环境制约因素</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1800"/>
        <w:gridCol w:w="3581"/>
        <w:gridCol w:w="2926"/>
      </w:tblGrid>
      <w:tr w:rsidR="00232C37" w14:paraId="4B37076B" w14:textId="77777777">
        <w:trPr>
          <w:tblHeader/>
          <w:jc w:val="cent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90" w:type="dxa"/>
              <w:left w:w="100" w:type="dxa"/>
              <w:bottom w:w="90" w:type="dxa"/>
              <w:right w:w="100" w:type="dxa"/>
            </w:tcMar>
            <w:vAlign w:val="center"/>
          </w:tcPr>
          <w:p w14:paraId="6078127A" w14:textId="77777777" w:rsidR="00232C37" w:rsidRDefault="00E8348F" w:rsidP="008E2A4D">
            <w:pPr>
              <w:spacing w:line="276" w:lineRule="auto"/>
              <w:ind w:firstLineChars="0" w:firstLine="0"/>
              <w:jc w:val="center"/>
            </w:pPr>
            <w:r>
              <w:rPr>
                <w:rFonts w:cs="Times New Roman"/>
                <w:b/>
                <w:sz w:val="21"/>
              </w:rPr>
              <w:t>制约因素</w:t>
            </w:r>
          </w:p>
        </w:tc>
        <w:tc>
          <w:tcPr>
            <w:tcW w:w="3581" w:type="dxa"/>
            <w:tcBorders>
              <w:top w:val="single" w:sz="4" w:space="0" w:color="000000"/>
              <w:left w:val="single" w:sz="4" w:space="0" w:color="000000"/>
              <w:bottom w:val="single" w:sz="4" w:space="0" w:color="000000"/>
              <w:right w:val="single" w:sz="4" w:space="0" w:color="000000"/>
            </w:tcBorders>
            <w:shd w:val="clear" w:color="auto" w:fill="E7E6E6"/>
            <w:tcMar>
              <w:top w:w="90" w:type="dxa"/>
              <w:left w:w="100" w:type="dxa"/>
              <w:bottom w:w="90" w:type="dxa"/>
              <w:right w:w="100" w:type="dxa"/>
            </w:tcMar>
            <w:vAlign w:val="center"/>
          </w:tcPr>
          <w:p w14:paraId="7969CC3A" w14:textId="77777777" w:rsidR="00232C37" w:rsidRDefault="00E8348F" w:rsidP="008E2A4D">
            <w:pPr>
              <w:spacing w:line="276" w:lineRule="auto"/>
              <w:ind w:firstLineChars="0" w:firstLine="0"/>
              <w:jc w:val="center"/>
            </w:pPr>
            <w:r>
              <w:rPr>
                <w:rFonts w:cs="Times New Roman"/>
                <w:b/>
                <w:sz w:val="21"/>
              </w:rPr>
              <w:t>主要内容</w:t>
            </w:r>
          </w:p>
        </w:tc>
        <w:tc>
          <w:tcPr>
            <w:tcW w:w="2926" w:type="dxa"/>
            <w:tcBorders>
              <w:top w:val="single" w:sz="4" w:space="0" w:color="000000"/>
              <w:left w:val="single" w:sz="4" w:space="0" w:color="000000"/>
              <w:bottom w:val="single" w:sz="4" w:space="0" w:color="000000"/>
              <w:right w:val="single" w:sz="4" w:space="0" w:color="000000"/>
            </w:tcBorders>
            <w:shd w:val="clear" w:color="auto" w:fill="E7E6E6"/>
            <w:tcMar>
              <w:top w:w="90" w:type="dxa"/>
              <w:left w:w="100" w:type="dxa"/>
              <w:bottom w:w="90" w:type="dxa"/>
              <w:right w:w="100" w:type="dxa"/>
            </w:tcMar>
            <w:vAlign w:val="center"/>
          </w:tcPr>
          <w:p w14:paraId="6ACCBB36" w14:textId="77777777" w:rsidR="00232C37" w:rsidRDefault="00E8348F" w:rsidP="008E2A4D">
            <w:pPr>
              <w:spacing w:line="276" w:lineRule="auto"/>
              <w:ind w:firstLineChars="0" w:firstLine="0"/>
              <w:jc w:val="center"/>
            </w:pPr>
            <w:r>
              <w:rPr>
                <w:rFonts w:cs="Times New Roman"/>
                <w:b/>
                <w:sz w:val="21"/>
              </w:rPr>
              <w:t>管</w:t>
            </w:r>
            <w:proofErr w:type="gramStart"/>
            <w:r>
              <w:rPr>
                <w:rFonts w:cs="Times New Roman"/>
                <w:b/>
                <w:sz w:val="21"/>
              </w:rPr>
              <w:t>控重点</w:t>
            </w:r>
            <w:proofErr w:type="gramEnd"/>
          </w:p>
        </w:tc>
      </w:tr>
      <w:tr w:rsidR="00232C37" w14:paraId="5792694C" w14:textId="77777777">
        <w:trPr>
          <w:jc w:val="center"/>
        </w:trPr>
        <w:tc>
          <w:tcPr>
            <w:tcW w:w="1800"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19247701" w14:textId="77777777" w:rsidR="00232C37" w:rsidRDefault="00E8348F" w:rsidP="008E2A4D">
            <w:pPr>
              <w:spacing w:line="276" w:lineRule="auto"/>
              <w:ind w:firstLineChars="0" w:firstLine="0"/>
              <w:jc w:val="center"/>
            </w:pPr>
            <w:r>
              <w:rPr>
                <w:rFonts w:cs="Times New Roman"/>
                <w:sz w:val="21"/>
              </w:rPr>
              <w:t>生态空间</w:t>
            </w:r>
          </w:p>
        </w:tc>
        <w:tc>
          <w:tcPr>
            <w:tcW w:w="3581"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26F620C1" w14:textId="77777777" w:rsidR="00232C37" w:rsidRDefault="00E8348F" w:rsidP="008E2A4D">
            <w:pPr>
              <w:spacing w:line="276" w:lineRule="auto"/>
              <w:ind w:firstLineChars="0" w:firstLine="0"/>
              <w:jc w:val="left"/>
            </w:pPr>
            <w:r>
              <w:rPr>
                <w:rFonts w:cs="Times New Roman"/>
                <w:sz w:val="21"/>
              </w:rPr>
              <w:t>部分资源富集区与生态保护红线、自然保护地、重点生态功能区、天然林和公益林相邻或交叉</w:t>
            </w:r>
          </w:p>
        </w:tc>
        <w:tc>
          <w:tcPr>
            <w:tcW w:w="2926"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4B535937" w14:textId="77777777" w:rsidR="00232C37" w:rsidRDefault="00E8348F" w:rsidP="008E2A4D">
            <w:pPr>
              <w:spacing w:line="276" w:lineRule="auto"/>
              <w:ind w:firstLineChars="0" w:firstLine="0"/>
              <w:jc w:val="left"/>
            </w:pPr>
            <w:r>
              <w:rPr>
                <w:rFonts w:cs="Times New Roman"/>
                <w:sz w:val="21"/>
              </w:rPr>
              <w:t>依法避让禁止区域，限制敏感区域开发强度</w:t>
            </w:r>
          </w:p>
        </w:tc>
      </w:tr>
      <w:tr w:rsidR="00232C37" w14:paraId="046019CE" w14:textId="77777777">
        <w:trPr>
          <w:jc w:val="center"/>
        </w:trPr>
        <w:tc>
          <w:tcPr>
            <w:tcW w:w="1800"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26DE6C0B" w14:textId="77777777" w:rsidR="00232C37" w:rsidRDefault="00E8348F" w:rsidP="008E2A4D">
            <w:pPr>
              <w:spacing w:line="276" w:lineRule="auto"/>
              <w:ind w:firstLineChars="0" w:firstLine="0"/>
              <w:jc w:val="center"/>
            </w:pPr>
            <w:r>
              <w:rPr>
                <w:rFonts w:cs="Times New Roman"/>
                <w:sz w:val="21"/>
              </w:rPr>
              <w:t>耕地保护</w:t>
            </w:r>
          </w:p>
        </w:tc>
        <w:tc>
          <w:tcPr>
            <w:tcW w:w="3581"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3DE396E5" w14:textId="77777777" w:rsidR="00232C37" w:rsidRDefault="00E8348F" w:rsidP="008E2A4D">
            <w:pPr>
              <w:spacing w:line="276" w:lineRule="auto"/>
              <w:ind w:firstLineChars="0" w:firstLine="0"/>
              <w:jc w:val="center"/>
            </w:pPr>
            <w:r>
              <w:rPr>
                <w:rFonts w:cs="Times New Roman"/>
                <w:sz w:val="21"/>
              </w:rPr>
              <w:t>部分规划区块涉及永久基本农田</w:t>
            </w:r>
          </w:p>
        </w:tc>
        <w:tc>
          <w:tcPr>
            <w:tcW w:w="2926"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5F20B22C" w14:textId="77777777" w:rsidR="00232C37" w:rsidRDefault="00E8348F" w:rsidP="008E2A4D">
            <w:pPr>
              <w:spacing w:line="276" w:lineRule="auto"/>
              <w:ind w:firstLineChars="0" w:firstLine="0"/>
              <w:jc w:val="left"/>
            </w:pPr>
            <w:r>
              <w:rPr>
                <w:rFonts w:cs="Times New Roman"/>
                <w:sz w:val="21"/>
              </w:rPr>
              <w:t>严格用途管制，控制临时占用，及时复垦</w:t>
            </w:r>
          </w:p>
        </w:tc>
      </w:tr>
      <w:tr w:rsidR="00232C37" w14:paraId="56EBF3D0" w14:textId="77777777">
        <w:trPr>
          <w:jc w:val="center"/>
        </w:trPr>
        <w:tc>
          <w:tcPr>
            <w:tcW w:w="1800"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75CAA2D0" w14:textId="77777777" w:rsidR="00232C37" w:rsidRDefault="00E8348F" w:rsidP="008E2A4D">
            <w:pPr>
              <w:spacing w:line="276" w:lineRule="auto"/>
              <w:ind w:firstLineChars="0" w:firstLine="0"/>
              <w:jc w:val="center"/>
            </w:pPr>
            <w:r>
              <w:rPr>
                <w:rFonts w:cs="Times New Roman"/>
                <w:sz w:val="21"/>
              </w:rPr>
              <w:t>水环境</w:t>
            </w:r>
          </w:p>
        </w:tc>
        <w:tc>
          <w:tcPr>
            <w:tcW w:w="3581"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79D5017E" w14:textId="77777777" w:rsidR="00232C37" w:rsidRDefault="00E8348F" w:rsidP="008E2A4D">
            <w:pPr>
              <w:spacing w:line="276" w:lineRule="auto"/>
              <w:ind w:firstLineChars="0" w:firstLine="0"/>
              <w:jc w:val="left"/>
            </w:pPr>
            <w:r>
              <w:rPr>
                <w:rFonts w:cs="Times New Roman"/>
                <w:sz w:val="21"/>
              </w:rPr>
              <w:t>磷矿、金属矿和油气开发可能产生含磷、重金属、高矿化度废水</w:t>
            </w:r>
          </w:p>
        </w:tc>
        <w:tc>
          <w:tcPr>
            <w:tcW w:w="2926"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7BA72965" w14:textId="77777777" w:rsidR="00232C37" w:rsidRDefault="00E8348F" w:rsidP="008E2A4D">
            <w:pPr>
              <w:spacing w:line="276" w:lineRule="auto"/>
              <w:ind w:firstLineChars="0" w:firstLine="0"/>
              <w:jc w:val="left"/>
            </w:pPr>
            <w:r>
              <w:rPr>
                <w:rFonts w:cs="Times New Roman"/>
                <w:sz w:val="21"/>
              </w:rPr>
              <w:t>分质处理、循环利用、容量约束和风险防控</w:t>
            </w:r>
          </w:p>
        </w:tc>
      </w:tr>
      <w:tr w:rsidR="00232C37" w14:paraId="083EBCF8" w14:textId="77777777">
        <w:trPr>
          <w:jc w:val="center"/>
        </w:trPr>
        <w:tc>
          <w:tcPr>
            <w:tcW w:w="1800"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34F55099" w14:textId="77777777" w:rsidR="00232C37" w:rsidRDefault="00E8348F" w:rsidP="008E2A4D">
            <w:pPr>
              <w:spacing w:line="276" w:lineRule="auto"/>
              <w:ind w:firstLineChars="0" w:firstLine="0"/>
              <w:jc w:val="center"/>
            </w:pPr>
            <w:r>
              <w:rPr>
                <w:rFonts w:cs="Times New Roman"/>
                <w:sz w:val="21"/>
              </w:rPr>
              <w:t>环境空气</w:t>
            </w:r>
          </w:p>
        </w:tc>
        <w:tc>
          <w:tcPr>
            <w:tcW w:w="3581"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4221D5D9" w14:textId="77777777" w:rsidR="00232C37" w:rsidRDefault="00E8348F" w:rsidP="008E2A4D">
            <w:pPr>
              <w:spacing w:line="276" w:lineRule="auto"/>
              <w:ind w:firstLineChars="0" w:firstLine="0"/>
              <w:jc w:val="left"/>
            </w:pPr>
            <w:r>
              <w:rPr>
                <w:rFonts w:cs="Times New Roman"/>
                <w:sz w:val="21"/>
              </w:rPr>
              <w:t>露天采掘、破碎筛分、堆存运输产生颗粒物</w:t>
            </w:r>
          </w:p>
        </w:tc>
        <w:tc>
          <w:tcPr>
            <w:tcW w:w="2926"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2715BEA0" w14:textId="77777777" w:rsidR="00232C37" w:rsidRDefault="00E8348F" w:rsidP="008E2A4D">
            <w:pPr>
              <w:spacing w:line="276" w:lineRule="auto"/>
              <w:ind w:firstLineChars="0" w:firstLine="0"/>
              <w:jc w:val="center"/>
            </w:pPr>
            <w:r>
              <w:rPr>
                <w:rFonts w:cs="Times New Roman"/>
                <w:sz w:val="21"/>
              </w:rPr>
              <w:t>密闭收尘、湿式作业、清洁运输</w:t>
            </w:r>
          </w:p>
        </w:tc>
      </w:tr>
      <w:tr w:rsidR="00232C37" w14:paraId="02910EA1" w14:textId="77777777">
        <w:trPr>
          <w:jc w:val="center"/>
        </w:trPr>
        <w:tc>
          <w:tcPr>
            <w:tcW w:w="1800"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69E43C73" w14:textId="77777777" w:rsidR="00232C37" w:rsidRDefault="00E8348F" w:rsidP="008E2A4D">
            <w:pPr>
              <w:spacing w:line="276" w:lineRule="auto"/>
              <w:ind w:firstLineChars="0" w:firstLine="0"/>
              <w:jc w:val="center"/>
            </w:pPr>
            <w:r>
              <w:rPr>
                <w:rFonts w:cs="Times New Roman"/>
                <w:sz w:val="21"/>
              </w:rPr>
              <w:t>地下水土壤</w:t>
            </w:r>
          </w:p>
        </w:tc>
        <w:tc>
          <w:tcPr>
            <w:tcW w:w="3581"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73EFF71E" w14:textId="77777777" w:rsidR="00232C37" w:rsidRDefault="00E8348F" w:rsidP="008E2A4D">
            <w:pPr>
              <w:spacing w:line="276" w:lineRule="auto"/>
              <w:ind w:firstLineChars="0" w:firstLine="0"/>
              <w:jc w:val="left"/>
            </w:pPr>
            <w:r>
              <w:rPr>
                <w:rFonts w:cs="Times New Roman"/>
                <w:sz w:val="21"/>
              </w:rPr>
              <w:t>疏排水、渗漏、固废淋溶可能影响地下水和土壤</w:t>
            </w:r>
          </w:p>
        </w:tc>
        <w:tc>
          <w:tcPr>
            <w:tcW w:w="2926"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57E836F4" w14:textId="77777777" w:rsidR="00232C37" w:rsidRDefault="00E8348F" w:rsidP="008E2A4D">
            <w:pPr>
              <w:spacing w:line="276" w:lineRule="auto"/>
              <w:ind w:firstLineChars="0" w:firstLine="0"/>
              <w:jc w:val="center"/>
            </w:pPr>
            <w:r>
              <w:rPr>
                <w:rFonts w:cs="Times New Roman"/>
                <w:sz w:val="21"/>
              </w:rPr>
              <w:t>分区防渗、跟踪监测、源头控制</w:t>
            </w:r>
          </w:p>
        </w:tc>
      </w:tr>
      <w:tr w:rsidR="00232C37" w14:paraId="0AFD2CC0" w14:textId="77777777">
        <w:trPr>
          <w:jc w:val="center"/>
        </w:trPr>
        <w:tc>
          <w:tcPr>
            <w:tcW w:w="1800"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11EADDC1" w14:textId="77777777" w:rsidR="00232C37" w:rsidRDefault="00E8348F" w:rsidP="008E2A4D">
            <w:pPr>
              <w:spacing w:line="276" w:lineRule="auto"/>
              <w:ind w:firstLineChars="0" w:firstLine="0"/>
              <w:jc w:val="center"/>
            </w:pPr>
            <w:r>
              <w:rPr>
                <w:rFonts w:cs="Times New Roman"/>
                <w:sz w:val="21"/>
              </w:rPr>
              <w:t>生态修复</w:t>
            </w:r>
          </w:p>
        </w:tc>
        <w:tc>
          <w:tcPr>
            <w:tcW w:w="3581"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7A49EF7B" w14:textId="77777777" w:rsidR="00232C37" w:rsidRDefault="00E8348F" w:rsidP="008E2A4D">
            <w:pPr>
              <w:spacing w:line="276" w:lineRule="auto"/>
              <w:ind w:firstLineChars="0" w:firstLine="0"/>
              <w:jc w:val="left"/>
            </w:pPr>
            <w:r>
              <w:rPr>
                <w:rFonts w:cs="Times New Roman"/>
                <w:sz w:val="21"/>
              </w:rPr>
              <w:t>历史遗留问题及生产矿山修复任务仍较重</w:t>
            </w:r>
          </w:p>
        </w:tc>
        <w:tc>
          <w:tcPr>
            <w:tcW w:w="2926"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017545A3" w14:textId="77777777" w:rsidR="00232C37" w:rsidRDefault="00E8348F" w:rsidP="008E2A4D">
            <w:pPr>
              <w:spacing w:line="276" w:lineRule="auto"/>
              <w:ind w:firstLineChars="0" w:firstLine="0"/>
              <w:jc w:val="center"/>
            </w:pPr>
            <w:r>
              <w:rPr>
                <w:rFonts w:cs="Times New Roman"/>
                <w:sz w:val="21"/>
              </w:rPr>
              <w:t>落实主体责任、治理基金和长期管护</w:t>
            </w:r>
          </w:p>
        </w:tc>
      </w:tr>
    </w:tbl>
    <w:p w14:paraId="2DAA6D83" w14:textId="77777777" w:rsidR="00232C37" w:rsidRDefault="00232C37">
      <w:pPr>
        <w:ind w:firstLine="480"/>
      </w:pPr>
    </w:p>
    <w:p w14:paraId="7E37FC90" w14:textId="77777777" w:rsidR="00232C37" w:rsidRDefault="00E8348F">
      <w:pPr>
        <w:pStyle w:val="afffc"/>
        <w:spacing w:before="60" w:after="60"/>
      </w:pPr>
      <w:r>
        <w:lastRenderedPageBreak/>
        <w:t xml:space="preserve">5.3 </w:t>
      </w:r>
      <w:r>
        <w:t>本轮规划需重点关注的问题</w:t>
      </w:r>
    </w:p>
    <w:p w14:paraId="44E10AD3" w14:textId="77777777" w:rsidR="00232C37" w:rsidRDefault="00E8348F">
      <w:pPr>
        <w:ind w:firstLine="480"/>
      </w:pPr>
      <w:r>
        <w:t>（</w:t>
      </w:r>
      <w:r>
        <w:t>1</w:t>
      </w:r>
      <w:r>
        <w:t>）矿业权及规划区块与生态环境敏感区域之间的空间关系。</w:t>
      </w:r>
    </w:p>
    <w:p w14:paraId="08690F1B" w14:textId="77777777" w:rsidR="00232C37" w:rsidRDefault="00E8348F">
      <w:pPr>
        <w:ind w:firstLine="480"/>
      </w:pPr>
      <w:r>
        <w:t>（</w:t>
      </w:r>
      <w:r>
        <w:t>2</w:t>
      </w:r>
      <w:r>
        <w:t>）战略性矿产资源保障与生态环境保护之间的协调。</w:t>
      </w:r>
    </w:p>
    <w:p w14:paraId="4175391A" w14:textId="77777777" w:rsidR="00232C37" w:rsidRDefault="00E8348F">
      <w:pPr>
        <w:ind w:firstLine="480"/>
      </w:pPr>
      <w:r>
        <w:t>（</w:t>
      </w:r>
      <w:r>
        <w:t>3</w:t>
      </w:r>
      <w:r>
        <w:t>）历史遗留矿山生态修复、生产矿山边开采边修复及闭坑治理。</w:t>
      </w:r>
    </w:p>
    <w:p w14:paraId="491C806C" w14:textId="77777777" w:rsidR="00232C37" w:rsidRDefault="00E8348F">
      <w:pPr>
        <w:ind w:firstLine="480"/>
      </w:pPr>
      <w:r>
        <w:t>（</w:t>
      </w:r>
      <w:r>
        <w:t>4</w:t>
      </w:r>
      <w:r>
        <w:t>）鄂东南金属</w:t>
      </w:r>
      <w:proofErr w:type="gramStart"/>
      <w:r>
        <w:t>矿集中</w:t>
      </w:r>
      <w:proofErr w:type="gramEnd"/>
      <w:r>
        <w:t>区酸性废水、重金属污染和尾矿库风险。</w:t>
      </w:r>
    </w:p>
    <w:p w14:paraId="6577913D" w14:textId="77777777" w:rsidR="00232C37" w:rsidRDefault="00E8348F">
      <w:pPr>
        <w:ind w:firstLine="480"/>
      </w:pPr>
      <w:r>
        <w:t>（</w:t>
      </w:r>
      <w:r>
        <w:t>5</w:t>
      </w:r>
      <w:r>
        <w:t>）磷矿集中区矿井水、洗矿废水和堆场淋溶水的总磷污染风险。</w:t>
      </w:r>
    </w:p>
    <w:p w14:paraId="370BC17B" w14:textId="77777777" w:rsidR="00232C37" w:rsidRDefault="00E8348F">
      <w:pPr>
        <w:ind w:firstLine="480"/>
      </w:pPr>
      <w:r>
        <w:t>（</w:t>
      </w:r>
      <w:r>
        <w:t>6</w:t>
      </w:r>
      <w:r>
        <w:t>）尾矿、废石、煤矸石、钻井岩屑等固体废物减量化和资源化。</w:t>
      </w:r>
    </w:p>
    <w:p w14:paraId="590A49DF" w14:textId="77777777" w:rsidR="00232C37" w:rsidRDefault="00E8348F">
      <w:pPr>
        <w:ind w:firstLine="480"/>
      </w:pPr>
      <w:r>
        <w:t>（</w:t>
      </w:r>
      <w:r>
        <w:t>7</w:t>
      </w:r>
      <w:r>
        <w:t>）矿山能源消耗、温室气体排放及页岩气开发甲烷逸散。</w:t>
      </w:r>
    </w:p>
    <w:p w14:paraId="7AC0E712" w14:textId="77777777" w:rsidR="00232C37" w:rsidRDefault="00E8348F">
      <w:pPr>
        <w:pStyle w:val="afffb"/>
        <w:spacing w:before="120" w:after="60"/>
      </w:pPr>
      <w:r>
        <w:lastRenderedPageBreak/>
        <w:t xml:space="preserve">6 </w:t>
      </w:r>
      <w:r>
        <w:t>环境影响识别</w:t>
      </w:r>
    </w:p>
    <w:p w14:paraId="556D8F6E" w14:textId="77777777" w:rsidR="00232C37" w:rsidRDefault="00E8348F">
      <w:pPr>
        <w:pStyle w:val="afffc"/>
        <w:spacing w:before="60" w:after="60"/>
      </w:pPr>
      <w:r>
        <w:t xml:space="preserve">6.1 </w:t>
      </w:r>
      <w:r>
        <w:t>影响环节</w:t>
      </w:r>
    </w:p>
    <w:p w14:paraId="67244C65" w14:textId="77777777" w:rsidR="00232C37" w:rsidRDefault="00E8348F">
      <w:pPr>
        <w:ind w:firstLine="480"/>
      </w:pPr>
      <w:r>
        <w:t>规划实施的环境影响主要来自地质调查和勘查、矿山建设、采矿、选矿、矿产品运输、固体废物贮存、矿山闭坑及生态修复等环节。勘查活动影响多为短期、局部和可恢复性影响；矿山建设及开采活动持续时间长，可能形成累积性和区域性影响；闭坑和生态修复在施工阶段存在短期扰动，完成</w:t>
      </w:r>
      <w:proofErr w:type="gramStart"/>
      <w:r>
        <w:t>后总体</w:t>
      </w:r>
      <w:proofErr w:type="gramEnd"/>
      <w:r>
        <w:t>产生生态改善效应。</w:t>
      </w:r>
    </w:p>
    <w:p w14:paraId="7693ABEF" w14:textId="77777777" w:rsidR="00232C37" w:rsidRDefault="00E8348F">
      <w:pPr>
        <w:pStyle w:val="afffc"/>
        <w:spacing w:before="60" w:after="60"/>
      </w:pPr>
      <w:r>
        <w:t xml:space="preserve">6.2 </w:t>
      </w:r>
      <w:r>
        <w:t>不同开采方式的影响</w:t>
      </w:r>
    </w:p>
    <w:p w14:paraId="1A37E996" w14:textId="77777777" w:rsidR="00232C37" w:rsidRDefault="00E8348F">
      <w:pPr>
        <w:ind w:firstLine="480"/>
      </w:pPr>
      <w:r>
        <w:t>露天开采需要剥离表土和覆盖层，形成采场、台阶、排土场和运输道路，主要影响为土地占用、植被破坏、地形地貌改变、水土流失、扬尘、噪声和景观影响。地下开采地表扰动相对较小，但可能引起采空区塌陷、地裂缝、地下水疏排和含水层扰动。</w:t>
      </w:r>
    </w:p>
    <w:p w14:paraId="6E08D969" w14:textId="77777777" w:rsidR="00232C37" w:rsidRDefault="00E8348F">
      <w:pPr>
        <w:ind w:firstLine="480"/>
      </w:pPr>
      <w:r>
        <w:t>矿石破碎、筛分和选矿过程可能产生粉尘、噪声、选矿废水、尾矿和危险废物；废石场和尾矿</w:t>
      </w:r>
      <w:proofErr w:type="gramStart"/>
      <w:r>
        <w:t>库可能</w:t>
      </w:r>
      <w:proofErr w:type="gramEnd"/>
      <w:r>
        <w:t>产生淋溶水、渗滤液和环境风险。矿山道路运输可能对沿线居民点造成扬尘、噪声和交通安全影响。</w:t>
      </w:r>
    </w:p>
    <w:p w14:paraId="64897AA4" w14:textId="77777777" w:rsidR="00232C37" w:rsidRDefault="00E8348F">
      <w:pPr>
        <w:ind w:firstLine="480"/>
      </w:pPr>
      <w:r>
        <w:br w:type="page"/>
      </w:r>
    </w:p>
    <w:p w14:paraId="0932DC31" w14:textId="77777777" w:rsidR="00232C37" w:rsidRDefault="00E8348F">
      <w:pPr>
        <w:pStyle w:val="afffc"/>
        <w:spacing w:before="60" w:after="60"/>
      </w:pPr>
      <w:r>
        <w:lastRenderedPageBreak/>
        <w:t xml:space="preserve">6.3 </w:t>
      </w:r>
      <w:r>
        <w:t>主要评价因子</w:t>
      </w:r>
    </w:p>
    <w:p w14:paraId="7F360BE1" w14:textId="77777777" w:rsidR="00232C37" w:rsidRDefault="00E8348F">
      <w:pPr>
        <w:pStyle w:val="affff"/>
        <w:spacing w:before="156" w:after="156"/>
      </w:pPr>
      <w:r>
        <w:t>表</w:t>
      </w:r>
      <w:r>
        <w:t xml:space="preserve">6.3-1 </w:t>
      </w:r>
      <w:r>
        <w:t>规划环境影响主要评价因子</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1800"/>
        <w:gridCol w:w="6506"/>
      </w:tblGrid>
      <w:tr w:rsidR="00232C37" w14:paraId="29EC8F9F" w14:textId="77777777">
        <w:trPr>
          <w:tblHeader/>
          <w:jc w:val="cent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90" w:type="dxa"/>
              <w:left w:w="100" w:type="dxa"/>
              <w:bottom w:w="90" w:type="dxa"/>
              <w:right w:w="100" w:type="dxa"/>
            </w:tcMar>
            <w:vAlign w:val="center"/>
          </w:tcPr>
          <w:p w14:paraId="5772ACE6" w14:textId="77777777" w:rsidR="00232C37" w:rsidRDefault="00E8348F" w:rsidP="008E2A4D">
            <w:pPr>
              <w:spacing w:line="276" w:lineRule="auto"/>
              <w:ind w:firstLineChars="0" w:firstLine="0"/>
              <w:jc w:val="center"/>
            </w:pPr>
            <w:r>
              <w:rPr>
                <w:rFonts w:cs="Times New Roman"/>
                <w:b/>
                <w:sz w:val="21"/>
              </w:rPr>
              <w:t>环境要素</w:t>
            </w:r>
          </w:p>
        </w:tc>
        <w:tc>
          <w:tcPr>
            <w:tcW w:w="6506" w:type="dxa"/>
            <w:tcBorders>
              <w:top w:val="single" w:sz="4" w:space="0" w:color="000000"/>
              <w:left w:val="single" w:sz="4" w:space="0" w:color="000000"/>
              <w:bottom w:val="single" w:sz="4" w:space="0" w:color="000000"/>
              <w:right w:val="single" w:sz="4" w:space="0" w:color="000000"/>
            </w:tcBorders>
            <w:shd w:val="clear" w:color="auto" w:fill="E7E6E6"/>
            <w:tcMar>
              <w:top w:w="90" w:type="dxa"/>
              <w:left w:w="100" w:type="dxa"/>
              <w:bottom w:w="90" w:type="dxa"/>
              <w:right w:w="100" w:type="dxa"/>
            </w:tcMar>
            <w:vAlign w:val="center"/>
          </w:tcPr>
          <w:p w14:paraId="655FDEA0" w14:textId="77777777" w:rsidR="00232C37" w:rsidRDefault="00E8348F" w:rsidP="008E2A4D">
            <w:pPr>
              <w:spacing w:line="276" w:lineRule="auto"/>
              <w:ind w:firstLineChars="0" w:firstLine="0"/>
              <w:jc w:val="center"/>
            </w:pPr>
            <w:r>
              <w:rPr>
                <w:rFonts w:cs="Times New Roman"/>
                <w:b/>
                <w:sz w:val="21"/>
              </w:rPr>
              <w:t>主要评价因子</w:t>
            </w:r>
          </w:p>
        </w:tc>
      </w:tr>
      <w:tr w:rsidR="00232C37" w14:paraId="3AD0202D" w14:textId="77777777">
        <w:trPr>
          <w:jc w:val="center"/>
        </w:trPr>
        <w:tc>
          <w:tcPr>
            <w:tcW w:w="1800"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734E8506" w14:textId="77777777" w:rsidR="00232C37" w:rsidRDefault="00E8348F" w:rsidP="008E2A4D">
            <w:pPr>
              <w:spacing w:line="276" w:lineRule="auto"/>
              <w:ind w:firstLineChars="0" w:firstLine="0"/>
              <w:jc w:val="center"/>
            </w:pPr>
            <w:r>
              <w:rPr>
                <w:rFonts w:cs="Times New Roman"/>
                <w:sz w:val="21"/>
              </w:rPr>
              <w:t>生态环境</w:t>
            </w:r>
          </w:p>
        </w:tc>
        <w:tc>
          <w:tcPr>
            <w:tcW w:w="6506"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26523536" w14:textId="77777777" w:rsidR="00232C37" w:rsidRDefault="00E8348F" w:rsidP="008E2A4D">
            <w:pPr>
              <w:spacing w:line="276" w:lineRule="auto"/>
              <w:ind w:firstLineChars="0" w:firstLine="0"/>
              <w:jc w:val="left"/>
            </w:pPr>
            <w:r>
              <w:rPr>
                <w:rFonts w:cs="Times New Roman"/>
                <w:sz w:val="21"/>
              </w:rPr>
              <w:t>土地占用、植被、生境、生态系统完整性、水土流失、景观和生态修复</w:t>
            </w:r>
          </w:p>
        </w:tc>
      </w:tr>
      <w:tr w:rsidR="00232C37" w14:paraId="115C2E6A" w14:textId="77777777">
        <w:trPr>
          <w:jc w:val="center"/>
        </w:trPr>
        <w:tc>
          <w:tcPr>
            <w:tcW w:w="1800"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5D6F23BB" w14:textId="77777777" w:rsidR="00232C37" w:rsidRDefault="00E8348F" w:rsidP="008E2A4D">
            <w:pPr>
              <w:spacing w:line="276" w:lineRule="auto"/>
              <w:ind w:firstLineChars="0" w:firstLine="0"/>
              <w:jc w:val="center"/>
            </w:pPr>
            <w:r>
              <w:rPr>
                <w:rFonts w:cs="Times New Roman"/>
                <w:sz w:val="21"/>
              </w:rPr>
              <w:t>地表水</w:t>
            </w:r>
          </w:p>
        </w:tc>
        <w:tc>
          <w:tcPr>
            <w:tcW w:w="6506"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0BBA9E6B" w14:textId="77777777" w:rsidR="00232C37" w:rsidRDefault="00E8348F" w:rsidP="008E2A4D">
            <w:pPr>
              <w:spacing w:line="276" w:lineRule="auto"/>
              <w:ind w:firstLineChars="0" w:firstLine="0"/>
              <w:jc w:val="left"/>
            </w:pPr>
            <w:r>
              <w:rPr>
                <w:rFonts w:cs="Times New Roman"/>
                <w:sz w:val="21"/>
              </w:rPr>
              <w:t>水量、水位、</w:t>
            </w:r>
            <w:r>
              <w:rPr>
                <w:rFonts w:cs="Times New Roman"/>
                <w:sz w:val="21"/>
              </w:rPr>
              <w:t>pH</w:t>
            </w:r>
            <w:r>
              <w:rPr>
                <w:rFonts w:cs="Times New Roman"/>
                <w:sz w:val="21"/>
              </w:rPr>
              <w:t>、悬浮物、化学需氧量、氨氮、总磷及矿种特征污染物</w:t>
            </w:r>
          </w:p>
        </w:tc>
      </w:tr>
      <w:tr w:rsidR="00232C37" w14:paraId="3628DFFC" w14:textId="77777777">
        <w:trPr>
          <w:jc w:val="center"/>
        </w:trPr>
        <w:tc>
          <w:tcPr>
            <w:tcW w:w="1800"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186D4D2F" w14:textId="77777777" w:rsidR="00232C37" w:rsidRDefault="00E8348F" w:rsidP="008E2A4D">
            <w:pPr>
              <w:spacing w:line="276" w:lineRule="auto"/>
              <w:ind w:firstLineChars="0" w:firstLine="0"/>
              <w:jc w:val="center"/>
            </w:pPr>
            <w:r>
              <w:rPr>
                <w:rFonts w:cs="Times New Roman"/>
                <w:sz w:val="21"/>
              </w:rPr>
              <w:t>地下水</w:t>
            </w:r>
          </w:p>
        </w:tc>
        <w:tc>
          <w:tcPr>
            <w:tcW w:w="6506"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3436D227" w14:textId="77777777" w:rsidR="00232C37" w:rsidRDefault="00E8348F" w:rsidP="008E2A4D">
            <w:pPr>
              <w:spacing w:line="276" w:lineRule="auto"/>
              <w:ind w:firstLineChars="0" w:firstLine="0"/>
              <w:jc w:val="left"/>
            </w:pPr>
            <w:r>
              <w:rPr>
                <w:rFonts w:cs="Times New Roman"/>
                <w:sz w:val="21"/>
              </w:rPr>
              <w:t>水位、矿化度、硫酸盐、氯化物、总磷、重金属和石油类</w:t>
            </w:r>
          </w:p>
        </w:tc>
      </w:tr>
      <w:tr w:rsidR="00232C37" w14:paraId="66048BCD" w14:textId="77777777">
        <w:trPr>
          <w:jc w:val="center"/>
        </w:trPr>
        <w:tc>
          <w:tcPr>
            <w:tcW w:w="1800"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59259AC4" w14:textId="77777777" w:rsidR="00232C37" w:rsidRDefault="00E8348F" w:rsidP="008E2A4D">
            <w:pPr>
              <w:spacing w:line="276" w:lineRule="auto"/>
              <w:ind w:firstLineChars="0" w:firstLine="0"/>
              <w:jc w:val="center"/>
            </w:pPr>
            <w:r>
              <w:rPr>
                <w:rFonts w:cs="Times New Roman"/>
                <w:sz w:val="21"/>
              </w:rPr>
              <w:t>环境空气</w:t>
            </w:r>
          </w:p>
        </w:tc>
        <w:tc>
          <w:tcPr>
            <w:tcW w:w="6506"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12AF3157" w14:textId="77777777" w:rsidR="00232C37" w:rsidRDefault="00E8348F" w:rsidP="008E2A4D">
            <w:pPr>
              <w:spacing w:line="276" w:lineRule="auto"/>
              <w:ind w:firstLineChars="0" w:firstLine="0"/>
              <w:jc w:val="left"/>
            </w:pPr>
            <w:r>
              <w:rPr>
                <w:rFonts w:cs="Times New Roman"/>
                <w:sz w:val="21"/>
              </w:rPr>
              <w:t>TSP</w:t>
            </w:r>
            <w:r>
              <w:rPr>
                <w:rFonts w:cs="Times New Roman"/>
                <w:sz w:val="21"/>
              </w:rPr>
              <w:t>、</w:t>
            </w:r>
            <w:r>
              <w:rPr>
                <w:rFonts w:cs="Times New Roman"/>
                <w:sz w:val="21"/>
              </w:rPr>
              <w:t>PM10</w:t>
            </w:r>
            <w:r>
              <w:rPr>
                <w:rFonts w:cs="Times New Roman"/>
                <w:sz w:val="21"/>
              </w:rPr>
              <w:t>、</w:t>
            </w:r>
            <w:r>
              <w:rPr>
                <w:rFonts w:cs="Times New Roman"/>
                <w:sz w:val="21"/>
              </w:rPr>
              <w:t>PM2.5</w:t>
            </w:r>
            <w:r>
              <w:rPr>
                <w:rFonts w:cs="Times New Roman"/>
                <w:sz w:val="21"/>
              </w:rPr>
              <w:t>、氮氧化物及矿种特征污染物</w:t>
            </w:r>
          </w:p>
        </w:tc>
      </w:tr>
      <w:tr w:rsidR="00232C37" w14:paraId="774E8AAC" w14:textId="77777777">
        <w:trPr>
          <w:jc w:val="center"/>
        </w:trPr>
        <w:tc>
          <w:tcPr>
            <w:tcW w:w="1800"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57743653" w14:textId="77777777" w:rsidR="00232C37" w:rsidRDefault="00E8348F" w:rsidP="008E2A4D">
            <w:pPr>
              <w:spacing w:line="276" w:lineRule="auto"/>
              <w:ind w:firstLineChars="0" w:firstLine="0"/>
              <w:jc w:val="center"/>
            </w:pPr>
            <w:r>
              <w:rPr>
                <w:rFonts w:cs="Times New Roman"/>
                <w:sz w:val="21"/>
              </w:rPr>
              <w:t>土壤</w:t>
            </w:r>
          </w:p>
        </w:tc>
        <w:tc>
          <w:tcPr>
            <w:tcW w:w="6506"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2054FBDA" w14:textId="77777777" w:rsidR="00232C37" w:rsidRDefault="00E8348F" w:rsidP="008E2A4D">
            <w:pPr>
              <w:spacing w:line="276" w:lineRule="auto"/>
              <w:ind w:firstLineChars="0" w:firstLine="0"/>
              <w:jc w:val="center"/>
            </w:pPr>
            <w:r>
              <w:rPr>
                <w:rFonts w:cs="Times New Roman"/>
                <w:sz w:val="21"/>
              </w:rPr>
              <w:t>pH</w:t>
            </w:r>
            <w:r>
              <w:rPr>
                <w:rFonts w:cs="Times New Roman"/>
                <w:sz w:val="21"/>
              </w:rPr>
              <w:t>、重金属、氰化物、石油类等</w:t>
            </w:r>
          </w:p>
        </w:tc>
      </w:tr>
      <w:tr w:rsidR="00232C37" w14:paraId="5A419797" w14:textId="77777777">
        <w:trPr>
          <w:jc w:val="center"/>
        </w:trPr>
        <w:tc>
          <w:tcPr>
            <w:tcW w:w="1800"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1B2AD655" w14:textId="77777777" w:rsidR="00232C37" w:rsidRDefault="00E8348F" w:rsidP="008E2A4D">
            <w:pPr>
              <w:spacing w:line="276" w:lineRule="auto"/>
              <w:ind w:firstLineChars="0" w:firstLine="0"/>
              <w:jc w:val="center"/>
            </w:pPr>
            <w:r>
              <w:rPr>
                <w:rFonts w:cs="Times New Roman"/>
                <w:sz w:val="21"/>
              </w:rPr>
              <w:t>声环境</w:t>
            </w:r>
          </w:p>
        </w:tc>
        <w:tc>
          <w:tcPr>
            <w:tcW w:w="6506"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556D3971" w14:textId="77777777" w:rsidR="00232C37" w:rsidRDefault="00E8348F" w:rsidP="008E2A4D">
            <w:pPr>
              <w:spacing w:line="276" w:lineRule="auto"/>
              <w:ind w:firstLineChars="0" w:firstLine="0"/>
              <w:jc w:val="center"/>
            </w:pPr>
            <w:r>
              <w:rPr>
                <w:rFonts w:cs="Times New Roman"/>
                <w:sz w:val="21"/>
              </w:rPr>
              <w:t>等效连续</w:t>
            </w:r>
            <w:r>
              <w:rPr>
                <w:rFonts w:cs="Times New Roman"/>
                <w:sz w:val="21"/>
              </w:rPr>
              <w:t>A</w:t>
            </w:r>
            <w:r>
              <w:rPr>
                <w:rFonts w:cs="Times New Roman"/>
                <w:sz w:val="21"/>
              </w:rPr>
              <w:t>声级、爆破振动</w:t>
            </w:r>
          </w:p>
        </w:tc>
      </w:tr>
      <w:tr w:rsidR="00232C37" w14:paraId="21FA469B" w14:textId="77777777">
        <w:trPr>
          <w:jc w:val="center"/>
        </w:trPr>
        <w:tc>
          <w:tcPr>
            <w:tcW w:w="1800"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21615925" w14:textId="77777777" w:rsidR="00232C37" w:rsidRDefault="00E8348F" w:rsidP="008E2A4D">
            <w:pPr>
              <w:spacing w:line="276" w:lineRule="auto"/>
              <w:ind w:firstLineChars="0" w:firstLine="0"/>
              <w:jc w:val="center"/>
            </w:pPr>
            <w:r>
              <w:rPr>
                <w:rFonts w:cs="Times New Roman"/>
                <w:sz w:val="21"/>
              </w:rPr>
              <w:t>固体废物</w:t>
            </w:r>
          </w:p>
        </w:tc>
        <w:tc>
          <w:tcPr>
            <w:tcW w:w="6506"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2EA59963" w14:textId="77777777" w:rsidR="00232C37" w:rsidRDefault="00E8348F" w:rsidP="008E2A4D">
            <w:pPr>
              <w:spacing w:line="276" w:lineRule="auto"/>
              <w:ind w:firstLineChars="0" w:firstLine="0"/>
              <w:jc w:val="left"/>
            </w:pPr>
            <w:r>
              <w:rPr>
                <w:rFonts w:cs="Times New Roman"/>
                <w:sz w:val="21"/>
              </w:rPr>
              <w:t>废石、尾矿、污泥、钻井岩屑、废机油等</w:t>
            </w:r>
          </w:p>
        </w:tc>
      </w:tr>
      <w:tr w:rsidR="00232C37" w14:paraId="32C3087E" w14:textId="77777777">
        <w:trPr>
          <w:jc w:val="center"/>
        </w:trPr>
        <w:tc>
          <w:tcPr>
            <w:tcW w:w="1800"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19736168" w14:textId="77777777" w:rsidR="00232C37" w:rsidRDefault="00E8348F" w:rsidP="008E2A4D">
            <w:pPr>
              <w:spacing w:line="276" w:lineRule="auto"/>
              <w:ind w:firstLineChars="0" w:firstLine="0"/>
              <w:jc w:val="center"/>
            </w:pPr>
            <w:r>
              <w:rPr>
                <w:rFonts w:cs="Times New Roman"/>
                <w:sz w:val="21"/>
              </w:rPr>
              <w:t>环境风险</w:t>
            </w:r>
          </w:p>
        </w:tc>
        <w:tc>
          <w:tcPr>
            <w:tcW w:w="6506"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7A6C95FD" w14:textId="77777777" w:rsidR="00232C37" w:rsidRDefault="00E8348F" w:rsidP="008E2A4D">
            <w:pPr>
              <w:spacing w:line="276" w:lineRule="auto"/>
              <w:ind w:firstLineChars="0" w:firstLine="0"/>
              <w:jc w:val="left"/>
            </w:pPr>
            <w:r>
              <w:rPr>
                <w:rFonts w:cs="Times New Roman"/>
                <w:sz w:val="21"/>
              </w:rPr>
              <w:t>尾矿库、突水、泄漏、地面沉陷、滑坡泥石流和甲烷逸散</w:t>
            </w:r>
          </w:p>
        </w:tc>
      </w:tr>
    </w:tbl>
    <w:p w14:paraId="7F298DBB" w14:textId="77777777" w:rsidR="00232C37" w:rsidRDefault="00232C37">
      <w:pPr>
        <w:ind w:firstLine="480"/>
      </w:pPr>
    </w:p>
    <w:p w14:paraId="782F3578" w14:textId="77777777" w:rsidR="00232C37" w:rsidRDefault="00E8348F">
      <w:pPr>
        <w:ind w:firstLine="480"/>
      </w:pPr>
      <w:r>
        <w:t>本次评价以规划层面的区域性、累积性和长期性影响为重点，结合不同矿种、不同开采方式及区域生态环境敏感程度，分析规划实施可能造成的资源环境压力。对规划层面难以定量确定的影响，采用情景分析、类比分析和风险识别等方法提出管控要求。</w:t>
      </w:r>
    </w:p>
    <w:p w14:paraId="46232438" w14:textId="77777777" w:rsidR="00232C37" w:rsidRDefault="00E8348F">
      <w:pPr>
        <w:ind w:firstLine="480"/>
      </w:pPr>
      <w:r>
        <w:t>规划环</w:t>
      </w:r>
      <w:proofErr w:type="gramStart"/>
      <w:r>
        <w:t>评不能</w:t>
      </w:r>
      <w:proofErr w:type="gramEnd"/>
      <w:r>
        <w:t>替代具体建设项目环境影响评价。矿业权出让和项目实施阶段仍应根据矿区范围、生产规模、工艺路线、污染物排放和周边敏感目标，依法开展项目环境影响评价并落实相应审批、排污许可和环境保护设施建设要求。</w:t>
      </w:r>
    </w:p>
    <w:p w14:paraId="4D315A46" w14:textId="77777777" w:rsidR="00232C37" w:rsidRDefault="00E8348F">
      <w:pPr>
        <w:pStyle w:val="afffb"/>
        <w:spacing w:before="120" w:after="60"/>
      </w:pPr>
      <w:r>
        <w:lastRenderedPageBreak/>
        <w:t xml:space="preserve">7 </w:t>
      </w:r>
      <w:r>
        <w:t>规划实施的环境影响预测与评价</w:t>
      </w:r>
    </w:p>
    <w:p w14:paraId="796118C7" w14:textId="77777777" w:rsidR="00232C37" w:rsidRDefault="00E8348F">
      <w:pPr>
        <w:pStyle w:val="afffc"/>
        <w:spacing w:before="60" w:after="60"/>
      </w:pPr>
      <w:r>
        <w:t xml:space="preserve">7.1 </w:t>
      </w:r>
      <w:r>
        <w:t>资源利用压力</w:t>
      </w:r>
    </w:p>
    <w:p w14:paraId="1D0072F8" w14:textId="77777777" w:rsidR="00232C37" w:rsidRDefault="00E8348F">
      <w:pPr>
        <w:pStyle w:val="afffd"/>
        <w:spacing w:before="60" w:after="60"/>
      </w:pPr>
      <w:r>
        <w:t xml:space="preserve">7.1.1 </w:t>
      </w:r>
      <w:r>
        <w:t>土地资源</w:t>
      </w:r>
    </w:p>
    <w:p w14:paraId="3547647E" w14:textId="77777777" w:rsidR="00232C37" w:rsidRDefault="00E8348F">
      <w:pPr>
        <w:ind w:firstLine="480"/>
      </w:pPr>
      <w:r>
        <w:t>矿山占地主要包括露天采场、工业场地、排土场、尾矿库、矿山道路和配套设施。规划区块范围是矿业权设置和资源管理的空间单元，并非全部转化为实际开采占地。地下开采的地面工程占地相对较小，露天开采和固体废物堆场占地相对较大。</w:t>
      </w:r>
    </w:p>
    <w:p w14:paraId="0EE70BCB" w14:textId="77777777" w:rsidR="00232C37" w:rsidRDefault="00E8348F">
      <w:pPr>
        <w:ind w:firstLine="480"/>
      </w:pPr>
      <w:r>
        <w:t>在严格执行国土空间用途管制、永久基本农田保护、节约集约用地、表土保护、土地复垦和矿山生态修复要求的前提下，规划实施造成的土地资源占用总体可控。具体项目应在设计阶段优化采场、工业场地和道路布局，尽量利用已有设施和低效建设用地。</w:t>
      </w:r>
    </w:p>
    <w:p w14:paraId="50BC324D" w14:textId="77777777" w:rsidR="00232C37" w:rsidRDefault="00E8348F">
      <w:pPr>
        <w:pStyle w:val="afffd"/>
        <w:spacing w:before="60" w:after="60"/>
      </w:pPr>
      <w:r>
        <w:t xml:space="preserve">7.1.2 </w:t>
      </w:r>
      <w:r>
        <w:t>水资源</w:t>
      </w:r>
    </w:p>
    <w:p w14:paraId="5EE29FB8" w14:textId="77777777" w:rsidR="00232C37" w:rsidRDefault="00E8348F">
      <w:pPr>
        <w:ind w:firstLine="480"/>
      </w:pPr>
      <w:r>
        <w:t>矿业用水主要包括采矿、选矿、抑尘、设备冷却和生活用水。根据规划规模和用水强度预测，规划期采矿业需水量占全省用水总量控制指标的比例较小，省</w:t>
      </w:r>
      <w:proofErr w:type="gramStart"/>
      <w:r>
        <w:t>域总体可</w:t>
      </w:r>
      <w:proofErr w:type="gramEnd"/>
      <w:r>
        <w:t>承载。但宜昌、襄阳、十堰、恩施等局部山区和季节性缺水地区仍需严格开展水资源论证。</w:t>
      </w:r>
    </w:p>
    <w:p w14:paraId="37163754" w14:textId="77777777" w:rsidR="00232C37" w:rsidRDefault="00E8348F">
      <w:pPr>
        <w:ind w:firstLine="480"/>
      </w:pPr>
      <w:r>
        <w:t>矿山应提高矿井水、选矿废水和生产废水循环利用率，推广干式或节水型选矿工艺、分质供水和梯级利用。页岩气开发应统筹单个平台和区域开发时序，避免短期集中取水对河流生态流量和居民用水产生影响。</w:t>
      </w:r>
    </w:p>
    <w:p w14:paraId="6A55510D" w14:textId="77777777" w:rsidR="00232C37" w:rsidRDefault="00E8348F">
      <w:pPr>
        <w:pStyle w:val="afffc"/>
        <w:spacing w:before="60" w:after="60"/>
      </w:pPr>
      <w:r>
        <w:t xml:space="preserve">7.2 </w:t>
      </w:r>
      <w:r>
        <w:t>生态环境影响</w:t>
      </w:r>
    </w:p>
    <w:p w14:paraId="6613611F" w14:textId="77777777" w:rsidR="00232C37" w:rsidRDefault="00E8348F">
      <w:pPr>
        <w:ind w:firstLine="480"/>
      </w:pPr>
      <w:r>
        <w:t>矿产勘查和开发可能造成植被清除、生境破碎、动物活动干扰、土壤侵蚀和景观改变。鄂西、鄂西北山区生物多样性较高、坡度较大，磷矿、页岩气、金属矿及道路建设可能加剧水土流失；鄂东南老矿区存在历史遗留问题与新增开发影响叠加。</w:t>
      </w:r>
    </w:p>
    <w:p w14:paraId="1081D6B4" w14:textId="77777777" w:rsidR="00232C37" w:rsidRDefault="00E8348F">
      <w:pPr>
        <w:ind w:firstLine="480"/>
      </w:pPr>
      <w:r>
        <w:t>规划层面通过避让生态保护红线和自然保护</w:t>
      </w:r>
      <w:proofErr w:type="gramStart"/>
      <w:r>
        <w:t>地核心</w:t>
      </w:r>
      <w:proofErr w:type="gramEnd"/>
      <w:r>
        <w:t>保护区、控制重点生态功能区开发强度、优化规划区块边界和推进绿色勘查，可以显著降低生态影响。项目层面应实行表土剥离与回覆、分区施工、边坡防护、临时占地恢复和生境修复。</w:t>
      </w:r>
    </w:p>
    <w:p w14:paraId="60167534" w14:textId="77777777" w:rsidR="00232C37" w:rsidRDefault="00E8348F">
      <w:pPr>
        <w:pStyle w:val="afffc"/>
        <w:spacing w:before="60" w:after="60"/>
      </w:pPr>
      <w:r>
        <w:lastRenderedPageBreak/>
        <w:t xml:space="preserve">7.3 </w:t>
      </w:r>
      <w:r>
        <w:t>地表水环境影响</w:t>
      </w:r>
    </w:p>
    <w:p w14:paraId="589B4679" w14:textId="77777777" w:rsidR="00232C37" w:rsidRDefault="00E8348F">
      <w:pPr>
        <w:ind w:firstLine="480"/>
      </w:pPr>
      <w:r>
        <w:t>矿山地表水污染源主要包括矿井涌水、选矿废水、尾矿库回水、废石场淋溶水、场地初期雨水和生活污水。磷矿废水以悬浮物、总磷和硫化物为重点；金属矿废水可能呈酸性并含铜、铅、锌、镉、砷等；岩盐和天然卤水开发废水矿化度较高。</w:t>
      </w:r>
    </w:p>
    <w:p w14:paraId="57EB7017" w14:textId="77777777" w:rsidR="00232C37" w:rsidRDefault="00E8348F">
      <w:pPr>
        <w:ind w:firstLine="480"/>
      </w:pPr>
      <w:r>
        <w:t>规划区块与饮用水水源保护区及水环境优先保护区的空间关系是评价重点。饮用水水源一级、二级保护区应依法避让，准保护区和汇水区内的规划部署应开展水文地质和环境风险论证，严控排污口和风险设施布局。</w:t>
      </w:r>
    </w:p>
    <w:p w14:paraId="7E37FDEA" w14:textId="77777777" w:rsidR="00232C37" w:rsidRDefault="00E8348F">
      <w:pPr>
        <w:ind w:firstLine="480"/>
      </w:pPr>
      <w:r>
        <w:t>矿井水和选矿废水经分类收集、处理并</w:t>
      </w:r>
      <w:proofErr w:type="gramStart"/>
      <w:r>
        <w:t>优先回</w:t>
      </w:r>
      <w:proofErr w:type="gramEnd"/>
      <w:r>
        <w:t>用后，外排水量和污染负荷可明显减少。项目排放应执行国家、地方和流域污染物排放标准，同时满足受纳水体环境功能和环境容量要求。发生事故时应利用事故池、截流设施和应急物资防止污染物进入河流和饮用水水源。</w:t>
      </w:r>
    </w:p>
    <w:p w14:paraId="4514F8DD" w14:textId="77777777" w:rsidR="00232C37" w:rsidRDefault="00E8348F">
      <w:pPr>
        <w:pStyle w:val="afffc"/>
        <w:spacing w:before="60" w:after="60"/>
      </w:pPr>
      <w:r>
        <w:t xml:space="preserve">7.4 </w:t>
      </w:r>
      <w:r>
        <w:t>地下水环境影响</w:t>
      </w:r>
    </w:p>
    <w:p w14:paraId="509BFDB1" w14:textId="77777777" w:rsidR="00232C37" w:rsidRDefault="00E8348F">
      <w:pPr>
        <w:ind w:firstLine="480"/>
      </w:pPr>
      <w:r>
        <w:t>地下开采疏排水可能引起局部地下水位下降、泉流量变化和含水层结构扰动；钻孔、井筒和采空区可能形成含水层串联通道；尾矿库、废石场、</w:t>
      </w:r>
      <w:proofErr w:type="gramStart"/>
      <w:r>
        <w:t>危废设施</w:t>
      </w:r>
      <w:proofErr w:type="gramEnd"/>
      <w:r>
        <w:t>和页岩</w:t>
      </w:r>
      <w:proofErr w:type="gramStart"/>
      <w:r>
        <w:t>气井场若</w:t>
      </w:r>
      <w:proofErr w:type="gramEnd"/>
      <w:r>
        <w:t>防渗不足，可能导致污染物下渗。</w:t>
      </w:r>
    </w:p>
    <w:p w14:paraId="0B604D1D" w14:textId="77777777" w:rsidR="00232C37" w:rsidRDefault="00E8348F">
      <w:pPr>
        <w:ind w:firstLine="480"/>
      </w:pPr>
      <w:r>
        <w:t>项目实施前应查明水文地质条件和地下水敏感目标，合理划分防渗分区，严格井筒固井、钻孔封闭和老窑水探放管理。重点矿区应布设地下水监测井，对水位、矿化度、总磷、重金属和石油类等进行跟踪监测。</w:t>
      </w:r>
    </w:p>
    <w:p w14:paraId="087B14E6" w14:textId="77777777" w:rsidR="00232C37" w:rsidRDefault="00E8348F">
      <w:pPr>
        <w:pStyle w:val="afffc"/>
        <w:spacing w:before="60" w:after="60"/>
      </w:pPr>
      <w:r>
        <w:t xml:space="preserve">7.5 </w:t>
      </w:r>
      <w:r>
        <w:t>环境空气影响</w:t>
      </w:r>
    </w:p>
    <w:p w14:paraId="74DD7A57" w14:textId="77777777" w:rsidR="00232C37" w:rsidRDefault="00E8348F">
      <w:pPr>
        <w:ind w:firstLine="480"/>
      </w:pPr>
      <w:r>
        <w:t>矿山大气污染以颗粒物为主，主要产生于穿孔、爆破、铲装、破碎、筛分、输送、堆存和道路运输。露天矿山及砂石石材矿粉</w:t>
      </w:r>
      <w:proofErr w:type="gramStart"/>
      <w:r>
        <w:t>尘</w:t>
      </w:r>
      <w:proofErr w:type="gramEnd"/>
      <w:r>
        <w:t>产生环节多，影响范围与风速、湿度、地形和防治措施密切相关。非道路移动机械和运输车辆还会排放氮氧化物和颗粒物。</w:t>
      </w:r>
    </w:p>
    <w:p w14:paraId="6FAB640C" w14:textId="77777777" w:rsidR="00232C37" w:rsidRDefault="00E8348F">
      <w:pPr>
        <w:ind w:firstLine="480"/>
      </w:pPr>
      <w:r>
        <w:t>通过采用湿式凿岩、微差爆破、</w:t>
      </w:r>
      <w:proofErr w:type="gramStart"/>
      <w:r>
        <w:t>产尘点</w:t>
      </w:r>
      <w:proofErr w:type="gramEnd"/>
      <w:r>
        <w:t>密闭收集、袋式除尘、喷雾抑尘、封闭廊道、车辆冲洗和道路保洁，可有效降低粉尘排放。新增或更新作业车辆和机械应优先电动化，严格执行非道路移动机械排放管理要求。</w:t>
      </w:r>
    </w:p>
    <w:p w14:paraId="1D2A17B9" w14:textId="77777777" w:rsidR="00232C37" w:rsidRDefault="00E8348F">
      <w:pPr>
        <w:pStyle w:val="afffc"/>
        <w:spacing w:before="60" w:after="60"/>
      </w:pPr>
      <w:r>
        <w:lastRenderedPageBreak/>
        <w:t xml:space="preserve">7.6 </w:t>
      </w:r>
      <w:r>
        <w:t>土壤环境影响</w:t>
      </w:r>
    </w:p>
    <w:p w14:paraId="72DCD551" w14:textId="77777777" w:rsidR="00232C37" w:rsidRDefault="00E8348F">
      <w:pPr>
        <w:ind w:firstLine="480"/>
      </w:pPr>
      <w:r>
        <w:t>矿山土壤影响主要来自含重金属粉尘沉降、废水漫流、固体废物淋溶液入渗及事故泄漏。涉重金属矿区污染具有累积性和长期性，尾矿库、废石场、选矿厂和危险废物暂存区属于重点防控单元。</w:t>
      </w:r>
    </w:p>
    <w:p w14:paraId="1CF07EB6" w14:textId="77777777" w:rsidR="00232C37" w:rsidRDefault="00E8348F">
      <w:pPr>
        <w:ind w:firstLine="480"/>
      </w:pPr>
      <w:r>
        <w:t>矿山企业应从大气沉降、地面漫流和垂直入渗三条途径实施过程控制，加强防扬散、防流失、防渗漏设施，建立土壤和地下水协同监测制度。发现污染趋势时应及时查明原因，采取源头切断、阻隔和修复措施。</w:t>
      </w:r>
    </w:p>
    <w:p w14:paraId="5139D060" w14:textId="77777777" w:rsidR="00232C37" w:rsidRDefault="00E8348F">
      <w:pPr>
        <w:pStyle w:val="afffc"/>
        <w:spacing w:before="60" w:after="60"/>
      </w:pPr>
      <w:r>
        <w:t xml:space="preserve">7.7 </w:t>
      </w:r>
      <w:r>
        <w:t>声环境和振动影响</w:t>
      </w:r>
    </w:p>
    <w:p w14:paraId="31FBDEEC" w14:textId="77777777" w:rsidR="00232C37" w:rsidRDefault="00E8348F">
      <w:pPr>
        <w:ind w:firstLine="480"/>
      </w:pPr>
      <w:r>
        <w:t>采掘设备、空压机、破碎筛分设备、运输车辆和爆破作业可能对矿界及周边居民点产生噪声和振动影响。项目选址和设备布局应充分利用地形和建筑物阻隔，选用低噪设备并采取隔声、消声、减振措施。爆破作业应合</w:t>
      </w:r>
      <w:proofErr w:type="gramStart"/>
      <w:r>
        <w:t>理确定</w:t>
      </w:r>
      <w:proofErr w:type="gramEnd"/>
      <w:r>
        <w:t>药量、时段和警戒范围，避免夜间扰民。</w:t>
      </w:r>
    </w:p>
    <w:p w14:paraId="26A3DABA" w14:textId="77777777" w:rsidR="00232C37" w:rsidRDefault="00E8348F">
      <w:pPr>
        <w:pStyle w:val="afffc"/>
        <w:spacing w:before="60" w:after="60"/>
      </w:pPr>
      <w:r>
        <w:t xml:space="preserve">7.8 </w:t>
      </w:r>
      <w:r>
        <w:t>固体废物环境影响</w:t>
      </w:r>
    </w:p>
    <w:p w14:paraId="770AE6FC" w14:textId="77777777" w:rsidR="00232C37" w:rsidRDefault="00E8348F">
      <w:pPr>
        <w:ind w:firstLine="480"/>
      </w:pPr>
      <w:r>
        <w:t>矿产资源开发产生的固体废物以废石和尾矿为主，同时产生废水处理污泥、钻井岩屑、废机油和生活垃圾。固体废物长期堆存会占用土地，并可能产生扬尘、淋溶水、边坡失稳和溃坝风险。</w:t>
      </w:r>
    </w:p>
    <w:p w14:paraId="784C5472" w14:textId="77777777" w:rsidR="00232C37" w:rsidRDefault="00E8348F">
      <w:pPr>
        <w:ind w:firstLine="480"/>
      </w:pPr>
      <w:r>
        <w:t>规划实施应坚持减量化、资源化和无害化，优先开展有价组分回收、尾矿再选、井下充填、建材利用和土地复垦利用。暂不能利用的废石和尾矿应进入符合要求的专用场所，完善</w:t>
      </w:r>
      <w:proofErr w:type="gramStart"/>
      <w:r>
        <w:t>截</w:t>
      </w:r>
      <w:proofErr w:type="gramEnd"/>
      <w:r>
        <w:t>排水、防渗、渗滤液收集、扬尘控制和稳定性监测。危险废物应分类收集、规范贮存并委托有资质单位利用处置。</w:t>
      </w:r>
    </w:p>
    <w:p w14:paraId="23507FD8" w14:textId="77777777" w:rsidR="00232C37" w:rsidRDefault="00E8348F">
      <w:pPr>
        <w:pStyle w:val="afffc"/>
        <w:spacing w:before="60" w:after="60"/>
      </w:pPr>
      <w:r>
        <w:t xml:space="preserve">7.9 </w:t>
      </w:r>
      <w:r>
        <w:t>地质灾害和环境风险</w:t>
      </w:r>
    </w:p>
    <w:p w14:paraId="624540A2" w14:textId="77777777" w:rsidR="00232C37" w:rsidRDefault="00E8348F">
      <w:pPr>
        <w:ind w:firstLine="480"/>
      </w:pPr>
      <w:r>
        <w:t>矿山环境风险主要包括尾矿库溃坝、矿坑突水、废水和危险物质泄漏、采空区塌陷、边坡失稳、滑坡、泥石流和页岩气井喷等。尾矿库下游居民点、饮用水水源、河流及重要基础设施周边风险较高。</w:t>
      </w:r>
    </w:p>
    <w:p w14:paraId="15CD656A" w14:textId="77777777" w:rsidR="00232C37" w:rsidRDefault="00E8348F">
      <w:pPr>
        <w:ind w:firstLine="480"/>
      </w:pPr>
      <w:r>
        <w:t>规划实施应落实风险分级管控和隐患排查治理，建立在线监测预警、应急物资储备、应急池和事故水导排系统。汛期和极端天气前后应加密巡查，开展跨部门、跨区域联防联控和应急演练。</w:t>
      </w:r>
    </w:p>
    <w:p w14:paraId="03B84FD4" w14:textId="77777777" w:rsidR="00232C37" w:rsidRDefault="00E8348F">
      <w:pPr>
        <w:pStyle w:val="afffc"/>
        <w:spacing w:before="60" w:after="60"/>
      </w:pPr>
      <w:r>
        <w:lastRenderedPageBreak/>
        <w:t xml:space="preserve">7.10 </w:t>
      </w:r>
      <w:r>
        <w:t>碳排放影响</w:t>
      </w:r>
    </w:p>
    <w:p w14:paraId="50DB33F5" w14:textId="77777777" w:rsidR="00232C37" w:rsidRDefault="00E8348F">
      <w:pPr>
        <w:ind w:firstLine="480"/>
      </w:pPr>
      <w:proofErr w:type="gramStart"/>
      <w:r>
        <w:t>采矿业碳排放</w:t>
      </w:r>
      <w:proofErr w:type="gramEnd"/>
      <w:r>
        <w:t>主要来自柴油等化石燃料燃烧、外购电力以及油气开发过程甲烷逸散。规划实施可能因部分矿种增储上产增加能源消费，但矿山规模化、设备更新、工艺优化、清洁电力替代和运输结构调整有利于降低单位产品碳排放强度。</w:t>
      </w:r>
    </w:p>
    <w:p w14:paraId="046523D6" w14:textId="77777777" w:rsidR="00232C37" w:rsidRDefault="00E8348F">
      <w:pPr>
        <w:ind w:firstLine="480"/>
      </w:pPr>
      <w:r>
        <w:t>应推动矿山机械和运输车辆电动化，推广高效电机、变频控制、余能利用和智能调度，加强页岩气井完井、试气、集输和返排液处理过程甲烷回收利用，结合矿区生态修复增加植被和土壤碳汇，实现减</w:t>
      </w:r>
      <w:proofErr w:type="gramStart"/>
      <w:r>
        <w:t>污降碳</w:t>
      </w:r>
      <w:proofErr w:type="gramEnd"/>
      <w:r>
        <w:t>协同。</w:t>
      </w:r>
    </w:p>
    <w:p w14:paraId="371C7673" w14:textId="77777777" w:rsidR="00232C37" w:rsidRDefault="00E8348F">
      <w:pPr>
        <w:pStyle w:val="afffc"/>
        <w:spacing w:before="60" w:after="60"/>
      </w:pPr>
      <w:r>
        <w:t xml:space="preserve">7.11 </w:t>
      </w:r>
      <w:r>
        <w:t>资源与环境承载力结论</w:t>
      </w:r>
    </w:p>
    <w:p w14:paraId="59F8EBF9" w14:textId="77777777" w:rsidR="00232C37" w:rsidRDefault="00E8348F">
      <w:pPr>
        <w:ind w:firstLine="480"/>
      </w:pPr>
      <w:r>
        <w:t>湖北省矿产资源规划布局与全省土地、水资源、能源利用和生态环境承载能力总体相适应。在严格落实国土空间用途管制、生态环境分区管控、环境准入、污染物排放控制和生态修复要求后，规划实施的新增资源环境压力总体可控。局部重点生态功能区、饮用水水源周边、磷矿和金属</w:t>
      </w:r>
      <w:proofErr w:type="gramStart"/>
      <w:r>
        <w:t>矿集中</w:t>
      </w:r>
      <w:proofErr w:type="gramEnd"/>
      <w:r>
        <w:t>区应严格控制开发强度和建设时序。</w:t>
      </w:r>
    </w:p>
    <w:p w14:paraId="3D819343" w14:textId="77777777" w:rsidR="00232C37" w:rsidRDefault="00E8348F">
      <w:pPr>
        <w:pStyle w:val="afffb"/>
        <w:spacing w:before="120" w:after="60"/>
      </w:pPr>
      <w:r>
        <w:lastRenderedPageBreak/>
        <w:t xml:space="preserve">8 </w:t>
      </w:r>
      <w:r>
        <w:t>重点矿种特定生态环境影响</w:t>
      </w:r>
    </w:p>
    <w:p w14:paraId="2EFB4915" w14:textId="77777777" w:rsidR="00232C37" w:rsidRDefault="00E8348F">
      <w:pPr>
        <w:pStyle w:val="afffc"/>
        <w:spacing w:before="60" w:after="60"/>
      </w:pPr>
      <w:r>
        <w:t xml:space="preserve">8.1 </w:t>
      </w:r>
      <w:r>
        <w:t>磷矿</w:t>
      </w:r>
    </w:p>
    <w:p w14:paraId="792F7900" w14:textId="77777777" w:rsidR="00232C37" w:rsidRDefault="00E8348F">
      <w:pPr>
        <w:ind w:firstLine="480"/>
      </w:pPr>
      <w:r>
        <w:t>湖北省磷矿资源集中分布于宜昌、襄阳、荆门和神农架等地区。磷矿开采产生的矿井水、洗矿废水和堆场淋溶水含悬浮物和总磷，若收集处理不到位可能增加长江、汉江及其支流水体总磷污染负荷。</w:t>
      </w:r>
    </w:p>
    <w:p w14:paraId="2D41F50E" w14:textId="77777777" w:rsidR="00232C37" w:rsidRDefault="00E8348F">
      <w:pPr>
        <w:ind w:firstLine="480"/>
      </w:pPr>
      <w:r>
        <w:t>磷矿应严格实施清污分流和分质处理，矿井水</w:t>
      </w:r>
      <w:proofErr w:type="gramStart"/>
      <w:r>
        <w:t>优先回</w:t>
      </w:r>
      <w:proofErr w:type="gramEnd"/>
      <w:r>
        <w:t>用于采选、</w:t>
      </w:r>
      <w:proofErr w:type="gramStart"/>
      <w:r>
        <w:t>抑尘和</w:t>
      </w:r>
      <w:proofErr w:type="gramEnd"/>
      <w:r>
        <w:t>生产补水，外排水严格执行湖北省磷矿开采行业水污染物排放要求。废石和低</w:t>
      </w:r>
      <w:proofErr w:type="gramStart"/>
      <w:r>
        <w:t>品位矿应分类</w:t>
      </w:r>
      <w:proofErr w:type="gramEnd"/>
      <w:r>
        <w:t>堆存和综合利用，矿区道路及堆场加强扬尘控制，地下开采同步开展地表沉陷和地下水监测。</w:t>
      </w:r>
    </w:p>
    <w:p w14:paraId="5662DDE5" w14:textId="77777777" w:rsidR="00232C37" w:rsidRDefault="00E8348F">
      <w:pPr>
        <w:pStyle w:val="afffc"/>
        <w:spacing w:before="60" w:after="60"/>
      </w:pPr>
      <w:r>
        <w:t xml:space="preserve">8.2 </w:t>
      </w:r>
      <w:r>
        <w:t>铁、铜及其他有色金属矿</w:t>
      </w:r>
    </w:p>
    <w:p w14:paraId="29E782CB" w14:textId="77777777" w:rsidR="00232C37" w:rsidRDefault="00E8348F">
      <w:pPr>
        <w:ind w:firstLine="480"/>
      </w:pPr>
      <w:r>
        <w:t>鄂东南是铁、铜、金、钨等金属</w:t>
      </w:r>
      <w:proofErr w:type="gramStart"/>
      <w:r>
        <w:t>矿集中</w:t>
      </w:r>
      <w:proofErr w:type="gramEnd"/>
      <w:r>
        <w:t>开发区。含硫矿物氧</w:t>
      </w:r>
      <w:proofErr w:type="gramStart"/>
      <w:r>
        <w:t>化可能</w:t>
      </w:r>
      <w:proofErr w:type="gramEnd"/>
      <w:r>
        <w:t>形成酸性废水并溶出铜、铅、锌、镉、砷等元素；含重金属粉尘沉降可能造成土壤累积影响；采空区、尾矿库和历史遗留废弃地增加环境风险。</w:t>
      </w:r>
    </w:p>
    <w:p w14:paraId="31916F1A" w14:textId="77777777" w:rsidR="00232C37" w:rsidRDefault="00E8348F">
      <w:pPr>
        <w:ind w:firstLine="480"/>
      </w:pPr>
      <w:r>
        <w:t>金属矿山应加强清洁生产审核和重金属总量控制，矿井水、选矿废水、废石场淋溶水和尾矿库渗滤液分类收集处理。选矿厂、尾矿库和</w:t>
      </w:r>
      <w:proofErr w:type="gramStart"/>
      <w:r>
        <w:t>危废</w:t>
      </w:r>
      <w:proofErr w:type="gramEnd"/>
      <w:r>
        <w:t>设施实施重点防渗，建立地下水和土壤监测网络，推进尾矿有价组分回收和采空区充填。</w:t>
      </w:r>
    </w:p>
    <w:p w14:paraId="33600B9E" w14:textId="77777777" w:rsidR="00232C37" w:rsidRDefault="00E8348F">
      <w:pPr>
        <w:pStyle w:val="afffc"/>
        <w:spacing w:before="60" w:after="60"/>
      </w:pPr>
      <w:r>
        <w:t xml:space="preserve">8.3 </w:t>
      </w:r>
      <w:r>
        <w:t>金矿</w:t>
      </w:r>
    </w:p>
    <w:p w14:paraId="06AA77B5" w14:textId="77777777" w:rsidR="00232C37" w:rsidRDefault="00E8348F">
      <w:pPr>
        <w:ind w:firstLine="480"/>
      </w:pPr>
      <w:r>
        <w:t>金矿选</w:t>
      </w:r>
      <w:proofErr w:type="gramStart"/>
      <w:r>
        <w:t>冶可能</w:t>
      </w:r>
      <w:proofErr w:type="gramEnd"/>
      <w:r>
        <w:t>产生含氰尾矿和含重金属废水。含氰尾矿应按照黄金行业污染控制要求进行脱氰处理，尾矿浆输送和储存系统设置泄漏监测、围堵和事故收集设施。严防尾矿进入河流、湖泊和农田，发生异常时及时开展土壤、地表水和地下水监测。</w:t>
      </w:r>
    </w:p>
    <w:p w14:paraId="54BEFCEC" w14:textId="77777777" w:rsidR="00232C37" w:rsidRDefault="00E8348F">
      <w:pPr>
        <w:pStyle w:val="afffc"/>
        <w:spacing w:before="60" w:after="60"/>
      </w:pPr>
      <w:r>
        <w:t xml:space="preserve">8.4 </w:t>
      </w:r>
      <w:r>
        <w:t>砂石和饰面石材</w:t>
      </w:r>
    </w:p>
    <w:p w14:paraId="3DF9BCFB" w14:textId="77777777" w:rsidR="00232C37" w:rsidRDefault="00E8348F">
      <w:pPr>
        <w:ind w:firstLine="480"/>
      </w:pPr>
      <w:r>
        <w:t>砂石和饰面石材多采用露天开采，主要影响为山体和景观改变、土地占用、粉尘、噪声和水土流失。矿山应严格按照开发利用方案实施台阶式开采，优化终了边坡和采场布局，实行表土单独剥离保存和</w:t>
      </w:r>
      <w:proofErr w:type="gramStart"/>
      <w:r>
        <w:t>边</w:t>
      </w:r>
      <w:proofErr w:type="gramEnd"/>
      <w:r>
        <w:t>开采边修复。</w:t>
      </w:r>
    </w:p>
    <w:p w14:paraId="30D3BB75" w14:textId="77777777" w:rsidR="00232C37" w:rsidRDefault="00E8348F">
      <w:pPr>
        <w:ind w:firstLine="480"/>
      </w:pPr>
      <w:r>
        <w:lastRenderedPageBreak/>
        <w:t>破碎筛分和输送系统应密闭或设置高效除尘设施，成品堆场采用封闭料棚或喷雾抑尘，运输车辆密闭并实施冲洗。废石和石粉优先用于机制砂、建材和工程回填，减少堆存占地。</w:t>
      </w:r>
    </w:p>
    <w:p w14:paraId="45CB3BEA" w14:textId="77777777" w:rsidR="00232C37" w:rsidRDefault="00E8348F">
      <w:pPr>
        <w:pStyle w:val="afffc"/>
        <w:spacing w:before="60" w:after="60"/>
      </w:pPr>
      <w:r>
        <w:t xml:space="preserve">8.5 </w:t>
      </w:r>
      <w:r>
        <w:t>页岩气</w:t>
      </w:r>
    </w:p>
    <w:p w14:paraId="20C653A1" w14:textId="77777777" w:rsidR="00232C37" w:rsidRDefault="00E8348F">
      <w:pPr>
        <w:ind w:firstLine="480"/>
      </w:pPr>
      <w:r>
        <w:t>页岩气开发可能产生较大的阶段性用水需求，并产生压裂返排液、油</w:t>
      </w:r>
      <w:proofErr w:type="gramStart"/>
      <w:r>
        <w:t>基钻屑</w:t>
      </w:r>
      <w:proofErr w:type="gramEnd"/>
      <w:r>
        <w:t>和废弃钻井泥浆。返排液矿化度较高，可能含有机添加剂和重金属，储存、转运和处置不当会对地表水、地下水和土壤造成风险。</w:t>
      </w:r>
    </w:p>
    <w:p w14:paraId="7383163C" w14:textId="77777777" w:rsidR="00232C37" w:rsidRDefault="00E8348F">
      <w:pPr>
        <w:ind w:firstLine="480"/>
      </w:pPr>
      <w:r>
        <w:t>井场和管线选址应避让生态敏感区，采用平台化、集约化井场布局，减少道路和管线占地。油基岩屑等危险废物依法委托有资质单位处置；返排液优先处理回用，确需回注的严格满足技术和地质条件要求。强化固井质量和甲烷逸散控制。</w:t>
      </w:r>
    </w:p>
    <w:p w14:paraId="06F8F855" w14:textId="77777777" w:rsidR="00232C37" w:rsidRDefault="00E8348F">
      <w:pPr>
        <w:pStyle w:val="afffc"/>
        <w:spacing w:before="60" w:after="60"/>
      </w:pPr>
      <w:r>
        <w:t xml:space="preserve">8.6 </w:t>
      </w:r>
      <w:r>
        <w:t>地热、矿泉水和天然卤水</w:t>
      </w:r>
    </w:p>
    <w:p w14:paraId="185B8429" w14:textId="77777777" w:rsidR="00232C37" w:rsidRDefault="00E8348F">
      <w:pPr>
        <w:ind w:firstLine="480"/>
      </w:pPr>
      <w:r>
        <w:t>地热、矿泉水和天然卤水开发需重点关注地下水资源量、水位变化、含水层串层、地面沉降和高矿化度尾水处置。井位、井距和开采量应依据资源评价和水资源论证确定，严禁超许可规模开采。</w:t>
      </w:r>
    </w:p>
    <w:p w14:paraId="09E9E3FA" w14:textId="77777777" w:rsidR="00232C37" w:rsidRDefault="00E8348F">
      <w:pPr>
        <w:ind w:firstLine="480"/>
      </w:pPr>
      <w:r>
        <w:t>地热尾水根据水质和地质条件实施梯级利用、处理排放或回灌；回灌不得污染其他含水层。无利用价值或停用井孔应按规范封井，防止形成含水层串联和污染通道。</w:t>
      </w:r>
    </w:p>
    <w:p w14:paraId="6CDBA172" w14:textId="77777777" w:rsidR="00232C37" w:rsidRDefault="00E8348F">
      <w:pPr>
        <w:pStyle w:val="afffb"/>
        <w:spacing w:before="120" w:after="60"/>
      </w:pPr>
      <w:r>
        <w:lastRenderedPageBreak/>
        <w:t xml:space="preserve">9 </w:t>
      </w:r>
      <w:r>
        <w:t>规划方案综合论证与优化调整建议</w:t>
      </w:r>
    </w:p>
    <w:p w14:paraId="40CD7206" w14:textId="77777777" w:rsidR="00232C37" w:rsidRDefault="00E8348F">
      <w:pPr>
        <w:pStyle w:val="afffc"/>
        <w:spacing w:before="60" w:after="60"/>
      </w:pPr>
      <w:r>
        <w:t xml:space="preserve">9.1 </w:t>
      </w:r>
      <w:r>
        <w:t>规划方案综合论证</w:t>
      </w:r>
    </w:p>
    <w:p w14:paraId="249C2154" w14:textId="77777777" w:rsidR="00232C37" w:rsidRDefault="00E8348F">
      <w:pPr>
        <w:ind w:firstLine="480"/>
      </w:pPr>
      <w:r>
        <w:t>规划以提高战略性矿产资源安全保障能力为重点，统筹资源勘查、开发利用、保护储备和绿色矿业发展，规划目标与湖北省经济社会发展需求和生态环境保护要求总体协调。四大勘查开发保护区域体现了资源禀赋、产业基础和生态环境特征差异，有利于促进资源规模化、集约化开发。</w:t>
      </w:r>
    </w:p>
    <w:p w14:paraId="14B7627E" w14:textId="77777777" w:rsidR="00232C37" w:rsidRDefault="00E8348F">
      <w:pPr>
        <w:ind w:firstLine="480"/>
      </w:pPr>
      <w:r>
        <w:t>部分规划部署与生态环境敏感区域存在空间交叉，可能产生一定生态环境影响。通过区块边界优化、严格环境准入、控制开发强度、改进勘查开采方式、落实污染防治和生态修复措施，可以预防或减缓上述影响。</w:t>
      </w:r>
    </w:p>
    <w:p w14:paraId="5A4A407B" w14:textId="77777777" w:rsidR="00232C37" w:rsidRDefault="00E8348F">
      <w:pPr>
        <w:pStyle w:val="afffc"/>
        <w:spacing w:before="60" w:after="60"/>
      </w:pPr>
      <w:r>
        <w:t xml:space="preserve">9.2 </w:t>
      </w:r>
      <w:r>
        <w:t>优化调整建议</w:t>
      </w:r>
    </w:p>
    <w:p w14:paraId="6D989E2D" w14:textId="77777777" w:rsidR="00232C37" w:rsidRDefault="00E8348F">
      <w:pPr>
        <w:pStyle w:val="affff"/>
        <w:spacing w:before="156" w:after="156"/>
      </w:pPr>
      <w:r>
        <w:t>表</w:t>
      </w:r>
      <w:r>
        <w:t xml:space="preserve">9.2-1 </w:t>
      </w:r>
      <w:r>
        <w:t>规划优化调整建议</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4A0" w:firstRow="1" w:lastRow="0" w:firstColumn="1" w:lastColumn="0" w:noHBand="0" w:noVBand="1"/>
      </w:tblPr>
      <w:tblGrid>
        <w:gridCol w:w="2118"/>
        <w:gridCol w:w="6188"/>
      </w:tblGrid>
      <w:tr w:rsidR="00232C37" w14:paraId="2C6C00B0" w14:textId="77777777">
        <w:trPr>
          <w:tblHeader/>
          <w:jc w:val="center"/>
        </w:trPr>
        <w:tc>
          <w:tcPr>
            <w:tcW w:w="2118" w:type="dxa"/>
            <w:tcBorders>
              <w:top w:val="single" w:sz="4" w:space="0" w:color="000000"/>
              <w:left w:val="single" w:sz="4" w:space="0" w:color="000000"/>
              <w:bottom w:val="single" w:sz="4" w:space="0" w:color="000000"/>
              <w:right w:val="single" w:sz="4" w:space="0" w:color="000000"/>
            </w:tcBorders>
            <w:shd w:val="clear" w:color="auto" w:fill="E7E6E6"/>
            <w:tcMar>
              <w:top w:w="90" w:type="dxa"/>
              <w:left w:w="100" w:type="dxa"/>
              <w:bottom w:w="90" w:type="dxa"/>
              <w:right w:w="100" w:type="dxa"/>
            </w:tcMar>
            <w:vAlign w:val="center"/>
          </w:tcPr>
          <w:p w14:paraId="12F908FB" w14:textId="77777777" w:rsidR="00232C37" w:rsidRDefault="00E8348F">
            <w:pPr>
              <w:spacing w:line="276" w:lineRule="auto"/>
              <w:ind w:firstLine="422"/>
              <w:jc w:val="center"/>
            </w:pPr>
            <w:r>
              <w:rPr>
                <w:rFonts w:cs="Times New Roman"/>
                <w:b/>
                <w:sz w:val="21"/>
              </w:rPr>
              <w:t>优化方向</w:t>
            </w:r>
          </w:p>
        </w:tc>
        <w:tc>
          <w:tcPr>
            <w:tcW w:w="6188" w:type="dxa"/>
            <w:tcBorders>
              <w:top w:val="single" w:sz="4" w:space="0" w:color="000000"/>
              <w:left w:val="single" w:sz="4" w:space="0" w:color="000000"/>
              <w:bottom w:val="single" w:sz="4" w:space="0" w:color="000000"/>
              <w:right w:val="single" w:sz="4" w:space="0" w:color="000000"/>
            </w:tcBorders>
            <w:shd w:val="clear" w:color="auto" w:fill="E7E6E6"/>
            <w:tcMar>
              <w:top w:w="90" w:type="dxa"/>
              <w:left w:w="100" w:type="dxa"/>
              <w:bottom w:w="90" w:type="dxa"/>
              <w:right w:w="100" w:type="dxa"/>
            </w:tcMar>
            <w:vAlign w:val="center"/>
          </w:tcPr>
          <w:p w14:paraId="76DA368F" w14:textId="77777777" w:rsidR="00232C37" w:rsidRDefault="00E8348F">
            <w:pPr>
              <w:spacing w:line="276" w:lineRule="auto"/>
              <w:ind w:firstLine="422"/>
              <w:jc w:val="center"/>
            </w:pPr>
            <w:r>
              <w:rPr>
                <w:rFonts w:cs="Times New Roman"/>
                <w:b/>
                <w:sz w:val="21"/>
              </w:rPr>
              <w:t>主要建议</w:t>
            </w:r>
          </w:p>
        </w:tc>
      </w:tr>
      <w:tr w:rsidR="00232C37" w14:paraId="59DDD51E" w14:textId="77777777">
        <w:trPr>
          <w:jc w:val="center"/>
        </w:trPr>
        <w:tc>
          <w:tcPr>
            <w:tcW w:w="211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466339C7" w14:textId="77777777" w:rsidR="00232C37" w:rsidRDefault="00E8348F">
            <w:pPr>
              <w:spacing w:line="276" w:lineRule="auto"/>
              <w:ind w:firstLine="420"/>
              <w:jc w:val="center"/>
            </w:pPr>
            <w:r>
              <w:rPr>
                <w:rFonts w:cs="Times New Roman"/>
                <w:sz w:val="21"/>
              </w:rPr>
              <w:t>生态保护红线</w:t>
            </w:r>
          </w:p>
        </w:tc>
        <w:tc>
          <w:tcPr>
            <w:tcW w:w="618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67AC58F6" w14:textId="77777777" w:rsidR="00232C37" w:rsidRDefault="00E8348F">
            <w:pPr>
              <w:spacing w:line="276" w:lineRule="auto"/>
              <w:ind w:firstLine="420"/>
              <w:jc w:val="left"/>
            </w:pPr>
            <w:r>
              <w:rPr>
                <w:rFonts w:cs="Times New Roman"/>
                <w:sz w:val="21"/>
              </w:rPr>
              <w:t>新设矿业权依法避让；除国家规定允许的有限人为活动和重大项目外，禁止不符合管</w:t>
            </w:r>
            <w:proofErr w:type="gramStart"/>
            <w:r>
              <w:rPr>
                <w:rFonts w:cs="Times New Roman"/>
                <w:sz w:val="21"/>
              </w:rPr>
              <w:t>控要求</w:t>
            </w:r>
            <w:proofErr w:type="gramEnd"/>
            <w:r>
              <w:rPr>
                <w:rFonts w:cs="Times New Roman"/>
                <w:sz w:val="21"/>
              </w:rPr>
              <w:t>的勘查开发</w:t>
            </w:r>
          </w:p>
        </w:tc>
      </w:tr>
      <w:tr w:rsidR="00232C37" w14:paraId="31E8963C" w14:textId="77777777">
        <w:trPr>
          <w:jc w:val="center"/>
        </w:trPr>
        <w:tc>
          <w:tcPr>
            <w:tcW w:w="211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2E45D47D" w14:textId="77777777" w:rsidR="00232C37" w:rsidRDefault="00E8348F">
            <w:pPr>
              <w:spacing w:line="276" w:lineRule="auto"/>
              <w:ind w:firstLine="420"/>
              <w:jc w:val="center"/>
            </w:pPr>
            <w:r>
              <w:rPr>
                <w:rFonts w:cs="Times New Roman"/>
                <w:sz w:val="21"/>
              </w:rPr>
              <w:t>自然保护地</w:t>
            </w:r>
          </w:p>
        </w:tc>
        <w:tc>
          <w:tcPr>
            <w:tcW w:w="618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47F58B2A" w14:textId="77777777" w:rsidR="00232C37" w:rsidRDefault="00E8348F">
            <w:pPr>
              <w:spacing w:line="276" w:lineRule="auto"/>
              <w:ind w:firstLine="420"/>
              <w:jc w:val="left"/>
            </w:pPr>
            <w:r>
              <w:rPr>
                <w:rFonts w:cs="Times New Roman"/>
                <w:sz w:val="21"/>
              </w:rPr>
              <w:t>核心保护区禁止矿产勘查开发；一般控制区按照保护地类型和法规严格限制</w:t>
            </w:r>
          </w:p>
        </w:tc>
      </w:tr>
      <w:tr w:rsidR="00232C37" w14:paraId="1A610294" w14:textId="77777777">
        <w:trPr>
          <w:jc w:val="center"/>
        </w:trPr>
        <w:tc>
          <w:tcPr>
            <w:tcW w:w="211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42D85CAE" w14:textId="77777777" w:rsidR="00232C37" w:rsidRDefault="00E8348F">
            <w:pPr>
              <w:spacing w:line="276" w:lineRule="auto"/>
              <w:ind w:firstLine="420"/>
              <w:jc w:val="center"/>
            </w:pPr>
            <w:r>
              <w:rPr>
                <w:rFonts w:cs="Times New Roman"/>
                <w:sz w:val="21"/>
              </w:rPr>
              <w:t>饮用水水源</w:t>
            </w:r>
          </w:p>
        </w:tc>
        <w:tc>
          <w:tcPr>
            <w:tcW w:w="618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016853BC" w14:textId="77777777" w:rsidR="00232C37" w:rsidRDefault="00E8348F">
            <w:pPr>
              <w:spacing w:line="276" w:lineRule="auto"/>
              <w:ind w:firstLine="420"/>
              <w:jc w:val="left"/>
            </w:pPr>
            <w:r>
              <w:rPr>
                <w:rFonts w:cs="Times New Roman"/>
                <w:sz w:val="21"/>
              </w:rPr>
              <w:t>依法避让一级、二级保护区；准保护区和汇水区严格开展水环境影响论证</w:t>
            </w:r>
          </w:p>
        </w:tc>
      </w:tr>
      <w:tr w:rsidR="00232C37" w14:paraId="4D96BE43" w14:textId="77777777">
        <w:trPr>
          <w:jc w:val="center"/>
        </w:trPr>
        <w:tc>
          <w:tcPr>
            <w:tcW w:w="211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16ACB2D9" w14:textId="77777777" w:rsidR="00232C37" w:rsidRDefault="00E8348F">
            <w:pPr>
              <w:spacing w:line="276" w:lineRule="auto"/>
              <w:ind w:firstLine="420"/>
              <w:jc w:val="center"/>
            </w:pPr>
            <w:r>
              <w:rPr>
                <w:rFonts w:cs="Times New Roman"/>
                <w:sz w:val="21"/>
              </w:rPr>
              <w:t>永久基本农田</w:t>
            </w:r>
          </w:p>
        </w:tc>
        <w:tc>
          <w:tcPr>
            <w:tcW w:w="618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7A55EDF5" w14:textId="77777777" w:rsidR="00232C37" w:rsidRDefault="00E8348F">
            <w:pPr>
              <w:spacing w:line="276" w:lineRule="auto"/>
              <w:ind w:firstLine="420"/>
              <w:jc w:val="left"/>
            </w:pPr>
            <w:r>
              <w:rPr>
                <w:rFonts w:cs="Times New Roman"/>
                <w:sz w:val="21"/>
              </w:rPr>
              <w:t>按矿种和开发方式依法分类处置，控制临时占用并及时复垦，地面工业场地原则上避让</w:t>
            </w:r>
          </w:p>
        </w:tc>
      </w:tr>
      <w:tr w:rsidR="00232C37" w14:paraId="25B5E105" w14:textId="77777777">
        <w:trPr>
          <w:jc w:val="center"/>
        </w:trPr>
        <w:tc>
          <w:tcPr>
            <w:tcW w:w="211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2B0DE1F0" w14:textId="77777777" w:rsidR="00232C37" w:rsidRDefault="00E8348F">
            <w:pPr>
              <w:spacing w:line="276" w:lineRule="auto"/>
              <w:ind w:firstLine="420"/>
              <w:jc w:val="center"/>
            </w:pPr>
            <w:r>
              <w:rPr>
                <w:rFonts w:cs="Times New Roman"/>
                <w:sz w:val="21"/>
              </w:rPr>
              <w:t>天然林和公益林</w:t>
            </w:r>
          </w:p>
        </w:tc>
        <w:tc>
          <w:tcPr>
            <w:tcW w:w="618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4EA1869C" w14:textId="77777777" w:rsidR="00232C37" w:rsidRDefault="00E8348F">
            <w:pPr>
              <w:spacing w:line="276" w:lineRule="auto"/>
              <w:ind w:firstLine="420"/>
              <w:jc w:val="left"/>
            </w:pPr>
            <w:r>
              <w:rPr>
                <w:rFonts w:cs="Times New Roman"/>
                <w:sz w:val="21"/>
              </w:rPr>
              <w:t>优先优化区块边界和工程布置，减少林地占用；确需使用的依法办理手续</w:t>
            </w:r>
          </w:p>
        </w:tc>
      </w:tr>
      <w:tr w:rsidR="00232C37" w14:paraId="2E8AC9E2" w14:textId="77777777">
        <w:trPr>
          <w:jc w:val="center"/>
        </w:trPr>
        <w:tc>
          <w:tcPr>
            <w:tcW w:w="211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4D864832" w14:textId="77777777" w:rsidR="00232C37" w:rsidRDefault="00E8348F">
            <w:pPr>
              <w:spacing w:line="276" w:lineRule="auto"/>
              <w:ind w:firstLine="420"/>
              <w:jc w:val="center"/>
            </w:pPr>
            <w:r>
              <w:rPr>
                <w:rFonts w:cs="Times New Roman"/>
                <w:sz w:val="21"/>
              </w:rPr>
              <w:t>分区管控单元</w:t>
            </w:r>
          </w:p>
        </w:tc>
        <w:tc>
          <w:tcPr>
            <w:tcW w:w="618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338C75AA" w14:textId="77777777" w:rsidR="00232C37" w:rsidRDefault="00E8348F">
            <w:pPr>
              <w:spacing w:line="276" w:lineRule="auto"/>
              <w:ind w:firstLine="420"/>
              <w:jc w:val="left"/>
            </w:pPr>
            <w:r>
              <w:rPr>
                <w:rFonts w:cs="Times New Roman"/>
                <w:sz w:val="21"/>
              </w:rPr>
              <w:t>优先保护单元严控开发强度；重点管控单元强化排放和风险控制；一般单元落实基本要求</w:t>
            </w:r>
          </w:p>
        </w:tc>
      </w:tr>
      <w:tr w:rsidR="00232C37" w14:paraId="43751D98" w14:textId="77777777">
        <w:trPr>
          <w:jc w:val="center"/>
        </w:trPr>
        <w:tc>
          <w:tcPr>
            <w:tcW w:w="211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1D6FB5C0" w14:textId="77777777" w:rsidR="00232C37" w:rsidRDefault="00E8348F">
            <w:pPr>
              <w:spacing w:line="276" w:lineRule="auto"/>
              <w:ind w:firstLine="420"/>
              <w:jc w:val="center"/>
            </w:pPr>
            <w:r>
              <w:rPr>
                <w:rFonts w:cs="Times New Roman"/>
                <w:sz w:val="21"/>
              </w:rPr>
              <w:t>动态管理</w:t>
            </w:r>
          </w:p>
        </w:tc>
        <w:tc>
          <w:tcPr>
            <w:tcW w:w="6188" w:type="dxa"/>
            <w:tcBorders>
              <w:top w:val="single" w:sz="4" w:space="0" w:color="000000"/>
              <w:left w:val="single" w:sz="4" w:space="0" w:color="000000"/>
              <w:bottom w:val="single" w:sz="4" w:space="0" w:color="000000"/>
              <w:right w:val="single" w:sz="4" w:space="0" w:color="000000"/>
            </w:tcBorders>
            <w:tcMar>
              <w:top w:w="90" w:type="dxa"/>
              <w:left w:w="100" w:type="dxa"/>
              <w:bottom w:w="90" w:type="dxa"/>
              <w:right w:w="100" w:type="dxa"/>
            </w:tcMar>
            <w:vAlign w:val="center"/>
          </w:tcPr>
          <w:p w14:paraId="619C47A3" w14:textId="77777777" w:rsidR="00232C37" w:rsidRDefault="00E8348F">
            <w:pPr>
              <w:spacing w:line="276" w:lineRule="auto"/>
              <w:ind w:firstLine="420"/>
              <w:jc w:val="left"/>
            </w:pPr>
            <w:r>
              <w:rPr>
                <w:rFonts w:cs="Times New Roman"/>
                <w:sz w:val="21"/>
              </w:rPr>
              <w:t>矿业权出让和项目实施前使用最新敏感区数据复核，不符合管</w:t>
            </w:r>
            <w:proofErr w:type="gramStart"/>
            <w:r>
              <w:rPr>
                <w:rFonts w:cs="Times New Roman"/>
                <w:sz w:val="21"/>
              </w:rPr>
              <w:t>控要求</w:t>
            </w:r>
            <w:proofErr w:type="gramEnd"/>
            <w:r>
              <w:rPr>
                <w:rFonts w:cs="Times New Roman"/>
                <w:sz w:val="21"/>
              </w:rPr>
              <w:t>的及时调整或停止实施</w:t>
            </w:r>
          </w:p>
        </w:tc>
      </w:tr>
    </w:tbl>
    <w:p w14:paraId="7EFD20D7" w14:textId="77777777" w:rsidR="00232C37" w:rsidRDefault="00232C37">
      <w:pPr>
        <w:ind w:firstLine="480"/>
      </w:pPr>
    </w:p>
    <w:p w14:paraId="4FE1C307" w14:textId="77777777" w:rsidR="00232C37" w:rsidRDefault="00E8348F">
      <w:pPr>
        <w:pStyle w:val="afffb"/>
        <w:spacing w:before="120" w:after="60"/>
      </w:pPr>
      <w:r>
        <w:lastRenderedPageBreak/>
        <w:t xml:space="preserve">10 </w:t>
      </w:r>
      <w:r>
        <w:t>环境影响预防和减缓措施</w:t>
      </w:r>
    </w:p>
    <w:p w14:paraId="2303C52D" w14:textId="77777777" w:rsidR="00232C37" w:rsidRDefault="00E8348F">
      <w:pPr>
        <w:pStyle w:val="afffc"/>
        <w:spacing w:before="60" w:after="60"/>
      </w:pPr>
      <w:r>
        <w:t xml:space="preserve">10.1 </w:t>
      </w:r>
      <w:r>
        <w:t>空间管控与环境准入</w:t>
      </w:r>
    </w:p>
    <w:p w14:paraId="62B01CD2" w14:textId="77777777" w:rsidR="00232C37" w:rsidRDefault="00E8348F">
      <w:pPr>
        <w:ind w:firstLine="480"/>
      </w:pPr>
      <w:r>
        <w:t>坚持生态优先和保护优先，按照避让、减缓、修复、补偿的顺序落实生态环境保护。将生态保护红线、自然保护</w:t>
      </w:r>
      <w:proofErr w:type="gramStart"/>
      <w:r>
        <w:t>地核心</w:t>
      </w:r>
      <w:proofErr w:type="gramEnd"/>
      <w:r>
        <w:t>保护区、饮用水水源保护区等依法禁止勘查开采区域作为刚性约束，将生态环境分区管控和国土空间用途管制要求落实到矿业权设置、项目选址和建设运营全过程。</w:t>
      </w:r>
    </w:p>
    <w:p w14:paraId="194E9D73" w14:textId="77777777" w:rsidR="00232C37" w:rsidRDefault="00E8348F">
      <w:pPr>
        <w:ind w:firstLine="480"/>
      </w:pPr>
      <w:r>
        <w:t>新设矿业权和建设项目实施前应开展空间叠加核查，确认与永久基本农田、天然林、公益林、重要湿地、水环境和大气环境优先保护区的关系。对不能满足管</w:t>
      </w:r>
      <w:proofErr w:type="gramStart"/>
      <w:r>
        <w:t>控要求</w:t>
      </w:r>
      <w:proofErr w:type="gramEnd"/>
      <w:r>
        <w:t>的规划区块和项目，应调整边界、改变开发方式、暂缓实施或退出。</w:t>
      </w:r>
    </w:p>
    <w:p w14:paraId="77FB1399" w14:textId="77777777" w:rsidR="00232C37" w:rsidRDefault="00E8348F">
      <w:pPr>
        <w:pStyle w:val="afffc"/>
        <w:spacing w:before="60" w:after="60"/>
      </w:pPr>
      <w:r>
        <w:t xml:space="preserve">10.2 </w:t>
      </w:r>
      <w:r>
        <w:t>绿色勘查</w:t>
      </w:r>
    </w:p>
    <w:p w14:paraId="762BD814" w14:textId="77777777" w:rsidR="00232C37" w:rsidRDefault="00E8348F">
      <w:pPr>
        <w:ind w:firstLine="480"/>
      </w:pPr>
      <w:r>
        <w:t>优先采用遥感、物探、</w:t>
      </w:r>
      <w:proofErr w:type="gramStart"/>
      <w:r>
        <w:t>化探和便携式</w:t>
      </w:r>
      <w:proofErr w:type="gramEnd"/>
      <w:r>
        <w:t>钻探等低扰动技术，减少槽探、坑探和新建便道。勘查设计阶段开展环境预评价，合理布置钻孔和作业平台；施工阶段做好表土剥离、泥浆循环、油污防控和废物分类收集；施工结束后及时封孔、拆除设施和恢复植被。</w:t>
      </w:r>
    </w:p>
    <w:p w14:paraId="0B0D6F14" w14:textId="77777777" w:rsidR="00232C37" w:rsidRDefault="00E8348F">
      <w:pPr>
        <w:pStyle w:val="afffc"/>
        <w:spacing w:before="60" w:after="60"/>
      </w:pPr>
      <w:r>
        <w:t xml:space="preserve">10.3 </w:t>
      </w:r>
      <w:r>
        <w:t>大气污染防治</w:t>
      </w:r>
    </w:p>
    <w:p w14:paraId="1D6B16D4" w14:textId="77777777" w:rsidR="00232C37" w:rsidRDefault="00E8348F">
      <w:pPr>
        <w:ind w:firstLine="480"/>
      </w:pPr>
      <w:r>
        <w:t>矿石开采各</w:t>
      </w:r>
      <w:proofErr w:type="gramStart"/>
      <w:r>
        <w:t>产尘点</w:t>
      </w:r>
      <w:proofErr w:type="gramEnd"/>
      <w:r>
        <w:t>采用湿式作业；爆破优化参数并进行预湿；破碎筛分、转载和输送环节实施密闭、负压收集和高效除尘；排土场、废石场和堆料场采取覆盖、喷淋或防风措施。矿区道路硬化或稳定化，配备洒水和车辆冲洗设施，运输车辆密闭。</w:t>
      </w:r>
    </w:p>
    <w:p w14:paraId="30577E36" w14:textId="77777777" w:rsidR="00232C37" w:rsidRDefault="00E8348F">
      <w:pPr>
        <w:ind w:firstLine="480"/>
      </w:pPr>
      <w:r>
        <w:t>加强非道路移动机械排放管理，禁止使用超过排放标准的设备。涉重金属矿山还应控制含重金属粉尘无组织排放，必要时开展周边土壤和大气沉降监测。</w:t>
      </w:r>
    </w:p>
    <w:p w14:paraId="2791A420" w14:textId="77777777" w:rsidR="00232C37" w:rsidRDefault="00E8348F">
      <w:pPr>
        <w:pStyle w:val="afffc"/>
        <w:spacing w:before="60" w:after="60"/>
      </w:pPr>
      <w:r>
        <w:t xml:space="preserve">10.4 </w:t>
      </w:r>
      <w:r>
        <w:t>水污染防治</w:t>
      </w:r>
    </w:p>
    <w:p w14:paraId="1952368B" w14:textId="77777777" w:rsidR="00232C37" w:rsidRDefault="00E8348F">
      <w:pPr>
        <w:ind w:firstLine="480"/>
      </w:pPr>
      <w:r>
        <w:t>采场、工业场地、尾矿库和废石场合理设置</w:t>
      </w:r>
      <w:proofErr w:type="gramStart"/>
      <w:r>
        <w:t>截</w:t>
      </w:r>
      <w:proofErr w:type="gramEnd"/>
      <w:r>
        <w:t>排水系统，减少清洁雨水进入污染区域。矿井涌水、选矿废水、初期雨水和生活污水分类收集处理，</w:t>
      </w:r>
      <w:proofErr w:type="gramStart"/>
      <w:r>
        <w:t>优先回</w:t>
      </w:r>
      <w:proofErr w:type="gramEnd"/>
      <w:r>
        <w:t>用于生产、</w:t>
      </w:r>
      <w:proofErr w:type="gramStart"/>
      <w:r>
        <w:t>抑尘和</w:t>
      </w:r>
      <w:proofErr w:type="gramEnd"/>
      <w:r>
        <w:t>绿化；外排水严格执行相应行业、流域和地方标准。</w:t>
      </w:r>
    </w:p>
    <w:p w14:paraId="020340F3" w14:textId="77777777" w:rsidR="00232C37" w:rsidRDefault="00E8348F">
      <w:pPr>
        <w:ind w:firstLine="480"/>
      </w:pPr>
      <w:r>
        <w:lastRenderedPageBreak/>
        <w:t>重金属矿山根据废水性质采用中和、混凝沉淀、吸附、膜分离等组合工艺；磷矿重点控制总磷；盐卤和地热开发重点控制高矿化度尾水。尾矿库和废石场淋溶水全部收集，处理后回用或达标排放。</w:t>
      </w:r>
    </w:p>
    <w:p w14:paraId="51DF6492" w14:textId="77777777" w:rsidR="00232C37" w:rsidRDefault="00E8348F">
      <w:pPr>
        <w:pStyle w:val="afffc"/>
        <w:spacing w:before="60" w:after="60"/>
      </w:pPr>
      <w:r>
        <w:t xml:space="preserve">10.5 </w:t>
      </w:r>
      <w:r>
        <w:t>地下水和土壤污染防治</w:t>
      </w:r>
    </w:p>
    <w:p w14:paraId="02221B06" w14:textId="77777777" w:rsidR="00232C37" w:rsidRDefault="00E8348F">
      <w:pPr>
        <w:ind w:firstLine="480"/>
      </w:pPr>
      <w:r>
        <w:t>按照污染风险实施分区防渗，重点加强选矿厂、尾矿库、废石场、</w:t>
      </w:r>
      <w:proofErr w:type="gramStart"/>
      <w:r>
        <w:t>危废暂存</w:t>
      </w:r>
      <w:proofErr w:type="gramEnd"/>
      <w:r>
        <w:t>区、</w:t>
      </w:r>
      <w:proofErr w:type="gramStart"/>
      <w:r>
        <w:t>页岩气返排液</w:t>
      </w:r>
      <w:proofErr w:type="gramEnd"/>
      <w:r>
        <w:t>设施和药剂储存区防渗。建立地下水和土壤跟踪监测制度，发现污染趋势及时调查并采取源头控制、阻隔和修复措施。</w:t>
      </w:r>
    </w:p>
    <w:p w14:paraId="71736176" w14:textId="77777777" w:rsidR="00232C37" w:rsidRDefault="00E8348F">
      <w:pPr>
        <w:pStyle w:val="afffc"/>
        <w:spacing w:before="60" w:after="60"/>
      </w:pPr>
      <w:r>
        <w:t xml:space="preserve">10.6 </w:t>
      </w:r>
      <w:r>
        <w:t>噪声和振动控制</w:t>
      </w:r>
    </w:p>
    <w:p w14:paraId="726ED31E" w14:textId="77777777" w:rsidR="00232C37" w:rsidRDefault="00E8348F">
      <w:pPr>
        <w:ind w:firstLine="480"/>
      </w:pPr>
      <w:r>
        <w:t>选用低噪声设备，对破碎机、风机、空压机等采取基础减振、隔声和消声措施。合理布置工业场地和运输道路，利用地形及绿化带降低传播。爆破作业合理</w:t>
      </w:r>
      <w:proofErr w:type="gramStart"/>
      <w:r>
        <w:t>控制单段药量</w:t>
      </w:r>
      <w:proofErr w:type="gramEnd"/>
      <w:r>
        <w:t>和起爆时序，避开居民休息时段，依法落实安全警戒。</w:t>
      </w:r>
    </w:p>
    <w:p w14:paraId="20A6225B" w14:textId="77777777" w:rsidR="00232C37" w:rsidRDefault="00E8348F">
      <w:pPr>
        <w:pStyle w:val="afffc"/>
        <w:spacing w:before="60" w:after="60"/>
      </w:pPr>
      <w:r>
        <w:t xml:space="preserve">10.7 </w:t>
      </w:r>
      <w:r>
        <w:t>固体废物综合利用和处置</w:t>
      </w:r>
    </w:p>
    <w:p w14:paraId="2080CBA9" w14:textId="77777777" w:rsidR="00232C37" w:rsidRDefault="00E8348F">
      <w:pPr>
        <w:ind w:firstLine="480"/>
      </w:pPr>
      <w:r>
        <w:t>对废石、尾矿、污泥和钻井废物分类管理，开展性质鉴别和利用可行性论证。鼓励尾矿再选、有价元素回收、井下充填、建材利用和矿地复垦利用。固体废物贮存设施满足防扬散、防流失、防渗漏和稳定性要求。危险废物建立台账和转移联单，交由有资质单位利用处置。</w:t>
      </w:r>
    </w:p>
    <w:p w14:paraId="0811DAA1" w14:textId="77777777" w:rsidR="00232C37" w:rsidRDefault="00E8348F">
      <w:pPr>
        <w:pStyle w:val="afffc"/>
        <w:spacing w:before="60" w:after="60"/>
      </w:pPr>
      <w:r>
        <w:t xml:space="preserve">10.8 </w:t>
      </w:r>
      <w:r>
        <w:t>生态保护与修复</w:t>
      </w:r>
    </w:p>
    <w:p w14:paraId="2FFD09DD" w14:textId="77777777" w:rsidR="00232C37" w:rsidRDefault="00E8348F">
      <w:pPr>
        <w:ind w:firstLine="480"/>
      </w:pPr>
      <w:r>
        <w:t>矿山建设严格控制扰动范围，表土分层剥离、集中保存并用于复垦。露天采场实施台阶式开采和边坡稳定治理，排土场设置拦挡、截排水和植被恢复工程。地下矿山加强地表沉陷监测和采空区治理。临时占地在施工结束后及时恢复。</w:t>
      </w:r>
    </w:p>
    <w:p w14:paraId="19701FAE" w14:textId="77777777" w:rsidR="00232C37" w:rsidRDefault="00E8348F">
      <w:pPr>
        <w:ind w:firstLine="480"/>
      </w:pPr>
      <w:r>
        <w:t>生产矿山严格执行矿山地质环境保护与土地复垦方案，计提并规范使用治理恢复基金，做到边开采、边治理、边修复。矿山闭坑前完成生态修复并依法验收，建立修复后长期管护和成效评估机制。</w:t>
      </w:r>
    </w:p>
    <w:p w14:paraId="7D7C191E" w14:textId="77777777" w:rsidR="00232C37" w:rsidRDefault="00E8348F">
      <w:pPr>
        <w:pStyle w:val="afffc"/>
        <w:spacing w:before="60" w:after="60"/>
      </w:pPr>
      <w:r>
        <w:t xml:space="preserve">10.9 </w:t>
      </w:r>
      <w:r>
        <w:t>环境风险防范</w:t>
      </w:r>
    </w:p>
    <w:p w14:paraId="1CDC9BF8" w14:textId="77777777" w:rsidR="00232C37" w:rsidRDefault="00E8348F">
      <w:pPr>
        <w:ind w:firstLine="480"/>
      </w:pPr>
      <w:r>
        <w:t>尾矿库、废石场、矿井水处理设施、危险废物设施和</w:t>
      </w:r>
      <w:proofErr w:type="gramStart"/>
      <w:r>
        <w:t>页岩气返排液</w:t>
      </w:r>
      <w:proofErr w:type="gramEnd"/>
      <w:r>
        <w:t>设施建立风险分级管控和隐患排查制度，完善在线监测、事故池、截流设施、应急物资和应急</w:t>
      </w:r>
      <w:r>
        <w:lastRenderedPageBreak/>
        <w:t>通信。制定突发环境事件应急预案并定期演练，加强与地方政府和流域上下游单位联防联控。</w:t>
      </w:r>
    </w:p>
    <w:p w14:paraId="56584D89" w14:textId="77777777" w:rsidR="00232C37" w:rsidRDefault="00E8348F">
      <w:pPr>
        <w:pStyle w:val="afffc"/>
        <w:spacing w:before="60" w:after="60"/>
      </w:pPr>
      <w:r>
        <w:t xml:space="preserve">10.10 </w:t>
      </w:r>
      <w:r>
        <w:t>绿色矿山与减</w:t>
      </w:r>
      <w:proofErr w:type="gramStart"/>
      <w:r>
        <w:t>污降碳</w:t>
      </w:r>
      <w:proofErr w:type="gramEnd"/>
    </w:p>
    <w:p w14:paraId="14A375CF" w14:textId="77777777" w:rsidR="00232C37" w:rsidRDefault="00E8348F">
      <w:pPr>
        <w:ind w:firstLine="480"/>
      </w:pPr>
      <w:r>
        <w:t>新建矿山按照绿色矿山标准建设，生产矿山分级分类推进绿色化改造。推广先进适用的采选技术、智能化控制和资源综合利用工艺，提高单位资源产出效率。推进矿山机械和车辆电动化，优化能源结构，控制油气开发甲烷逸散，形成节能、降污、</w:t>
      </w:r>
      <w:proofErr w:type="gramStart"/>
      <w:r>
        <w:t>减碳协同</w:t>
      </w:r>
      <w:proofErr w:type="gramEnd"/>
      <w:r>
        <w:t>的绿色矿业发展模式。</w:t>
      </w:r>
    </w:p>
    <w:p w14:paraId="5DEB5566" w14:textId="77777777" w:rsidR="00232C37" w:rsidRDefault="00E8348F">
      <w:pPr>
        <w:pStyle w:val="afffb"/>
        <w:spacing w:before="120" w:after="60"/>
      </w:pPr>
      <w:r>
        <w:lastRenderedPageBreak/>
        <w:t xml:space="preserve">11 </w:t>
      </w:r>
      <w:r>
        <w:t>环境影响跟踪评价</w:t>
      </w:r>
    </w:p>
    <w:p w14:paraId="283803AC" w14:textId="77777777" w:rsidR="00232C37" w:rsidRDefault="00E8348F">
      <w:pPr>
        <w:pStyle w:val="afffc"/>
        <w:spacing w:before="60" w:after="60"/>
      </w:pPr>
      <w:r>
        <w:t xml:space="preserve">11.1 </w:t>
      </w:r>
      <w:r>
        <w:t>跟踪评价目的</w:t>
      </w:r>
    </w:p>
    <w:p w14:paraId="07F19A41" w14:textId="77777777" w:rsidR="00232C37" w:rsidRDefault="00E8348F">
      <w:pPr>
        <w:ind w:firstLine="480"/>
      </w:pPr>
      <w:r>
        <w:t>规划编制机关应依法组织开展规划环境影响跟踪评价，掌握规划实施进度、空间布局变化、资源环境压力和生态环境质量变化，评估规划环评及审查意见落实效果。当实际环境影响超过预测、管</w:t>
      </w:r>
      <w:proofErr w:type="gramStart"/>
      <w:r>
        <w:t>控政策</w:t>
      </w:r>
      <w:proofErr w:type="gramEnd"/>
      <w:r>
        <w:t>发生变化或规划方案重大调整时，及时提出改进措施。</w:t>
      </w:r>
    </w:p>
    <w:p w14:paraId="5AB76F00" w14:textId="77777777" w:rsidR="00232C37" w:rsidRDefault="00E8348F">
      <w:pPr>
        <w:pStyle w:val="afffc"/>
        <w:spacing w:before="60" w:after="60"/>
      </w:pPr>
      <w:r>
        <w:t xml:space="preserve">11.2 </w:t>
      </w:r>
      <w:r>
        <w:t>重点跟踪内容</w:t>
      </w:r>
    </w:p>
    <w:p w14:paraId="4A2A4677" w14:textId="77777777" w:rsidR="00232C37" w:rsidRDefault="00E8348F">
      <w:pPr>
        <w:ind w:firstLine="480"/>
      </w:pPr>
      <w:r>
        <w:t>（</w:t>
      </w:r>
      <w:r>
        <w:t>1</w:t>
      </w:r>
      <w:r>
        <w:t>）规划区块和矿业权与生态保护红线、永久基本农田、自然保护地、饮用水水源、天然林、公益林及分区管控单元的空间关系。</w:t>
      </w:r>
    </w:p>
    <w:p w14:paraId="52DE198C" w14:textId="77777777" w:rsidR="00232C37" w:rsidRDefault="00E8348F">
      <w:pPr>
        <w:ind w:firstLine="480"/>
      </w:pPr>
      <w:r>
        <w:t>（</w:t>
      </w:r>
      <w:r>
        <w:t>2</w:t>
      </w:r>
      <w:r>
        <w:t>）开发利用规模、开采总量、矿山数量和结构等规划指标执行情况。</w:t>
      </w:r>
    </w:p>
    <w:p w14:paraId="2D86F34A" w14:textId="77777777" w:rsidR="00232C37" w:rsidRDefault="00E8348F">
      <w:pPr>
        <w:ind w:firstLine="480"/>
      </w:pPr>
      <w:r>
        <w:t>（</w:t>
      </w:r>
      <w:r>
        <w:t>3</w:t>
      </w:r>
      <w:r>
        <w:t>）矿业用水、能源消耗、碳排放、废水和主要污染物排放、尾矿及废石产生和综合利用情况。</w:t>
      </w:r>
    </w:p>
    <w:p w14:paraId="2D303926" w14:textId="77777777" w:rsidR="00232C37" w:rsidRDefault="00E8348F">
      <w:pPr>
        <w:ind w:firstLine="480"/>
      </w:pPr>
      <w:r>
        <w:t>（</w:t>
      </w:r>
      <w:r>
        <w:t>4</w:t>
      </w:r>
      <w:r>
        <w:t>）地表水、地下水、环境空气、土壤、声环境和生态环境质量变化。</w:t>
      </w:r>
    </w:p>
    <w:p w14:paraId="2E0D236C" w14:textId="77777777" w:rsidR="00232C37" w:rsidRDefault="00E8348F">
      <w:pPr>
        <w:ind w:firstLine="480"/>
      </w:pPr>
      <w:r>
        <w:t>（</w:t>
      </w:r>
      <w:r>
        <w:t>5</w:t>
      </w:r>
      <w:r>
        <w:t>）矿山生态修复、土地复垦、绿色矿山建设和历史遗留矿山治理任务完成情况。</w:t>
      </w:r>
    </w:p>
    <w:p w14:paraId="4914BE0D" w14:textId="77777777" w:rsidR="00232C37" w:rsidRDefault="00E8348F">
      <w:pPr>
        <w:ind w:firstLine="480"/>
      </w:pPr>
      <w:r>
        <w:t>（</w:t>
      </w:r>
      <w:r>
        <w:t>6</w:t>
      </w:r>
      <w:r>
        <w:t>）尾矿库、重金属污染、矿井涌水、地面沉陷、甲烷逸散等风险防控情况。</w:t>
      </w:r>
    </w:p>
    <w:p w14:paraId="3BCBCE11" w14:textId="77777777" w:rsidR="00232C37" w:rsidRDefault="00E8348F">
      <w:pPr>
        <w:ind w:firstLine="480"/>
      </w:pPr>
      <w:r>
        <w:t>（</w:t>
      </w:r>
      <w:r>
        <w:t>7</w:t>
      </w:r>
      <w:r>
        <w:t>）规划优化调整建议、环境准入要求和环境保护措施落实情况。</w:t>
      </w:r>
    </w:p>
    <w:p w14:paraId="14AD37BF" w14:textId="77777777" w:rsidR="00232C37" w:rsidRDefault="00E8348F">
      <w:pPr>
        <w:pStyle w:val="afffc"/>
        <w:spacing w:before="60" w:after="60"/>
      </w:pPr>
      <w:r>
        <w:t xml:space="preserve">11.3 </w:t>
      </w:r>
      <w:r>
        <w:t>实施安排</w:t>
      </w:r>
    </w:p>
    <w:p w14:paraId="54405E7F" w14:textId="77777777" w:rsidR="00232C37" w:rsidRDefault="00E8348F">
      <w:pPr>
        <w:ind w:firstLine="480"/>
      </w:pPr>
      <w:r>
        <w:t>规划实施期间原则上结合规划中期评估开展环境影响跟踪评价。规划范围、功能定位、开发规模、空间布局等发生重大调整，或者规划实施后产生重大不良生态环境影响的，应及时</w:t>
      </w:r>
      <w:proofErr w:type="gramStart"/>
      <w:r>
        <w:t>重新或</w:t>
      </w:r>
      <w:proofErr w:type="gramEnd"/>
      <w:r>
        <w:t>补充开展规划环境影响评价。跟踪评价成果作为规划调整、矿业权投放和项目环境管理的重要依据。</w:t>
      </w:r>
    </w:p>
    <w:p w14:paraId="44760C3F" w14:textId="77777777" w:rsidR="00232C37" w:rsidRDefault="00E8348F">
      <w:pPr>
        <w:pStyle w:val="afffb"/>
        <w:spacing w:before="120" w:after="60"/>
      </w:pPr>
      <w:r>
        <w:lastRenderedPageBreak/>
        <w:t xml:space="preserve">12 </w:t>
      </w:r>
      <w:r>
        <w:t>评价结论与公众意见重点</w:t>
      </w:r>
    </w:p>
    <w:p w14:paraId="7FC0AC1E" w14:textId="77777777" w:rsidR="00232C37" w:rsidRDefault="00E8348F">
      <w:pPr>
        <w:pStyle w:val="afffc"/>
        <w:spacing w:before="60" w:after="60"/>
      </w:pPr>
      <w:r>
        <w:t xml:space="preserve">12.1 </w:t>
      </w:r>
      <w:r>
        <w:t>规划协调性结论</w:t>
      </w:r>
    </w:p>
    <w:p w14:paraId="1D97F5EF" w14:textId="5CA3E5AF" w:rsidR="00232C37" w:rsidRDefault="00E8348F">
      <w:pPr>
        <w:ind w:firstLine="480"/>
      </w:pPr>
      <w:r>
        <w:t>《</w:t>
      </w:r>
      <w:r w:rsidR="00DA18A8">
        <w:t>湖北省矿产资源</w:t>
      </w:r>
      <w:r w:rsidR="00DA18A8">
        <w:t>“</w:t>
      </w:r>
      <w:r w:rsidR="00DA18A8">
        <w:t>十五五</w:t>
      </w:r>
      <w:r w:rsidR="00DA18A8">
        <w:t>”</w:t>
      </w:r>
      <w:r w:rsidR="00DA18A8">
        <w:t>规划</w:t>
      </w:r>
      <w:r>
        <w:t>》符合国家和湖北省关于能源资源安全保障、生态文明建设、长江经济带发展和矿业绿色转型的总体要求，与相关上位规划和政策总体协调。</w:t>
      </w:r>
    </w:p>
    <w:p w14:paraId="69C28F30" w14:textId="77777777" w:rsidR="00232C37" w:rsidRDefault="00E8348F">
      <w:pPr>
        <w:pStyle w:val="afffc"/>
        <w:spacing w:before="60" w:after="60"/>
      </w:pPr>
      <w:r>
        <w:t xml:space="preserve">12.2 </w:t>
      </w:r>
      <w:r>
        <w:t>环境影响评价结论</w:t>
      </w:r>
    </w:p>
    <w:p w14:paraId="67FC1B92" w14:textId="77777777" w:rsidR="00232C37" w:rsidRDefault="00E8348F">
      <w:pPr>
        <w:ind w:firstLine="480"/>
      </w:pPr>
      <w:r>
        <w:t>规划实施有利于推进新一轮找矿突破战略行动，提高铁、铜、金、磷、铌、稀土、页岩气等重要矿产资源保障能力，优化矿产资源勘查开发空间布局，促进矿山规模化、集约化和绿色化发展。规划实施可能对生态环境、地表水、地下水、环境空气、土壤、声环境和景观产生一定不利影响，并可能带来总磷、重金属、尾矿库及矿山地质灾害等环境风险。</w:t>
      </w:r>
    </w:p>
    <w:p w14:paraId="4DBAA8E6" w14:textId="77777777" w:rsidR="00232C37" w:rsidRDefault="00E8348F">
      <w:pPr>
        <w:ind w:firstLine="480"/>
      </w:pPr>
      <w:r>
        <w:t>在依法避让生态保护红线、自然保护地和饮用水水源保护区等禁止开发区域，严格落实国土空间用途管制和生态环境分区管控要求，进一步优化与永久基本农田、天然林、公益林及其他敏感区域存在冲突的规划布局，并落实绿色勘查、清洁生产、污染防治、资源综合利用、矿山生态保护修复、环境风险防控和跟踪评价等措施后，规划实施产生的不良生态环境影响总体可控，区域资源和生态环境能够承载规划实施需求，不会突破生态保护红线、环境质量底线和资源利用上线。</w:t>
      </w:r>
    </w:p>
    <w:p w14:paraId="0CEE58DF" w14:textId="60D43AA8" w:rsidR="00232C37" w:rsidRDefault="00E8348F">
      <w:pPr>
        <w:ind w:firstLine="480"/>
      </w:pPr>
      <w:r>
        <w:t>因此，从生态环境保护角度分析，优化调整后的《</w:t>
      </w:r>
      <w:r w:rsidR="00DA18A8">
        <w:t>湖北省矿产资源</w:t>
      </w:r>
      <w:r w:rsidR="00DA18A8">
        <w:t>“</w:t>
      </w:r>
      <w:r w:rsidR="00DA18A8">
        <w:t>十五五</w:t>
      </w:r>
      <w:r w:rsidR="00DA18A8">
        <w:t>”</w:t>
      </w:r>
      <w:r w:rsidR="00DA18A8">
        <w:t>规划</w:t>
      </w:r>
      <w:r>
        <w:t>》总体可行。</w:t>
      </w:r>
    </w:p>
    <w:p w14:paraId="2ED42A45" w14:textId="77777777" w:rsidR="00232C37" w:rsidRDefault="00E8348F">
      <w:pPr>
        <w:pStyle w:val="afffc"/>
        <w:spacing w:before="60" w:after="60"/>
      </w:pPr>
      <w:r>
        <w:t xml:space="preserve">12.3 </w:t>
      </w:r>
      <w:r>
        <w:t>公众意见重点</w:t>
      </w:r>
    </w:p>
    <w:p w14:paraId="1C6668F1" w14:textId="77777777" w:rsidR="00232C37" w:rsidRDefault="00E8348F">
      <w:pPr>
        <w:ind w:firstLine="480"/>
      </w:pPr>
      <w:r>
        <w:t>本次第二次公示重点征求公众对以下事项的意见和建议：</w:t>
      </w:r>
    </w:p>
    <w:p w14:paraId="1FD4B128" w14:textId="77777777" w:rsidR="00232C37" w:rsidRDefault="00E8348F">
      <w:pPr>
        <w:ind w:firstLine="480"/>
      </w:pPr>
      <w:r>
        <w:t>（</w:t>
      </w:r>
      <w:r>
        <w:t>1</w:t>
      </w:r>
      <w:r>
        <w:t>）对规划所在区域生态环境现状和主要环境问题的认识。</w:t>
      </w:r>
    </w:p>
    <w:p w14:paraId="3D9D0993" w14:textId="77777777" w:rsidR="00232C37" w:rsidRDefault="00E8348F">
      <w:pPr>
        <w:ind w:firstLine="480"/>
      </w:pPr>
      <w:r>
        <w:t>（</w:t>
      </w:r>
      <w:r>
        <w:t>2</w:t>
      </w:r>
      <w:r>
        <w:t>）对规划布局、开发规模和实施时序环境合理性的意见。</w:t>
      </w:r>
    </w:p>
    <w:p w14:paraId="4C850F2A" w14:textId="77777777" w:rsidR="00232C37" w:rsidRDefault="00E8348F">
      <w:pPr>
        <w:ind w:firstLine="480"/>
      </w:pPr>
      <w:r>
        <w:t>（</w:t>
      </w:r>
      <w:r>
        <w:t>3</w:t>
      </w:r>
      <w:r>
        <w:t>）对规划实施可能产生的生态环境影响和环境风险的意见。</w:t>
      </w:r>
    </w:p>
    <w:p w14:paraId="27A39208" w14:textId="77777777" w:rsidR="00232C37" w:rsidRDefault="00E8348F">
      <w:pPr>
        <w:ind w:firstLine="480"/>
      </w:pPr>
      <w:r>
        <w:t>（</w:t>
      </w:r>
      <w:r>
        <w:t>4</w:t>
      </w:r>
      <w:r>
        <w:t>）对规划优化调整建议、生态环境准入和环境保护措施的意见。</w:t>
      </w:r>
    </w:p>
    <w:p w14:paraId="4925F33B" w14:textId="77777777" w:rsidR="00232C37" w:rsidRDefault="00E8348F">
      <w:pPr>
        <w:ind w:firstLine="480"/>
      </w:pPr>
      <w:r>
        <w:t>（</w:t>
      </w:r>
      <w:r>
        <w:t>5</w:t>
      </w:r>
      <w:r>
        <w:t>）对矿山生态修复、污染防治、绿色矿山建设和跟踪评价的建议。</w:t>
      </w:r>
    </w:p>
    <w:p w14:paraId="4FF0EC5C" w14:textId="77777777" w:rsidR="00232C37" w:rsidRDefault="00E8348F">
      <w:pPr>
        <w:ind w:firstLine="480"/>
      </w:pPr>
      <w:r>
        <w:t>（</w:t>
      </w:r>
      <w:r>
        <w:t>6</w:t>
      </w:r>
      <w:r>
        <w:t>）其他与本规划环境影响评价有关的生态环境保护意见。</w:t>
      </w:r>
    </w:p>
    <w:sectPr w:rsidR="00232C37">
      <w:headerReference w:type="even" r:id="rId8"/>
      <w:headerReference w:type="default" r:id="rId9"/>
      <w:footerReference w:type="even" r:id="rId10"/>
      <w:footerReference w:type="default" r:id="rId11"/>
      <w:headerReference w:type="first" r:id="rId12"/>
      <w:footerReference w:type="first" r:id="rId13"/>
      <w:pgSz w:w="11906" w:h="16838"/>
      <w:pgMar w:top="1587" w:right="1474" w:bottom="1474" w:left="1587" w:header="850" w:footer="850"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B09B1" w14:textId="77777777" w:rsidR="006D71FB" w:rsidRDefault="006D71FB">
      <w:pPr>
        <w:spacing w:line="240" w:lineRule="auto"/>
        <w:ind w:firstLine="480"/>
      </w:pPr>
      <w:r>
        <w:separator/>
      </w:r>
    </w:p>
  </w:endnote>
  <w:endnote w:type="continuationSeparator" w:id="0">
    <w:p w14:paraId="7CE2948D" w14:textId="77777777" w:rsidR="006D71FB" w:rsidRDefault="006D71FB">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E9E9B87E-86A6-4405-A347-E9A7335CF9A7}"/>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简体">
    <w:charset w:val="86"/>
    <w:family w:val="auto"/>
    <w:pitch w:val="default"/>
    <w:sig w:usb0="00000001" w:usb1="08000000" w:usb2="00000000" w:usb3="00000000" w:csb0="00040000" w:csb1="00000000"/>
    <w:embedRegular r:id="rId2" w:subsetted="1" w:fontKey="{834D9650-7B30-4915-9461-DEFD69623938}"/>
  </w:font>
  <w:font w:name="楷体">
    <w:panose1 w:val="02010609060101010101"/>
    <w:charset w:val="86"/>
    <w:family w:val="modern"/>
    <w:pitch w:val="fixed"/>
    <w:sig w:usb0="800002BF" w:usb1="38CF7CFA" w:usb2="00000016" w:usb3="00000000" w:csb0="00040001" w:csb1="00000000"/>
    <w:embedBold r:id="rId3" w:subsetted="1" w:fontKey="{1480FBBF-23BD-4270-94D9-D43893208134}"/>
  </w:font>
  <w:font w:name="方正小标宋_GBK">
    <w:panose1 w:val="03000509000000000000"/>
    <w:charset w:val="86"/>
    <w:family w:val="script"/>
    <w:pitch w:val="fixed"/>
    <w:sig w:usb0="00000001" w:usb1="080E0000" w:usb2="00000010" w:usb3="00000000" w:csb0="00040000" w:csb1="00000000"/>
    <w:embedRegular r:id="rId4" w:subsetted="1" w:fontKey="{60E308CC-72B5-44A4-A3C7-04B84458E1AC}"/>
  </w:font>
  <w:font w:name="___WRD_EMBED_SUB_57">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34103" w14:textId="77777777" w:rsidR="00232C37" w:rsidRDefault="00232C37">
    <w:pPr>
      <w:ind w:firstLine="4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4590F" w14:textId="77777777" w:rsidR="00232C37" w:rsidRDefault="00E8348F">
    <w:pPr>
      <w:pStyle w:val="af5"/>
      <w:ind w:firstLine="360"/>
      <w:jc w:val="center"/>
    </w:pPr>
    <w:r>
      <w:rPr>
        <w:rFonts w:cs="Times New Roman"/>
      </w:rPr>
      <w:t xml:space="preserve">— </w:t>
    </w:r>
    <w:r>
      <w:rPr>
        <w:rFonts w:cs="Times New Roman"/>
      </w:rPr>
      <w:fldChar w:fldCharType="begin"/>
    </w:r>
    <w:r>
      <w:rPr>
        <w:rFonts w:cs="Times New Roman"/>
      </w:rPr>
      <w:instrText xml:space="preserve"> PAGE </w:instrText>
    </w:r>
    <w:r>
      <w:rPr>
        <w:rFonts w:cs="Times New Roman"/>
      </w:rPr>
      <w:fldChar w:fldCharType="separate"/>
    </w:r>
    <w:r w:rsidR="00DA18A8">
      <w:rPr>
        <w:rFonts w:cs="Times New Roman"/>
        <w:noProof/>
      </w:rPr>
      <w:t>0</w:t>
    </w:r>
    <w:r>
      <w:rPr>
        <w:rFonts w:cs="Times New Roman"/>
      </w:rPr>
      <w:fldChar w:fldCharType="end"/>
    </w:r>
    <w:r>
      <w:rPr>
        <w:rFonts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644DA" w14:textId="77777777" w:rsidR="00232C37" w:rsidRDefault="00232C37">
    <w:pPr>
      <w:ind w:firstLine="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FC651" w14:textId="77777777" w:rsidR="006D71FB" w:rsidRDefault="006D71FB">
      <w:pPr>
        <w:ind w:firstLine="480"/>
      </w:pPr>
      <w:r>
        <w:separator/>
      </w:r>
    </w:p>
  </w:footnote>
  <w:footnote w:type="continuationSeparator" w:id="0">
    <w:p w14:paraId="03E29CA7" w14:textId="77777777" w:rsidR="006D71FB" w:rsidRDefault="006D71FB">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B6F8A" w14:textId="77777777" w:rsidR="00232C37" w:rsidRDefault="00232C37">
    <w:pPr>
      <w:ind w:firstLine="4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2F2D1" w14:textId="3E7BEA48" w:rsidR="00232C37" w:rsidRPr="00DA18A8" w:rsidRDefault="00232C37" w:rsidP="00DA18A8">
    <w:pPr>
      <w:pStyle w:val="af7"/>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FA79C" w14:textId="77777777" w:rsidR="00232C37" w:rsidRDefault="00232C37">
    <w:pPr>
      <w:ind w:firstLine="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81398"/>
    <w:multiLevelType w:val="multilevel"/>
    <w:tmpl w:val="1D981398"/>
    <w:lvl w:ilvl="0">
      <w:start w:val="1"/>
      <w:numFmt w:val="decimal"/>
      <w:lvlText w:val="%1"/>
      <w:lvlJc w:val="left"/>
      <w:pPr>
        <w:tabs>
          <w:tab w:val="left" w:pos="432"/>
        </w:tabs>
        <w:ind w:left="432" w:hanging="432"/>
      </w:pPr>
      <w:rPr>
        <w:rFonts w:hint="default"/>
      </w:rPr>
    </w:lvl>
    <w:lvl w:ilvl="1">
      <w:start w:val="1"/>
      <w:numFmt w:val="decimal"/>
      <w:lvlText w:val="%1.%2"/>
      <w:lvlJc w:val="left"/>
      <w:pPr>
        <w:tabs>
          <w:tab w:val="left" w:pos="2844"/>
        </w:tabs>
        <w:ind w:left="2844" w:hanging="576"/>
      </w:pPr>
      <w:rPr>
        <w:rFonts w:ascii="Times New Roman" w:hAnsi="Times New Roman" w:cs="Times New Roman" w:hint="default"/>
      </w:rPr>
    </w:lvl>
    <w:lvl w:ilvl="2">
      <w:start w:val="1"/>
      <w:numFmt w:val="decimal"/>
      <w:lvlText w:val="%1.%2.%3"/>
      <w:lvlJc w:val="left"/>
      <w:pPr>
        <w:tabs>
          <w:tab w:val="left" w:pos="862"/>
        </w:tabs>
        <w:ind w:left="862"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 w15:restartNumberingAfterBreak="0">
    <w:nsid w:val="280741CB"/>
    <w:multiLevelType w:val="multilevel"/>
    <w:tmpl w:val="280741CB"/>
    <w:lvl w:ilvl="0">
      <w:start w:val="1"/>
      <w:numFmt w:val="decimal"/>
      <w:suff w:val="space"/>
      <w:lvlText w:val="%1."/>
      <w:lvlJc w:val="center"/>
      <w:pPr>
        <w:ind w:left="284" w:firstLine="4"/>
      </w:pPr>
      <w:rPr>
        <w:rFonts w:hint="eastAsia"/>
      </w:rPr>
    </w:lvl>
    <w:lvl w:ilvl="1">
      <w:start w:val="1"/>
      <w:numFmt w:val="decimal"/>
      <w:isLgl/>
      <w:suff w:val="space"/>
      <w:lvlText w:val="%1.%2"/>
      <w:lvlJc w:val="left"/>
      <w:pPr>
        <w:ind w:left="426" w:hanging="284"/>
      </w:pPr>
      <w:rPr>
        <w:rFonts w:hint="eastAsia"/>
      </w:rPr>
    </w:lvl>
    <w:lvl w:ilvl="2">
      <w:start w:val="1"/>
      <w:numFmt w:val="decimal"/>
      <w:suff w:val="space"/>
      <w:lvlText w:val="%1.%2.%3"/>
      <w:lvlJc w:val="left"/>
      <w:pPr>
        <w:ind w:left="284" w:hanging="284"/>
      </w:pPr>
      <w:rPr>
        <w:rFonts w:hint="eastAsia"/>
      </w:rPr>
    </w:lvl>
    <w:lvl w:ilvl="3">
      <w:start w:val="1"/>
      <w:numFmt w:val="decimal"/>
      <w:suff w:val="space"/>
      <w:lvlText w:val="%1.%2.%3.%4"/>
      <w:lvlJc w:val="left"/>
      <w:pPr>
        <w:ind w:left="3545" w:hanging="284"/>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Restart w:val="2"/>
      <w:pStyle w:val="a"/>
      <w:suff w:val="space"/>
      <w:lvlText w:val="表%1.%2-%8"/>
      <w:lvlJc w:val="center"/>
      <w:pPr>
        <w:ind w:left="2548" w:firstLine="288"/>
      </w:pPr>
      <w:rPr>
        <w:rFonts w:ascii="Times New Roman" w:eastAsia="黑体" w:hAnsi="Times New Roman" w:cs="Times New Roman"/>
        <w:b w:val="0"/>
        <w:bCs w:val="0"/>
        <w:i w:val="0"/>
        <w:iCs w:val="0"/>
        <w:caps w:val="0"/>
        <w:smallCaps w:val="0"/>
        <w:strike w:val="0"/>
        <w:dstrike w:val="0"/>
        <w:vanish w:val="0"/>
        <w:spacing w:val="0"/>
        <w:position w:val="0"/>
        <w:u w:val="none"/>
        <w:vertAlign w:val="baseline"/>
        <w:lang w:val="en-US"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8">
      <w:start w:val="1"/>
      <w:numFmt w:val="decimal"/>
      <w:lvlRestart w:val="2"/>
      <w:pStyle w:val="a0"/>
      <w:suff w:val="space"/>
      <w:lvlText w:val="图%1.%2-%9"/>
      <w:lvlJc w:val="center"/>
      <w:pPr>
        <w:ind w:left="0" w:firstLine="0"/>
      </w:pPr>
      <w:rPr>
        <w:rFonts w:hint="eastAsia"/>
      </w:rPr>
    </w:lvl>
  </w:abstractNum>
  <w:num w:numId="1" w16cid:durableId="1584685476">
    <w:abstractNumId w:val="0"/>
  </w:num>
  <w:num w:numId="2" w16cid:durableId="7277249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saveSubsetFonts/>
  <w:bordersDoNotSurroundHeader/>
  <w:bordersDoNotSurroundFooter/>
  <w:hideSpellingErrors/>
  <w:hideGrammaticalErrors/>
  <w:proofState w:spelling="clean" w:grammar="clean"/>
  <w:defaultTabStop w:val="4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TlhMjFjNTlmNjE2NzQxZDUwNGUzM2MzMWY5ZWI1ZjYifQ=="/>
  </w:docVars>
  <w:rsids>
    <w:rsidRoot w:val="00172A27"/>
    <w:rsid w:val="00001280"/>
    <w:rsid w:val="0000163E"/>
    <w:rsid w:val="00003950"/>
    <w:rsid w:val="00003CA5"/>
    <w:rsid w:val="00003D89"/>
    <w:rsid w:val="0000507C"/>
    <w:rsid w:val="00006020"/>
    <w:rsid w:val="00006C70"/>
    <w:rsid w:val="000078E6"/>
    <w:rsid w:val="00007CB3"/>
    <w:rsid w:val="00010E62"/>
    <w:rsid w:val="000128AF"/>
    <w:rsid w:val="000132F4"/>
    <w:rsid w:val="0001531B"/>
    <w:rsid w:val="00015CCC"/>
    <w:rsid w:val="00016A90"/>
    <w:rsid w:val="00017444"/>
    <w:rsid w:val="000174F8"/>
    <w:rsid w:val="00021B19"/>
    <w:rsid w:val="00022147"/>
    <w:rsid w:val="000222A4"/>
    <w:rsid w:val="000239AB"/>
    <w:rsid w:val="00023D89"/>
    <w:rsid w:val="00024CA4"/>
    <w:rsid w:val="000279EE"/>
    <w:rsid w:val="00027D5B"/>
    <w:rsid w:val="00030F7C"/>
    <w:rsid w:val="00032009"/>
    <w:rsid w:val="00032521"/>
    <w:rsid w:val="0003309C"/>
    <w:rsid w:val="00033202"/>
    <w:rsid w:val="00033F39"/>
    <w:rsid w:val="00034AEF"/>
    <w:rsid w:val="000363F7"/>
    <w:rsid w:val="00037C08"/>
    <w:rsid w:val="00041C6A"/>
    <w:rsid w:val="00042048"/>
    <w:rsid w:val="00042485"/>
    <w:rsid w:val="00042C36"/>
    <w:rsid w:val="00044263"/>
    <w:rsid w:val="00044593"/>
    <w:rsid w:val="00046E3B"/>
    <w:rsid w:val="00046E6C"/>
    <w:rsid w:val="000477F4"/>
    <w:rsid w:val="00050A8A"/>
    <w:rsid w:val="00051D65"/>
    <w:rsid w:val="0005371E"/>
    <w:rsid w:val="00053C0A"/>
    <w:rsid w:val="00053CC3"/>
    <w:rsid w:val="00054F7E"/>
    <w:rsid w:val="0006027D"/>
    <w:rsid w:val="0006226C"/>
    <w:rsid w:val="00062355"/>
    <w:rsid w:val="000627C9"/>
    <w:rsid w:val="00062AEF"/>
    <w:rsid w:val="000643A4"/>
    <w:rsid w:val="000646EF"/>
    <w:rsid w:val="000653F6"/>
    <w:rsid w:val="00065544"/>
    <w:rsid w:val="00065B9E"/>
    <w:rsid w:val="00065BCA"/>
    <w:rsid w:val="00065C2F"/>
    <w:rsid w:val="0006662C"/>
    <w:rsid w:val="00066935"/>
    <w:rsid w:val="000669E9"/>
    <w:rsid w:val="00067F48"/>
    <w:rsid w:val="000703A7"/>
    <w:rsid w:val="00071D8B"/>
    <w:rsid w:val="0007442B"/>
    <w:rsid w:val="00074756"/>
    <w:rsid w:val="00075370"/>
    <w:rsid w:val="00075A39"/>
    <w:rsid w:val="000762E3"/>
    <w:rsid w:val="000764F4"/>
    <w:rsid w:val="0007670F"/>
    <w:rsid w:val="0007703F"/>
    <w:rsid w:val="00080365"/>
    <w:rsid w:val="0008122B"/>
    <w:rsid w:val="00081B4B"/>
    <w:rsid w:val="00081FE1"/>
    <w:rsid w:val="0008241B"/>
    <w:rsid w:val="0008272F"/>
    <w:rsid w:val="00082780"/>
    <w:rsid w:val="0008457F"/>
    <w:rsid w:val="00085F68"/>
    <w:rsid w:val="00085FF2"/>
    <w:rsid w:val="000868F7"/>
    <w:rsid w:val="00086C9C"/>
    <w:rsid w:val="00087447"/>
    <w:rsid w:val="00091D52"/>
    <w:rsid w:val="00091E26"/>
    <w:rsid w:val="000926FB"/>
    <w:rsid w:val="00092F01"/>
    <w:rsid w:val="00093107"/>
    <w:rsid w:val="000947EC"/>
    <w:rsid w:val="00095582"/>
    <w:rsid w:val="00096E65"/>
    <w:rsid w:val="0009745C"/>
    <w:rsid w:val="000977C9"/>
    <w:rsid w:val="000A0178"/>
    <w:rsid w:val="000A09EA"/>
    <w:rsid w:val="000A1B9A"/>
    <w:rsid w:val="000A23A3"/>
    <w:rsid w:val="000A28F1"/>
    <w:rsid w:val="000A51A2"/>
    <w:rsid w:val="000A57CD"/>
    <w:rsid w:val="000A619E"/>
    <w:rsid w:val="000A6A49"/>
    <w:rsid w:val="000A6E21"/>
    <w:rsid w:val="000A7537"/>
    <w:rsid w:val="000B0900"/>
    <w:rsid w:val="000B0C55"/>
    <w:rsid w:val="000B0DE3"/>
    <w:rsid w:val="000B1540"/>
    <w:rsid w:val="000B1813"/>
    <w:rsid w:val="000B31C2"/>
    <w:rsid w:val="000B5A37"/>
    <w:rsid w:val="000B6001"/>
    <w:rsid w:val="000B69C5"/>
    <w:rsid w:val="000B7042"/>
    <w:rsid w:val="000C0991"/>
    <w:rsid w:val="000C12EC"/>
    <w:rsid w:val="000C165B"/>
    <w:rsid w:val="000C1F30"/>
    <w:rsid w:val="000C216F"/>
    <w:rsid w:val="000C24FD"/>
    <w:rsid w:val="000C3216"/>
    <w:rsid w:val="000C3447"/>
    <w:rsid w:val="000C3780"/>
    <w:rsid w:val="000C4099"/>
    <w:rsid w:val="000C4546"/>
    <w:rsid w:val="000C4A42"/>
    <w:rsid w:val="000C4B9D"/>
    <w:rsid w:val="000C5633"/>
    <w:rsid w:val="000C6996"/>
    <w:rsid w:val="000C6EE5"/>
    <w:rsid w:val="000C7D51"/>
    <w:rsid w:val="000D00DE"/>
    <w:rsid w:val="000D24DE"/>
    <w:rsid w:val="000D2860"/>
    <w:rsid w:val="000D2B8B"/>
    <w:rsid w:val="000D2D25"/>
    <w:rsid w:val="000D3B12"/>
    <w:rsid w:val="000D3D21"/>
    <w:rsid w:val="000D44E4"/>
    <w:rsid w:val="000D485F"/>
    <w:rsid w:val="000D54AD"/>
    <w:rsid w:val="000D5673"/>
    <w:rsid w:val="000D57A5"/>
    <w:rsid w:val="000D7A1E"/>
    <w:rsid w:val="000E16E5"/>
    <w:rsid w:val="000E2B45"/>
    <w:rsid w:val="000E388A"/>
    <w:rsid w:val="000E57AA"/>
    <w:rsid w:val="000E61DE"/>
    <w:rsid w:val="000E68BE"/>
    <w:rsid w:val="000E7657"/>
    <w:rsid w:val="000F180F"/>
    <w:rsid w:val="000F309E"/>
    <w:rsid w:val="000F5621"/>
    <w:rsid w:val="000F6687"/>
    <w:rsid w:val="000F682C"/>
    <w:rsid w:val="000F79C0"/>
    <w:rsid w:val="00100B78"/>
    <w:rsid w:val="00101424"/>
    <w:rsid w:val="0010158B"/>
    <w:rsid w:val="00102B42"/>
    <w:rsid w:val="00103178"/>
    <w:rsid w:val="00103B8B"/>
    <w:rsid w:val="00104013"/>
    <w:rsid w:val="0010426B"/>
    <w:rsid w:val="001057C8"/>
    <w:rsid w:val="00106C28"/>
    <w:rsid w:val="00107E46"/>
    <w:rsid w:val="00110F63"/>
    <w:rsid w:val="00112148"/>
    <w:rsid w:val="001146E6"/>
    <w:rsid w:val="00114C6D"/>
    <w:rsid w:val="00114C71"/>
    <w:rsid w:val="00115520"/>
    <w:rsid w:val="00115EA5"/>
    <w:rsid w:val="00116EB4"/>
    <w:rsid w:val="0011712A"/>
    <w:rsid w:val="001179AE"/>
    <w:rsid w:val="00120F34"/>
    <w:rsid w:val="001217B7"/>
    <w:rsid w:val="001226C5"/>
    <w:rsid w:val="0012352A"/>
    <w:rsid w:val="0012409D"/>
    <w:rsid w:val="001274DC"/>
    <w:rsid w:val="001305CF"/>
    <w:rsid w:val="00130676"/>
    <w:rsid w:val="00130950"/>
    <w:rsid w:val="0013098A"/>
    <w:rsid w:val="0013191C"/>
    <w:rsid w:val="00132AE5"/>
    <w:rsid w:val="00133391"/>
    <w:rsid w:val="001338E0"/>
    <w:rsid w:val="00133B0C"/>
    <w:rsid w:val="00134D99"/>
    <w:rsid w:val="0013568D"/>
    <w:rsid w:val="001363D4"/>
    <w:rsid w:val="00137353"/>
    <w:rsid w:val="00137382"/>
    <w:rsid w:val="00141BE8"/>
    <w:rsid w:val="00141DE3"/>
    <w:rsid w:val="00144D1D"/>
    <w:rsid w:val="00145565"/>
    <w:rsid w:val="0014577F"/>
    <w:rsid w:val="00147322"/>
    <w:rsid w:val="001477D6"/>
    <w:rsid w:val="001479C9"/>
    <w:rsid w:val="00150184"/>
    <w:rsid w:val="00150654"/>
    <w:rsid w:val="00153179"/>
    <w:rsid w:val="0015415E"/>
    <w:rsid w:val="001547D5"/>
    <w:rsid w:val="00154ACD"/>
    <w:rsid w:val="0015520A"/>
    <w:rsid w:val="0015567E"/>
    <w:rsid w:val="00156B04"/>
    <w:rsid w:val="00156E49"/>
    <w:rsid w:val="0015734D"/>
    <w:rsid w:val="00160162"/>
    <w:rsid w:val="00160234"/>
    <w:rsid w:val="00160CEE"/>
    <w:rsid w:val="00161522"/>
    <w:rsid w:val="00162766"/>
    <w:rsid w:val="00162DAE"/>
    <w:rsid w:val="00164568"/>
    <w:rsid w:val="00164D78"/>
    <w:rsid w:val="00165674"/>
    <w:rsid w:val="00165A1E"/>
    <w:rsid w:val="00165BFA"/>
    <w:rsid w:val="00167F99"/>
    <w:rsid w:val="001705EE"/>
    <w:rsid w:val="00171082"/>
    <w:rsid w:val="0017153F"/>
    <w:rsid w:val="00172A27"/>
    <w:rsid w:val="00173B38"/>
    <w:rsid w:val="00174984"/>
    <w:rsid w:val="0017540C"/>
    <w:rsid w:val="00176810"/>
    <w:rsid w:val="0017697E"/>
    <w:rsid w:val="00177945"/>
    <w:rsid w:val="0018015A"/>
    <w:rsid w:val="0018077A"/>
    <w:rsid w:val="00180B34"/>
    <w:rsid w:val="00181019"/>
    <w:rsid w:val="00183060"/>
    <w:rsid w:val="001832CF"/>
    <w:rsid w:val="00185F65"/>
    <w:rsid w:val="00186053"/>
    <w:rsid w:val="00186128"/>
    <w:rsid w:val="0018666A"/>
    <w:rsid w:val="00186FC4"/>
    <w:rsid w:val="00191B7B"/>
    <w:rsid w:val="00191DFC"/>
    <w:rsid w:val="001939A6"/>
    <w:rsid w:val="001949C1"/>
    <w:rsid w:val="00194A68"/>
    <w:rsid w:val="00195429"/>
    <w:rsid w:val="0019601D"/>
    <w:rsid w:val="001A1252"/>
    <w:rsid w:val="001A1993"/>
    <w:rsid w:val="001A1ACB"/>
    <w:rsid w:val="001A2371"/>
    <w:rsid w:val="001A2FFF"/>
    <w:rsid w:val="001A31C8"/>
    <w:rsid w:val="001A3F6E"/>
    <w:rsid w:val="001A4093"/>
    <w:rsid w:val="001A40FE"/>
    <w:rsid w:val="001A4CED"/>
    <w:rsid w:val="001A679B"/>
    <w:rsid w:val="001A72BF"/>
    <w:rsid w:val="001B07FF"/>
    <w:rsid w:val="001B0BAE"/>
    <w:rsid w:val="001B19C8"/>
    <w:rsid w:val="001B2109"/>
    <w:rsid w:val="001B2111"/>
    <w:rsid w:val="001B369F"/>
    <w:rsid w:val="001B3F6E"/>
    <w:rsid w:val="001B3F7F"/>
    <w:rsid w:val="001B529E"/>
    <w:rsid w:val="001B58DA"/>
    <w:rsid w:val="001B6125"/>
    <w:rsid w:val="001B71BF"/>
    <w:rsid w:val="001B7476"/>
    <w:rsid w:val="001B7B00"/>
    <w:rsid w:val="001C099B"/>
    <w:rsid w:val="001C09BE"/>
    <w:rsid w:val="001C1963"/>
    <w:rsid w:val="001C1C92"/>
    <w:rsid w:val="001C1CBB"/>
    <w:rsid w:val="001C2FF3"/>
    <w:rsid w:val="001C3A47"/>
    <w:rsid w:val="001C598E"/>
    <w:rsid w:val="001C60AF"/>
    <w:rsid w:val="001C635B"/>
    <w:rsid w:val="001C6F56"/>
    <w:rsid w:val="001D33FB"/>
    <w:rsid w:val="001D3C8F"/>
    <w:rsid w:val="001D51E7"/>
    <w:rsid w:val="001D56FF"/>
    <w:rsid w:val="001D698A"/>
    <w:rsid w:val="001E0AB4"/>
    <w:rsid w:val="001E1516"/>
    <w:rsid w:val="001E2938"/>
    <w:rsid w:val="001E4400"/>
    <w:rsid w:val="001E4824"/>
    <w:rsid w:val="001E4965"/>
    <w:rsid w:val="001E5877"/>
    <w:rsid w:val="001E5D38"/>
    <w:rsid w:val="001E7AB5"/>
    <w:rsid w:val="001F044C"/>
    <w:rsid w:val="001F143D"/>
    <w:rsid w:val="001F1D3B"/>
    <w:rsid w:val="001F2213"/>
    <w:rsid w:val="001F2362"/>
    <w:rsid w:val="001F2601"/>
    <w:rsid w:val="001F2803"/>
    <w:rsid w:val="001F2F66"/>
    <w:rsid w:val="001F32F2"/>
    <w:rsid w:val="001F36B8"/>
    <w:rsid w:val="001F4216"/>
    <w:rsid w:val="001F532F"/>
    <w:rsid w:val="001F5BA7"/>
    <w:rsid w:val="001F7132"/>
    <w:rsid w:val="001F761F"/>
    <w:rsid w:val="0020026E"/>
    <w:rsid w:val="00202F16"/>
    <w:rsid w:val="00203EAA"/>
    <w:rsid w:val="00204C3D"/>
    <w:rsid w:val="00204C44"/>
    <w:rsid w:val="0020531E"/>
    <w:rsid w:val="0020603A"/>
    <w:rsid w:val="0021243C"/>
    <w:rsid w:val="002125AF"/>
    <w:rsid w:val="00212A89"/>
    <w:rsid w:val="00212BA0"/>
    <w:rsid w:val="00213E77"/>
    <w:rsid w:val="0021423D"/>
    <w:rsid w:val="0021556C"/>
    <w:rsid w:val="002158AB"/>
    <w:rsid w:val="00216D65"/>
    <w:rsid w:val="00222846"/>
    <w:rsid w:val="00226640"/>
    <w:rsid w:val="0023004A"/>
    <w:rsid w:val="00230A47"/>
    <w:rsid w:val="00230FEA"/>
    <w:rsid w:val="0023117B"/>
    <w:rsid w:val="00231676"/>
    <w:rsid w:val="002321A8"/>
    <w:rsid w:val="0023269A"/>
    <w:rsid w:val="002326A4"/>
    <w:rsid w:val="00232C37"/>
    <w:rsid w:val="0023327E"/>
    <w:rsid w:val="00233FD5"/>
    <w:rsid w:val="00234764"/>
    <w:rsid w:val="002356E3"/>
    <w:rsid w:val="00235C7C"/>
    <w:rsid w:val="002362F7"/>
    <w:rsid w:val="00236526"/>
    <w:rsid w:val="00236986"/>
    <w:rsid w:val="002370E1"/>
    <w:rsid w:val="002371A9"/>
    <w:rsid w:val="00240205"/>
    <w:rsid w:val="00240587"/>
    <w:rsid w:val="00240652"/>
    <w:rsid w:val="00240ABC"/>
    <w:rsid w:val="00241344"/>
    <w:rsid w:val="0024157A"/>
    <w:rsid w:val="00243C3D"/>
    <w:rsid w:val="00243E1E"/>
    <w:rsid w:val="00244E9B"/>
    <w:rsid w:val="002459E7"/>
    <w:rsid w:val="0024606D"/>
    <w:rsid w:val="0024622E"/>
    <w:rsid w:val="0024641E"/>
    <w:rsid w:val="0024653F"/>
    <w:rsid w:val="00246EAD"/>
    <w:rsid w:val="00247022"/>
    <w:rsid w:val="002474F3"/>
    <w:rsid w:val="002507E2"/>
    <w:rsid w:val="002524C6"/>
    <w:rsid w:val="00252D90"/>
    <w:rsid w:val="0025599E"/>
    <w:rsid w:val="002562A8"/>
    <w:rsid w:val="00256542"/>
    <w:rsid w:val="00257A7D"/>
    <w:rsid w:val="002602E0"/>
    <w:rsid w:val="00260921"/>
    <w:rsid w:val="00261B86"/>
    <w:rsid w:val="002623BE"/>
    <w:rsid w:val="0026255F"/>
    <w:rsid w:val="00262B93"/>
    <w:rsid w:val="00262BE6"/>
    <w:rsid w:val="00262FD2"/>
    <w:rsid w:val="00264692"/>
    <w:rsid w:val="00264C03"/>
    <w:rsid w:val="002652AF"/>
    <w:rsid w:val="00266649"/>
    <w:rsid w:val="00267005"/>
    <w:rsid w:val="00270609"/>
    <w:rsid w:val="0027141F"/>
    <w:rsid w:val="00271598"/>
    <w:rsid w:val="00271743"/>
    <w:rsid w:val="0027402A"/>
    <w:rsid w:val="00275ACC"/>
    <w:rsid w:val="002765D1"/>
    <w:rsid w:val="00276957"/>
    <w:rsid w:val="00277DEC"/>
    <w:rsid w:val="00281497"/>
    <w:rsid w:val="0028218A"/>
    <w:rsid w:val="00282372"/>
    <w:rsid w:val="00282933"/>
    <w:rsid w:val="00285E41"/>
    <w:rsid w:val="00286B4F"/>
    <w:rsid w:val="00287278"/>
    <w:rsid w:val="00287555"/>
    <w:rsid w:val="0028786B"/>
    <w:rsid w:val="00287D90"/>
    <w:rsid w:val="00287E16"/>
    <w:rsid w:val="00293488"/>
    <w:rsid w:val="00295207"/>
    <w:rsid w:val="00295C8C"/>
    <w:rsid w:val="002961A2"/>
    <w:rsid w:val="00297B35"/>
    <w:rsid w:val="002A02E6"/>
    <w:rsid w:val="002A0CCB"/>
    <w:rsid w:val="002A1265"/>
    <w:rsid w:val="002A46E7"/>
    <w:rsid w:val="002A50EB"/>
    <w:rsid w:val="002A62A1"/>
    <w:rsid w:val="002A6720"/>
    <w:rsid w:val="002B07A8"/>
    <w:rsid w:val="002B0EB1"/>
    <w:rsid w:val="002B185D"/>
    <w:rsid w:val="002B2616"/>
    <w:rsid w:val="002B5722"/>
    <w:rsid w:val="002B5F01"/>
    <w:rsid w:val="002B660C"/>
    <w:rsid w:val="002C03C8"/>
    <w:rsid w:val="002C0C5E"/>
    <w:rsid w:val="002C0DD4"/>
    <w:rsid w:val="002C19E0"/>
    <w:rsid w:val="002C1A5B"/>
    <w:rsid w:val="002C1AD0"/>
    <w:rsid w:val="002C2800"/>
    <w:rsid w:val="002C2924"/>
    <w:rsid w:val="002C2F38"/>
    <w:rsid w:val="002C3EE6"/>
    <w:rsid w:val="002C4A20"/>
    <w:rsid w:val="002C5156"/>
    <w:rsid w:val="002C515C"/>
    <w:rsid w:val="002C5CBC"/>
    <w:rsid w:val="002C7199"/>
    <w:rsid w:val="002C75A5"/>
    <w:rsid w:val="002C7E88"/>
    <w:rsid w:val="002D02C9"/>
    <w:rsid w:val="002D073D"/>
    <w:rsid w:val="002D07A6"/>
    <w:rsid w:val="002D0850"/>
    <w:rsid w:val="002D1A61"/>
    <w:rsid w:val="002D270F"/>
    <w:rsid w:val="002D2A2D"/>
    <w:rsid w:val="002D2B5D"/>
    <w:rsid w:val="002D46C8"/>
    <w:rsid w:val="002D56C9"/>
    <w:rsid w:val="002D5B41"/>
    <w:rsid w:val="002D6C25"/>
    <w:rsid w:val="002D6FF6"/>
    <w:rsid w:val="002D7771"/>
    <w:rsid w:val="002D7D48"/>
    <w:rsid w:val="002E04EE"/>
    <w:rsid w:val="002E1513"/>
    <w:rsid w:val="002E231E"/>
    <w:rsid w:val="002E2D02"/>
    <w:rsid w:val="002E39E6"/>
    <w:rsid w:val="002E3C60"/>
    <w:rsid w:val="002E3E4F"/>
    <w:rsid w:val="002E53A1"/>
    <w:rsid w:val="002E5594"/>
    <w:rsid w:val="002E55F7"/>
    <w:rsid w:val="002F0B18"/>
    <w:rsid w:val="002F0F21"/>
    <w:rsid w:val="002F48A7"/>
    <w:rsid w:val="002F4D65"/>
    <w:rsid w:val="002F5129"/>
    <w:rsid w:val="002F58E6"/>
    <w:rsid w:val="002F5B2F"/>
    <w:rsid w:val="00300025"/>
    <w:rsid w:val="00300088"/>
    <w:rsid w:val="00301B59"/>
    <w:rsid w:val="0030306A"/>
    <w:rsid w:val="003031FF"/>
    <w:rsid w:val="00303801"/>
    <w:rsid w:val="00303E07"/>
    <w:rsid w:val="00305405"/>
    <w:rsid w:val="00307563"/>
    <w:rsid w:val="00307ED3"/>
    <w:rsid w:val="003110CF"/>
    <w:rsid w:val="00311AEE"/>
    <w:rsid w:val="00311F25"/>
    <w:rsid w:val="00313051"/>
    <w:rsid w:val="0031329F"/>
    <w:rsid w:val="003134CD"/>
    <w:rsid w:val="003146FC"/>
    <w:rsid w:val="00315EE2"/>
    <w:rsid w:val="00316318"/>
    <w:rsid w:val="00316F27"/>
    <w:rsid w:val="00317733"/>
    <w:rsid w:val="0032009F"/>
    <w:rsid w:val="00320165"/>
    <w:rsid w:val="00320282"/>
    <w:rsid w:val="00320575"/>
    <w:rsid w:val="003210D9"/>
    <w:rsid w:val="00322D99"/>
    <w:rsid w:val="0032395D"/>
    <w:rsid w:val="003251A0"/>
    <w:rsid w:val="00325E4B"/>
    <w:rsid w:val="00327E97"/>
    <w:rsid w:val="0033006D"/>
    <w:rsid w:val="0033072E"/>
    <w:rsid w:val="00330E29"/>
    <w:rsid w:val="00330FF0"/>
    <w:rsid w:val="00331350"/>
    <w:rsid w:val="003316E7"/>
    <w:rsid w:val="00331782"/>
    <w:rsid w:val="00331D52"/>
    <w:rsid w:val="00331DFA"/>
    <w:rsid w:val="003322B6"/>
    <w:rsid w:val="003329DA"/>
    <w:rsid w:val="00332E71"/>
    <w:rsid w:val="00334597"/>
    <w:rsid w:val="003349C3"/>
    <w:rsid w:val="00334E56"/>
    <w:rsid w:val="00336081"/>
    <w:rsid w:val="00336C74"/>
    <w:rsid w:val="00336FB5"/>
    <w:rsid w:val="00337AA6"/>
    <w:rsid w:val="00337B1A"/>
    <w:rsid w:val="00340291"/>
    <w:rsid w:val="00341E9E"/>
    <w:rsid w:val="0034284C"/>
    <w:rsid w:val="0034371D"/>
    <w:rsid w:val="003438F8"/>
    <w:rsid w:val="00343A92"/>
    <w:rsid w:val="003440E6"/>
    <w:rsid w:val="0034501F"/>
    <w:rsid w:val="00345049"/>
    <w:rsid w:val="00345548"/>
    <w:rsid w:val="0034628E"/>
    <w:rsid w:val="003474F5"/>
    <w:rsid w:val="003478F8"/>
    <w:rsid w:val="00347DBE"/>
    <w:rsid w:val="003508A7"/>
    <w:rsid w:val="00351364"/>
    <w:rsid w:val="00351D97"/>
    <w:rsid w:val="00352D4B"/>
    <w:rsid w:val="003530D9"/>
    <w:rsid w:val="00353EF0"/>
    <w:rsid w:val="00354C8F"/>
    <w:rsid w:val="00356C4D"/>
    <w:rsid w:val="003579A5"/>
    <w:rsid w:val="003579EF"/>
    <w:rsid w:val="00357E7F"/>
    <w:rsid w:val="00360E87"/>
    <w:rsid w:val="00361328"/>
    <w:rsid w:val="00361BB9"/>
    <w:rsid w:val="00361BFF"/>
    <w:rsid w:val="003626B8"/>
    <w:rsid w:val="003628FF"/>
    <w:rsid w:val="00362906"/>
    <w:rsid w:val="00363521"/>
    <w:rsid w:val="00363CA4"/>
    <w:rsid w:val="00364129"/>
    <w:rsid w:val="00364D31"/>
    <w:rsid w:val="00366687"/>
    <w:rsid w:val="00370FE4"/>
    <w:rsid w:val="0037135B"/>
    <w:rsid w:val="00371478"/>
    <w:rsid w:val="00372330"/>
    <w:rsid w:val="00373AB5"/>
    <w:rsid w:val="003741AB"/>
    <w:rsid w:val="003743B8"/>
    <w:rsid w:val="003746FC"/>
    <w:rsid w:val="003747F5"/>
    <w:rsid w:val="00375E89"/>
    <w:rsid w:val="00376B1C"/>
    <w:rsid w:val="00377D92"/>
    <w:rsid w:val="00381555"/>
    <w:rsid w:val="00382C46"/>
    <w:rsid w:val="00383282"/>
    <w:rsid w:val="00384554"/>
    <w:rsid w:val="003853CF"/>
    <w:rsid w:val="00386133"/>
    <w:rsid w:val="00386427"/>
    <w:rsid w:val="003864C9"/>
    <w:rsid w:val="00387119"/>
    <w:rsid w:val="0039080F"/>
    <w:rsid w:val="00391D23"/>
    <w:rsid w:val="00392625"/>
    <w:rsid w:val="00395583"/>
    <w:rsid w:val="00396DAC"/>
    <w:rsid w:val="00397760"/>
    <w:rsid w:val="003977CC"/>
    <w:rsid w:val="003977E5"/>
    <w:rsid w:val="003A11FC"/>
    <w:rsid w:val="003A15B7"/>
    <w:rsid w:val="003A18A1"/>
    <w:rsid w:val="003A29A1"/>
    <w:rsid w:val="003A2C78"/>
    <w:rsid w:val="003A33B8"/>
    <w:rsid w:val="003A365C"/>
    <w:rsid w:val="003A3A66"/>
    <w:rsid w:val="003A5896"/>
    <w:rsid w:val="003A5BE4"/>
    <w:rsid w:val="003A606F"/>
    <w:rsid w:val="003A69F4"/>
    <w:rsid w:val="003B1599"/>
    <w:rsid w:val="003B17F9"/>
    <w:rsid w:val="003B1E17"/>
    <w:rsid w:val="003B2AE0"/>
    <w:rsid w:val="003B34DB"/>
    <w:rsid w:val="003B38F7"/>
    <w:rsid w:val="003B542E"/>
    <w:rsid w:val="003B5AEC"/>
    <w:rsid w:val="003B5D27"/>
    <w:rsid w:val="003B623D"/>
    <w:rsid w:val="003B636B"/>
    <w:rsid w:val="003B69B4"/>
    <w:rsid w:val="003B6D30"/>
    <w:rsid w:val="003B6DDC"/>
    <w:rsid w:val="003B7677"/>
    <w:rsid w:val="003C0B95"/>
    <w:rsid w:val="003C13D2"/>
    <w:rsid w:val="003C2059"/>
    <w:rsid w:val="003C48CC"/>
    <w:rsid w:val="003C4D5A"/>
    <w:rsid w:val="003C5130"/>
    <w:rsid w:val="003C5BB8"/>
    <w:rsid w:val="003C6449"/>
    <w:rsid w:val="003C7505"/>
    <w:rsid w:val="003C7690"/>
    <w:rsid w:val="003D016F"/>
    <w:rsid w:val="003D01BC"/>
    <w:rsid w:val="003D0883"/>
    <w:rsid w:val="003D08A5"/>
    <w:rsid w:val="003D192D"/>
    <w:rsid w:val="003D1EE8"/>
    <w:rsid w:val="003D2921"/>
    <w:rsid w:val="003D2F4C"/>
    <w:rsid w:val="003D33A8"/>
    <w:rsid w:val="003D4109"/>
    <w:rsid w:val="003D6937"/>
    <w:rsid w:val="003D6AF4"/>
    <w:rsid w:val="003D6BB6"/>
    <w:rsid w:val="003D71A0"/>
    <w:rsid w:val="003E010E"/>
    <w:rsid w:val="003E0749"/>
    <w:rsid w:val="003E1A4B"/>
    <w:rsid w:val="003E27A8"/>
    <w:rsid w:val="003E4412"/>
    <w:rsid w:val="003E4B35"/>
    <w:rsid w:val="003E5602"/>
    <w:rsid w:val="003E5C89"/>
    <w:rsid w:val="003E5ECB"/>
    <w:rsid w:val="003E7065"/>
    <w:rsid w:val="003E76E2"/>
    <w:rsid w:val="003E78B5"/>
    <w:rsid w:val="003E78D7"/>
    <w:rsid w:val="003E7EB6"/>
    <w:rsid w:val="003E7FA7"/>
    <w:rsid w:val="003F02AE"/>
    <w:rsid w:val="003F0445"/>
    <w:rsid w:val="003F05A6"/>
    <w:rsid w:val="003F09C3"/>
    <w:rsid w:val="003F0CB8"/>
    <w:rsid w:val="003F1795"/>
    <w:rsid w:val="003F19C5"/>
    <w:rsid w:val="003F247C"/>
    <w:rsid w:val="003F39A6"/>
    <w:rsid w:val="003F3CB7"/>
    <w:rsid w:val="003F4530"/>
    <w:rsid w:val="003F5406"/>
    <w:rsid w:val="003F5D9B"/>
    <w:rsid w:val="003F702E"/>
    <w:rsid w:val="003F7340"/>
    <w:rsid w:val="003F7A5C"/>
    <w:rsid w:val="003F7F8B"/>
    <w:rsid w:val="0040016A"/>
    <w:rsid w:val="00400721"/>
    <w:rsid w:val="004011C1"/>
    <w:rsid w:val="004015CB"/>
    <w:rsid w:val="00401C08"/>
    <w:rsid w:val="00403863"/>
    <w:rsid w:val="00403FBB"/>
    <w:rsid w:val="00404A0C"/>
    <w:rsid w:val="00406C73"/>
    <w:rsid w:val="00410B97"/>
    <w:rsid w:val="00411662"/>
    <w:rsid w:val="004117F4"/>
    <w:rsid w:val="00411CB6"/>
    <w:rsid w:val="00414618"/>
    <w:rsid w:val="00414996"/>
    <w:rsid w:val="00416CA0"/>
    <w:rsid w:val="00416DCB"/>
    <w:rsid w:val="00417688"/>
    <w:rsid w:val="004206A7"/>
    <w:rsid w:val="00420D64"/>
    <w:rsid w:val="00422267"/>
    <w:rsid w:val="00422683"/>
    <w:rsid w:val="0042284E"/>
    <w:rsid w:val="00424ADE"/>
    <w:rsid w:val="00425208"/>
    <w:rsid w:val="004258EE"/>
    <w:rsid w:val="00425EF6"/>
    <w:rsid w:val="004263BB"/>
    <w:rsid w:val="004263C4"/>
    <w:rsid w:val="0042719F"/>
    <w:rsid w:val="00430A3F"/>
    <w:rsid w:val="00431440"/>
    <w:rsid w:val="00431E2E"/>
    <w:rsid w:val="004324A5"/>
    <w:rsid w:val="00433B75"/>
    <w:rsid w:val="00435214"/>
    <w:rsid w:val="004354BD"/>
    <w:rsid w:val="00435B8F"/>
    <w:rsid w:val="00436A0D"/>
    <w:rsid w:val="00436C47"/>
    <w:rsid w:val="00437492"/>
    <w:rsid w:val="00440664"/>
    <w:rsid w:val="00440D18"/>
    <w:rsid w:val="0044173B"/>
    <w:rsid w:val="004424F7"/>
    <w:rsid w:val="00442A36"/>
    <w:rsid w:val="004437E2"/>
    <w:rsid w:val="00444B4C"/>
    <w:rsid w:val="00445030"/>
    <w:rsid w:val="00445411"/>
    <w:rsid w:val="00445B22"/>
    <w:rsid w:val="00445D5D"/>
    <w:rsid w:val="00446A5E"/>
    <w:rsid w:val="004511ED"/>
    <w:rsid w:val="00451AB5"/>
    <w:rsid w:val="004524CA"/>
    <w:rsid w:val="004542E5"/>
    <w:rsid w:val="00455733"/>
    <w:rsid w:val="0045583B"/>
    <w:rsid w:val="00455D78"/>
    <w:rsid w:val="004564F1"/>
    <w:rsid w:val="00456613"/>
    <w:rsid w:val="00456EF6"/>
    <w:rsid w:val="0045712F"/>
    <w:rsid w:val="0045764A"/>
    <w:rsid w:val="00461BD9"/>
    <w:rsid w:val="00461C85"/>
    <w:rsid w:val="00461D24"/>
    <w:rsid w:val="00462FCA"/>
    <w:rsid w:val="00463589"/>
    <w:rsid w:val="00463B39"/>
    <w:rsid w:val="00464ABD"/>
    <w:rsid w:val="0046756D"/>
    <w:rsid w:val="0047059A"/>
    <w:rsid w:val="00472300"/>
    <w:rsid w:val="00472AE0"/>
    <w:rsid w:val="00474B45"/>
    <w:rsid w:val="00474F4F"/>
    <w:rsid w:val="00475BE1"/>
    <w:rsid w:val="004768E4"/>
    <w:rsid w:val="0047699A"/>
    <w:rsid w:val="004775F6"/>
    <w:rsid w:val="0048129C"/>
    <w:rsid w:val="00481BBD"/>
    <w:rsid w:val="0048439A"/>
    <w:rsid w:val="00484858"/>
    <w:rsid w:val="0048492E"/>
    <w:rsid w:val="00486ED3"/>
    <w:rsid w:val="0048721F"/>
    <w:rsid w:val="00487246"/>
    <w:rsid w:val="00487B95"/>
    <w:rsid w:val="00487E38"/>
    <w:rsid w:val="00490719"/>
    <w:rsid w:val="00491729"/>
    <w:rsid w:val="0049231A"/>
    <w:rsid w:val="00493BA4"/>
    <w:rsid w:val="00493FD5"/>
    <w:rsid w:val="00494614"/>
    <w:rsid w:val="00494F0C"/>
    <w:rsid w:val="00494F1B"/>
    <w:rsid w:val="00496A7F"/>
    <w:rsid w:val="00497ED1"/>
    <w:rsid w:val="004A11DD"/>
    <w:rsid w:val="004A1303"/>
    <w:rsid w:val="004A148D"/>
    <w:rsid w:val="004A3572"/>
    <w:rsid w:val="004A3A9A"/>
    <w:rsid w:val="004A3D13"/>
    <w:rsid w:val="004A5238"/>
    <w:rsid w:val="004A5659"/>
    <w:rsid w:val="004A573C"/>
    <w:rsid w:val="004A5CAE"/>
    <w:rsid w:val="004B0C5B"/>
    <w:rsid w:val="004B0D9F"/>
    <w:rsid w:val="004B1201"/>
    <w:rsid w:val="004B2D36"/>
    <w:rsid w:val="004B63DF"/>
    <w:rsid w:val="004B6B19"/>
    <w:rsid w:val="004B6E6D"/>
    <w:rsid w:val="004B6F3D"/>
    <w:rsid w:val="004C0250"/>
    <w:rsid w:val="004C04E3"/>
    <w:rsid w:val="004C0E51"/>
    <w:rsid w:val="004C10A8"/>
    <w:rsid w:val="004C1713"/>
    <w:rsid w:val="004C210E"/>
    <w:rsid w:val="004C23DA"/>
    <w:rsid w:val="004C3059"/>
    <w:rsid w:val="004C32A6"/>
    <w:rsid w:val="004C334B"/>
    <w:rsid w:val="004C398A"/>
    <w:rsid w:val="004C453B"/>
    <w:rsid w:val="004C536C"/>
    <w:rsid w:val="004C6050"/>
    <w:rsid w:val="004C67A6"/>
    <w:rsid w:val="004D1673"/>
    <w:rsid w:val="004D3347"/>
    <w:rsid w:val="004D344A"/>
    <w:rsid w:val="004D487F"/>
    <w:rsid w:val="004D4A3D"/>
    <w:rsid w:val="004D4C29"/>
    <w:rsid w:val="004D538D"/>
    <w:rsid w:val="004D5AD3"/>
    <w:rsid w:val="004D5CD5"/>
    <w:rsid w:val="004D6390"/>
    <w:rsid w:val="004D6872"/>
    <w:rsid w:val="004D6D03"/>
    <w:rsid w:val="004E0191"/>
    <w:rsid w:val="004E287B"/>
    <w:rsid w:val="004E3261"/>
    <w:rsid w:val="004E41DC"/>
    <w:rsid w:val="004E4ACF"/>
    <w:rsid w:val="004E56F0"/>
    <w:rsid w:val="004E5F24"/>
    <w:rsid w:val="004E6B98"/>
    <w:rsid w:val="004E77D2"/>
    <w:rsid w:val="004E7E6E"/>
    <w:rsid w:val="004F0766"/>
    <w:rsid w:val="004F0E7B"/>
    <w:rsid w:val="004F1909"/>
    <w:rsid w:val="004F194D"/>
    <w:rsid w:val="004F2B79"/>
    <w:rsid w:val="004F7AE1"/>
    <w:rsid w:val="005000AF"/>
    <w:rsid w:val="0050047F"/>
    <w:rsid w:val="00502193"/>
    <w:rsid w:val="00502BFA"/>
    <w:rsid w:val="00503898"/>
    <w:rsid w:val="00504217"/>
    <w:rsid w:val="005056B6"/>
    <w:rsid w:val="00505824"/>
    <w:rsid w:val="00506EB3"/>
    <w:rsid w:val="00506F62"/>
    <w:rsid w:val="005076AF"/>
    <w:rsid w:val="005107F3"/>
    <w:rsid w:val="00510E7B"/>
    <w:rsid w:val="005114FC"/>
    <w:rsid w:val="00512229"/>
    <w:rsid w:val="00512868"/>
    <w:rsid w:val="00512906"/>
    <w:rsid w:val="005129CD"/>
    <w:rsid w:val="0051306A"/>
    <w:rsid w:val="00514508"/>
    <w:rsid w:val="005149C0"/>
    <w:rsid w:val="00514AD0"/>
    <w:rsid w:val="00515425"/>
    <w:rsid w:val="005165B4"/>
    <w:rsid w:val="00516628"/>
    <w:rsid w:val="005204A1"/>
    <w:rsid w:val="00520668"/>
    <w:rsid w:val="0052097B"/>
    <w:rsid w:val="00520C75"/>
    <w:rsid w:val="00521DF3"/>
    <w:rsid w:val="005226AF"/>
    <w:rsid w:val="00522729"/>
    <w:rsid w:val="00522AB5"/>
    <w:rsid w:val="00522F7E"/>
    <w:rsid w:val="00523A41"/>
    <w:rsid w:val="00525383"/>
    <w:rsid w:val="00526F5C"/>
    <w:rsid w:val="00527DF7"/>
    <w:rsid w:val="00530450"/>
    <w:rsid w:val="00530E52"/>
    <w:rsid w:val="0053135E"/>
    <w:rsid w:val="00531B19"/>
    <w:rsid w:val="0053201E"/>
    <w:rsid w:val="00532405"/>
    <w:rsid w:val="00532B00"/>
    <w:rsid w:val="00532D31"/>
    <w:rsid w:val="00533353"/>
    <w:rsid w:val="0053573F"/>
    <w:rsid w:val="005368E9"/>
    <w:rsid w:val="0053701E"/>
    <w:rsid w:val="00537E36"/>
    <w:rsid w:val="00537E63"/>
    <w:rsid w:val="00537FCD"/>
    <w:rsid w:val="0054145C"/>
    <w:rsid w:val="00542084"/>
    <w:rsid w:val="00543DB6"/>
    <w:rsid w:val="00544594"/>
    <w:rsid w:val="0054506D"/>
    <w:rsid w:val="0054607C"/>
    <w:rsid w:val="005462AE"/>
    <w:rsid w:val="00546CC7"/>
    <w:rsid w:val="005472F7"/>
    <w:rsid w:val="0054730D"/>
    <w:rsid w:val="005475E5"/>
    <w:rsid w:val="00547763"/>
    <w:rsid w:val="0054797F"/>
    <w:rsid w:val="005479B6"/>
    <w:rsid w:val="00547A63"/>
    <w:rsid w:val="00547AC9"/>
    <w:rsid w:val="005502FD"/>
    <w:rsid w:val="0055131D"/>
    <w:rsid w:val="00551AA0"/>
    <w:rsid w:val="00552639"/>
    <w:rsid w:val="00552D1D"/>
    <w:rsid w:val="005533EF"/>
    <w:rsid w:val="005534F4"/>
    <w:rsid w:val="00553D82"/>
    <w:rsid w:val="0055473C"/>
    <w:rsid w:val="005558AE"/>
    <w:rsid w:val="00556FE8"/>
    <w:rsid w:val="00560011"/>
    <w:rsid w:val="005620C2"/>
    <w:rsid w:val="0056243F"/>
    <w:rsid w:val="00563759"/>
    <w:rsid w:val="00564285"/>
    <w:rsid w:val="0056432B"/>
    <w:rsid w:val="00564968"/>
    <w:rsid w:val="00565ADC"/>
    <w:rsid w:val="0056616B"/>
    <w:rsid w:val="00566286"/>
    <w:rsid w:val="005666D0"/>
    <w:rsid w:val="00566C27"/>
    <w:rsid w:val="0057011E"/>
    <w:rsid w:val="005705D3"/>
    <w:rsid w:val="00570647"/>
    <w:rsid w:val="0057091D"/>
    <w:rsid w:val="00570AA2"/>
    <w:rsid w:val="0057167B"/>
    <w:rsid w:val="005716F2"/>
    <w:rsid w:val="0057172A"/>
    <w:rsid w:val="00572288"/>
    <w:rsid w:val="00573A3D"/>
    <w:rsid w:val="00573D1E"/>
    <w:rsid w:val="00574052"/>
    <w:rsid w:val="00576115"/>
    <w:rsid w:val="00576B0F"/>
    <w:rsid w:val="00577C37"/>
    <w:rsid w:val="00577DC0"/>
    <w:rsid w:val="00577DDF"/>
    <w:rsid w:val="00580862"/>
    <w:rsid w:val="00581D5C"/>
    <w:rsid w:val="005823A2"/>
    <w:rsid w:val="005824D1"/>
    <w:rsid w:val="00582DCD"/>
    <w:rsid w:val="00582EA7"/>
    <w:rsid w:val="005833DB"/>
    <w:rsid w:val="00583412"/>
    <w:rsid w:val="005841A7"/>
    <w:rsid w:val="0058450D"/>
    <w:rsid w:val="00584D2D"/>
    <w:rsid w:val="005874A6"/>
    <w:rsid w:val="00587676"/>
    <w:rsid w:val="00592368"/>
    <w:rsid w:val="00592543"/>
    <w:rsid w:val="0059607D"/>
    <w:rsid w:val="00597462"/>
    <w:rsid w:val="00597D8D"/>
    <w:rsid w:val="00597DC3"/>
    <w:rsid w:val="00597DE8"/>
    <w:rsid w:val="005A01C1"/>
    <w:rsid w:val="005A193A"/>
    <w:rsid w:val="005A1CD8"/>
    <w:rsid w:val="005A38BB"/>
    <w:rsid w:val="005A41C2"/>
    <w:rsid w:val="005A4959"/>
    <w:rsid w:val="005A4F2D"/>
    <w:rsid w:val="005A589B"/>
    <w:rsid w:val="005A5E91"/>
    <w:rsid w:val="005A79A1"/>
    <w:rsid w:val="005B191B"/>
    <w:rsid w:val="005B191D"/>
    <w:rsid w:val="005B1DA8"/>
    <w:rsid w:val="005B1FC1"/>
    <w:rsid w:val="005B2755"/>
    <w:rsid w:val="005B2931"/>
    <w:rsid w:val="005B3E7E"/>
    <w:rsid w:val="005B408E"/>
    <w:rsid w:val="005B5B92"/>
    <w:rsid w:val="005B5D7D"/>
    <w:rsid w:val="005B5E60"/>
    <w:rsid w:val="005B65B8"/>
    <w:rsid w:val="005B6AE3"/>
    <w:rsid w:val="005B6B88"/>
    <w:rsid w:val="005B6FDA"/>
    <w:rsid w:val="005C0300"/>
    <w:rsid w:val="005C139B"/>
    <w:rsid w:val="005C1C44"/>
    <w:rsid w:val="005C2070"/>
    <w:rsid w:val="005C2917"/>
    <w:rsid w:val="005C370B"/>
    <w:rsid w:val="005C3715"/>
    <w:rsid w:val="005C4589"/>
    <w:rsid w:val="005C54A6"/>
    <w:rsid w:val="005D0064"/>
    <w:rsid w:val="005D01B6"/>
    <w:rsid w:val="005D0948"/>
    <w:rsid w:val="005D0BD2"/>
    <w:rsid w:val="005D0C5E"/>
    <w:rsid w:val="005D0FB9"/>
    <w:rsid w:val="005D1A89"/>
    <w:rsid w:val="005D1AAB"/>
    <w:rsid w:val="005D4000"/>
    <w:rsid w:val="005D43E3"/>
    <w:rsid w:val="005E0E4E"/>
    <w:rsid w:val="005E12E2"/>
    <w:rsid w:val="005E2043"/>
    <w:rsid w:val="005E31C0"/>
    <w:rsid w:val="005E3597"/>
    <w:rsid w:val="005E3893"/>
    <w:rsid w:val="005E3FE2"/>
    <w:rsid w:val="005E4178"/>
    <w:rsid w:val="005E51CD"/>
    <w:rsid w:val="005E5405"/>
    <w:rsid w:val="005E5D05"/>
    <w:rsid w:val="005E76FE"/>
    <w:rsid w:val="005E7E8D"/>
    <w:rsid w:val="005F1083"/>
    <w:rsid w:val="005F1FC0"/>
    <w:rsid w:val="005F24FB"/>
    <w:rsid w:val="005F2CE8"/>
    <w:rsid w:val="005F41A3"/>
    <w:rsid w:val="005F49FF"/>
    <w:rsid w:val="005F4A9E"/>
    <w:rsid w:val="005F4D28"/>
    <w:rsid w:val="005F5927"/>
    <w:rsid w:val="005F5D7E"/>
    <w:rsid w:val="00600BCA"/>
    <w:rsid w:val="00601079"/>
    <w:rsid w:val="006015E3"/>
    <w:rsid w:val="00601B1D"/>
    <w:rsid w:val="00601C41"/>
    <w:rsid w:val="00602561"/>
    <w:rsid w:val="00602F3C"/>
    <w:rsid w:val="0060315F"/>
    <w:rsid w:val="006046A1"/>
    <w:rsid w:val="006048F0"/>
    <w:rsid w:val="006053D4"/>
    <w:rsid w:val="0060576F"/>
    <w:rsid w:val="00605C40"/>
    <w:rsid w:val="00606011"/>
    <w:rsid w:val="00607D28"/>
    <w:rsid w:val="00607FC7"/>
    <w:rsid w:val="00616416"/>
    <w:rsid w:val="00616780"/>
    <w:rsid w:val="0061720B"/>
    <w:rsid w:val="006178CE"/>
    <w:rsid w:val="00617E7A"/>
    <w:rsid w:val="00620352"/>
    <w:rsid w:val="00620698"/>
    <w:rsid w:val="00620910"/>
    <w:rsid w:val="00621196"/>
    <w:rsid w:val="006217E0"/>
    <w:rsid w:val="006223BB"/>
    <w:rsid w:val="00623C4F"/>
    <w:rsid w:val="006240A7"/>
    <w:rsid w:val="0062416F"/>
    <w:rsid w:val="0062468B"/>
    <w:rsid w:val="00624837"/>
    <w:rsid w:val="00624FA6"/>
    <w:rsid w:val="00626A34"/>
    <w:rsid w:val="0062780B"/>
    <w:rsid w:val="00630DD9"/>
    <w:rsid w:val="006310F0"/>
    <w:rsid w:val="00631289"/>
    <w:rsid w:val="006312B4"/>
    <w:rsid w:val="00631DA9"/>
    <w:rsid w:val="006329D2"/>
    <w:rsid w:val="00633594"/>
    <w:rsid w:val="0063378A"/>
    <w:rsid w:val="0063569B"/>
    <w:rsid w:val="00636279"/>
    <w:rsid w:val="006362F3"/>
    <w:rsid w:val="0063734B"/>
    <w:rsid w:val="00640B69"/>
    <w:rsid w:val="00641DCA"/>
    <w:rsid w:val="00641DE4"/>
    <w:rsid w:val="006421D1"/>
    <w:rsid w:val="006424E4"/>
    <w:rsid w:val="00642FA0"/>
    <w:rsid w:val="0064337D"/>
    <w:rsid w:val="00643F90"/>
    <w:rsid w:val="00644996"/>
    <w:rsid w:val="00645B53"/>
    <w:rsid w:val="00646559"/>
    <w:rsid w:val="006466BD"/>
    <w:rsid w:val="006468D8"/>
    <w:rsid w:val="00647025"/>
    <w:rsid w:val="006475C3"/>
    <w:rsid w:val="00650CF2"/>
    <w:rsid w:val="00650D27"/>
    <w:rsid w:val="00650E33"/>
    <w:rsid w:val="00651151"/>
    <w:rsid w:val="00651A5A"/>
    <w:rsid w:val="00651EFC"/>
    <w:rsid w:val="006521A5"/>
    <w:rsid w:val="006522DB"/>
    <w:rsid w:val="006525CF"/>
    <w:rsid w:val="006539C7"/>
    <w:rsid w:val="0065437E"/>
    <w:rsid w:val="00654AD3"/>
    <w:rsid w:val="00655E7E"/>
    <w:rsid w:val="00656605"/>
    <w:rsid w:val="00656E47"/>
    <w:rsid w:val="006573F5"/>
    <w:rsid w:val="00657924"/>
    <w:rsid w:val="00660107"/>
    <w:rsid w:val="00660480"/>
    <w:rsid w:val="006605C7"/>
    <w:rsid w:val="00660A94"/>
    <w:rsid w:val="0066148D"/>
    <w:rsid w:val="00661C4B"/>
    <w:rsid w:val="00661D1B"/>
    <w:rsid w:val="006628AD"/>
    <w:rsid w:val="00663EE5"/>
    <w:rsid w:val="00664F8D"/>
    <w:rsid w:val="00665B17"/>
    <w:rsid w:val="00665B32"/>
    <w:rsid w:val="00665B3D"/>
    <w:rsid w:val="00666E30"/>
    <w:rsid w:val="00667085"/>
    <w:rsid w:val="0066742B"/>
    <w:rsid w:val="00670B83"/>
    <w:rsid w:val="00671720"/>
    <w:rsid w:val="006720F6"/>
    <w:rsid w:val="00672921"/>
    <w:rsid w:val="00673043"/>
    <w:rsid w:val="006736AC"/>
    <w:rsid w:val="006740D3"/>
    <w:rsid w:val="006742C5"/>
    <w:rsid w:val="00674C29"/>
    <w:rsid w:val="00675EFD"/>
    <w:rsid w:val="006760F3"/>
    <w:rsid w:val="00676DF8"/>
    <w:rsid w:val="00677D5B"/>
    <w:rsid w:val="00680924"/>
    <w:rsid w:val="00681A8B"/>
    <w:rsid w:val="00681DDF"/>
    <w:rsid w:val="00683145"/>
    <w:rsid w:val="00684854"/>
    <w:rsid w:val="00685A3D"/>
    <w:rsid w:val="0068725B"/>
    <w:rsid w:val="00687398"/>
    <w:rsid w:val="006903C7"/>
    <w:rsid w:val="00690AE4"/>
    <w:rsid w:val="00691883"/>
    <w:rsid w:val="00691CC1"/>
    <w:rsid w:val="00693029"/>
    <w:rsid w:val="0069335A"/>
    <w:rsid w:val="00693EAF"/>
    <w:rsid w:val="00693F38"/>
    <w:rsid w:val="00694AFC"/>
    <w:rsid w:val="006956B8"/>
    <w:rsid w:val="00696377"/>
    <w:rsid w:val="0069642B"/>
    <w:rsid w:val="006969D6"/>
    <w:rsid w:val="00697427"/>
    <w:rsid w:val="00697D54"/>
    <w:rsid w:val="00697F33"/>
    <w:rsid w:val="006A0381"/>
    <w:rsid w:val="006A0560"/>
    <w:rsid w:val="006A1563"/>
    <w:rsid w:val="006A157C"/>
    <w:rsid w:val="006A349E"/>
    <w:rsid w:val="006A372B"/>
    <w:rsid w:val="006A4440"/>
    <w:rsid w:val="006A4B36"/>
    <w:rsid w:val="006A53F7"/>
    <w:rsid w:val="006A66C0"/>
    <w:rsid w:val="006A66F0"/>
    <w:rsid w:val="006A79E3"/>
    <w:rsid w:val="006A7BBB"/>
    <w:rsid w:val="006B0E01"/>
    <w:rsid w:val="006B130D"/>
    <w:rsid w:val="006B1313"/>
    <w:rsid w:val="006B13B5"/>
    <w:rsid w:val="006B3166"/>
    <w:rsid w:val="006B3232"/>
    <w:rsid w:val="006B33F3"/>
    <w:rsid w:val="006B3579"/>
    <w:rsid w:val="006B4E19"/>
    <w:rsid w:val="006B542F"/>
    <w:rsid w:val="006B6125"/>
    <w:rsid w:val="006B7711"/>
    <w:rsid w:val="006C063D"/>
    <w:rsid w:val="006C0B0B"/>
    <w:rsid w:val="006C1200"/>
    <w:rsid w:val="006C1B1F"/>
    <w:rsid w:val="006C1BB0"/>
    <w:rsid w:val="006C1CF1"/>
    <w:rsid w:val="006C2425"/>
    <w:rsid w:val="006C2BFE"/>
    <w:rsid w:val="006C3A12"/>
    <w:rsid w:val="006C3E8B"/>
    <w:rsid w:val="006C4112"/>
    <w:rsid w:val="006C553F"/>
    <w:rsid w:val="006C7214"/>
    <w:rsid w:val="006C769A"/>
    <w:rsid w:val="006C7E99"/>
    <w:rsid w:val="006D1839"/>
    <w:rsid w:val="006D1D99"/>
    <w:rsid w:val="006D1F92"/>
    <w:rsid w:val="006D221A"/>
    <w:rsid w:val="006D2498"/>
    <w:rsid w:val="006D32B3"/>
    <w:rsid w:val="006D344C"/>
    <w:rsid w:val="006D376C"/>
    <w:rsid w:val="006D3E6B"/>
    <w:rsid w:val="006D5280"/>
    <w:rsid w:val="006D563B"/>
    <w:rsid w:val="006D5AB2"/>
    <w:rsid w:val="006D670A"/>
    <w:rsid w:val="006D6D7C"/>
    <w:rsid w:val="006D71FB"/>
    <w:rsid w:val="006E020C"/>
    <w:rsid w:val="006E05C1"/>
    <w:rsid w:val="006E07EC"/>
    <w:rsid w:val="006E0918"/>
    <w:rsid w:val="006E0DFC"/>
    <w:rsid w:val="006E0EA4"/>
    <w:rsid w:val="006E1261"/>
    <w:rsid w:val="006E25C4"/>
    <w:rsid w:val="006E263F"/>
    <w:rsid w:val="006E3274"/>
    <w:rsid w:val="006E3950"/>
    <w:rsid w:val="006E3980"/>
    <w:rsid w:val="006E4732"/>
    <w:rsid w:val="006E4F4E"/>
    <w:rsid w:val="006E5912"/>
    <w:rsid w:val="006E59E4"/>
    <w:rsid w:val="006E5C51"/>
    <w:rsid w:val="006E5CB5"/>
    <w:rsid w:val="006E62C1"/>
    <w:rsid w:val="006E6C38"/>
    <w:rsid w:val="006E7210"/>
    <w:rsid w:val="006F0754"/>
    <w:rsid w:val="006F0EC1"/>
    <w:rsid w:val="006F0FF7"/>
    <w:rsid w:val="006F294C"/>
    <w:rsid w:val="006F2B22"/>
    <w:rsid w:val="006F32C7"/>
    <w:rsid w:val="006F3954"/>
    <w:rsid w:val="006F4D03"/>
    <w:rsid w:val="006F574D"/>
    <w:rsid w:val="006F5E93"/>
    <w:rsid w:val="006F6062"/>
    <w:rsid w:val="006F61A7"/>
    <w:rsid w:val="006F7B37"/>
    <w:rsid w:val="00702941"/>
    <w:rsid w:val="00702BCF"/>
    <w:rsid w:val="00702FB4"/>
    <w:rsid w:val="0070335F"/>
    <w:rsid w:val="0070387A"/>
    <w:rsid w:val="00703D4D"/>
    <w:rsid w:val="007042CD"/>
    <w:rsid w:val="00704306"/>
    <w:rsid w:val="00705182"/>
    <w:rsid w:val="007055F4"/>
    <w:rsid w:val="007062C0"/>
    <w:rsid w:val="00706855"/>
    <w:rsid w:val="007072AD"/>
    <w:rsid w:val="00707C85"/>
    <w:rsid w:val="0071001D"/>
    <w:rsid w:val="007100D8"/>
    <w:rsid w:val="007118A5"/>
    <w:rsid w:val="00711C0D"/>
    <w:rsid w:val="00711C49"/>
    <w:rsid w:val="007120EC"/>
    <w:rsid w:val="0071454D"/>
    <w:rsid w:val="00714883"/>
    <w:rsid w:val="00717151"/>
    <w:rsid w:val="00720154"/>
    <w:rsid w:val="00720DE9"/>
    <w:rsid w:val="00723B9D"/>
    <w:rsid w:val="00723DF1"/>
    <w:rsid w:val="00726197"/>
    <w:rsid w:val="00726E6C"/>
    <w:rsid w:val="007273E7"/>
    <w:rsid w:val="0072754E"/>
    <w:rsid w:val="00727AB6"/>
    <w:rsid w:val="0073041D"/>
    <w:rsid w:val="00731AB2"/>
    <w:rsid w:val="00731F10"/>
    <w:rsid w:val="007327EF"/>
    <w:rsid w:val="00733F32"/>
    <w:rsid w:val="00734C87"/>
    <w:rsid w:val="0073510A"/>
    <w:rsid w:val="007363AD"/>
    <w:rsid w:val="007378D6"/>
    <w:rsid w:val="00741B45"/>
    <w:rsid w:val="00741D7F"/>
    <w:rsid w:val="00741FCB"/>
    <w:rsid w:val="00743165"/>
    <w:rsid w:val="00743FB3"/>
    <w:rsid w:val="00745873"/>
    <w:rsid w:val="007459F4"/>
    <w:rsid w:val="00746A2B"/>
    <w:rsid w:val="00746C5C"/>
    <w:rsid w:val="00746FB6"/>
    <w:rsid w:val="0074762D"/>
    <w:rsid w:val="00747721"/>
    <w:rsid w:val="0075045E"/>
    <w:rsid w:val="0075061C"/>
    <w:rsid w:val="00751E5C"/>
    <w:rsid w:val="00752C57"/>
    <w:rsid w:val="007545C8"/>
    <w:rsid w:val="00755A27"/>
    <w:rsid w:val="0075658B"/>
    <w:rsid w:val="00756839"/>
    <w:rsid w:val="00757261"/>
    <w:rsid w:val="00757BE8"/>
    <w:rsid w:val="00757BEF"/>
    <w:rsid w:val="00760252"/>
    <w:rsid w:val="00760753"/>
    <w:rsid w:val="0076093C"/>
    <w:rsid w:val="00761DBB"/>
    <w:rsid w:val="00762761"/>
    <w:rsid w:val="00763AFC"/>
    <w:rsid w:val="00764345"/>
    <w:rsid w:val="007657D4"/>
    <w:rsid w:val="00765800"/>
    <w:rsid w:val="007659CC"/>
    <w:rsid w:val="00766263"/>
    <w:rsid w:val="007701CD"/>
    <w:rsid w:val="00770566"/>
    <w:rsid w:val="00770ABF"/>
    <w:rsid w:val="00770BCE"/>
    <w:rsid w:val="00771817"/>
    <w:rsid w:val="0077266F"/>
    <w:rsid w:val="007751C8"/>
    <w:rsid w:val="00775D16"/>
    <w:rsid w:val="0077736E"/>
    <w:rsid w:val="00777451"/>
    <w:rsid w:val="00777ED6"/>
    <w:rsid w:val="0078103B"/>
    <w:rsid w:val="00782D80"/>
    <w:rsid w:val="00783589"/>
    <w:rsid w:val="00783777"/>
    <w:rsid w:val="00783F39"/>
    <w:rsid w:val="00784030"/>
    <w:rsid w:val="007859AC"/>
    <w:rsid w:val="00785B75"/>
    <w:rsid w:val="0078699A"/>
    <w:rsid w:val="00786FE7"/>
    <w:rsid w:val="007876A1"/>
    <w:rsid w:val="00787CEA"/>
    <w:rsid w:val="00787E52"/>
    <w:rsid w:val="00796534"/>
    <w:rsid w:val="00796C63"/>
    <w:rsid w:val="00797864"/>
    <w:rsid w:val="007A0C8B"/>
    <w:rsid w:val="007A0DC1"/>
    <w:rsid w:val="007A3912"/>
    <w:rsid w:val="007A413C"/>
    <w:rsid w:val="007A4974"/>
    <w:rsid w:val="007A513A"/>
    <w:rsid w:val="007A5343"/>
    <w:rsid w:val="007A5A9F"/>
    <w:rsid w:val="007A5B86"/>
    <w:rsid w:val="007A696A"/>
    <w:rsid w:val="007A6CE6"/>
    <w:rsid w:val="007A710D"/>
    <w:rsid w:val="007A7401"/>
    <w:rsid w:val="007A7602"/>
    <w:rsid w:val="007A7882"/>
    <w:rsid w:val="007A7D46"/>
    <w:rsid w:val="007A7E0A"/>
    <w:rsid w:val="007B0619"/>
    <w:rsid w:val="007B1110"/>
    <w:rsid w:val="007B1281"/>
    <w:rsid w:val="007B15FE"/>
    <w:rsid w:val="007B1C97"/>
    <w:rsid w:val="007B1FA9"/>
    <w:rsid w:val="007B288F"/>
    <w:rsid w:val="007B3A6F"/>
    <w:rsid w:val="007B42FB"/>
    <w:rsid w:val="007B755A"/>
    <w:rsid w:val="007B79BE"/>
    <w:rsid w:val="007B7B51"/>
    <w:rsid w:val="007C0428"/>
    <w:rsid w:val="007C0D1D"/>
    <w:rsid w:val="007C0E4A"/>
    <w:rsid w:val="007C12A1"/>
    <w:rsid w:val="007C1A46"/>
    <w:rsid w:val="007C1F08"/>
    <w:rsid w:val="007C273F"/>
    <w:rsid w:val="007C2BEF"/>
    <w:rsid w:val="007C3C52"/>
    <w:rsid w:val="007C3EEE"/>
    <w:rsid w:val="007C5700"/>
    <w:rsid w:val="007D01C0"/>
    <w:rsid w:val="007D0442"/>
    <w:rsid w:val="007D04D6"/>
    <w:rsid w:val="007D065A"/>
    <w:rsid w:val="007D093C"/>
    <w:rsid w:val="007D1077"/>
    <w:rsid w:val="007D19B8"/>
    <w:rsid w:val="007D1B19"/>
    <w:rsid w:val="007D20D6"/>
    <w:rsid w:val="007D3B6F"/>
    <w:rsid w:val="007D48A6"/>
    <w:rsid w:val="007D4BE2"/>
    <w:rsid w:val="007D4D24"/>
    <w:rsid w:val="007D4D8D"/>
    <w:rsid w:val="007D4E77"/>
    <w:rsid w:val="007D5132"/>
    <w:rsid w:val="007D5321"/>
    <w:rsid w:val="007D56D8"/>
    <w:rsid w:val="007D597A"/>
    <w:rsid w:val="007D5C0C"/>
    <w:rsid w:val="007D7612"/>
    <w:rsid w:val="007E0067"/>
    <w:rsid w:val="007E0261"/>
    <w:rsid w:val="007E2DF1"/>
    <w:rsid w:val="007E4583"/>
    <w:rsid w:val="007E5728"/>
    <w:rsid w:val="007E5A1E"/>
    <w:rsid w:val="007E5A89"/>
    <w:rsid w:val="007E7D42"/>
    <w:rsid w:val="007F2217"/>
    <w:rsid w:val="007F27BC"/>
    <w:rsid w:val="007F298A"/>
    <w:rsid w:val="007F2CFC"/>
    <w:rsid w:val="007F323F"/>
    <w:rsid w:val="007F52AF"/>
    <w:rsid w:val="007F56D8"/>
    <w:rsid w:val="0080022E"/>
    <w:rsid w:val="00800CC9"/>
    <w:rsid w:val="00801675"/>
    <w:rsid w:val="008017C7"/>
    <w:rsid w:val="00801BA9"/>
    <w:rsid w:val="00802673"/>
    <w:rsid w:val="00804C62"/>
    <w:rsid w:val="00804FDF"/>
    <w:rsid w:val="00805055"/>
    <w:rsid w:val="00805559"/>
    <w:rsid w:val="008055F3"/>
    <w:rsid w:val="0080695F"/>
    <w:rsid w:val="00807D6B"/>
    <w:rsid w:val="00811F13"/>
    <w:rsid w:val="008127A8"/>
    <w:rsid w:val="00814751"/>
    <w:rsid w:val="00814A5D"/>
    <w:rsid w:val="00814AC4"/>
    <w:rsid w:val="00815095"/>
    <w:rsid w:val="008155BF"/>
    <w:rsid w:val="00817050"/>
    <w:rsid w:val="0081722C"/>
    <w:rsid w:val="0081779F"/>
    <w:rsid w:val="00817F86"/>
    <w:rsid w:val="00820D5C"/>
    <w:rsid w:val="008217DC"/>
    <w:rsid w:val="0082275D"/>
    <w:rsid w:val="00823E10"/>
    <w:rsid w:val="00830D9F"/>
    <w:rsid w:val="00831143"/>
    <w:rsid w:val="008311CE"/>
    <w:rsid w:val="00833F9A"/>
    <w:rsid w:val="00834146"/>
    <w:rsid w:val="008342A6"/>
    <w:rsid w:val="00834F86"/>
    <w:rsid w:val="008363E9"/>
    <w:rsid w:val="008367D7"/>
    <w:rsid w:val="00836C3D"/>
    <w:rsid w:val="00837E87"/>
    <w:rsid w:val="008416C4"/>
    <w:rsid w:val="008419B4"/>
    <w:rsid w:val="00841F65"/>
    <w:rsid w:val="00842915"/>
    <w:rsid w:val="00842B40"/>
    <w:rsid w:val="008433A5"/>
    <w:rsid w:val="00846A79"/>
    <w:rsid w:val="00846D6C"/>
    <w:rsid w:val="008470B6"/>
    <w:rsid w:val="008476F2"/>
    <w:rsid w:val="008477A0"/>
    <w:rsid w:val="00850EE4"/>
    <w:rsid w:val="00852AAA"/>
    <w:rsid w:val="00852D0F"/>
    <w:rsid w:val="00852F9B"/>
    <w:rsid w:val="00853165"/>
    <w:rsid w:val="00853246"/>
    <w:rsid w:val="00854867"/>
    <w:rsid w:val="00854B75"/>
    <w:rsid w:val="00854FE9"/>
    <w:rsid w:val="00855717"/>
    <w:rsid w:val="0085598E"/>
    <w:rsid w:val="00856D71"/>
    <w:rsid w:val="008575BB"/>
    <w:rsid w:val="008603B1"/>
    <w:rsid w:val="008628A3"/>
    <w:rsid w:val="00862C28"/>
    <w:rsid w:val="00863EA2"/>
    <w:rsid w:val="008649E5"/>
    <w:rsid w:val="00865889"/>
    <w:rsid w:val="00866505"/>
    <w:rsid w:val="00866AE1"/>
    <w:rsid w:val="00866BE1"/>
    <w:rsid w:val="00867082"/>
    <w:rsid w:val="00867B68"/>
    <w:rsid w:val="00870F61"/>
    <w:rsid w:val="00871559"/>
    <w:rsid w:val="008715F4"/>
    <w:rsid w:val="008715FB"/>
    <w:rsid w:val="00871B21"/>
    <w:rsid w:val="00872C60"/>
    <w:rsid w:val="00873702"/>
    <w:rsid w:val="00873B16"/>
    <w:rsid w:val="008757B6"/>
    <w:rsid w:val="00876301"/>
    <w:rsid w:val="00876E9D"/>
    <w:rsid w:val="00876F30"/>
    <w:rsid w:val="008777BB"/>
    <w:rsid w:val="00877E59"/>
    <w:rsid w:val="00880954"/>
    <w:rsid w:val="00881E86"/>
    <w:rsid w:val="008823C1"/>
    <w:rsid w:val="0088306D"/>
    <w:rsid w:val="0088387C"/>
    <w:rsid w:val="00883F7F"/>
    <w:rsid w:val="008868A5"/>
    <w:rsid w:val="00886FF3"/>
    <w:rsid w:val="0088710D"/>
    <w:rsid w:val="0088713E"/>
    <w:rsid w:val="00887328"/>
    <w:rsid w:val="00887C3C"/>
    <w:rsid w:val="00890B71"/>
    <w:rsid w:val="00891198"/>
    <w:rsid w:val="00891459"/>
    <w:rsid w:val="00891EE6"/>
    <w:rsid w:val="008925F1"/>
    <w:rsid w:val="00892835"/>
    <w:rsid w:val="00892877"/>
    <w:rsid w:val="00892F41"/>
    <w:rsid w:val="008935D5"/>
    <w:rsid w:val="00893B91"/>
    <w:rsid w:val="008968A9"/>
    <w:rsid w:val="00896CBE"/>
    <w:rsid w:val="00897282"/>
    <w:rsid w:val="008976AF"/>
    <w:rsid w:val="008A010C"/>
    <w:rsid w:val="008A079B"/>
    <w:rsid w:val="008A0EC1"/>
    <w:rsid w:val="008A11F6"/>
    <w:rsid w:val="008A1236"/>
    <w:rsid w:val="008A3460"/>
    <w:rsid w:val="008A3C0C"/>
    <w:rsid w:val="008A4572"/>
    <w:rsid w:val="008A49E5"/>
    <w:rsid w:val="008A54C0"/>
    <w:rsid w:val="008A6217"/>
    <w:rsid w:val="008A7219"/>
    <w:rsid w:val="008A781A"/>
    <w:rsid w:val="008B031D"/>
    <w:rsid w:val="008B0AE7"/>
    <w:rsid w:val="008B178D"/>
    <w:rsid w:val="008B2268"/>
    <w:rsid w:val="008B2B48"/>
    <w:rsid w:val="008B2CE8"/>
    <w:rsid w:val="008B3D84"/>
    <w:rsid w:val="008B5313"/>
    <w:rsid w:val="008B6E8C"/>
    <w:rsid w:val="008C1318"/>
    <w:rsid w:val="008C1F51"/>
    <w:rsid w:val="008C217C"/>
    <w:rsid w:val="008C29FA"/>
    <w:rsid w:val="008C35F3"/>
    <w:rsid w:val="008C534A"/>
    <w:rsid w:val="008C56F2"/>
    <w:rsid w:val="008C5814"/>
    <w:rsid w:val="008C5E82"/>
    <w:rsid w:val="008C6C2A"/>
    <w:rsid w:val="008C754E"/>
    <w:rsid w:val="008D00C9"/>
    <w:rsid w:val="008D0D01"/>
    <w:rsid w:val="008D15E5"/>
    <w:rsid w:val="008D2DBB"/>
    <w:rsid w:val="008D3A7C"/>
    <w:rsid w:val="008D41A5"/>
    <w:rsid w:val="008D5BAF"/>
    <w:rsid w:val="008D5D2E"/>
    <w:rsid w:val="008D6431"/>
    <w:rsid w:val="008D731F"/>
    <w:rsid w:val="008D762C"/>
    <w:rsid w:val="008E0038"/>
    <w:rsid w:val="008E082E"/>
    <w:rsid w:val="008E0E37"/>
    <w:rsid w:val="008E0E86"/>
    <w:rsid w:val="008E0F95"/>
    <w:rsid w:val="008E10BD"/>
    <w:rsid w:val="008E25FD"/>
    <w:rsid w:val="008E2A4D"/>
    <w:rsid w:val="008E2DD7"/>
    <w:rsid w:val="008E2E5C"/>
    <w:rsid w:val="008E35DE"/>
    <w:rsid w:val="008E4A4D"/>
    <w:rsid w:val="008E502E"/>
    <w:rsid w:val="008E5E8B"/>
    <w:rsid w:val="008E7BA8"/>
    <w:rsid w:val="008F050C"/>
    <w:rsid w:val="008F07C8"/>
    <w:rsid w:val="008F0A2B"/>
    <w:rsid w:val="008F248E"/>
    <w:rsid w:val="008F2E94"/>
    <w:rsid w:val="008F3B7E"/>
    <w:rsid w:val="008F3B95"/>
    <w:rsid w:val="008F5402"/>
    <w:rsid w:val="008F561E"/>
    <w:rsid w:val="008F6288"/>
    <w:rsid w:val="008F67ED"/>
    <w:rsid w:val="008F7A26"/>
    <w:rsid w:val="00900015"/>
    <w:rsid w:val="00900695"/>
    <w:rsid w:val="00900A85"/>
    <w:rsid w:val="0090212D"/>
    <w:rsid w:val="009028D8"/>
    <w:rsid w:val="00905ECE"/>
    <w:rsid w:val="00906071"/>
    <w:rsid w:val="0090626D"/>
    <w:rsid w:val="00906B70"/>
    <w:rsid w:val="00906F1D"/>
    <w:rsid w:val="00907066"/>
    <w:rsid w:val="0090747C"/>
    <w:rsid w:val="00907A40"/>
    <w:rsid w:val="00907AA2"/>
    <w:rsid w:val="00910F0A"/>
    <w:rsid w:val="009110B1"/>
    <w:rsid w:val="009112D6"/>
    <w:rsid w:val="00913061"/>
    <w:rsid w:val="00913E75"/>
    <w:rsid w:val="00914515"/>
    <w:rsid w:val="009150FD"/>
    <w:rsid w:val="009155D0"/>
    <w:rsid w:val="00916D46"/>
    <w:rsid w:val="00917032"/>
    <w:rsid w:val="0091754F"/>
    <w:rsid w:val="00921A5E"/>
    <w:rsid w:val="00921DAB"/>
    <w:rsid w:val="00922F13"/>
    <w:rsid w:val="009247DD"/>
    <w:rsid w:val="00924B34"/>
    <w:rsid w:val="00924BED"/>
    <w:rsid w:val="009252F7"/>
    <w:rsid w:val="0092605F"/>
    <w:rsid w:val="00926287"/>
    <w:rsid w:val="00926ED2"/>
    <w:rsid w:val="00930361"/>
    <w:rsid w:val="009307CB"/>
    <w:rsid w:val="00931F42"/>
    <w:rsid w:val="00932E1F"/>
    <w:rsid w:val="00933579"/>
    <w:rsid w:val="00933EBE"/>
    <w:rsid w:val="00934308"/>
    <w:rsid w:val="009344E4"/>
    <w:rsid w:val="009354B1"/>
    <w:rsid w:val="00936880"/>
    <w:rsid w:val="009375C7"/>
    <w:rsid w:val="00937635"/>
    <w:rsid w:val="00937B98"/>
    <w:rsid w:val="00940879"/>
    <w:rsid w:val="00940C9F"/>
    <w:rsid w:val="00941191"/>
    <w:rsid w:val="00941602"/>
    <w:rsid w:val="00942165"/>
    <w:rsid w:val="00942293"/>
    <w:rsid w:val="009426EF"/>
    <w:rsid w:val="009437EF"/>
    <w:rsid w:val="0094502F"/>
    <w:rsid w:val="00945251"/>
    <w:rsid w:val="009453B3"/>
    <w:rsid w:val="00945B5A"/>
    <w:rsid w:val="00945FBC"/>
    <w:rsid w:val="0094631C"/>
    <w:rsid w:val="009466DB"/>
    <w:rsid w:val="00947B87"/>
    <w:rsid w:val="0095058E"/>
    <w:rsid w:val="00950693"/>
    <w:rsid w:val="009506AA"/>
    <w:rsid w:val="009506C4"/>
    <w:rsid w:val="00952787"/>
    <w:rsid w:val="00952EEB"/>
    <w:rsid w:val="00953A0E"/>
    <w:rsid w:val="00954340"/>
    <w:rsid w:val="00954E63"/>
    <w:rsid w:val="00955DEA"/>
    <w:rsid w:val="009561E2"/>
    <w:rsid w:val="0095698C"/>
    <w:rsid w:val="009569FD"/>
    <w:rsid w:val="0096049E"/>
    <w:rsid w:val="00961A67"/>
    <w:rsid w:val="009622FC"/>
    <w:rsid w:val="00963BB3"/>
    <w:rsid w:val="0096467A"/>
    <w:rsid w:val="009648E2"/>
    <w:rsid w:val="00965C71"/>
    <w:rsid w:val="0096678B"/>
    <w:rsid w:val="00967BBF"/>
    <w:rsid w:val="00967F19"/>
    <w:rsid w:val="00971E88"/>
    <w:rsid w:val="009721E2"/>
    <w:rsid w:val="0097248F"/>
    <w:rsid w:val="00977C22"/>
    <w:rsid w:val="00977C86"/>
    <w:rsid w:val="00980388"/>
    <w:rsid w:val="00980796"/>
    <w:rsid w:val="00980897"/>
    <w:rsid w:val="00980B6E"/>
    <w:rsid w:val="00980B72"/>
    <w:rsid w:val="009827C9"/>
    <w:rsid w:val="00982A2C"/>
    <w:rsid w:val="00983442"/>
    <w:rsid w:val="009835CF"/>
    <w:rsid w:val="00983734"/>
    <w:rsid w:val="00983A89"/>
    <w:rsid w:val="00985268"/>
    <w:rsid w:val="009852BE"/>
    <w:rsid w:val="009859C6"/>
    <w:rsid w:val="00986DFA"/>
    <w:rsid w:val="009871E5"/>
    <w:rsid w:val="00987422"/>
    <w:rsid w:val="0098751F"/>
    <w:rsid w:val="0098783C"/>
    <w:rsid w:val="009905C1"/>
    <w:rsid w:val="009905FF"/>
    <w:rsid w:val="00990A6A"/>
    <w:rsid w:val="009913AE"/>
    <w:rsid w:val="009913C2"/>
    <w:rsid w:val="0099158A"/>
    <w:rsid w:val="00991E1B"/>
    <w:rsid w:val="0099267B"/>
    <w:rsid w:val="009931D4"/>
    <w:rsid w:val="009945E0"/>
    <w:rsid w:val="009948AA"/>
    <w:rsid w:val="0099498E"/>
    <w:rsid w:val="00994FD4"/>
    <w:rsid w:val="00995E1E"/>
    <w:rsid w:val="00996501"/>
    <w:rsid w:val="00996E1B"/>
    <w:rsid w:val="00996E8C"/>
    <w:rsid w:val="00997C4D"/>
    <w:rsid w:val="009A0F72"/>
    <w:rsid w:val="009A387D"/>
    <w:rsid w:val="009A3D09"/>
    <w:rsid w:val="009A4501"/>
    <w:rsid w:val="009A4F90"/>
    <w:rsid w:val="009A53C4"/>
    <w:rsid w:val="009A541C"/>
    <w:rsid w:val="009A5E4F"/>
    <w:rsid w:val="009A6E40"/>
    <w:rsid w:val="009A71CB"/>
    <w:rsid w:val="009B0CAA"/>
    <w:rsid w:val="009B0D8F"/>
    <w:rsid w:val="009B1434"/>
    <w:rsid w:val="009B1909"/>
    <w:rsid w:val="009B1CB8"/>
    <w:rsid w:val="009B1E92"/>
    <w:rsid w:val="009B3585"/>
    <w:rsid w:val="009B44F0"/>
    <w:rsid w:val="009B460C"/>
    <w:rsid w:val="009B51AB"/>
    <w:rsid w:val="009B65A5"/>
    <w:rsid w:val="009B71EF"/>
    <w:rsid w:val="009B7AE5"/>
    <w:rsid w:val="009C1E7C"/>
    <w:rsid w:val="009C264A"/>
    <w:rsid w:val="009C2A0F"/>
    <w:rsid w:val="009C2C8A"/>
    <w:rsid w:val="009C30CD"/>
    <w:rsid w:val="009C3A30"/>
    <w:rsid w:val="009C3B68"/>
    <w:rsid w:val="009C4F35"/>
    <w:rsid w:val="009C4F5A"/>
    <w:rsid w:val="009C57C7"/>
    <w:rsid w:val="009C57F1"/>
    <w:rsid w:val="009C5855"/>
    <w:rsid w:val="009C588C"/>
    <w:rsid w:val="009C63BB"/>
    <w:rsid w:val="009C7E80"/>
    <w:rsid w:val="009D180B"/>
    <w:rsid w:val="009D275C"/>
    <w:rsid w:val="009D2E43"/>
    <w:rsid w:val="009D4EB2"/>
    <w:rsid w:val="009D5616"/>
    <w:rsid w:val="009D5B02"/>
    <w:rsid w:val="009E0BF1"/>
    <w:rsid w:val="009E1388"/>
    <w:rsid w:val="009E19D4"/>
    <w:rsid w:val="009E1B99"/>
    <w:rsid w:val="009E1D9B"/>
    <w:rsid w:val="009E3AFD"/>
    <w:rsid w:val="009E3F6C"/>
    <w:rsid w:val="009E5E76"/>
    <w:rsid w:val="009E7269"/>
    <w:rsid w:val="009E7B13"/>
    <w:rsid w:val="009E7D01"/>
    <w:rsid w:val="009F0BDF"/>
    <w:rsid w:val="009F0E16"/>
    <w:rsid w:val="009F12D0"/>
    <w:rsid w:val="009F2159"/>
    <w:rsid w:val="009F2260"/>
    <w:rsid w:val="009F23FD"/>
    <w:rsid w:val="009F289E"/>
    <w:rsid w:val="009F345C"/>
    <w:rsid w:val="009F3893"/>
    <w:rsid w:val="009F3968"/>
    <w:rsid w:val="009F3E6B"/>
    <w:rsid w:val="009F588A"/>
    <w:rsid w:val="009F5D61"/>
    <w:rsid w:val="009F61C1"/>
    <w:rsid w:val="009F7221"/>
    <w:rsid w:val="009F7F3A"/>
    <w:rsid w:val="00A00F92"/>
    <w:rsid w:val="00A00FE1"/>
    <w:rsid w:val="00A0117B"/>
    <w:rsid w:val="00A017D7"/>
    <w:rsid w:val="00A01DD7"/>
    <w:rsid w:val="00A027A2"/>
    <w:rsid w:val="00A04399"/>
    <w:rsid w:val="00A051CF"/>
    <w:rsid w:val="00A05C25"/>
    <w:rsid w:val="00A06191"/>
    <w:rsid w:val="00A06C7C"/>
    <w:rsid w:val="00A06E88"/>
    <w:rsid w:val="00A070FA"/>
    <w:rsid w:val="00A07D4B"/>
    <w:rsid w:val="00A101F3"/>
    <w:rsid w:val="00A10388"/>
    <w:rsid w:val="00A10D9D"/>
    <w:rsid w:val="00A10F7F"/>
    <w:rsid w:val="00A11C80"/>
    <w:rsid w:val="00A11D90"/>
    <w:rsid w:val="00A12C02"/>
    <w:rsid w:val="00A12FB0"/>
    <w:rsid w:val="00A1325F"/>
    <w:rsid w:val="00A143AF"/>
    <w:rsid w:val="00A145D5"/>
    <w:rsid w:val="00A1518F"/>
    <w:rsid w:val="00A16AC4"/>
    <w:rsid w:val="00A16DA0"/>
    <w:rsid w:val="00A16ED8"/>
    <w:rsid w:val="00A1716C"/>
    <w:rsid w:val="00A17265"/>
    <w:rsid w:val="00A17CB9"/>
    <w:rsid w:val="00A20A0E"/>
    <w:rsid w:val="00A21769"/>
    <w:rsid w:val="00A23759"/>
    <w:rsid w:val="00A24C3C"/>
    <w:rsid w:val="00A25D64"/>
    <w:rsid w:val="00A26ABC"/>
    <w:rsid w:val="00A30937"/>
    <w:rsid w:val="00A30A4C"/>
    <w:rsid w:val="00A30D9D"/>
    <w:rsid w:val="00A31CF2"/>
    <w:rsid w:val="00A31D33"/>
    <w:rsid w:val="00A332CE"/>
    <w:rsid w:val="00A336E6"/>
    <w:rsid w:val="00A346B6"/>
    <w:rsid w:val="00A35723"/>
    <w:rsid w:val="00A35EBE"/>
    <w:rsid w:val="00A401E3"/>
    <w:rsid w:val="00A41E88"/>
    <w:rsid w:val="00A4255D"/>
    <w:rsid w:val="00A4277E"/>
    <w:rsid w:val="00A42F18"/>
    <w:rsid w:val="00A42F2E"/>
    <w:rsid w:val="00A44153"/>
    <w:rsid w:val="00A45BD8"/>
    <w:rsid w:val="00A466CE"/>
    <w:rsid w:val="00A466D4"/>
    <w:rsid w:val="00A5018F"/>
    <w:rsid w:val="00A5078A"/>
    <w:rsid w:val="00A51FF4"/>
    <w:rsid w:val="00A52FF9"/>
    <w:rsid w:val="00A53538"/>
    <w:rsid w:val="00A53A61"/>
    <w:rsid w:val="00A542CB"/>
    <w:rsid w:val="00A54E96"/>
    <w:rsid w:val="00A556D0"/>
    <w:rsid w:val="00A55FCC"/>
    <w:rsid w:val="00A603EC"/>
    <w:rsid w:val="00A604C4"/>
    <w:rsid w:val="00A6050D"/>
    <w:rsid w:val="00A60E83"/>
    <w:rsid w:val="00A61532"/>
    <w:rsid w:val="00A619F5"/>
    <w:rsid w:val="00A62BB6"/>
    <w:rsid w:val="00A63017"/>
    <w:rsid w:val="00A63718"/>
    <w:rsid w:val="00A63CE0"/>
    <w:rsid w:val="00A64618"/>
    <w:rsid w:val="00A64A9A"/>
    <w:rsid w:val="00A64C67"/>
    <w:rsid w:val="00A6545B"/>
    <w:rsid w:val="00A67314"/>
    <w:rsid w:val="00A67424"/>
    <w:rsid w:val="00A674B5"/>
    <w:rsid w:val="00A708F2"/>
    <w:rsid w:val="00A70E8D"/>
    <w:rsid w:val="00A71501"/>
    <w:rsid w:val="00A71E7F"/>
    <w:rsid w:val="00A72D74"/>
    <w:rsid w:val="00A72E89"/>
    <w:rsid w:val="00A73D23"/>
    <w:rsid w:val="00A73F0D"/>
    <w:rsid w:val="00A74E33"/>
    <w:rsid w:val="00A763EC"/>
    <w:rsid w:val="00A77636"/>
    <w:rsid w:val="00A80792"/>
    <w:rsid w:val="00A80C0C"/>
    <w:rsid w:val="00A80C85"/>
    <w:rsid w:val="00A80EE5"/>
    <w:rsid w:val="00A81E97"/>
    <w:rsid w:val="00A827D2"/>
    <w:rsid w:val="00A83312"/>
    <w:rsid w:val="00A833B9"/>
    <w:rsid w:val="00A839D5"/>
    <w:rsid w:val="00A8446B"/>
    <w:rsid w:val="00A84836"/>
    <w:rsid w:val="00A84FBB"/>
    <w:rsid w:val="00A85383"/>
    <w:rsid w:val="00A85B5B"/>
    <w:rsid w:val="00A86CE8"/>
    <w:rsid w:val="00A87416"/>
    <w:rsid w:val="00A901CA"/>
    <w:rsid w:val="00A913A2"/>
    <w:rsid w:val="00A9201C"/>
    <w:rsid w:val="00A92680"/>
    <w:rsid w:val="00A9319B"/>
    <w:rsid w:val="00A948F7"/>
    <w:rsid w:val="00A969BA"/>
    <w:rsid w:val="00A97373"/>
    <w:rsid w:val="00AA08C6"/>
    <w:rsid w:val="00AA11FD"/>
    <w:rsid w:val="00AA12DB"/>
    <w:rsid w:val="00AA25B1"/>
    <w:rsid w:val="00AA2DF1"/>
    <w:rsid w:val="00AA2F77"/>
    <w:rsid w:val="00AA4D32"/>
    <w:rsid w:val="00AA52E8"/>
    <w:rsid w:val="00AA60AB"/>
    <w:rsid w:val="00AA621C"/>
    <w:rsid w:val="00AB0045"/>
    <w:rsid w:val="00AB0DB5"/>
    <w:rsid w:val="00AB247D"/>
    <w:rsid w:val="00AB4007"/>
    <w:rsid w:val="00AB570A"/>
    <w:rsid w:val="00AB5BA7"/>
    <w:rsid w:val="00AB670F"/>
    <w:rsid w:val="00AB7408"/>
    <w:rsid w:val="00AB79A1"/>
    <w:rsid w:val="00AB7F96"/>
    <w:rsid w:val="00AC0100"/>
    <w:rsid w:val="00AC0619"/>
    <w:rsid w:val="00AC1588"/>
    <w:rsid w:val="00AC26E4"/>
    <w:rsid w:val="00AC37B6"/>
    <w:rsid w:val="00AC4A8E"/>
    <w:rsid w:val="00AC4BCE"/>
    <w:rsid w:val="00AC4CBC"/>
    <w:rsid w:val="00AC5D94"/>
    <w:rsid w:val="00AC6567"/>
    <w:rsid w:val="00AD05C3"/>
    <w:rsid w:val="00AD0919"/>
    <w:rsid w:val="00AD1EBE"/>
    <w:rsid w:val="00AD2A66"/>
    <w:rsid w:val="00AD4123"/>
    <w:rsid w:val="00AD68FE"/>
    <w:rsid w:val="00AD6E1F"/>
    <w:rsid w:val="00AD76F6"/>
    <w:rsid w:val="00AE0ED5"/>
    <w:rsid w:val="00AE20CB"/>
    <w:rsid w:val="00AE2110"/>
    <w:rsid w:val="00AE22EF"/>
    <w:rsid w:val="00AE379E"/>
    <w:rsid w:val="00AE3A74"/>
    <w:rsid w:val="00AE4C42"/>
    <w:rsid w:val="00AE5A6F"/>
    <w:rsid w:val="00AE5E83"/>
    <w:rsid w:val="00AE5FC8"/>
    <w:rsid w:val="00AE6360"/>
    <w:rsid w:val="00AE6545"/>
    <w:rsid w:val="00AE7375"/>
    <w:rsid w:val="00AE73EF"/>
    <w:rsid w:val="00AF0138"/>
    <w:rsid w:val="00AF0287"/>
    <w:rsid w:val="00AF1DD7"/>
    <w:rsid w:val="00AF2DB9"/>
    <w:rsid w:val="00AF36E6"/>
    <w:rsid w:val="00AF3826"/>
    <w:rsid w:val="00AF4129"/>
    <w:rsid w:val="00AF4581"/>
    <w:rsid w:val="00AF52F0"/>
    <w:rsid w:val="00AF5887"/>
    <w:rsid w:val="00AF5DFC"/>
    <w:rsid w:val="00AF6E0E"/>
    <w:rsid w:val="00AF70D1"/>
    <w:rsid w:val="00B00266"/>
    <w:rsid w:val="00B00863"/>
    <w:rsid w:val="00B00C4E"/>
    <w:rsid w:val="00B00D81"/>
    <w:rsid w:val="00B027EF"/>
    <w:rsid w:val="00B035BC"/>
    <w:rsid w:val="00B04870"/>
    <w:rsid w:val="00B052FA"/>
    <w:rsid w:val="00B05373"/>
    <w:rsid w:val="00B054D1"/>
    <w:rsid w:val="00B070A5"/>
    <w:rsid w:val="00B10680"/>
    <w:rsid w:val="00B10E22"/>
    <w:rsid w:val="00B10E67"/>
    <w:rsid w:val="00B1122A"/>
    <w:rsid w:val="00B1250D"/>
    <w:rsid w:val="00B12C12"/>
    <w:rsid w:val="00B13FF9"/>
    <w:rsid w:val="00B158D2"/>
    <w:rsid w:val="00B15C0B"/>
    <w:rsid w:val="00B15DAB"/>
    <w:rsid w:val="00B162FD"/>
    <w:rsid w:val="00B16606"/>
    <w:rsid w:val="00B16804"/>
    <w:rsid w:val="00B16C08"/>
    <w:rsid w:val="00B170B7"/>
    <w:rsid w:val="00B17BDC"/>
    <w:rsid w:val="00B20BA2"/>
    <w:rsid w:val="00B21758"/>
    <w:rsid w:val="00B21E7B"/>
    <w:rsid w:val="00B2273E"/>
    <w:rsid w:val="00B23092"/>
    <w:rsid w:val="00B23885"/>
    <w:rsid w:val="00B24159"/>
    <w:rsid w:val="00B242A4"/>
    <w:rsid w:val="00B245E2"/>
    <w:rsid w:val="00B25186"/>
    <w:rsid w:val="00B25882"/>
    <w:rsid w:val="00B25E4F"/>
    <w:rsid w:val="00B25F46"/>
    <w:rsid w:val="00B2664E"/>
    <w:rsid w:val="00B30A83"/>
    <w:rsid w:val="00B310C8"/>
    <w:rsid w:val="00B31640"/>
    <w:rsid w:val="00B3173F"/>
    <w:rsid w:val="00B32DA4"/>
    <w:rsid w:val="00B33865"/>
    <w:rsid w:val="00B339C9"/>
    <w:rsid w:val="00B33BEF"/>
    <w:rsid w:val="00B35F5B"/>
    <w:rsid w:val="00B369D4"/>
    <w:rsid w:val="00B36A9B"/>
    <w:rsid w:val="00B405D1"/>
    <w:rsid w:val="00B4163A"/>
    <w:rsid w:val="00B41B37"/>
    <w:rsid w:val="00B42458"/>
    <w:rsid w:val="00B4317F"/>
    <w:rsid w:val="00B442A7"/>
    <w:rsid w:val="00B45998"/>
    <w:rsid w:val="00B45C3B"/>
    <w:rsid w:val="00B45C96"/>
    <w:rsid w:val="00B46262"/>
    <w:rsid w:val="00B46733"/>
    <w:rsid w:val="00B46E0C"/>
    <w:rsid w:val="00B47345"/>
    <w:rsid w:val="00B50F29"/>
    <w:rsid w:val="00B51A9D"/>
    <w:rsid w:val="00B525A2"/>
    <w:rsid w:val="00B5347C"/>
    <w:rsid w:val="00B53C60"/>
    <w:rsid w:val="00B53DE0"/>
    <w:rsid w:val="00B53ECF"/>
    <w:rsid w:val="00B540BC"/>
    <w:rsid w:val="00B54806"/>
    <w:rsid w:val="00B54B74"/>
    <w:rsid w:val="00B56AC6"/>
    <w:rsid w:val="00B57746"/>
    <w:rsid w:val="00B601E8"/>
    <w:rsid w:val="00B61A9C"/>
    <w:rsid w:val="00B62D71"/>
    <w:rsid w:val="00B62E34"/>
    <w:rsid w:val="00B635AC"/>
    <w:rsid w:val="00B63920"/>
    <w:rsid w:val="00B65634"/>
    <w:rsid w:val="00B65919"/>
    <w:rsid w:val="00B65ADB"/>
    <w:rsid w:val="00B662DA"/>
    <w:rsid w:val="00B66980"/>
    <w:rsid w:val="00B6718D"/>
    <w:rsid w:val="00B679EB"/>
    <w:rsid w:val="00B70C95"/>
    <w:rsid w:val="00B71FE0"/>
    <w:rsid w:val="00B725CD"/>
    <w:rsid w:val="00B7266C"/>
    <w:rsid w:val="00B72EB2"/>
    <w:rsid w:val="00B72FC7"/>
    <w:rsid w:val="00B740DC"/>
    <w:rsid w:val="00B74538"/>
    <w:rsid w:val="00B75E3F"/>
    <w:rsid w:val="00B76193"/>
    <w:rsid w:val="00B762B5"/>
    <w:rsid w:val="00B76375"/>
    <w:rsid w:val="00B76D86"/>
    <w:rsid w:val="00B76F1C"/>
    <w:rsid w:val="00B77319"/>
    <w:rsid w:val="00B77F46"/>
    <w:rsid w:val="00B77FA9"/>
    <w:rsid w:val="00B8046B"/>
    <w:rsid w:val="00B8198F"/>
    <w:rsid w:val="00B81A8E"/>
    <w:rsid w:val="00B824D6"/>
    <w:rsid w:val="00B82A21"/>
    <w:rsid w:val="00B83F0B"/>
    <w:rsid w:val="00B84B57"/>
    <w:rsid w:val="00B8639F"/>
    <w:rsid w:val="00B87C6C"/>
    <w:rsid w:val="00B87C9B"/>
    <w:rsid w:val="00B90576"/>
    <w:rsid w:val="00B91675"/>
    <w:rsid w:val="00B91A65"/>
    <w:rsid w:val="00B92113"/>
    <w:rsid w:val="00B92E97"/>
    <w:rsid w:val="00B965AE"/>
    <w:rsid w:val="00B9766F"/>
    <w:rsid w:val="00BA1CB0"/>
    <w:rsid w:val="00BA2AF2"/>
    <w:rsid w:val="00BA3998"/>
    <w:rsid w:val="00BA3B9D"/>
    <w:rsid w:val="00BA453D"/>
    <w:rsid w:val="00BA5125"/>
    <w:rsid w:val="00BA6589"/>
    <w:rsid w:val="00BA683D"/>
    <w:rsid w:val="00BA79F1"/>
    <w:rsid w:val="00BB0506"/>
    <w:rsid w:val="00BB213F"/>
    <w:rsid w:val="00BB364C"/>
    <w:rsid w:val="00BB39B3"/>
    <w:rsid w:val="00BB5E76"/>
    <w:rsid w:val="00BB7BF2"/>
    <w:rsid w:val="00BC1295"/>
    <w:rsid w:val="00BC1525"/>
    <w:rsid w:val="00BC1A53"/>
    <w:rsid w:val="00BC2649"/>
    <w:rsid w:val="00BC4042"/>
    <w:rsid w:val="00BC4698"/>
    <w:rsid w:val="00BC601E"/>
    <w:rsid w:val="00BC66C5"/>
    <w:rsid w:val="00BC7D1E"/>
    <w:rsid w:val="00BD0E27"/>
    <w:rsid w:val="00BD1703"/>
    <w:rsid w:val="00BD196C"/>
    <w:rsid w:val="00BD312E"/>
    <w:rsid w:val="00BD5171"/>
    <w:rsid w:val="00BD6CBA"/>
    <w:rsid w:val="00BE07FE"/>
    <w:rsid w:val="00BE0C92"/>
    <w:rsid w:val="00BE1CB2"/>
    <w:rsid w:val="00BE2A52"/>
    <w:rsid w:val="00BE2AE1"/>
    <w:rsid w:val="00BE30F0"/>
    <w:rsid w:val="00BE3F89"/>
    <w:rsid w:val="00BE4FEB"/>
    <w:rsid w:val="00BE5C19"/>
    <w:rsid w:val="00BE62AE"/>
    <w:rsid w:val="00BE6A9A"/>
    <w:rsid w:val="00BE7B29"/>
    <w:rsid w:val="00BF016D"/>
    <w:rsid w:val="00BF033B"/>
    <w:rsid w:val="00BF03C7"/>
    <w:rsid w:val="00BF0525"/>
    <w:rsid w:val="00BF0B61"/>
    <w:rsid w:val="00BF0F7F"/>
    <w:rsid w:val="00BF2355"/>
    <w:rsid w:val="00BF2589"/>
    <w:rsid w:val="00BF2CBB"/>
    <w:rsid w:val="00BF3D96"/>
    <w:rsid w:val="00BF3DC7"/>
    <w:rsid w:val="00BF42CF"/>
    <w:rsid w:val="00BF5B52"/>
    <w:rsid w:val="00BF68CE"/>
    <w:rsid w:val="00BF77B2"/>
    <w:rsid w:val="00C02068"/>
    <w:rsid w:val="00C0330E"/>
    <w:rsid w:val="00C059B2"/>
    <w:rsid w:val="00C05EEE"/>
    <w:rsid w:val="00C079F8"/>
    <w:rsid w:val="00C10044"/>
    <w:rsid w:val="00C105BF"/>
    <w:rsid w:val="00C106DF"/>
    <w:rsid w:val="00C10D48"/>
    <w:rsid w:val="00C113E8"/>
    <w:rsid w:val="00C1271C"/>
    <w:rsid w:val="00C150BC"/>
    <w:rsid w:val="00C1637E"/>
    <w:rsid w:val="00C172EA"/>
    <w:rsid w:val="00C2167E"/>
    <w:rsid w:val="00C2240D"/>
    <w:rsid w:val="00C23939"/>
    <w:rsid w:val="00C2397B"/>
    <w:rsid w:val="00C24305"/>
    <w:rsid w:val="00C24A14"/>
    <w:rsid w:val="00C25E52"/>
    <w:rsid w:val="00C27CA5"/>
    <w:rsid w:val="00C301C9"/>
    <w:rsid w:val="00C315D8"/>
    <w:rsid w:val="00C31605"/>
    <w:rsid w:val="00C323A7"/>
    <w:rsid w:val="00C323FD"/>
    <w:rsid w:val="00C32E80"/>
    <w:rsid w:val="00C32E9E"/>
    <w:rsid w:val="00C33037"/>
    <w:rsid w:val="00C3361E"/>
    <w:rsid w:val="00C34F5D"/>
    <w:rsid w:val="00C351BF"/>
    <w:rsid w:val="00C35E15"/>
    <w:rsid w:val="00C36995"/>
    <w:rsid w:val="00C40605"/>
    <w:rsid w:val="00C406CA"/>
    <w:rsid w:val="00C42CAE"/>
    <w:rsid w:val="00C43350"/>
    <w:rsid w:val="00C4337E"/>
    <w:rsid w:val="00C44023"/>
    <w:rsid w:val="00C453F9"/>
    <w:rsid w:val="00C458F3"/>
    <w:rsid w:val="00C46150"/>
    <w:rsid w:val="00C509AA"/>
    <w:rsid w:val="00C51DC2"/>
    <w:rsid w:val="00C523DD"/>
    <w:rsid w:val="00C53443"/>
    <w:rsid w:val="00C53AAA"/>
    <w:rsid w:val="00C53B85"/>
    <w:rsid w:val="00C547E7"/>
    <w:rsid w:val="00C549B9"/>
    <w:rsid w:val="00C54A2A"/>
    <w:rsid w:val="00C54B3D"/>
    <w:rsid w:val="00C562BB"/>
    <w:rsid w:val="00C56436"/>
    <w:rsid w:val="00C56913"/>
    <w:rsid w:val="00C56DAA"/>
    <w:rsid w:val="00C56E1D"/>
    <w:rsid w:val="00C56FF1"/>
    <w:rsid w:val="00C623DD"/>
    <w:rsid w:val="00C62A3A"/>
    <w:rsid w:val="00C62AFA"/>
    <w:rsid w:val="00C66846"/>
    <w:rsid w:val="00C6753F"/>
    <w:rsid w:val="00C67B37"/>
    <w:rsid w:val="00C71769"/>
    <w:rsid w:val="00C72926"/>
    <w:rsid w:val="00C72AEC"/>
    <w:rsid w:val="00C739EB"/>
    <w:rsid w:val="00C74467"/>
    <w:rsid w:val="00C74A75"/>
    <w:rsid w:val="00C75308"/>
    <w:rsid w:val="00C75FF1"/>
    <w:rsid w:val="00C7772F"/>
    <w:rsid w:val="00C800F7"/>
    <w:rsid w:val="00C811DA"/>
    <w:rsid w:val="00C81D11"/>
    <w:rsid w:val="00C822A9"/>
    <w:rsid w:val="00C82AAB"/>
    <w:rsid w:val="00C82D5F"/>
    <w:rsid w:val="00C83D1C"/>
    <w:rsid w:val="00C84EB9"/>
    <w:rsid w:val="00C87B36"/>
    <w:rsid w:val="00C87BC8"/>
    <w:rsid w:val="00C90EAD"/>
    <w:rsid w:val="00C917A6"/>
    <w:rsid w:val="00C91E18"/>
    <w:rsid w:val="00C92884"/>
    <w:rsid w:val="00C93D8B"/>
    <w:rsid w:val="00C943A4"/>
    <w:rsid w:val="00C956BA"/>
    <w:rsid w:val="00C95746"/>
    <w:rsid w:val="00C97074"/>
    <w:rsid w:val="00C97902"/>
    <w:rsid w:val="00C97A4A"/>
    <w:rsid w:val="00CA1212"/>
    <w:rsid w:val="00CA152E"/>
    <w:rsid w:val="00CA156A"/>
    <w:rsid w:val="00CA1942"/>
    <w:rsid w:val="00CA2854"/>
    <w:rsid w:val="00CA2A9F"/>
    <w:rsid w:val="00CA3E26"/>
    <w:rsid w:val="00CA497A"/>
    <w:rsid w:val="00CA59D4"/>
    <w:rsid w:val="00CA5AB4"/>
    <w:rsid w:val="00CA63A4"/>
    <w:rsid w:val="00CA64D4"/>
    <w:rsid w:val="00CA69A3"/>
    <w:rsid w:val="00CA78FD"/>
    <w:rsid w:val="00CB2501"/>
    <w:rsid w:val="00CB25BB"/>
    <w:rsid w:val="00CB2915"/>
    <w:rsid w:val="00CB3046"/>
    <w:rsid w:val="00CB4958"/>
    <w:rsid w:val="00CB65BB"/>
    <w:rsid w:val="00CB7A71"/>
    <w:rsid w:val="00CC04F7"/>
    <w:rsid w:val="00CC0850"/>
    <w:rsid w:val="00CC12B6"/>
    <w:rsid w:val="00CC1F04"/>
    <w:rsid w:val="00CC210F"/>
    <w:rsid w:val="00CC2149"/>
    <w:rsid w:val="00CC2488"/>
    <w:rsid w:val="00CC2570"/>
    <w:rsid w:val="00CC33DB"/>
    <w:rsid w:val="00CC3DF0"/>
    <w:rsid w:val="00CC449B"/>
    <w:rsid w:val="00CC6624"/>
    <w:rsid w:val="00CC6C3D"/>
    <w:rsid w:val="00CC7116"/>
    <w:rsid w:val="00CC75D9"/>
    <w:rsid w:val="00CD1398"/>
    <w:rsid w:val="00CD1666"/>
    <w:rsid w:val="00CD1959"/>
    <w:rsid w:val="00CD24C4"/>
    <w:rsid w:val="00CD3BFD"/>
    <w:rsid w:val="00CD4603"/>
    <w:rsid w:val="00CD58EF"/>
    <w:rsid w:val="00CD6A5A"/>
    <w:rsid w:val="00CD6C93"/>
    <w:rsid w:val="00CD7DB0"/>
    <w:rsid w:val="00CE0465"/>
    <w:rsid w:val="00CE0A4A"/>
    <w:rsid w:val="00CE1F80"/>
    <w:rsid w:val="00CE3180"/>
    <w:rsid w:val="00CE3772"/>
    <w:rsid w:val="00CE47BF"/>
    <w:rsid w:val="00CE4A1C"/>
    <w:rsid w:val="00CE5FC1"/>
    <w:rsid w:val="00CE69C2"/>
    <w:rsid w:val="00CE7839"/>
    <w:rsid w:val="00CE7F0D"/>
    <w:rsid w:val="00CF0094"/>
    <w:rsid w:val="00CF0493"/>
    <w:rsid w:val="00CF1171"/>
    <w:rsid w:val="00CF283B"/>
    <w:rsid w:val="00CF2D11"/>
    <w:rsid w:val="00CF4971"/>
    <w:rsid w:val="00D00379"/>
    <w:rsid w:val="00D00BDD"/>
    <w:rsid w:val="00D00E0A"/>
    <w:rsid w:val="00D01547"/>
    <w:rsid w:val="00D01C0D"/>
    <w:rsid w:val="00D01D00"/>
    <w:rsid w:val="00D0204E"/>
    <w:rsid w:val="00D0283A"/>
    <w:rsid w:val="00D02A86"/>
    <w:rsid w:val="00D02D24"/>
    <w:rsid w:val="00D02DA8"/>
    <w:rsid w:val="00D03205"/>
    <w:rsid w:val="00D0345F"/>
    <w:rsid w:val="00D03AB8"/>
    <w:rsid w:val="00D03B53"/>
    <w:rsid w:val="00D0448A"/>
    <w:rsid w:val="00D044C5"/>
    <w:rsid w:val="00D04A12"/>
    <w:rsid w:val="00D04E29"/>
    <w:rsid w:val="00D050DF"/>
    <w:rsid w:val="00D0618D"/>
    <w:rsid w:val="00D06999"/>
    <w:rsid w:val="00D06FB4"/>
    <w:rsid w:val="00D07E88"/>
    <w:rsid w:val="00D117F6"/>
    <w:rsid w:val="00D1192C"/>
    <w:rsid w:val="00D120C6"/>
    <w:rsid w:val="00D121A3"/>
    <w:rsid w:val="00D13264"/>
    <w:rsid w:val="00D1375E"/>
    <w:rsid w:val="00D13789"/>
    <w:rsid w:val="00D1384E"/>
    <w:rsid w:val="00D14979"/>
    <w:rsid w:val="00D15EB3"/>
    <w:rsid w:val="00D17B39"/>
    <w:rsid w:val="00D17E62"/>
    <w:rsid w:val="00D20E17"/>
    <w:rsid w:val="00D226A9"/>
    <w:rsid w:val="00D22FBE"/>
    <w:rsid w:val="00D23DEA"/>
    <w:rsid w:val="00D24693"/>
    <w:rsid w:val="00D259D5"/>
    <w:rsid w:val="00D25B59"/>
    <w:rsid w:val="00D25EF6"/>
    <w:rsid w:val="00D261C9"/>
    <w:rsid w:val="00D27484"/>
    <w:rsid w:val="00D27BFF"/>
    <w:rsid w:val="00D309BB"/>
    <w:rsid w:val="00D31871"/>
    <w:rsid w:val="00D32D19"/>
    <w:rsid w:val="00D33179"/>
    <w:rsid w:val="00D339AF"/>
    <w:rsid w:val="00D3517C"/>
    <w:rsid w:val="00D35412"/>
    <w:rsid w:val="00D3560E"/>
    <w:rsid w:val="00D35999"/>
    <w:rsid w:val="00D35CBA"/>
    <w:rsid w:val="00D3658D"/>
    <w:rsid w:val="00D37CFA"/>
    <w:rsid w:val="00D37D0C"/>
    <w:rsid w:val="00D400F6"/>
    <w:rsid w:val="00D41C9D"/>
    <w:rsid w:val="00D44C1D"/>
    <w:rsid w:val="00D46A40"/>
    <w:rsid w:val="00D47BB8"/>
    <w:rsid w:val="00D50A0A"/>
    <w:rsid w:val="00D50FBB"/>
    <w:rsid w:val="00D51D38"/>
    <w:rsid w:val="00D535BD"/>
    <w:rsid w:val="00D53C6A"/>
    <w:rsid w:val="00D53F50"/>
    <w:rsid w:val="00D560B8"/>
    <w:rsid w:val="00D56C28"/>
    <w:rsid w:val="00D56E1D"/>
    <w:rsid w:val="00D56F54"/>
    <w:rsid w:val="00D60479"/>
    <w:rsid w:val="00D61325"/>
    <w:rsid w:val="00D6173D"/>
    <w:rsid w:val="00D6174C"/>
    <w:rsid w:val="00D619FD"/>
    <w:rsid w:val="00D62A71"/>
    <w:rsid w:val="00D62F9C"/>
    <w:rsid w:val="00D6346A"/>
    <w:rsid w:val="00D64471"/>
    <w:rsid w:val="00D64A20"/>
    <w:rsid w:val="00D657A5"/>
    <w:rsid w:val="00D658DD"/>
    <w:rsid w:val="00D67A08"/>
    <w:rsid w:val="00D67ADA"/>
    <w:rsid w:val="00D71091"/>
    <w:rsid w:val="00D715AF"/>
    <w:rsid w:val="00D71DCE"/>
    <w:rsid w:val="00D72AD5"/>
    <w:rsid w:val="00D72F9A"/>
    <w:rsid w:val="00D76327"/>
    <w:rsid w:val="00D76BEC"/>
    <w:rsid w:val="00D8052A"/>
    <w:rsid w:val="00D811E0"/>
    <w:rsid w:val="00D819C2"/>
    <w:rsid w:val="00D81BFF"/>
    <w:rsid w:val="00D835BF"/>
    <w:rsid w:val="00D83B3B"/>
    <w:rsid w:val="00D83B98"/>
    <w:rsid w:val="00D84AE1"/>
    <w:rsid w:val="00D85020"/>
    <w:rsid w:val="00D8544F"/>
    <w:rsid w:val="00D856CB"/>
    <w:rsid w:val="00D859E6"/>
    <w:rsid w:val="00D861EB"/>
    <w:rsid w:val="00D87C64"/>
    <w:rsid w:val="00D90D95"/>
    <w:rsid w:val="00D921DC"/>
    <w:rsid w:val="00D95147"/>
    <w:rsid w:val="00D9515F"/>
    <w:rsid w:val="00D96521"/>
    <w:rsid w:val="00D97007"/>
    <w:rsid w:val="00D97A5A"/>
    <w:rsid w:val="00DA00E7"/>
    <w:rsid w:val="00DA084C"/>
    <w:rsid w:val="00DA18A8"/>
    <w:rsid w:val="00DA506E"/>
    <w:rsid w:val="00DA5199"/>
    <w:rsid w:val="00DA59E0"/>
    <w:rsid w:val="00DA6633"/>
    <w:rsid w:val="00DA74CC"/>
    <w:rsid w:val="00DA7884"/>
    <w:rsid w:val="00DB21E7"/>
    <w:rsid w:val="00DB273B"/>
    <w:rsid w:val="00DB4DCA"/>
    <w:rsid w:val="00DB5201"/>
    <w:rsid w:val="00DB553F"/>
    <w:rsid w:val="00DB630F"/>
    <w:rsid w:val="00DB6AEA"/>
    <w:rsid w:val="00DB7D49"/>
    <w:rsid w:val="00DB7DBF"/>
    <w:rsid w:val="00DC154B"/>
    <w:rsid w:val="00DC2F30"/>
    <w:rsid w:val="00DC586C"/>
    <w:rsid w:val="00DC5B46"/>
    <w:rsid w:val="00DC65A9"/>
    <w:rsid w:val="00DC69A9"/>
    <w:rsid w:val="00DC6F09"/>
    <w:rsid w:val="00DC7733"/>
    <w:rsid w:val="00DC7DFC"/>
    <w:rsid w:val="00DC7FA4"/>
    <w:rsid w:val="00DD103F"/>
    <w:rsid w:val="00DD1C54"/>
    <w:rsid w:val="00DD2C15"/>
    <w:rsid w:val="00DD2E19"/>
    <w:rsid w:val="00DD3752"/>
    <w:rsid w:val="00DD3FDE"/>
    <w:rsid w:val="00DD4CCD"/>
    <w:rsid w:val="00DD5009"/>
    <w:rsid w:val="00DD56A2"/>
    <w:rsid w:val="00DD5CA3"/>
    <w:rsid w:val="00DD6654"/>
    <w:rsid w:val="00DE323E"/>
    <w:rsid w:val="00DE3E0B"/>
    <w:rsid w:val="00DE47AB"/>
    <w:rsid w:val="00DE49F5"/>
    <w:rsid w:val="00DE4F2D"/>
    <w:rsid w:val="00DE4F60"/>
    <w:rsid w:val="00DE599E"/>
    <w:rsid w:val="00DE5C7C"/>
    <w:rsid w:val="00DE63C3"/>
    <w:rsid w:val="00DE7BF8"/>
    <w:rsid w:val="00DE7C58"/>
    <w:rsid w:val="00DE7F75"/>
    <w:rsid w:val="00DF3DEE"/>
    <w:rsid w:val="00DF4066"/>
    <w:rsid w:val="00DF499E"/>
    <w:rsid w:val="00DF5853"/>
    <w:rsid w:val="00DF729D"/>
    <w:rsid w:val="00DF75DF"/>
    <w:rsid w:val="00E00CE4"/>
    <w:rsid w:val="00E01456"/>
    <w:rsid w:val="00E01492"/>
    <w:rsid w:val="00E01C7F"/>
    <w:rsid w:val="00E02445"/>
    <w:rsid w:val="00E02CCD"/>
    <w:rsid w:val="00E02CEC"/>
    <w:rsid w:val="00E03BB1"/>
    <w:rsid w:val="00E05801"/>
    <w:rsid w:val="00E0668F"/>
    <w:rsid w:val="00E06B76"/>
    <w:rsid w:val="00E07071"/>
    <w:rsid w:val="00E07DB9"/>
    <w:rsid w:val="00E10F74"/>
    <w:rsid w:val="00E1595F"/>
    <w:rsid w:val="00E16CBF"/>
    <w:rsid w:val="00E16D01"/>
    <w:rsid w:val="00E22772"/>
    <w:rsid w:val="00E227AE"/>
    <w:rsid w:val="00E23300"/>
    <w:rsid w:val="00E2345F"/>
    <w:rsid w:val="00E25801"/>
    <w:rsid w:val="00E2658B"/>
    <w:rsid w:val="00E26957"/>
    <w:rsid w:val="00E26E0A"/>
    <w:rsid w:val="00E26FA9"/>
    <w:rsid w:val="00E27086"/>
    <w:rsid w:val="00E30611"/>
    <w:rsid w:val="00E306FF"/>
    <w:rsid w:val="00E30DDD"/>
    <w:rsid w:val="00E31248"/>
    <w:rsid w:val="00E31E0F"/>
    <w:rsid w:val="00E326CF"/>
    <w:rsid w:val="00E32ACF"/>
    <w:rsid w:val="00E3343F"/>
    <w:rsid w:val="00E347BB"/>
    <w:rsid w:val="00E3569D"/>
    <w:rsid w:val="00E3598A"/>
    <w:rsid w:val="00E373B3"/>
    <w:rsid w:val="00E37DB4"/>
    <w:rsid w:val="00E4014A"/>
    <w:rsid w:val="00E40C08"/>
    <w:rsid w:val="00E4136C"/>
    <w:rsid w:val="00E41FB2"/>
    <w:rsid w:val="00E42181"/>
    <w:rsid w:val="00E43335"/>
    <w:rsid w:val="00E43D15"/>
    <w:rsid w:val="00E43DE5"/>
    <w:rsid w:val="00E4409E"/>
    <w:rsid w:val="00E453CF"/>
    <w:rsid w:val="00E46400"/>
    <w:rsid w:val="00E46BDB"/>
    <w:rsid w:val="00E502D8"/>
    <w:rsid w:val="00E50321"/>
    <w:rsid w:val="00E50BDC"/>
    <w:rsid w:val="00E51185"/>
    <w:rsid w:val="00E516B2"/>
    <w:rsid w:val="00E537F2"/>
    <w:rsid w:val="00E55CE1"/>
    <w:rsid w:val="00E55DDE"/>
    <w:rsid w:val="00E56945"/>
    <w:rsid w:val="00E57512"/>
    <w:rsid w:val="00E60068"/>
    <w:rsid w:val="00E607F8"/>
    <w:rsid w:val="00E60FA7"/>
    <w:rsid w:val="00E61949"/>
    <w:rsid w:val="00E64EE1"/>
    <w:rsid w:val="00E6591F"/>
    <w:rsid w:val="00E67845"/>
    <w:rsid w:val="00E67FAD"/>
    <w:rsid w:val="00E7000B"/>
    <w:rsid w:val="00E703A6"/>
    <w:rsid w:val="00E70AC0"/>
    <w:rsid w:val="00E70D02"/>
    <w:rsid w:val="00E71760"/>
    <w:rsid w:val="00E71CD5"/>
    <w:rsid w:val="00E72294"/>
    <w:rsid w:val="00E72365"/>
    <w:rsid w:val="00E74014"/>
    <w:rsid w:val="00E740DC"/>
    <w:rsid w:val="00E7591A"/>
    <w:rsid w:val="00E7626B"/>
    <w:rsid w:val="00E76981"/>
    <w:rsid w:val="00E76E27"/>
    <w:rsid w:val="00E7751F"/>
    <w:rsid w:val="00E80100"/>
    <w:rsid w:val="00E80325"/>
    <w:rsid w:val="00E82452"/>
    <w:rsid w:val="00E8257B"/>
    <w:rsid w:val="00E82B2B"/>
    <w:rsid w:val="00E82CFA"/>
    <w:rsid w:val="00E83244"/>
    <w:rsid w:val="00E8348F"/>
    <w:rsid w:val="00E83556"/>
    <w:rsid w:val="00E8407A"/>
    <w:rsid w:val="00E84463"/>
    <w:rsid w:val="00E85DBF"/>
    <w:rsid w:val="00E86A02"/>
    <w:rsid w:val="00E87232"/>
    <w:rsid w:val="00E90426"/>
    <w:rsid w:val="00E906B3"/>
    <w:rsid w:val="00E90AD5"/>
    <w:rsid w:val="00E9204A"/>
    <w:rsid w:val="00E920E4"/>
    <w:rsid w:val="00E929A5"/>
    <w:rsid w:val="00E92FB1"/>
    <w:rsid w:val="00E933BB"/>
    <w:rsid w:val="00E93A24"/>
    <w:rsid w:val="00E94B14"/>
    <w:rsid w:val="00E94E73"/>
    <w:rsid w:val="00E967B7"/>
    <w:rsid w:val="00E9797C"/>
    <w:rsid w:val="00E97F4E"/>
    <w:rsid w:val="00EA0183"/>
    <w:rsid w:val="00EA03DD"/>
    <w:rsid w:val="00EA1216"/>
    <w:rsid w:val="00EA1B7B"/>
    <w:rsid w:val="00EA1F21"/>
    <w:rsid w:val="00EA1FCB"/>
    <w:rsid w:val="00EA2D91"/>
    <w:rsid w:val="00EA39BC"/>
    <w:rsid w:val="00EA3B1C"/>
    <w:rsid w:val="00EA422F"/>
    <w:rsid w:val="00EA6F68"/>
    <w:rsid w:val="00EA7114"/>
    <w:rsid w:val="00EB0FF9"/>
    <w:rsid w:val="00EB1001"/>
    <w:rsid w:val="00EB124D"/>
    <w:rsid w:val="00EB1A11"/>
    <w:rsid w:val="00EB2B24"/>
    <w:rsid w:val="00EB2F0D"/>
    <w:rsid w:val="00EB42DA"/>
    <w:rsid w:val="00EB4821"/>
    <w:rsid w:val="00EB5D68"/>
    <w:rsid w:val="00EB6159"/>
    <w:rsid w:val="00EB63DD"/>
    <w:rsid w:val="00EB6B7E"/>
    <w:rsid w:val="00EB73C9"/>
    <w:rsid w:val="00EB763B"/>
    <w:rsid w:val="00EB77D0"/>
    <w:rsid w:val="00EB7C2A"/>
    <w:rsid w:val="00EC0312"/>
    <w:rsid w:val="00EC036F"/>
    <w:rsid w:val="00EC067B"/>
    <w:rsid w:val="00EC09EF"/>
    <w:rsid w:val="00EC0A48"/>
    <w:rsid w:val="00EC0B5C"/>
    <w:rsid w:val="00EC1691"/>
    <w:rsid w:val="00EC4B9A"/>
    <w:rsid w:val="00EC71ED"/>
    <w:rsid w:val="00EC71F1"/>
    <w:rsid w:val="00EC791E"/>
    <w:rsid w:val="00EC7E7B"/>
    <w:rsid w:val="00ED287A"/>
    <w:rsid w:val="00ED2D12"/>
    <w:rsid w:val="00ED335A"/>
    <w:rsid w:val="00ED3C28"/>
    <w:rsid w:val="00ED519E"/>
    <w:rsid w:val="00ED522A"/>
    <w:rsid w:val="00ED5283"/>
    <w:rsid w:val="00ED5B7B"/>
    <w:rsid w:val="00ED6AB6"/>
    <w:rsid w:val="00ED6C31"/>
    <w:rsid w:val="00ED73C4"/>
    <w:rsid w:val="00ED7F3E"/>
    <w:rsid w:val="00EE095F"/>
    <w:rsid w:val="00EE1CD9"/>
    <w:rsid w:val="00EE2AE6"/>
    <w:rsid w:val="00EE2CC9"/>
    <w:rsid w:val="00EE30EE"/>
    <w:rsid w:val="00EE40BB"/>
    <w:rsid w:val="00EF046C"/>
    <w:rsid w:val="00EF054F"/>
    <w:rsid w:val="00EF1B00"/>
    <w:rsid w:val="00EF3809"/>
    <w:rsid w:val="00EF4152"/>
    <w:rsid w:val="00EF4653"/>
    <w:rsid w:val="00EF5A38"/>
    <w:rsid w:val="00EF5C63"/>
    <w:rsid w:val="00EF5DBE"/>
    <w:rsid w:val="00EF7704"/>
    <w:rsid w:val="00EF78FC"/>
    <w:rsid w:val="00F0013D"/>
    <w:rsid w:val="00F004A1"/>
    <w:rsid w:val="00F00A01"/>
    <w:rsid w:val="00F0142B"/>
    <w:rsid w:val="00F017E0"/>
    <w:rsid w:val="00F020EE"/>
    <w:rsid w:val="00F0330F"/>
    <w:rsid w:val="00F05765"/>
    <w:rsid w:val="00F0628C"/>
    <w:rsid w:val="00F0680F"/>
    <w:rsid w:val="00F07C8F"/>
    <w:rsid w:val="00F101E0"/>
    <w:rsid w:val="00F10298"/>
    <w:rsid w:val="00F113B2"/>
    <w:rsid w:val="00F12C39"/>
    <w:rsid w:val="00F12C5A"/>
    <w:rsid w:val="00F15112"/>
    <w:rsid w:val="00F15446"/>
    <w:rsid w:val="00F154E4"/>
    <w:rsid w:val="00F16602"/>
    <w:rsid w:val="00F17231"/>
    <w:rsid w:val="00F17727"/>
    <w:rsid w:val="00F21697"/>
    <w:rsid w:val="00F22BD1"/>
    <w:rsid w:val="00F23972"/>
    <w:rsid w:val="00F240CF"/>
    <w:rsid w:val="00F25651"/>
    <w:rsid w:val="00F2582F"/>
    <w:rsid w:val="00F261E7"/>
    <w:rsid w:val="00F264E9"/>
    <w:rsid w:val="00F2662D"/>
    <w:rsid w:val="00F26ECC"/>
    <w:rsid w:val="00F278E9"/>
    <w:rsid w:val="00F27CAC"/>
    <w:rsid w:val="00F30A9D"/>
    <w:rsid w:val="00F3337C"/>
    <w:rsid w:val="00F33541"/>
    <w:rsid w:val="00F344DC"/>
    <w:rsid w:val="00F357F7"/>
    <w:rsid w:val="00F3589E"/>
    <w:rsid w:val="00F35B64"/>
    <w:rsid w:val="00F36773"/>
    <w:rsid w:val="00F37592"/>
    <w:rsid w:val="00F42075"/>
    <w:rsid w:val="00F422E1"/>
    <w:rsid w:val="00F42473"/>
    <w:rsid w:val="00F432E5"/>
    <w:rsid w:val="00F43D57"/>
    <w:rsid w:val="00F44000"/>
    <w:rsid w:val="00F44312"/>
    <w:rsid w:val="00F4457A"/>
    <w:rsid w:val="00F4530C"/>
    <w:rsid w:val="00F46188"/>
    <w:rsid w:val="00F477F5"/>
    <w:rsid w:val="00F477F6"/>
    <w:rsid w:val="00F478D8"/>
    <w:rsid w:val="00F50A55"/>
    <w:rsid w:val="00F51EBB"/>
    <w:rsid w:val="00F52B7F"/>
    <w:rsid w:val="00F536D1"/>
    <w:rsid w:val="00F5413F"/>
    <w:rsid w:val="00F54389"/>
    <w:rsid w:val="00F5465E"/>
    <w:rsid w:val="00F54F53"/>
    <w:rsid w:val="00F56C52"/>
    <w:rsid w:val="00F56F69"/>
    <w:rsid w:val="00F57A3A"/>
    <w:rsid w:val="00F57BEF"/>
    <w:rsid w:val="00F6049A"/>
    <w:rsid w:val="00F611A0"/>
    <w:rsid w:val="00F6140A"/>
    <w:rsid w:val="00F61943"/>
    <w:rsid w:val="00F61DC5"/>
    <w:rsid w:val="00F622B1"/>
    <w:rsid w:val="00F63652"/>
    <w:rsid w:val="00F63C99"/>
    <w:rsid w:val="00F6488C"/>
    <w:rsid w:val="00F6518A"/>
    <w:rsid w:val="00F65247"/>
    <w:rsid w:val="00F65AA8"/>
    <w:rsid w:val="00F65D49"/>
    <w:rsid w:val="00F65E4F"/>
    <w:rsid w:val="00F668A4"/>
    <w:rsid w:val="00F66E2D"/>
    <w:rsid w:val="00F6761A"/>
    <w:rsid w:val="00F67787"/>
    <w:rsid w:val="00F67795"/>
    <w:rsid w:val="00F70E74"/>
    <w:rsid w:val="00F71810"/>
    <w:rsid w:val="00F71C1A"/>
    <w:rsid w:val="00F72000"/>
    <w:rsid w:val="00F732A5"/>
    <w:rsid w:val="00F736AC"/>
    <w:rsid w:val="00F73BB9"/>
    <w:rsid w:val="00F74D09"/>
    <w:rsid w:val="00F74F69"/>
    <w:rsid w:val="00F76F69"/>
    <w:rsid w:val="00F82EE2"/>
    <w:rsid w:val="00F82F30"/>
    <w:rsid w:val="00F83661"/>
    <w:rsid w:val="00F83691"/>
    <w:rsid w:val="00F84B70"/>
    <w:rsid w:val="00F852B4"/>
    <w:rsid w:val="00F86B0F"/>
    <w:rsid w:val="00F87340"/>
    <w:rsid w:val="00F8799C"/>
    <w:rsid w:val="00F90289"/>
    <w:rsid w:val="00F90694"/>
    <w:rsid w:val="00F913C2"/>
    <w:rsid w:val="00F91F43"/>
    <w:rsid w:val="00F92CAB"/>
    <w:rsid w:val="00F93482"/>
    <w:rsid w:val="00F9407C"/>
    <w:rsid w:val="00F94605"/>
    <w:rsid w:val="00F95359"/>
    <w:rsid w:val="00FA014F"/>
    <w:rsid w:val="00FA02D7"/>
    <w:rsid w:val="00FA1B0D"/>
    <w:rsid w:val="00FA1F3E"/>
    <w:rsid w:val="00FA24AB"/>
    <w:rsid w:val="00FA2DA1"/>
    <w:rsid w:val="00FA2F53"/>
    <w:rsid w:val="00FA337D"/>
    <w:rsid w:val="00FA3F8B"/>
    <w:rsid w:val="00FA40ED"/>
    <w:rsid w:val="00FA476A"/>
    <w:rsid w:val="00FA5664"/>
    <w:rsid w:val="00FA5BD8"/>
    <w:rsid w:val="00FA6E8B"/>
    <w:rsid w:val="00FA7B0E"/>
    <w:rsid w:val="00FB01DE"/>
    <w:rsid w:val="00FB047C"/>
    <w:rsid w:val="00FB2A6B"/>
    <w:rsid w:val="00FB2A90"/>
    <w:rsid w:val="00FB2B4F"/>
    <w:rsid w:val="00FB3188"/>
    <w:rsid w:val="00FB3A4C"/>
    <w:rsid w:val="00FB55D0"/>
    <w:rsid w:val="00FB59DE"/>
    <w:rsid w:val="00FB6812"/>
    <w:rsid w:val="00FB6CF1"/>
    <w:rsid w:val="00FB73D3"/>
    <w:rsid w:val="00FB7731"/>
    <w:rsid w:val="00FC0CAA"/>
    <w:rsid w:val="00FC0DD1"/>
    <w:rsid w:val="00FC14D8"/>
    <w:rsid w:val="00FC17A4"/>
    <w:rsid w:val="00FC203F"/>
    <w:rsid w:val="00FC2203"/>
    <w:rsid w:val="00FC44A4"/>
    <w:rsid w:val="00FC599E"/>
    <w:rsid w:val="00FC6B31"/>
    <w:rsid w:val="00FC6FD0"/>
    <w:rsid w:val="00FC77FA"/>
    <w:rsid w:val="00FC789C"/>
    <w:rsid w:val="00FC7BB4"/>
    <w:rsid w:val="00FC7E6D"/>
    <w:rsid w:val="00FD0046"/>
    <w:rsid w:val="00FD021C"/>
    <w:rsid w:val="00FD0E55"/>
    <w:rsid w:val="00FD109A"/>
    <w:rsid w:val="00FD1B78"/>
    <w:rsid w:val="00FD257E"/>
    <w:rsid w:val="00FD29B7"/>
    <w:rsid w:val="00FD31F1"/>
    <w:rsid w:val="00FD3460"/>
    <w:rsid w:val="00FD3EAA"/>
    <w:rsid w:val="00FD48FD"/>
    <w:rsid w:val="00FD51E6"/>
    <w:rsid w:val="00FD587E"/>
    <w:rsid w:val="00FD60B0"/>
    <w:rsid w:val="00FD68B0"/>
    <w:rsid w:val="00FD6BD7"/>
    <w:rsid w:val="00FD7607"/>
    <w:rsid w:val="00FE024A"/>
    <w:rsid w:val="00FE0C35"/>
    <w:rsid w:val="00FE16F4"/>
    <w:rsid w:val="00FE1B27"/>
    <w:rsid w:val="00FE1D10"/>
    <w:rsid w:val="00FE2558"/>
    <w:rsid w:val="00FE2FFE"/>
    <w:rsid w:val="00FE397E"/>
    <w:rsid w:val="00FE4660"/>
    <w:rsid w:val="00FE4773"/>
    <w:rsid w:val="00FE5086"/>
    <w:rsid w:val="00FF0C68"/>
    <w:rsid w:val="00FF0DF4"/>
    <w:rsid w:val="00FF104D"/>
    <w:rsid w:val="00FF535F"/>
    <w:rsid w:val="00FF5557"/>
    <w:rsid w:val="00FF5838"/>
    <w:rsid w:val="00FF6FBD"/>
    <w:rsid w:val="00FF7595"/>
    <w:rsid w:val="00FF7DBD"/>
    <w:rsid w:val="01001B89"/>
    <w:rsid w:val="01050BDD"/>
    <w:rsid w:val="010C0D7D"/>
    <w:rsid w:val="010F553B"/>
    <w:rsid w:val="01227082"/>
    <w:rsid w:val="0128072A"/>
    <w:rsid w:val="01303BEE"/>
    <w:rsid w:val="01681D0F"/>
    <w:rsid w:val="01D47027"/>
    <w:rsid w:val="01F55271"/>
    <w:rsid w:val="01FB300D"/>
    <w:rsid w:val="02021982"/>
    <w:rsid w:val="020629D5"/>
    <w:rsid w:val="02412F1B"/>
    <w:rsid w:val="028969D5"/>
    <w:rsid w:val="02D43C07"/>
    <w:rsid w:val="02F35604"/>
    <w:rsid w:val="03205107"/>
    <w:rsid w:val="03293DED"/>
    <w:rsid w:val="032A5325"/>
    <w:rsid w:val="0351082F"/>
    <w:rsid w:val="03646EFF"/>
    <w:rsid w:val="036508A8"/>
    <w:rsid w:val="0384443D"/>
    <w:rsid w:val="0384657A"/>
    <w:rsid w:val="039568F8"/>
    <w:rsid w:val="03A74C5D"/>
    <w:rsid w:val="03B910CC"/>
    <w:rsid w:val="03BB1614"/>
    <w:rsid w:val="03F16A8C"/>
    <w:rsid w:val="03FE7D6D"/>
    <w:rsid w:val="040B5C82"/>
    <w:rsid w:val="040D7D4E"/>
    <w:rsid w:val="04346126"/>
    <w:rsid w:val="04415BB5"/>
    <w:rsid w:val="04543095"/>
    <w:rsid w:val="04CD4C2D"/>
    <w:rsid w:val="04DD1BB7"/>
    <w:rsid w:val="04F346B1"/>
    <w:rsid w:val="05085C0F"/>
    <w:rsid w:val="05506D3D"/>
    <w:rsid w:val="05510DA2"/>
    <w:rsid w:val="05747EF3"/>
    <w:rsid w:val="057C6008"/>
    <w:rsid w:val="05851E46"/>
    <w:rsid w:val="05854632"/>
    <w:rsid w:val="058E724E"/>
    <w:rsid w:val="05961AE3"/>
    <w:rsid w:val="059D410A"/>
    <w:rsid w:val="05A14C6E"/>
    <w:rsid w:val="05A52DA3"/>
    <w:rsid w:val="05A85AC1"/>
    <w:rsid w:val="05D67D10"/>
    <w:rsid w:val="05DE5AF6"/>
    <w:rsid w:val="05E12613"/>
    <w:rsid w:val="05E84E90"/>
    <w:rsid w:val="06076E00"/>
    <w:rsid w:val="061235AA"/>
    <w:rsid w:val="06220F1F"/>
    <w:rsid w:val="06285601"/>
    <w:rsid w:val="067F2F4D"/>
    <w:rsid w:val="069178E7"/>
    <w:rsid w:val="06A52014"/>
    <w:rsid w:val="06A60FDA"/>
    <w:rsid w:val="06A913CF"/>
    <w:rsid w:val="06AD5345"/>
    <w:rsid w:val="06B47099"/>
    <w:rsid w:val="06D40071"/>
    <w:rsid w:val="06ED49C2"/>
    <w:rsid w:val="06F35087"/>
    <w:rsid w:val="070A2AC2"/>
    <w:rsid w:val="071778A0"/>
    <w:rsid w:val="07266EA3"/>
    <w:rsid w:val="076C4217"/>
    <w:rsid w:val="07723F13"/>
    <w:rsid w:val="07BF3492"/>
    <w:rsid w:val="07D23B28"/>
    <w:rsid w:val="07D613CF"/>
    <w:rsid w:val="07FC5960"/>
    <w:rsid w:val="08296310"/>
    <w:rsid w:val="083E34F8"/>
    <w:rsid w:val="086A6A56"/>
    <w:rsid w:val="087B4742"/>
    <w:rsid w:val="0880198C"/>
    <w:rsid w:val="08892476"/>
    <w:rsid w:val="088B79F3"/>
    <w:rsid w:val="08B12D82"/>
    <w:rsid w:val="08C21E7D"/>
    <w:rsid w:val="08CD299A"/>
    <w:rsid w:val="08DC220F"/>
    <w:rsid w:val="08E6602D"/>
    <w:rsid w:val="091A74F8"/>
    <w:rsid w:val="092850BD"/>
    <w:rsid w:val="098670FA"/>
    <w:rsid w:val="098D196A"/>
    <w:rsid w:val="09934458"/>
    <w:rsid w:val="09973F9A"/>
    <w:rsid w:val="09BE4C98"/>
    <w:rsid w:val="0A00056C"/>
    <w:rsid w:val="0A5D3F80"/>
    <w:rsid w:val="0A623D2E"/>
    <w:rsid w:val="0A693A47"/>
    <w:rsid w:val="0AB80DB3"/>
    <w:rsid w:val="0ACF67F1"/>
    <w:rsid w:val="0AD67BFB"/>
    <w:rsid w:val="0AF04D6B"/>
    <w:rsid w:val="0AFB4F2F"/>
    <w:rsid w:val="0AFF3BD7"/>
    <w:rsid w:val="0B3D6842"/>
    <w:rsid w:val="0B3F5215"/>
    <w:rsid w:val="0B4D336E"/>
    <w:rsid w:val="0B526F5F"/>
    <w:rsid w:val="0B6424B5"/>
    <w:rsid w:val="0B6F3583"/>
    <w:rsid w:val="0B7B5AAB"/>
    <w:rsid w:val="0B9B1DB4"/>
    <w:rsid w:val="0BDE002B"/>
    <w:rsid w:val="0C293602"/>
    <w:rsid w:val="0C3D7CD3"/>
    <w:rsid w:val="0C5304C4"/>
    <w:rsid w:val="0C6848D6"/>
    <w:rsid w:val="0CA04DB1"/>
    <w:rsid w:val="0CBE1EE1"/>
    <w:rsid w:val="0CF16202"/>
    <w:rsid w:val="0CFB55C3"/>
    <w:rsid w:val="0D0F6D4C"/>
    <w:rsid w:val="0D271C8B"/>
    <w:rsid w:val="0D306505"/>
    <w:rsid w:val="0D5A4B69"/>
    <w:rsid w:val="0D63105A"/>
    <w:rsid w:val="0D6435E4"/>
    <w:rsid w:val="0D823BE2"/>
    <w:rsid w:val="0D911502"/>
    <w:rsid w:val="0D976B94"/>
    <w:rsid w:val="0DA7306D"/>
    <w:rsid w:val="0DC65EDD"/>
    <w:rsid w:val="0DC96024"/>
    <w:rsid w:val="0DE121B7"/>
    <w:rsid w:val="0DFF2F76"/>
    <w:rsid w:val="0E3D1400"/>
    <w:rsid w:val="0E406A53"/>
    <w:rsid w:val="0E5A14D6"/>
    <w:rsid w:val="0E611165"/>
    <w:rsid w:val="0E744910"/>
    <w:rsid w:val="0EA50FC2"/>
    <w:rsid w:val="0ECA5D2A"/>
    <w:rsid w:val="0ED22E27"/>
    <w:rsid w:val="0ED31ED1"/>
    <w:rsid w:val="0EE85AD4"/>
    <w:rsid w:val="0EF04C93"/>
    <w:rsid w:val="0EF6075D"/>
    <w:rsid w:val="0F1F51EC"/>
    <w:rsid w:val="0F2170B8"/>
    <w:rsid w:val="0F373204"/>
    <w:rsid w:val="0F3D74CE"/>
    <w:rsid w:val="0F463E74"/>
    <w:rsid w:val="0F782947"/>
    <w:rsid w:val="0FED6A1F"/>
    <w:rsid w:val="10042C60"/>
    <w:rsid w:val="100D32DF"/>
    <w:rsid w:val="100E2EB9"/>
    <w:rsid w:val="101B7050"/>
    <w:rsid w:val="10344927"/>
    <w:rsid w:val="103E6B84"/>
    <w:rsid w:val="10514736"/>
    <w:rsid w:val="10716B5A"/>
    <w:rsid w:val="10A13B31"/>
    <w:rsid w:val="10B071E1"/>
    <w:rsid w:val="10B60740"/>
    <w:rsid w:val="10FD4C31"/>
    <w:rsid w:val="110A5B45"/>
    <w:rsid w:val="11135BB9"/>
    <w:rsid w:val="11200BF5"/>
    <w:rsid w:val="11524FB5"/>
    <w:rsid w:val="1189380F"/>
    <w:rsid w:val="118A7981"/>
    <w:rsid w:val="11C96699"/>
    <w:rsid w:val="11D815D0"/>
    <w:rsid w:val="11F14456"/>
    <w:rsid w:val="12136FF2"/>
    <w:rsid w:val="121804C0"/>
    <w:rsid w:val="12234335"/>
    <w:rsid w:val="124729B6"/>
    <w:rsid w:val="126F1AA2"/>
    <w:rsid w:val="12811B21"/>
    <w:rsid w:val="12873F44"/>
    <w:rsid w:val="12BC1918"/>
    <w:rsid w:val="12DB60BC"/>
    <w:rsid w:val="12ED1BBF"/>
    <w:rsid w:val="13373169"/>
    <w:rsid w:val="134D1D73"/>
    <w:rsid w:val="135067FD"/>
    <w:rsid w:val="13684553"/>
    <w:rsid w:val="13B63723"/>
    <w:rsid w:val="13CE6D4C"/>
    <w:rsid w:val="13DC48F2"/>
    <w:rsid w:val="13E86EB4"/>
    <w:rsid w:val="140D3C71"/>
    <w:rsid w:val="141F4EE9"/>
    <w:rsid w:val="14532520"/>
    <w:rsid w:val="14561BE7"/>
    <w:rsid w:val="145C482D"/>
    <w:rsid w:val="146C6CC1"/>
    <w:rsid w:val="14703D43"/>
    <w:rsid w:val="14CB54D8"/>
    <w:rsid w:val="14E35139"/>
    <w:rsid w:val="14EC15FD"/>
    <w:rsid w:val="150A06FA"/>
    <w:rsid w:val="150F585D"/>
    <w:rsid w:val="15635AF2"/>
    <w:rsid w:val="156C078F"/>
    <w:rsid w:val="156D6587"/>
    <w:rsid w:val="157512C3"/>
    <w:rsid w:val="15C36157"/>
    <w:rsid w:val="15EC33C2"/>
    <w:rsid w:val="161036C8"/>
    <w:rsid w:val="162E544C"/>
    <w:rsid w:val="16301085"/>
    <w:rsid w:val="16453370"/>
    <w:rsid w:val="16481B56"/>
    <w:rsid w:val="1648792C"/>
    <w:rsid w:val="164B3E79"/>
    <w:rsid w:val="164C2490"/>
    <w:rsid w:val="165E22C9"/>
    <w:rsid w:val="166214CE"/>
    <w:rsid w:val="169249C2"/>
    <w:rsid w:val="169E1FF4"/>
    <w:rsid w:val="16A71170"/>
    <w:rsid w:val="16B674A1"/>
    <w:rsid w:val="16B83299"/>
    <w:rsid w:val="16D67C40"/>
    <w:rsid w:val="1714655E"/>
    <w:rsid w:val="173309F5"/>
    <w:rsid w:val="177A4137"/>
    <w:rsid w:val="177A4826"/>
    <w:rsid w:val="177C5117"/>
    <w:rsid w:val="178C24C6"/>
    <w:rsid w:val="17C324EB"/>
    <w:rsid w:val="17CE746D"/>
    <w:rsid w:val="17E30111"/>
    <w:rsid w:val="17E32401"/>
    <w:rsid w:val="18044727"/>
    <w:rsid w:val="182B62FA"/>
    <w:rsid w:val="18330997"/>
    <w:rsid w:val="188B734B"/>
    <w:rsid w:val="189145FD"/>
    <w:rsid w:val="18914E1D"/>
    <w:rsid w:val="18A37056"/>
    <w:rsid w:val="18AB50EF"/>
    <w:rsid w:val="18E4030E"/>
    <w:rsid w:val="19065BA0"/>
    <w:rsid w:val="190E18FF"/>
    <w:rsid w:val="19367B7E"/>
    <w:rsid w:val="19595618"/>
    <w:rsid w:val="196C42F4"/>
    <w:rsid w:val="1975360B"/>
    <w:rsid w:val="19953140"/>
    <w:rsid w:val="19FB0AEA"/>
    <w:rsid w:val="1A62030D"/>
    <w:rsid w:val="1A6A6004"/>
    <w:rsid w:val="1A6A639D"/>
    <w:rsid w:val="1A9D74E7"/>
    <w:rsid w:val="1AA72A49"/>
    <w:rsid w:val="1AB92284"/>
    <w:rsid w:val="1B120535"/>
    <w:rsid w:val="1B2D7436"/>
    <w:rsid w:val="1B324347"/>
    <w:rsid w:val="1B4D693F"/>
    <w:rsid w:val="1B560B38"/>
    <w:rsid w:val="1B60080F"/>
    <w:rsid w:val="1BD6398B"/>
    <w:rsid w:val="1BE96C43"/>
    <w:rsid w:val="1C066D4B"/>
    <w:rsid w:val="1C1E694E"/>
    <w:rsid w:val="1C4D77E6"/>
    <w:rsid w:val="1C5230D3"/>
    <w:rsid w:val="1C533DA2"/>
    <w:rsid w:val="1C5F49E8"/>
    <w:rsid w:val="1C72039C"/>
    <w:rsid w:val="1C7A05BE"/>
    <w:rsid w:val="1CB90545"/>
    <w:rsid w:val="1CE16D90"/>
    <w:rsid w:val="1D0472C7"/>
    <w:rsid w:val="1D100060"/>
    <w:rsid w:val="1D120EF8"/>
    <w:rsid w:val="1D3C456C"/>
    <w:rsid w:val="1D59252E"/>
    <w:rsid w:val="1D5A3AC6"/>
    <w:rsid w:val="1D6B185F"/>
    <w:rsid w:val="1D8B7375"/>
    <w:rsid w:val="1D9F522F"/>
    <w:rsid w:val="1DA95892"/>
    <w:rsid w:val="1DC514DB"/>
    <w:rsid w:val="1DCA499E"/>
    <w:rsid w:val="1DD62A5F"/>
    <w:rsid w:val="1DD8498B"/>
    <w:rsid w:val="1E137563"/>
    <w:rsid w:val="1E1C1F11"/>
    <w:rsid w:val="1E291E6B"/>
    <w:rsid w:val="1E387C69"/>
    <w:rsid w:val="1E43700B"/>
    <w:rsid w:val="1E5E6B0E"/>
    <w:rsid w:val="1E677A7A"/>
    <w:rsid w:val="1E7227B4"/>
    <w:rsid w:val="1E877130"/>
    <w:rsid w:val="1EA20071"/>
    <w:rsid w:val="1EA71C09"/>
    <w:rsid w:val="1EA8264E"/>
    <w:rsid w:val="1ED933DC"/>
    <w:rsid w:val="1EDF0F57"/>
    <w:rsid w:val="1F377975"/>
    <w:rsid w:val="1F580E6E"/>
    <w:rsid w:val="1F5C20E5"/>
    <w:rsid w:val="1F933741"/>
    <w:rsid w:val="1FA9635A"/>
    <w:rsid w:val="1FC93DA6"/>
    <w:rsid w:val="1FD526C9"/>
    <w:rsid w:val="1FDD1940"/>
    <w:rsid w:val="1FF219BD"/>
    <w:rsid w:val="1FF772EB"/>
    <w:rsid w:val="20110827"/>
    <w:rsid w:val="202E5DCF"/>
    <w:rsid w:val="203D3DE0"/>
    <w:rsid w:val="205055B7"/>
    <w:rsid w:val="206D77FD"/>
    <w:rsid w:val="20737DCD"/>
    <w:rsid w:val="20991B71"/>
    <w:rsid w:val="209E5511"/>
    <w:rsid w:val="20B259B9"/>
    <w:rsid w:val="20B365A9"/>
    <w:rsid w:val="20C704B7"/>
    <w:rsid w:val="20CA794A"/>
    <w:rsid w:val="20CE1BB1"/>
    <w:rsid w:val="211706DF"/>
    <w:rsid w:val="212E74BA"/>
    <w:rsid w:val="217C2D6A"/>
    <w:rsid w:val="218410C6"/>
    <w:rsid w:val="2195371B"/>
    <w:rsid w:val="21A9126E"/>
    <w:rsid w:val="21C60851"/>
    <w:rsid w:val="21F5022B"/>
    <w:rsid w:val="22124DF5"/>
    <w:rsid w:val="22226E9D"/>
    <w:rsid w:val="22366341"/>
    <w:rsid w:val="223B66AA"/>
    <w:rsid w:val="224C44C2"/>
    <w:rsid w:val="226B0BC2"/>
    <w:rsid w:val="22A223A2"/>
    <w:rsid w:val="22C025C7"/>
    <w:rsid w:val="22D17A92"/>
    <w:rsid w:val="22D769B8"/>
    <w:rsid w:val="22FC3D8D"/>
    <w:rsid w:val="231B2F15"/>
    <w:rsid w:val="23272B22"/>
    <w:rsid w:val="236B282A"/>
    <w:rsid w:val="237B5790"/>
    <w:rsid w:val="23920FAC"/>
    <w:rsid w:val="23991577"/>
    <w:rsid w:val="23A96782"/>
    <w:rsid w:val="23AE163F"/>
    <w:rsid w:val="23B750AE"/>
    <w:rsid w:val="23B92B71"/>
    <w:rsid w:val="23DD1FAF"/>
    <w:rsid w:val="23E03A95"/>
    <w:rsid w:val="243C6702"/>
    <w:rsid w:val="244F04F3"/>
    <w:rsid w:val="245E19A1"/>
    <w:rsid w:val="246F52C5"/>
    <w:rsid w:val="24726788"/>
    <w:rsid w:val="2475426E"/>
    <w:rsid w:val="24876731"/>
    <w:rsid w:val="248F32CB"/>
    <w:rsid w:val="24B27C5D"/>
    <w:rsid w:val="24C44479"/>
    <w:rsid w:val="24D575B8"/>
    <w:rsid w:val="24DA60E3"/>
    <w:rsid w:val="24DD029B"/>
    <w:rsid w:val="24F947D3"/>
    <w:rsid w:val="250E2B1E"/>
    <w:rsid w:val="252A0BDC"/>
    <w:rsid w:val="253A7A96"/>
    <w:rsid w:val="25524B77"/>
    <w:rsid w:val="258A355D"/>
    <w:rsid w:val="25AA3FC3"/>
    <w:rsid w:val="25BF26CB"/>
    <w:rsid w:val="25D01834"/>
    <w:rsid w:val="25D0355D"/>
    <w:rsid w:val="25E401C0"/>
    <w:rsid w:val="25FA520F"/>
    <w:rsid w:val="25FD40BE"/>
    <w:rsid w:val="26024A1E"/>
    <w:rsid w:val="26065063"/>
    <w:rsid w:val="264D1663"/>
    <w:rsid w:val="265A6DE3"/>
    <w:rsid w:val="265E4E8B"/>
    <w:rsid w:val="26963610"/>
    <w:rsid w:val="26ED5ED7"/>
    <w:rsid w:val="27052508"/>
    <w:rsid w:val="2726579D"/>
    <w:rsid w:val="273676FE"/>
    <w:rsid w:val="27450873"/>
    <w:rsid w:val="274C6F7A"/>
    <w:rsid w:val="276A0641"/>
    <w:rsid w:val="27780A90"/>
    <w:rsid w:val="277833C3"/>
    <w:rsid w:val="277D1152"/>
    <w:rsid w:val="279F1923"/>
    <w:rsid w:val="279F5335"/>
    <w:rsid w:val="27E8577B"/>
    <w:rsid w:val="281C6A08"/>
    <w:rsid w:val="28370A83"/>
    <w:rsid w:val="283C7D9D"/>
    <w:rsid w:val="28436E95"/>
    <w:rsid w:val="28646AB2"/>
    <w:rsid w:val="288D7FB2"/>
    <w:rsid w:val="28A76C63"/>
    <w:rsid w:val="28E43CA3"/>
    <w:rsid w:val="28FD2CF3"/>
    <w:rsid w:val="29010465"/>
    <w:rsid w:val="290260BB"/>
    <w:rsid w:val="29115AB9"/>
    <w:rsid w:val="291B63C5"/>
    <w:rsid w:val="291B6F16"/>
    <w:rsid w:val="29204D76"/>
    <w:rsid w:val="29266750"/>
    <w:rsid w:val="29567769"/>
    <w:rsid w:val="2962151B"/>
    <w:rsid w:val="2966482E"/>
    <w:rsid w:val="29BD6AD6"/>
    <w:rsid w:val="29D903F0"/>
    <w:rsid w:val="29D95452"/>
    <w:rsid w:val="29DD3133"/>
    <w:rsid w:val="2A0A2523"/>
    <w:rsid w:val="2A3670A3"/>
    <w:rsid w:val="2A426E16"/>
    <w:rsid w:val="2A6B3C3E"/>
    <w:rsid w:val="2A7A789F"/>
    <w:rsid w:val="2A9D49C2"/>
    <w:rsid w:val="2AE430D5"/>
    <w:rsid w:val="2AE6244F"/>
    <w:rsid w:val="2AEA002E"/>
    <w:rsid w:val="2AFD7737"/>
    <w:rsid w:val="2B0958E3"/>
    <w:rsid w:val="2B383267"/>
    <w:rsid w:val="2B457203"/>
    <w:rsid w:val="2B637F35"/>
    <w:rsid w:val="2B646163"/>
    <w:rsid w:val="2B6B139B"/>
    <w:rsid w:val="2C2B1AAE"/>
    <w:rsid w:val="2C2F3664"/>
    <w:rsid w:val="2C405D27"/>
    <w:rsid w:val="2C45753B"/>
    <w:rsid w:val="2C64402D"/>
    <w:rsid w:val="2C724C85"/>
    <w:rsid w:val="2C7857C3"/>
    <w:rsid w:val="2C7D537B"/>
    <w:rsid w:val="2C824F06"/>
    <w:rsid w:val="2C88317D"/>
    <w:rsid w:val="2CA11AE5"/>
    <w:rsid w:val="2CA36073"/>
    <w:rsid w:val="2CA742E6"/>
    <w:rsid w:val="2CA80003"/>
    <w:rsid w:val="2CBC0102"/>
    <w:rsid w:val="2CC3348A"/>
    <w:rsid w:val="2CCD128F"/>
    <w:rsid w:val="2CD4372D"/>
    <w:rsid w:val="2CE033AA"/>
    <w:rsid w:val="2CE130EC"/>
    <w:rsid w:val="2CEB06E1"/>
    <w:rsid w:val="2CEF7A3A"/>
    <w:rsid w:val="2CFB48AC"/>
    <w:rsid w:val="2D435213"/>
    <w:rsid w:val="2D6E189A"/>
    <w:rsid w:val="2D72352F"/>
    <w:rsid w:val="2D73489D"/>
    <w:rsid w:val="2D850531"/>
    <w:rsid w:val="2DA80126"/>
    <w:rsid w:val="2DBB566A"/>
    <w:rsid w:val="2DC83239"/>
    <w:rsid w:val="2DDD4C26"/>
    <w:rsid w:val="2DE93ACC"/>
    <w:rsid w:val="2E2F763A"/>
    <w:rsid w:val="2E312AA7"/>
    <w:rsid w:val="2E496937"/>
    <w:rsid w:val="2E885D02"/>
    <w:rsid w:val="2E925192"/>
    <w:rsid w:val="2ECE7DBD"/>
    <w:rsid w:val="2EE45E5F"/>
    <w:rsid w:val="2F0544F7"/>
    <w:rsid w:val="2F5C4F62"/>
    <w:rsid w:val="2FA00667"/>
    <w:rsid w:val="2FA403A3"/>
    <w:rsid w:val="2FA9753E"/>
    <w:rsid w:val="2FBD21EC"/>
    <w:rsid w:val="2FC846D6"/>
    <w:rsid w:val="2FCA3DBF"/>
    <w:rsid w:val="2FE701DC"/>
    <w:rsid w:val="2FEB2729"/>
    <w:rsid w:val="2FEC3C5F"/>
    <w:rsid w:val="2FF71B6F"/>
    <w:rsid w:val="2FFC5E38"/>
    <w:rsid w:val="30192A3B"/>
    <w:rsid w:val="3030132C"/>
    <w:rsid w:val="3033309D"/>
    <w:rsid w:val="30397B55"/>
    <w:rsid w:val="30457D4D"/>
    <w:rsid w:val="305A7E10"/>
    <w:rsid w:val="306F44B7"/>
    <w:rsid w:val="308B5A0B"/>
    <w:rsid w:val="309C3F8B"/>
    <w:rsid w:val="309F021C"/>
    <w:rsid w:val="30A76F33"/>
    <w:rsid w:val="30C30AF9"/>
    <w:rsid w:val="30C57815"/>
    <w:rsid w:val="30C86EA7"/>
    <w:rsid w:val="30F312AD"/>
    <w:rsid w:val="310E4726"/>
    <w:rsid w:val="313559C0"/>
    <w:rsid w:val="3137421A"/>
    <w:rsid w:val="313865A2"/>
    <w:rsid w:val="313C600E"/>
    <w:rsid w:val="314149E4"/>
    <w:rsid w:val="315F2549"/>
    <w:rsid w:val="31621B01"/>
    <w:rsid w:val="31982C02"/>
    <w:rsid w:val="31A9523F"/>
    <w:rsid w:val="31B76EA7"/>
    <w:rsid w:val="31D050C5"/>
    <w:rsid w:val="31FD4C22"/>
    <w:rsid w:val="320E265C"/>
    <w:rsid w:val="320F2CE8"/>
    <w:rsid w:val="321E74B9"/>
    <w:rsid w:val="32300D43"/>
    <w:rsid w:val="32805D1D"/>
    <w:rsid w:val="329828FF"/>
    <w:rsid w:val="32B54BC9"/>
    <w:rsid w:val="32C6766B"/>
    <w:rsid w:val="32FA24A5"/>
    <w:rsid w:val="32FA59E1"/>
    <w:rsid w:val="33050663"/>
    <w:rsid w:val="33396BA3"/>
    <w:rsid w:val="334733A2"/>
    <w:rsid w:val="337908EE"/>
    <w:rsid w:val="33825FD7"/>
    <w:rsid w:val="3393794B"/>
    <w:rsid w:val="33A01FB7"/>
    <w:rsid w:val="33AC5EDF"/>
    <w:rsid w:val="33BB3247"/>
    <w:rsid w:val="33D20F8F"/>
    <w:rsid w:val="33E762A3"/>
    <w:rsid w:val="34180599"/>
    <w:rsid w:val="342613C8"/>
    <w:rsid w:val="34685D4E"/>
    <w:rsid w:val="348D5ED0"/>
    <w:rsid w:val="34F05361"/>
    <w:rsid w:val="34FC71E2"/>
    <w:rsid w:val="350638AB"/>
    <w:rsid w:val="350E5AE1"/>
    <w:rsid w:val="35165517"/>
    <w:rsid w:val="353203B9"/>
    <w:rsid w:val="357465F7"/>
    <w:rsid w:val="35846B6E"/>
    <w:rsid w:val="35B36F8C"/>
    <w:rsid w:val="35BE2BDB"/>
    <w:rsid w:val="35D94150"/>
    <w:rsid w:val="35E7044B"/>
    <w:rsid w:val="35FA7242"/>
    <w:rsid w:val="36047377"/>
    <w:rsid w:val="36053274"/>
    <w:rsid w:val="36180525"/>
    <w:rsid w:val="3669743A"/>
    <w:rsid w:val="366E3E83"/>
    <w:rsid w:val="36784655"/>
    <w:rsid w:val="36A26588"/>
    <w:rsid w:val="36DE3F74"/>
    <w:rsid w:val="36DE6F5A"/>
    <w:rsid w:val="36E927EB"/>
    <w:rsid w:val="36F20E0D"/>
    <w:rsid w:val="370055BF"/>
    <w:rsid w:val="370548BE"/>
    <w:rsid w:val="37066D41"/>
    <w:rsid w:val="37131858"/>
    <w:rsid w:val="37517801"/>
    <w:rsid w:val="375B7D1E"/>
    <w:rsid w:val="375F0055"/>
    <w:rsid w:val="37733A04"/>
    <w:rsid w:val="37951AD8"/>
    <w:rsid w:val="37A47E80"/>
    <w:rsid w:val="37B76D83"/>
    <w:rsid w:val="37BC3533"/>
    <w:rsid w:val="37CE15B8"/>
    <w:rsid w:val="37EC01CA"/>
    <w:rsid w:val="37F55BD6"/>
    <w:rsid w:val="37FE4000"/>
    <w:rsid w:val="38217825"/>
    <w:rsid w:val="384D6C3D"/>
    <w:rsid w:val="38596084"/>
    <w:rsid w:val="389F4921"/>
    <w:rsid w:val="38AE58E7"/>
    <w:rsid w:val="38BC05CA"/>
    <w:rsid w:val="38BD43B0"/>
    <w:rsid w:val="38C9480C"/>
    <w:rsid w:val="38CD778D"/>
    <w:rsid w:val="38D04CC9"/>
    <w:rsid w:val="38D10C92"/>
    <w:rsid w:val="393A7BC5"/>
    <w:rsid w:val="3950297B"/>
    <w:rsid w:val="398D2D46"/>
    <w:rsid w:val="39B44934"/>
    <w:rsid w:val="39BE1A62"/>
    <w:rsid w:val="39DA4AA1"/>
    <w:rsid w:val="39E5647B"/>
    <w:rsid w:val="39EC5F8A"/>
    <w:rsid w:val="39F16067"/>
    <w:rsid w:val="39F96DA0"/>
    <w:rsid w:val="3A155919"/>
    <w:rsid w:val="3A270BC1"/>
    <w:rsid w:val="3A2A0E19"/>
    <w:rsid w:val="3A35740A"/>
    <w:rsid w:val="3A444A69"/>
    <w:rsid w:val="3A4464E6"/>
    <w:rsid w:val="3A8A07EA"/>
    <w:rsid w:val="3AD70E4F"/>
    <w:rsid w:val="3B07449F"/>
    <w:rsid w:val="3B07679A"/>
    <w:rsid w:val="3B13501B"/>
    <w:rsid w:val="3B1A53EE"/>
    <w:rsid w:val="3B2A09D0"/>
    <w:rsid w:val="3B344775"/>
    <w:rsid w:val="3B3D26EE"/>
    <w:rsid w:val="3B440437"/>
    <w:rsid w:val="3B5653DA"/>
    <w:rsid w:val="3B5B5F8E"/>
    <w:rsid w:val="3B8A11A0"/>
    <w:rsid w:val="3B934680"/>
    <w:rsid w:val="3BA46C56"/>
    <w:rsid w:val="3BC15DED"/>
    <w:rsid w:val="3BCF607E"/>
    <w:rsid w:val="3BF04652"/>
    <w:rsid w:val="3BFC639E"/>
    <w:rsid w:val="3C086136"/>
    <w:rsid w:val="3C31426A"/>
    <w:rsid w:val="3C4857CD"/>
    <w:rsid w:val="3C636AFB"/>
    <w:rsid w:val="3C6B20C0"/>
    <w:rsid w:val="3C7067F8"/>
    <w:rsid w:val="3C840350"/>
    <w:rsid w:val="3C847D0C"/>
    <w:rsid w:val="3CC808B5"/>
    <w:rsid w:val="3CC976EE"/>
    <w:rsid w:val="3CD22D68"/>
    <w:rsid w:val="3CF210D3"/>
    <w:rsid w:val="3D00343F"/>
    <w:rsid w:val="3D037864"/>
    <w:rsid w:val="3D1E5F93"/>
    <w:rsid w:val="3D236C74"/>
    <w:rsid w:val="3D2F0C62"/>
    <w:rsid w:val="3D32257E"/>
    <w:rsid w:val="3D41451D"/>
    <w:rsid w:val="3D60645D"/>
    <w:rsid w:val="3D8D3B40"/>
    <w:rsid w:val="3D8D6543"/>
    <w:rsid w:val="3D962434"/>
    <w:rsid w:val="3E330ACF"/>
    <w:rsid w:val="3E335B1E"/>
    <w:rsid w:val="3E3A1D56"/>
    <w:rsid w:val="3E477E6B"/>
    <w:rsid w:val="3E5539B9"/>
    <w:rsid w:val="3E7311EF"/>
    <w:rsid w:val="3E8340F1"/>
    <w:rsid w:val="3E8904DE"/>
    <w:rsid w:val="3E966F74"/>
    <w:rsid w:val="3EA01A3A"/>
    <w:rsid w:val="3EA61461"/>
    <w:rsid w:val="3EB46212"/>
    <w:rsid w:val="3EC06AEF"/>
    <w:rsid w:val="3EC83D86"/>
    <w:rsid w:val="3EDC7602"/>
    <w:rsid w:val="3EF460C5"/>
    <w:rsid w:val="3EF81FA1"/>
    <w:rsid w:val="3EFC47D0"/>
    <w:rsid w:val="3F1F7884"/>
    <w:rsid w:val="3F202E29"/>
    <w:rsid w:val="3F2057F8"/>
    <w:rsid w:val="3F597F04"/>
    <w:rsid w:val="3F7557FF"/>
    <w:rsid w:val="3FA02F73"/>
    <w:rsid w:val="3FB03DE5"/>
    <w:rsid w:val="400C76ED"/>
    <w:rsid w:val="40130648"/>
    <w:rsid w:val="402701C8"/>
    <w:rsid w:val="40361B0B"/>
    <w:rsid w:val="404B1282"/>
    <w:rsid w:val="40CD1F9D"/>
    <w:rsid w:val="40E57F94"/>
    <w:rsid w:val="413936AC"/>
    <w:rsid w:val="41535B1F"/>
    <w:rsid w:val="416B1327"/>
    <w:rsid w:val="41711FE5"/>
    <w:rsid w:val="4187155E"/>
    <w:rsid w:val="41913ED7"/>
    <w:rsid w:val="419319BE"/>
    <w:rsid w:val="41987ED9"/>
    <w:rsid w:val="41D240EC"/>
    <w:rsid w:val="41DB2767"/>
    <w:rsid w:val="41F83ABC"/>
    <w:rsid w:val="41FF085C"/>
    <w:rsid w:val="42393824"/>
    <w:rsid w:val="423A4729"/>
    <w:rsid w:val="42564030"/>
    <w:rsid w:val="426E1EB0"/>
    <w:rsid w:val="42BB1826"/>
    <w:rsid w:val="42BC2C91"/>
    <w:rsid w:val="42C30C3F"/>
    <w:rsid w:val="42E056FC"/>
    <w:rsid w:val="42E90821"/>
    <w:rsid w:val="42FE3929"/>
    <w:rsid w:val="430B3F17"/>
    <w:rsid w:val="430E0378"/>
    <w:rsid w:val="43110374"/>
    <w:rsid w:val="43150CC1"/>
    <w:rsid w:val="432E7ADE"/>
    <w:rsid w:val="43344918"/>
    <w:rsid w:val="434C0251"/>
    <w:rsid w:val="43623322"/>
    <w:rsid w:val="4364424D"/>
    <w:rsid w:val="436C4F40"/>
    <w:rsid w:val="43750C60"/>
    <w:rsid w:val="437C6801"/>
    <w:rsid w:val="43820D0B"/>
    <w:rsid w:val="43867C7B"/>
    <w:rsid w:val="439A2DAC"/>
    <w:rsid w:val="43A826F5"/>
    <w:rsid w:val="43BB7749"/>
    <w:rsid w:val="43EA049C"/>
    <w:rsid w:val="441000AC"/>
    <w:rsid w:val="44183DE9"/>
    <w:rsid w:val="44263423"/>
    <w:rsid w:val="44311A58"/>
    <w:rsid w:val="4439400C"/>
    <w:rsid w:val="445258BC"/>
    <w:rsid w:val="44594823"/>
    <w:rsid w:val="447A1D35"/>
    <w:rsid w:val="44C57FEC"/>
    <w:rsid w:val="44D31D57"/>
    <w:rsid w:val="44D7670F"/>
    <w:rsid w:val="44D86185"/>
    <w:rsid w:val="44EE641F"/>
    <w:rsid w:val="450C044F"/>
    <w:rsid w:val="451110C5"/>
    <w:rsid w:val="451A553D"/>
    <w:rsid w:val="451C08A3"/>
    <w:rsid w:val="4568335E"/>
    <w:rsid w:val="4595727D"/>
    <w:rsid w:val="459B1B41"/>
    <w:rsid w:val="45A66216"/>
    <w:rsid w:val="45A719F2"/>
    <w:rsid w:val="45AB40DB"/>
    <w:rsid w:val="45CF5905"/>
    <w:rsid w:val="45E700C4"/>
    <w:rsid w:val="45F30E64"/>
    <w:rsid w:val="45FA44C4"/>
    <w:rsid w:val="460E0341"/>
    <w:rsid w:val="462A6DFB"/>
    <w:rsid w:val="46331BA4"/>
    <w:rsid w:val="464158CE"/>
    <w:rsid w:val="46562DD9"/>
    <w:rsid w:val="467703FF"/>
    <w:rsid w:val="46A66D8E"/>
    <w:rsid w:val="46BF7514"/>
    <w:rsid w:val="46C37A6C"/>
    <w:rsid w:val="46CF32F8"/>
    <w:rsid w:val="46FA7A2E"/>
    <w:rsid w:val="472F66FC"/>
    <w:rsid w:val="47547FE3"/>
    <w:rsid w:val="47647494"/>
    <w:rsid w:val="476A7350"/>
    <w:rsid w:val="47941B87"/>
    <w:rsid w:val="47E665F3"/>
    <w:rsid w:val="48176D08"/>
    <w:rsid w:val="4834307F"/>
    <w:rsid w:val="484434A8"/>
    <w:rsid w:val="485534F9"/>
    <w:rsid w:val="48B05E40"/>
    <w:rsid w:val="49001684"/>
    <w:rsid w:val="491A6A5A"/>
    <w:rsid w:val="491F4879"/>
    <w:rsid w:val="493D6B44"/>
    <w:rsid w:val="493E654C"/>
    <w:rsid w:val="497C3764"/>
    <w:rsid w:val="497F0C4F"/>
    <w:rsid w:val="499B1E12"/>
    <w:rsid w:val="49A9451B"/>
    <w:rsid w:val="49B33B65"/>
    <w:rsid w:val="49FE5715"/>
    <w:rsid w:val="4A0A7BE5"/>
    <w:rsid w:val="4A1B3F4D"/>
    <w:rsid w:val="4A2C2B52"/>
    <w:rsid w:val="4A3A31E7"/>
    <w:rsid w:val="4A680D11"/>
    <w:rsid w:val="4A8B4ADE"/>
    <w:rsid w:val="4AA11F59"/>
    <w:rsid w:val="4AB13E37"/>
    <w:rsid w:val="4AD76EEB"/>
    <w:rsid w:val="4AE4274D"/>
    <w:rsid w:val="4B4A2F91"/>
    <w:rsid w:val="4B607C29"/>
    <w:rsid w:val="4B6966F3"/>
    <w:rsid w:val="4B6D433B"/>
    <w:rsid w:val="4B8D3137"/>
    <w:rsid w:val="4B96425B"/>
    <w:rsid w:val="4BA40222"/>
    <w:rsid w:val="4BE908E7"/>
    <w:rsid w:val="4BF57D46"/>
    <w:rsid w:val="4BF75769"/>
    <w:rsid w:val="4C084963"/>
    <w:rsid w:val="4C337644"/>
    <w:rsid w:val="4C5E4ACA"/>
    <w:rsid w:val="4C981A16"/>
    <w:rsid w:val="4CBD7B77"/>
    <w:rsid w:val="4CCC08A4"/>
    <w:rsid w:val="4CD47002"/>
    <w:rsid w:val="4CF26C26"/>
    <w:rsid w:val="4CFF53EE"/>
    <w:rsid w:val="4D0A1280"/>
    <w:rsid w:val="4D1A60BC"/>
    <w:rsid w:val="4D5832CD"/>
    <w:rsid w:val="4D6637CE"/>
    <w:rsid w:val="4DCB5240"/>
    <w:rsid w:val="4DDD77C1"/>
    <w:rsid w:val="4DDE26E0"/>
    <w:rsid w:val="4DFB2D9A"/>
    <w:rsid w:val="4E005925"/>
    <w:rsid w:val="4E094DF9"/>
    <w:rsid w:val="4E32689A"/>
    <w:rsid w:val="4E4128CE"/>
    <w:rsid w:val="4E6D0B42"/>
    <w:rsid w:val="4E844247"/>
    <w:rsid w:val="4E950540"/>
    <w:rsid w:val="4EE06035"/>
    <w:rsid w:val="4EE518D6"/>
    <w:rsid w:val="4EE96DD2"/>
    <w:rsid w:val="4EFC1153"/>
    <w:rsid w:val="4EFF7364"/>
    <w:rsid w:val="4F143D0F"/>
    <w:rsid w:val="4F17439D"/>
    <w:rsid w:val="4F1E6AC8"/>
    <w:rsid w:val="4F455167"/>
    <w:rsid w:val="4F82377D"/>
    <w:rsid w:val="4F832F61"/>
    <w:rsid w:val="4F8A1AC8"/>
    <w:rsid w:val="4F9611E8"/>
    <w:rsid w:val="4FA06B9F"/>
    <w:rsid w:val="4FC027DE"/>
    <w:rsid w:val="4FE01D44"/>
    <w:rsid w:val="5006321C"/>
    <w:rsid w:val="500A0449"/>
    <w:rsid w:val="500C4069"/>
    <w:rsid w:val="50117E61"/>
    <w:rsid w:val="50620297"/>
    <w:rsid w:val="506A453F"/>
    <w:rsid w:val="507378B6"/>
    <w:rsid w:val="509976C2"/>
    <w:rsid w:val="50A51576"/>
    <w:rsid w:val="50A83938"/>
    <w:rsid w:val="50B426D4"/>
    <w:rsid w:val="50BD210D"/>
    <w:rsid w:val="50BD4B88"/>
    <w:rsid w:val="50C26AA4"/>
    <w:rsid w:val="50D5457A"/>
    <w:rsid w:val="50DB2918"/>
    <w:rsid w:val="50E4605D"/>
    <w:rsid w:val="50EC6A91"/>
    <w:rsid w:val="50F2617F"/>
    <w:rsid w:val="50F76B22"/>
    <w:rsid w:val="51164EE3"/>
    <w:rsid w:val="51221F51"/>
    <w:rsid w:val="5127121E"/>
    <w:rsid w:val="5150408A"/>
    <w:rsid w:val="515748D8"/>
    <w:rsid w:val="51581F75"/>
    <w:rsid w:val="515A7BE6"/>
    <w:rsid w:val="515E7964"/>
    <w:rsid w:val="517E71F1"/>
    <w:rsid w:val="517F2CFB"/>
    <w:rsid w:val="51830DA4"/>
    <w:rsid w:val="518E612D"/>
    <w:rsid w:val="51917BE6"/>
    <w:rsid w:val="519C033D"/>
    <w:rsid w:val="519F58B6"/>
    <w:rsid w:val="51B83EBE"/>
    <w:rsid w:val="51BD74EF"/>
    <w:rsid w:val="51C113AB"/>
    <w:rsid w:val="51DD7A7D"/>
    <w:rsid w:val="51E45C4F"/>
    <w:rsid w:val="51E524E3"/>
    <w:rsid w:val="51E52A5B"/>
    <w:rsid w:val="51F07A04"/>
    <w:rsid w:val="52043EAB"/>
    <w:rsid w:val="520F3E85"/>
    <w:rsid w:val="5210525E"/>
    <w:rsid w:val="52116767"/>
    <w:rsid w:val="52334BD6"/>
    <w:rsid w:val="52474FAE"/>
    <w:rsid w:val="525D5C4A"/>
    <w:rsid w:val="528D7254"/>
    <w:rsid w:val="52A020DE"/>
    <w:rsid w:val="52C83C12"/>
    <w:rsid w:val="52DB5AA8"/>
    <w:rsid w:val="52E57F74"/>
    <w:rsid w:val="52E626F5"/>
    <w:rsid w:val="5303069A"/>
    <w:rsid w:val="531D3A25"/>
    <w:rsid w:val="531E7ACE"/>
    <w:rsid w:val="533C2792"/>
    <w:rsid w:val="53530003"/>
    <w:rsid w:val="53653FE2"/>
    <w:rsid w:val="53780FCF"/>
    <w:rsid w:val="5379731B"/>
    <w:rsid w:val="53873601"/>
    <w:rsid w:val="53B34EF4"/>
    <w:rsid w:val="53BC5EBE"/>
    <w:rsid w:val="53C85BC5"/>
    <w:rsid w:val="53CB36B7"/>
    <w:rsid w:val="53CC70B9"/>
    <w:rsid w:val="53CF6CB0"/>
    <w:rsid w:val="54111E46"/>
    <w:rsid w:val="544D666A"/>
    <w:rsid w:val="54556B98"/>
    <w:rsid w:val="546D2625"/>
    <w:rsid w:val="548525CC"/>
    <w:rsid w:val="549A7D5A"/>
    <w:rsid w:val="54CD180A"/>
    <w:rsid w:val="55297552"/>
    <w:rsid w:val="553926F7"/>
    <w:rsid w:val="55501B26"/>
    <w:rsid w:val="556C5324"/>
    <w:rsid w:val="55725E96"/>
    <w:rsid w:val="557D79D7"/>
    <w:rsid w:val="559925EC"/>
    <w:rsid w:val="55C37F9C"/>
    <w:rsid w:val="55C65415"/>
    <w:rsid w:val="55E747DE"/>
    <w:rsid w:val="55E92467"/>
    <w:rsid w:val="564451BE"/>
    <w:rsid w:val="567E4EE5"/>
    <w:rsid w:val="568F4496"/>
    <w:rsid w:val="5692642D"/>
    <w:rsid w:val="56B322DB"/>
    <w:rsid w:val="56B44D15"/>
    <w:rsid w:val="56D53B84"/>
    <w:rsid w:val="570F696E"/>
    <w:rsid w:val="575830D5"/>
    <w:rsid w:val="57686C06"/>
    <w:rsid w:val="5779159A"/>
    <w:rsid w:val="579A4CC7"/>
    <w:rsid w:val="57A3019A"/>
    <w:rsid w:val="57CD472F"/>
    <w:rsid w:val="57DC1668"/>
    <w:rsid w:val="57DE1D03"/>
    <w:rsid w:val="57FC0485"/>
    <w:rsid w:val="5800752A"/>
    <w:rsid w:val="580E1812"/>
    <w:rsid w:val="58157281"/>
    <w:rsid w:val="582D52F2"/>
    <w:rsid w:val="58323B63"/>
    <w:rsid w:val="588B0776"/>
    <w:rsid w:val="58ED710E"/>
    <w:rsid w:val="58FA719B"/>
    <w:rsid w:val="5914697D"/>
    <w:rsid w:val="591615ED"/>
    <w:rsid w:val="59177D9D"/>
    <w:rsid w:val="593A3226"/>
    <w:rsid w:val="59770A0A"/>
    <w:rsid w:val="59856101"/>
    <w:rsid w:val="599533C0"/>
    <w:rsid w:val="599B70B2"/>
    <w:rsid w:val="599D38BD"/>
    <w:rsid w:val="59E46C79"/>
    <w:rsid w:val="59E942EF"/>
    <w:rsid w:val="5A12551C"/>
    <w:rsid w:val="5A157215"/>
    <w:rsid w:val="5A526A34"/>
    <w:rsid w:val="5A54152C"/>
    <w:rsid w:val="5A6D0CD7"/>
    <w:rsid w:val="5A7C65AE"/>
    <w:rsid w:val="5A873339"/>
    <w:rsid w:val="5A8B3C9E"/>
    <w:rsid w:val="5AD168D9"/>
    <w:rsid w:val="5AD33B64"/>
    <w:rsid w:val="5AEC3B89"/>
    <w:rsid w:val="5B02672F"/>
    <w:rsid w:val="5B311950"/>
    <w:rsid w:val="5B3B7DA4"/>
    <w:rsid w:val="5B482EA3"/>
    <w:rsid w:val="5B53171B"/>
    <w:rsid w:val="5B7E6C38"/>
    <w:rsid w:val="5B955DDF"/>
    <w:rsid w:val="5BC70B39"/>
    <w:rsid w:val="5BD01ED6"/>
    <w:rsid w:val="5BEC6508"/>
    <w:rsid w:val="5BF93266"/>
    <w:rsid w:val="5BFA34F9"/>
    <w:rsid w:val="5C1F62C8"/>
    <w:rsid w:val="5C414C71"/>
    <w:rsid w:val="5C682609"/>
    <w:rsid w:val="5C866526"/>
    <w:rsid w:val="5CAD6498"/>
    <w:rsid w:val="5CC20146"/>
    <w:rsid w:val="5CCA7449"/>
    <w:rsid w:val="5CF92F20"/>
    <w:rsid w:val="5D1070E9"/>
    <w:rsid w:val="5D3B0031"/>
    <w:rsid w:val="5D423536"/>
    <w:rsid w:val="5D4F4C34"/>
    <w:rsid w:val="5D645688"/>
    <w:rsid w:val="5D6F001F"/>
    <w:rsid w:val="5DAE7D03"/>
    <w:rsid w:val="5DAF3F5C"/>
    <w:rsid w:val="5DB04CB4"/>
    <w:rsid w:val="5DB72497"/>
    <w:rsid w:val="5DB94D42"/>
    <w:rsid w:val="5DC30F81"/>
    <w:rsid w:val="5DD16909"/>
    <w:rsid w:val="5DF866A7"/>
    <w:rsid w:val="5E005DF8"/>
    <w:rsid w:val="5E0B2BFA"/>
    <w:rsid w:val="5E224D76"/>
    <w:rsid w:val="5E3C0053"/>
    <w:rsid w:val="5E627233"/>
    <w:rsid w:val="5E9218B5"/>
    <w:rsid w:val="5E9F6798"/>
    <w:rsid w:val="5EA37F7F"/>
    <w:rsid w:val="5EA54D9F"/>
    <w:rsid w:val="5EB56C6B"/>
    <w:rsid w:val="5EDA76D1"/>
    <w:rsid w:val="5EF336DB"/>
    <w:rsid w:val="5F0429F7"/>
    <w:rsid w:val="5F3557E3"/>
    <w:rsid w:val="5F4B6CE8"/>
    <w:rsid w:val="5F4E4D1B"/>
    <w:rsid w:val="5F513914"/>
    <w:rsid w:val="5F5F2A93"/>
    <w:rsid w:val="5F6335E3"/>
    <w:rsid w:val="5F687FDB"/>
    <w:rsid w:val="5F844882"/>
    <w:rsid w:val="5F9A0852"/>
    <w:rsid w:val="5FEE2E97"/>
    <w:rsid w:val="5FF50749"/>
    <w:rsid w:val="60090BF8"/>
    <w:rsid w:val="600D1B14"/>
    <w:rsid w:val="600D203B"/>
    <w:rsid w:val="60292C3F"/>
    <w:rsid w:val="602B3642"/>
    <w:rsid w:val="60414AB7"/>
    <w:rsid w:val="60432539"/>
    <w:rsid w:val="605A1624"/>
    <w:rsid w:val="606E7057"/>
    <w:rsid w:val="60861583"/>
    <w:rsid w:val="60E241D3"/>
    <w:rsid w:val="60EA3185"/>
    <w:rsid w:val="60F91E7B"/>
    <w:rsid w:val="61132085"/>
    <w:rsid w:val="611539DF"/>
    <w:rsid w:val="615D647D"/>
    <w:rsid w:val="61791026"/>
    <w:rsid w:val="61B92655"/>
    <w:rsid w:val="61BC41C8"/>
    <w:rsid w:val="61CF7794"/>
    <w:rsid w:val="61D2791C"/>
    <w:rsid w:val="61DA092B"/>
    <w:rsid w:val="62017D94"/>
    <w:rsid w:val="620605C5"/>
    <w:rsid w:val="621C6CB8"/>
    <w:rsid w:val="623D49FD"/>
    <w:rsid w:val="624711CF"/>
    <w:rsid w:val="62592EF4"/>
    <w:rsid w:val="626B24C9"/>
    <w:rsid w:val="627A6154"/>
    <w:rsid w:val="62835987"/>
    <w:rsid w:val="62A37474"/>
    <w:rsid w:val="62AE273E"/>
    <w:rsid w:val="62B86FFF"/>
    <w:rsid w:val="62E516E9"/>
    <w:rsid w:val="631A1E7E"/>
    <w:rsid w:val="637D67A8"/>
    <w:rsid w:val="63964A68"/>
    <w:rsid w:val="63B605B8"/>
    <w:rsid w:val="63BD2407"/>
    <w:rsid w:val="63C53DD4"/>
    <w:rsid w:val="63EF2C03"/>
    <w:rsid w:val="63FC60A8"/>
    <w:rsid w:val="640A4BAC"/>
    <w:rsid w:val="64207C21"/>
    <w:rsid w:val="643D6D56"/>
    <w:rsid w:val="644D5D66"/>
    <w:rsid w:val="64554577"/>
    <w:rsid w:val="64925267"/>
    <w:rsid w:val="64AA7897"/>
    <w:rsid w:val="64C70E8E"/>
    <w:rsid w:val="64DD0B82"/>
    <w:rsid w:val="65000DBF"/>
    <w:rsid w:val="650D122C"/>
    <w:rsid w:val="65381781"/>
    <w:rsid w:val="653E74B3"/>
    <w:rsid w:val="65827101"/>
    <w:rsid w:val="65AB3B1E"/>
    <w:rsid w:val="65AE76DA"/>
    <w:rsid w:val="65B77273"/>
    <w:rsid w:val="65D97A6E"/>
    <w:rsid w:val="65DA6FA5"/>
    <w:rsid w:val="66120D32"/>
    <w:rsid w:val="66364A0A"/>
    <w:rsid w:val="663E7BFC"/>
    <w:rsid w:val="66430C77"/>
    <w:rsid w:val="66643405"/>
    <w:rsid w:val="667D42C4"/>
    <w:rsid w:val="66871B1B"/>
    <w:rsid w:val="66C17596"/>
    <w:rsid w:val="66C5246D"/>
    <w:rsid w:val="66DB39E9"/>
    <w:rsid w:val="66EA13F2"/>
    <w:rsid w:val="6731255C"/>
    <w:rsid w:val="677D6478"/>
    <w:rsid w:val="678C56DD"/>
    <w:rsid w:val="6790498B"/>
    <w:rsid w:val="67976EA0"/>
    <w:rsid w:val="67AA7068"/>
    <w:rsid w:val="67BF137D"/>
    <w:rsid w:val="67BF5FC5"/>
    <w:rsid w:val="67BF631D"/>
    <w:rsid w:val="67C86895"/>
    <w:rsid w:val="682E2F4F"/>
    <w:rsid w:val="6861730B"/>
    <w:rsid w:val="686716D0"/>
    <w:rsid w:val="6893306C"/>
    <w:rsid w:val="68C166EA"/>
    <w:rsid w:val="68D47BB1"/>
    <w:rsid w:val="68DD3D94"/>
    <w:rsid w:val="68DE704E"/>
    <w:rsid w:val="68E7114C"/>
    <w:rsid w:val="68EF40FC"/>
    <w:rsid w:val="68F253CA"/>
    <w:rsid w:val="68FB76BE"/>
    <w:rsid w:val="68FD0F1D"/>
    <w:rsid w:val="691B3B4A"/>
    <w:rsid w:val="69294C15"/>
    <w:rsid w:val="69817228"/>
    <w:rsid w:val="69A54AC3"/>
    <w:rsid w:val="69D02D62"/>
    <w:rsid w:val="69D25CBA"/>
    <w:rsid w:val="69E831FC"/>
    <w:rsid w:val="6A0735DC"/>
    <w:rsid w:val="6A130A79"/>
    <w:rsid w:val="6A346F60"/>
    <w:rsid w:val="6A420FD6"/>
    <w:rsid w:val="6A5C04E5"/>
    <w:rsid w:val="6A7078E2"/>
    <w:rsid w:val="6A744254"/>
    <w:rsid w:val="6A8F700E"/>
    <w:rsid w:val="6AA8089D"/>
    <w:rsid w:val="6AC61836"/>
    <w:rsid w:val="6AD935B9"/>
    <w:rsid w:val="6AE064E2"/>
    <w:rsid w:val="6AE50C22"/>
    <w:rsid w:val="6B0F13DE"/>
    <w:rsid w:val="6B1F4836"/>
    <w:rsid w:val="6B294F21"/>
    <w:rsid w:val="6B4B340E"/>
    <w:rsid w:val="6B6252EB"/>
    <w:rsid w:val="6B65726E"/>
    <w:rsid w:val="6B71104C"/>
    <w:rsid w:val="6B8631DA"/>
    <w:rsid w:val="6B93219A"/>
    <w:rsid w:val="6B97228B"/>
    <w:rsid w:val="6BC2083C"/>
    <w:rsid w:val="6BD7243E"/>
    <w:rsid w:val="6C022B8E"/>
    <w:rsid w:val="6C16316A"/>
    <w:rsid w:val="6C244633"/>
    <w:rsid w:val="6C2E0F31"/>
    <w:rsid w:val="6C371D7F"/>
    <w:rsid w:val="6C424C92"/>
    <w:rsid w:val="6C83592E"/>
    <w:rsid w:val="6C891BCD"/>
    <w:rsid w:val="6C94229B"/>
    <w:rsid w:val="6C9C59DE"/>
    <w:rsid w:val="6CA418D8"/>
    <w:rsid w:val="6CA83959"/>
    <w:rsid w:val="6CC75D9C"/>
    <w:rsid w:val="6CE977A6"/>
    <w:rsid w:val="6D207E01"/>
    <w:rsid w:val="6D2E20C3"/>
    <w:rsid w:val="6D7960CE"/>
    <w:rsid w:val="6D91335A"/>
    <w:rsid w:val="6DA3410D"/>
    <w:rsid w:val="6DAC4660"/>
    <w:rsid w:val="6DDB1C32"/>
    <w:rsid w:val="6DE30C69"/>
    <w:rsid w:val="6DEB094E"/>
    <w:rsid w:val="6E173E61"/>
    <w:rsid w:val="6E537EDA"/>
    <w:rsid w:val="6E6D2012"/>
    <w:rsid w:val="6E774826"/>
    <w:rsid w:val="6E842E7A"/>
    <w:rsid w:val="6EBC6108"/>
    <w:rsid w:val="6EE740DE"/>
    <w:rsid w:val="6F0802C3"/>
    <w:rsid w:val="6F1B5158"/>
    <w:rsid w:val="6F650B4E"/>
    <w:rsid w:val="6F670DB9"/>
    <w:rsid w:val="6F7B208D"/>
    <w:rsid w:val="6FA90907"/>
    <w:rsid w:val="6FF03006"/>
    <w:rsid w:val="700F1AEA"/>
    <w:rsid w:val="701004B9"/>
    <w:rsid w:val="701D04F9"/>
    <w:rsid w:val="70462085"/>
    <w:rsid w:val="706E6801"/>
    <w:rsid w:val="707B69CA"/>
    <w:rsid w:val="70A75FD9"/>
    <w:rsid w:val="70BE2A7A"/>
    <w:rsid w:val="70EA510B"/>
    <w:rsid w:val="710F19DC"/>
    <w:rsid w:val="713810DF"/>
    <w:rsid w:val="713A36B9"/>
    <w:rsid w:val="714F1548"/>
    <w:rsid w:val="71565029"/>
    <w:rsid w:val="715E4D3F"/>
    <w:rsid w:val="71876A3E"/>
    <w:rsid w:val="71EA4096"/>
    <w:rsid w:val="71F113B2"/>
    <w:rsid w:val="71FB3378"/>
    <w:rsid w:val="722E57A5"/>
    <w:rsid w:val="7230067B"/>
    <w:rsid w:val="72362B64"/>
    <w:rsid w:val="72470141"/>
    <w:rsid w:val="724A1B50"/>
    <w:rsid w:val="726B51B9"/>
    <w:rsid w:val="726B5BAB"/>
    <w:rsid w:val="72A80FD6"/>
    <w:rsid w:val="732A7257"/>
    <w:rsid w:val="73310585"/>
    <w:rsid w:val="733D519A"/>
    <w:rsid w:val="737E591F"/>
    <w:rsid w:val="73913539"/>
    <w:rsid w:val="73A71530"/>
    <w:rsid w:val="73AD79B6"/>
    <w:rsid w:val="73DC4E1B"/>
    <w:rsid w:val="73E2740A"/>
    <w:rsid w:val="73F41B4C"/>
    <w:rsid w:val="741D6568"/>
    <w:rsid w:val="743C3782"/>
    <w:rsid w:val="7443088A"/>
    <w:rsid w:val="745C2D34"/>
    <w:rsid w:val="74664D8A"/>
    <w:rsid w:val="7473688D"/>
    <w:rsid w:val="748C3DCF"/>
    <w:rsid w:val="749620CF"/>
    <w:rsid w:val="74B45540"/>
    <w:rsid w:val="74D0431A"/>
    <w:rsid w:val="74EF27D7"/>
    <w:rsid w:val="74FA0B90"/>
    <w:rsid w:val="74FC1B25"/>
    <w:rsid w:val="750532FD"/>
    <w:rsid w:val="75326AEE"/>
    <w:rsid w:val="7537063E"/>
    <w:rsid w:val="755321DF"/>
    <w:rsid w:val="755334D7"/>
    <w:rsid w:val="75540AD1"/>
    <w:rsid w:val="75611427"/>
    <w:rsid w:val="75A8022D"/>
    <w:rsid w:val="75A92C8C"/>
    <w:rsid w:val="75DC421A"/>
    <w:rsid w:val="75E5297D"/>
    <w:rsid w:val="76085208"/>
    <w:rsid w:val="760F49B3"/>
    <w:rsid w:val="763723AD"/>
    <w:rsid w:val="76746C30"/>
    <w:rsid w:val="768012C0"/>
    <w:rsid w:val="76862435"/>
    <w:rsid w:val="769D7BBD"/>
    <w:rsid w:val="7727171D"/>
    <w:rsid w:val="77355646"/>
    <w:rsid w:val="773E2575"/>
    <w:rsid w:val="774A2DD7"/>
    <w:rsid w:val="775866FF"/>
    <w:rsid w:val="7759567A"/>
    <w:rsid w:val="776463A0"/>
    <w:rsid w:val="777F5E7C"/>
    <w:rsid w:val="77863F97"/>
    <w:rsid w:val="778C02A5"/>
    <w:rsid w:val="779731A4"/>
    <w:rsid w:val="77F35722"/>
    <w:rsid w:val="7800723E"/>
    <w:rsid w:val="780E2078"/>
    <w:rsid w:val="783E09A8"/>
    <w:rsid w:val="78540E53"/>
    <w:rsid w:val="78647DA1"/>
    <w:rsid w:val="788F2CC1"/>
    <w:rsid w:val="789123F6"/>
    <w:rsid w:val="78C0056A"/>
    <w:rsid w:val="78C7022D"/>
    <w:rsid w:val="78D53734"/>
    <w:rsid w:val="78DB20FB"/>
    <w:rsid w:val="79461D0B"/>
    <w:rsid w:val="794C574F"/>
    <w:rsid w:val="79537925"/>
    <w:rsid w:val="79A951A2"/>
    <w:rsid w:val="79B426DA"/>
    <w:rsid w:val="79C432E9"/>
    <w:rsid w:val="79EA4215"/>
    <w:rsid w:val="79FA6212"/>
    <w:rsid w:val="7A16502D"/>
    <w:rsid w:val="7A165D5D"/>
    <w:rsid w:val="7A176E49"/>
    <w:rsid w:val="7A31473B"/>
    <w:rsid w:val="7A4305E7"/>
    <w:rsid w:val="7A43401F"/>
    <w:rsid w:val="7A4F494B"/>
    <w:rsid w:val="7A7240F6"/>
    <w:rsid w:val="7A7C0B8E"/>
    <w:rsid w:val="7AAD2951"/>
    <w:rsid w:val="7AC77220"/>
    <w:rsid w:val="7ACF7443"/>
    <w:rsid w:val="7B124D5C"/>
    <w:rsid w:val="7B6A17E3"/>
    <w:rsid w:val="7B6F3C1D"/>
    <w:rsid w:val="7B811E41"/>
    <w:rsid w:val="7B8A36F9"/>
    <w:rsid w:val="7BA25A87"/>
    <w:rsid w:val="7BBD6B42"/>
    <w:rsid w:val="7BC10776"/>
    <w:rsid w:val="7BD011ED"/>
    <w:rsid w:val="7BEA2796"/>
    <w:rsid w:val="7BF07C13"/>
    <w:rsid w:val="7C387D4F"/>
    <w:rsid w:val="7C4627A5"/>
    <w:rsid w:val="7C625FB2"/>
    <w:rsid w:val="7C70422A"/>
    <w:rsid w:val="7C771CE0"/>
    <w:rsid w:val="7C79567F"/>
    <w:rsid w:val="7CAB6A36"/>
    <w:rsid w:val="7CC566B0"/>
    <w:rsid w:val="7CD52833"/>
    <w:rsid w:val="7CF158CA"/>
    <w:rsid w:val="7D0548C4"/>
    <w:rsid w:val="7D0864F1"/>
    <w:rsid w:val="7D0E7ABC"/>
    <w:rsid w:val="7D391209"/>
    <w:rsid w:val="7D5E4DB5"/>
    <w:rsid w:val="7D624140"/>
    <w:rsid w:val="7D674E73"/>
    <w:rsid w:val="7D784D88"/>
    <w:rsid w:val="7D787EA8"/>
    <w:rsid w:val="7D8215DF"/>
    <w:rsid w:val="7D9110E6"/>
    <w:rsid w:val="7DE051BD"/>
    <w:rsid w:val="7DE51E6C"/>
    <w:rsid w:val="7DE70DE9"/>
    <w:rsid w:val="7DF10BFC"/>
    <w:rsid w:val="7E053A45"/>
    <w:rsid w:val="7E156A12"/>
    <w:rsid w:val="7E237AD2"/>
    <w:rsid w:val="7E2A7FFF"/>
    <w:rsid w:val="7E355861"/>
    <w:rsid w:val="7E4E5490"/>
    <w:rsid w:val="7E680D84"/>
    <w:rsid w:val="7E6A19A1"/>
    <w:rsid w:val="7E6C4F9A"/>
    <w:rsid w:val="7E7B4709"/>
    <w:rsid w:val="7E871DB5"/>
    <w:rsid w:val="7E915FFF"/>
    <w:rsid w:val="7E99085E"/>
    <w:rsid w:val="7E9A0568"/>
    <w:rsid w:val="7E9E1CA4"/>
    <w:rsid w:val="7EBC3825"/>
    <w:rsid w:val="7EC52BA2"/>
    <w:rsid w:val="7ECD29C3"/>
    <w:rsid w:val="7ED624E8"/>
    <w:rsid w:val="7EDA071C"/>
    <w:rsid w:val="7EDC0569"/>
    <w:rsid w:val="7F2D1D79"/>
    <w:rsid w:val="7F312F15"/>
    <w:rsid w:val="7F3B56F4"/>
    <w:rsid w:val="7F6D6F44"/>
    <w:rsid w:val="7F700F81"/>
    <w:rsid w:val="7F867739"/>
    <w:rsid w:val="7F8B7B8D"/>
    <w:rsid w:val="7F976E6A"/>
    <w:rsid w:val="7F9D1317"/>
    <w:rsid w:val="7FA148EB"/>
    <w:rsid w:val="7FA3424D"/>
    <w:rsid w:val="7FBF524A"/>
    <w:rsid w:val="7FFF7C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85C6EE"/>
  <w15:docId w15:val="{BE4FBA6D-3808-4217-B94A-3A777D37D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unhideWhenUsed="1"/>
    <w:lsdException w:name="heading 3" w:uiPriority="0" w:unhideWhenUsed="1" w:qFormat="1"/>
    <w:lsdException w:name="heading 4" w:uiPriority="0" w:unhideWhenUsed="1"/>
    <w:lsdException w:name="heading 5" w:uiPriority="0" w:unhideWhenUsed="1" w:qFormat="1"/>
    <w:lsdException w:name="heading 6" w:uiPriority="0" w:qFormat="1"/>
    <w:lsdException w:name="heading 7" w:uiPriority="0" w:qFormat="1"/>
    <w:lsdException w:name="heading 8" w:uiPriority="0" w:qFormat="1"/>
    <w:lsdException w:name="heading 9" w:qFormat="1"/>
    <w:lsdException w:name="index 2" w:semiHidden="1" w:uiPriority="0" w:qFormat="1"/>
    <w:lsdException w:name="index 3" w:semiHidden="1" w:uiPriority="0" w:qFormat="1"/>
    <w:lsdException w:name="index 4" w:semiHidden="1" w:uiPriority="0" w:qFormat="1"/>
    <w:lsdException w:name="index 5" w:semiHidden="1" w:uiPriority="0" w:qFormat="1"/>
    <w:lsdException w:name="index 6" w:semiHidden="1" w:unhideWhenUsed="1"/>
    <w:lsdException w:name="index 7" w:semiHidden="1" w:uiPriority="0" w:qFormat="1"/>
    <w:lsdException w:name="index 8" w:semiHidden="1" w:unhideWhenUsed="1"/>
    <w:lsdException w:name="index 9" w:semiHidden="1" w:uiPriority="0" w:qFormat="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uiPriority="0"/>
    <w:lsdException w:name="annotation text" w:uiPriority="0" w:qFormat="1"/>
    <w:lsdException w:name="header" w:unhideWhenUsed="1" w:qFormat="1"/>
    <w:lsdException w:name="footer" w:unhideWhenUsed="1" w:qFormat="1"/>
    <w:lsdException w:name="index heading" w:semiHidden="1" w:unhideWhenUsed="1"/>
    <w:lsdException w:name="caption" w:uiPriority="0" w:qFormat="1"/>
    <w:lsdException w:name="envelope address" w:semiHidden="1" w:unhideWhenUsed="1"/>
    <w:lsdException w:name="envelope return" w:semiHidden="1" w:unhideWhenUsed="1"/>
    <w:lsdException w:name="footnote reference" w:semiHidden="1" w:uiPriority="0"/>
    <w:lsdException w:name="annotation reference" w:uiPriority="0" w:qFormat="1"/>
    <w:lsdException w:name="line number" w:uiPriority="0"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iPriority="0" w:qFormat="1"/>
    <w:lsdException w:name="toa heading" w:semiHidden="1" w:unhideWhenUsed="1"/>
    <w:lsdException w:name="List" w:uiPriority="0"/>
    <w:lsdException w:name="List Bullet" w:uiPriority="0"/>
    <w:lsdException w:name="List Number" w:uiPriority="0"/>
    <w:lsdException w:name="List 2" w:uiPriority="0"/>
    <w:lsdException w:name="List 3" w:uiPriority="0"/>
    <w:lsdException w:name="List 4" w:semiHidden="1" w:unhideWhenUsed="1"/>
    <w:lsdException w:name="List 5" w:semiHidden="1" w:unhideWhenUsed="1"/>
    <w:lsdException w:name="List Bullet 2"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uiPriority="0"/>
    <w:lsdException w:name="List Number 4" w:semiHidden="1" w:unhideWhenUsed="1"/>
    <w:lsdException w:name="List Number 5" w:semiHidden="1" w:unhideWhenUsed="1"/>
    <w:lsdException w:name="Closing" w:semiHidden="1" w:unhideWhenUsed="1"/>
    <w:lsdException w:name="Signature" w:uiPriority="0"/>
    <w:lsdException w:name="Default Paragraph Font" w:semiHidden="1" w:uiPriority="1" w:unhideWhenUsed="1" w:qFormat="1"/>
    <w:lsdException w:name="Body Text" w:unhideWhenUsed="1" w:qFormat="1"/>
    <w:lsdException w:name="Body Text Indent" w:unhideWhenUsed="1" w:qFormat="1"/>
    <w:lsdException w:name="List Continue" w:semiHidden="1" w:uiPriority="0" w:qFormat="1"/>
    <w:lsdException w:name="List Continue 2" w:uiPriority="0"/>
    <w:lsdException w:name="List Continue 3" w:uiPriority="0"/>
    <w:lsdException w:name="List Continue 4" w:semiHidden="1" w:uiPriority="0" w:qFormat="1"/>
    <w:lsdException w:name="List Continue 5" w:semiHidden="1" w:uiPriority="0" w:qFormat="1"/>
    <w:lsdException w:name="Message Header" w:semiHidden="1" w:unhideWhenUsed="1"/>
    <w:lsdException w:name="Subtitle" w:uiPriority="0"/>
    <w:lsdException w:name="Salutation" w:semiHidden="1" w:unhideWhenUsed="1"/>
    <w:lsdException w:name="Date" w:uiPriority="0" w:qFormat="1"/>
    <w:lsdException w:name="Body Text First Indent" w:unhideWhenUsed="1"/>
    <w:lsdException w:name="Body Text First Indent 2" w:semiHidden="1" w:unhideWhenUsed="1" w:qFormat="1"/>
    <w:lsdException w:name="Note Heading" w:semiHidden="1" w:unhideWhenUsed="1"/>
    <w:lsdException w:name="Body Text 2" w:uiPriority="0"/>
    <w:lsdException w:name="Body Text 3" w:uiPriority="0" w:qFormat="1"/>
    <w:lsdException w:name="Body Text Indent 2" w:uiPriority="0" w:qFormat="1"/>
    <w:lsdException w:name="Body Text Indent 3" w:qFormat="1"/>
    <w:lsdException w:name="Block Text" w:uiPriority="0"/>
    <w:lsdException w:name="Hyperlink" w:unhideWhenUsed="1" w:qFormat="1"/>
    <w:lsdException w:name="FollowedHyperlink" w:semiHidden="1" w:unhideWhenUsed="1"/>
    <w:lsdException w:name="Strong" w:uiPriority="22"/>
    <w:lsdException w:name="Emphasis" w:uiPriority="20"/>
    <w:lsdException w:name="Plain Text" w:uiPriority="0" w:unhideWhenUsed="1" w:qFormat="1"/>
    <w:lsdException w:name="E-mail Signature" w:uiPriority="0"/>
    <w:lsdException w:name="HTML Top of Form" w:semiHidden="1" w:unhideWhenUsed="1"/>
    <w:lsdException w:name="HTML Bottom of Form" w:semiHidden="1" w:unhideWhenUsed="1"/>
    <w:lsdException w:name="HTML Acronym" w:semiHidden="1" w:uiPriority="0" w:qFormat="1"/>
    <w:lsdException w:name="HTML Address" w:semiHidden="1" w:unhideWhenUsed="1"/>
    <w:lsdException w:name="HTML Cite" w:semiHidden="1" w:uiPriority="0" w:qFormat="1"/>
    <w:lsdException w:name="HTML Code" w:semiHidden="1" w:unhideWhenUsed="1"/>
    <w:lsdException w:name="HTML Definition" w:semiHidden="1" w:unhideWhenUsed="1"/>
    <w:lsdException w:name="HTML Keyboard" w:semiHidden="1" w:uiPriority="0" w:unhideWhenUsed="1" w:qFormat="1"/>
    <w:lsdException w:name="HTML Preformatted" w:uiPriority="0"/>
    <w:lsdException w:name="HTML Sample" w:uiPriority="0"/>
    <w:lsdException w:name="HTML Typewriter" w:uiPriority="0"/>
    <w:lsdException w:name="HTML Variable" w:semiHidden="1" w:uiPriority="0"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qFormat="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pPr>
      <w:spacing w:line="360" w:lineRule="auto"/>
      <w:ind w:firstLineChars="200" w:firstLine="482"/>
      <w:jc w:val="both"/>
    </w:pPr>
    <w:rPr>
      <w:rFonts w:cstheme="minorBidi"/>
      <w:color w:val="000000"/>
      <w:kern w:val="2"/>
      <w:sz w:val="24"/>
      <w:szCs w:val="22"/>
    </w:rPr>
  </w:style>
  <w:style w:type="paragraph" w:styleId="1">
    <w:name w:val="heading 1"/>
    <w:next w:val="a1"/>
    <w:link w:val="10"/>
    <w:pPr>
      <w:spacing w:before="240" w:after="240" w:line="360" w:lineRule="auto"/>
      <w:jc w:val="center"/>
      <w:outlineLvl w:val="0"/>
    </w:pPr>
    <w:rPr>
      <w:b/>
      <w:bCs/>
      <w:kern w:val="44"/>
      <w:sz w:val="32"/>
      <w:szCs w:val="44"/>
    </w:rPr>
  </w:style>
  <w:style w:type="paragraph" w:styleId="2">
    <w:name w:val="heading 2"/>
    <w:next w:val="a1"/>
    <w:link w:val="20"/>
    <w:unhideWhenUsed/>
    <w:pPr>
      <w:spacing w:before="120" w:after="120" w:line="360" w:lineRule="auto"/>
      <w:outlineLvl w:val="1"/>
    </w:pPr>
    <w:rPr>
      <w:rFonts w:cstheme="majorBidi"/>
      <w:b/>
      <w:bCs/>
      <w:sz w:val="28"/>
      <w:szCs w:val="32"/>
    </w:rPr>
  </w:style>
  <w:style w:type="paragraph" w:styleId="3">
    <w:name w:val="heading 3"/>
    <w:next w:val="a1"/>
    <w:link w:val="30"/>
    <w:unhideWhenUsed/>
    <w:qFormat/>
    <w:pPr>
      <w:keepNext/>
      <w:keepLines/>
      <w:spacing w:before="120" w:after="120"/>
      <w:outlineLvl w:val="2"/>
    </w:pPr>
    <w:rPr>
      <w:rFonts w:cstheme="minorBidi"/>
      <w:b/>
      <w:bCs/>
      <w:kern w:val="2"/>
      <w:sz w:val="24"/>
      <w:szCs w:val="32"/>
    </w:rPr>
  </w:style>
  <w:style w:type="paragraph" w:styleId="4">
    <w:name w:val="heading 4"/>
    <w:basedOn w:val="a1"/>
    <w:next w:val="a1"/>
    <w:link w:val="40"/>
    <w:unhideWhenUsed/>
    <w:pPr>
      <w:keepNext/>
      <w:keepLines/>
      <w:spacing w:before="120" w:after="120"/>
      <w:ind w:firstLineChars="0" w:firstLine="0"/>
      <w:outlineLvl w:val="3"/>
    </w:pPr>
    <w:rPr>
      <w:rFonts w:cstheme="majorBidi"/>
      <w:b/>
      <w:bCs/>
      <w:szCs w:val="28"/>
    </w:rPr>
  </w:style>
  <w:style w:type="paragraph" w:styleId="5">
    <w:name w:val="heading 5"/>
    <w:basedOn w:val="a1"/>
    <w:next w:val="a1"/>
    <w:link w:val="50"/>
    <w:unhideWhenUsed/>
    <w:qFormat/>
    <w:pPr>
      <w:keepNext/>
      <w:keepLines/>
      <w:spacing w:line="377" w:lineRule="auto"/>
      <w:ind w:leftChars="200" w:left="200"/>
      <w:outlineLvl w:val="4"/>
    </w:pPr>
    <w:rPr>
      <w:b/>
      <w:bCs/>
      <w:szCs w:val="28"/>
    </w:rPr>
  </w:style>
  <w:style w:type="paragraph" w:styleId="6">
    <w:name w:val="heading 6"/>
    <w:basedOn w:val="a1"/>
    <w:next w:val="a1"/>
    <w:link w:val="60"/>
    <w:qFormat/>
    <w:pPr>
      <w:keepNext/>
      <w:keepLines/>
      <w:numPr>
        <w:ilvl w:val="5"/>
        <w:numId w:val="1"/>
      </w:numPr>
      <w:jc w:val="center"/>
      <w:outlineLvl w:val="5"/>
    </w:pPr>
    <w:rPr>
      <w:rFonts w:cs="宋体"/>
      <w:b/>
      <w:bCs/>
      <w:szCs w:val="24"/>
    </w:rPr>
  </w:style>
  <w:style w:type="paragraph" w:styleId="7">
    <w:name w:val="heading 7"/>
    <w:basedOn w:val="a1"/>
    <w:next w:val="a1"/>
    <w:link w:val="70"/>
    <w:qFormat/>
    <w:pPr>
      <w:keepNext/>
      <w:keepLines/>
      <w:tabs>
        <w:tab w:val="left" w:pos="1296"/>
      </w:tabs>
      <w:adjustRightInd w:val="0"/>
      <w:spacing w:before="240" w:after="64" w:line="320" w:lineRule="atLeast"/>
      <w:ind w:left="1296" w:firstLineChars="0" w:hanging="1296"/>
      <w:textAlignment w:val="baseline"/>
      <w:outlineLvl w:val="6"/>
    </w:pPr>
    <w:rPr>
      <w:rFonts w:cs="Times New Roman"/>
      <w:b/>
      <w:kern w:val="28"/>
      <w:szCs w:val="20"/>
    </w:rPr>
  </w:style>
  <w:style w:type="paragraph" w:styleId="8">
    <w:name w:val="heading 8"/>
    <w:basedOn w:val="a1"/>
    <w:next w:val="a1"/>
    <w:link w:val="80"/>
    <w:qFormat/>
    <w:pPr>
      <w:keepNext/>
      <w:keepLines/>
      <w:tabs>
        <w:tab w:val="left" w:pos="1440"/>
      </w:tabs>
      <w:adjustRightInd w:val="0"/>
      <w:spacing w:before="240" w:after="64" w:line="320" w:lineRule="atLeast"/>
      <w:ind w:left="1440" w:firstLineChars="0" w:hanging="1440"/>
      <w:textAlignment w:val="baseline"/>
      <w:outlineLvl w:val="7"/>
    </w:pPr>
    <w:rPr>
      <w:rFonts w:ascii="Arial" w:eastAsia="黑体" w:hAnsi="Arial" w:cs="Times New Roman"/>
      <w:kern w:val="28"/>
      <w:szCs w:val="20"/>
    </w:rPr>
  </w:style>
  <w:style w:type="paragraph" w:styleId="9">
    <w:name w:val="heading 9"/>
    <w:basedOn w:val="a1"/>
    <w:next w:val="a1"/>
    <w:link w:val="90"/>
    <w:uiPriority w:val="99"/>
    <w:qFormat/>
    <w:pPr>
      <w:keepNext/>
      <w:keepLines/>
      <w:tabs>
        <w:tab w:val="left" w:pos="1584"/>
      </w:tabs>
      <w:adjustRightInd w:val="0"/>
      <w:spacing w:before="240" w:after="64" w:line="320" w:lineRule="atLeast"/>
      <w:ind w:left="1584" w:firstLineChars="0" w:hanging="1584"/>
      <w:textAlignment w:val="baseline"/>
      <w:outlineLvl w:val="8"/>
    </w:pPr>
    <w:rPr>
      <w:rFonts w:ascii="Arial" w:eastAsia="黑体" w:hAnsi="Arial" w:cs="Times New Roman"/>
      <w:kern w:val="2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TOC7">
    <w:name w:val="toc 7"/>
    <w:basedOn w:val="a1"/>
    <w:next w:val="a1"/>
    <w:autoRedefine/>
    <w:uiPriority w:val="39"/>
    <w:unhideWhenUsed/>
    <w:qFormat/>
    <w:pPr>
      <w:spacing w:line="240" w:lineRule="auto"/>
      <w:ind w:leftChars="1200" w:left="2520" w:firstLineChars="0" w:firstLine="0"/>
    </w:pPr>
    <w:rPr>
      <w:rFonts w:asciiTheme="minorHAnsi" w:eastAsiaTheme="minorEastAsia" w:hAnsiTheme="minorHAnsi"/>
      <w:sz w:val="21"/>
    </w:rPr>
  </w:style>
  <w:style w:type="paragraph" w:styleId="a5">
    <w:name w:val="Normal Indent"/>
    <w:basedOn w:val="a1"/>
    <w:link w:val="a6"/>
    <w:qFormat/>
    <w:pPr>
      <w:ind w:firstLine="420"/>
    </w:pPr>
  </w:style>
  <w:style w:type="paragraph" w:styleId="a7">
    <w:name w:val="caption"/>
    <w:basedOn w:val="a1"/>
    <w:next w:val="a1"/>
    <w:link w:val="a8"/>
    <w:qFormat/>
    <w:pPr>
      <w:spacing w:line="240" w:lineRule="auto"/>
      <w:ind w:firstLineChars="0" w:firstLine="0"/>
    </w:pPr>
    <w:rPr>
      <w:rFonts w:ascii="Arial" w:eastAsia="黑体" w:hAnsi="Arial" w:cs="Arial"/>
      <w:sz w:val="20"/>
      <w:szCs w:val="20"/>
    </w:rPr>
  </w:style>
  <w:style w:type="paragraph" w:styleId="a9">
    <w:name w:val="annotation text"/>
    <w:basedOn w:val="a1"/>
    <w:link w:val="aa"/>
    <w:qFormat/>
  </w:style>
  <w:style w:type="paragraph" w:styleId="31">
    <w:name w:val="Body Text 3"/>
    <w:basedOn w:val="a1"/>
    <w:link w:val="310"/>
    <w:qFormat/>
    <w:pPr>
      <w:spacing w:after="120" w:line="240" w:lineRule="auto"/>
      <w:ind w:firstLineChars="0" w:firstLine="0"/>
    </w:pPr>
    <w:rPr>
      <w:rFonts w:cs="Times New Roman"/>
      <w:sz w:val="16"/>
      <w:szCs w:val="16"/>
    </w:rPr>
  </w:style>
  <w:style w:type="paragraph" w:styleId="ab">
    <w:name w:val="Body Text"/>
    <w:basedOn w:val="a1"/>
    <w:next w:val="a1"/>
    <w:link w:val="ac"/>
    <w:uiPriority w:val="99"/>
    <w:unhideWhenUsed/>
    <w:qFormat/>
    <w:pPr>
      <w:spacing w:after="120" w:line="259" w:lineRule="auto"/>
      <w:ind w:firstLineChars="0" w:firstLine="0"/>
    </w:pPr>
    <w:rPr>
      <w:rFonts w:asciiTheme="minorHAnsi" w:eastAsiaTheme="minorEastAsia" w:hAnsiTheme="minorHAnsi"/>
      <w:kern w:val="0"/>
      <w:sz w:val="22"/>
    </w:rPr>
  </w:style>
  <w:style w:type="paragraph" w:styleId="ad">
    <w:name w:val="Body Text Indent"/>
    <w:basedOn w:val="a1"/>
    <w:link w:val="ae"/>
    <w:uiPriority w:val="99"/>
    <w:unhideWhenUsed/>
    <w:qFormat/>
    <w:pPr>
      <w:spacing w:after="120"/>
      <w:ind w:leftChars="200" w:left="420"/>
    </w:pPr>
  </w:style>
  <w:style w:type="paragraph" w:styleId="TOC5">
    <w:name w:val="toc 5"/>
    <w:basedOn w:val="a1"/>
    <w:next w:val="a1"/>
    <w:autoRedefine/>
    <w:uiPriority w:val="39"/>
    <w:unhideWhenUsed/>
    <w:qFormat/>
    <w:pPr>
      <w:spacing w:line="240" w:lineRule="auto"/>
      <w:ind w:leftChars="800" w:left="1680" w:firstLineChars="0" w:firstLine="0"/>
    </w:pPr>
    <w:rPr>
      <w:rFonts w:asciiTheme="minorHAnsi" w:eastAsiaTheme="minorEastAsia" w:hAnsiTheme="minorHAnsi"/>
      <w:sz w:val="21"/>
    </w:rPr>
  </w:style>
  <w:style w:type="paragraph" w:styleId="TOC3">
    <w:name w:val="toc 3"/>
    <w:basedOn w:val="a1"/>
    <w:next w:val="a1"/>
    <w:uiPriority w:val="39"/>
    <w:unhideWhenUsed/>
    <w:qFormat/>
    <w:pPr>
      <w:spacing w:line="240" w:lineRule="auto"/>
      <w:ind w:leftChars="400" w:left="840" w:firstLineChars="0" w:firstLine="0"/>
    </w:pPr>
    <w:rPr>
      <w:rFonts w:asciiTheme="minorHAnsi" w:eastAsiaTheme="minorEastAsia" w:hAnsiTheme="minorHAnsi"/>
      <w:sz w:val="21"/>
    </w:rPr>
  </w:style>
  <w:style w:type="paragraph" w:styleId="af">
    <w:name w:val="Plain Text"/>
    <w:basedOn w:val="a1"/>
    <w:next w:val="a1"/>
    <w:link w:val="af0"/>
    <w:unhideWhenUsed/>
    <w:qFormat/>
    <w:pPr>
      <w:autoSpaceDE w:val="0"/>
      <w:autoSpaceDN w:val="0"/>
      <w:spacing w:line="240" w:lineRule="auto"/>
      <w:ind w:firstLineChars="0" w:firstLine="0"/>
    </w:pPr>
    <w:rPr>
      <w:rFonts w:asciiTheme="minorEastAsia" w:eastAsiaTheme="minorEastAsia" w:hAnsi="Courier New" w:cs="Courier New"/>
      <w:kern w:val="0"/>
      <w:sz w:val="22"/>
      <w:lang w:val="zh-CN" w:bidi="zh-CN"/>
    </w:rPr>
  </w:style>
  <w:style w:type="paragraph" w:styleId="TOC8">
    <w:name w:val="toc 8"/>
    <w:basedOn w:val="a1"/>
    <w:next w:val="a1"/>
    <w:autoRedefine/>
    <w:uiPriority w:val="39"/>
    <w:unhideWhenUsed/>
    <w:qFormat/>
    <w:pPr>
      <w:spacing w:line="240" w:lineRule="auto"/>
      <w:ind w:leftChars="1400" w:left="2940" w:firstLineChars="0" w:firstLine="0"/>
    </w:pPr>
    <w:rPr>
      <w:rFonts w:asciiTheme="minorHAnsi" w:eastAsiaTheme="minorEastAsia" w:hAnsiTheme="minorHAnsi"/>
      <w:sz w:val="21"/>
    </w:rPr>
  </w:style>
  <w:style w:type="paragraph" w:styleId="af1">
    <w:name w:val="Date"/>
    <w:basedOn w:val="a1"/>
    <w:next w:val="a1"/>
    <w:link w:val="af2"/>
    <w:qFormat/>
    <w:pPr>
      <w:adjustRightInd w:val="0"/>
      <w:spacing w:line="312" w:lineRule="atLeast"/>
      <w:textAlignment w:val="baseline"/>
    </w:pPr>
    <w:rPr>
      <w:rFonts w:ascii="宋体" w:hAnsi="Courier New" w:cs="Times New Roman"/>
      <w:kern w:val="0"/>
      <w:szCs w:val="20"/>
    </w:rPr>
  </w:style>
  <w:style w:type="paragraph" w:styleId="21">
    <w:name w:val="Body Text Indent 2"/>
    <w:basedOn w:val="a1"/>
    <w:link w:val="22"/>
    <w:qFormat/>
    <w:pPr>
      <w:spacing w:after="120" w:line="480" w:lineRule="auto"/>
      <w:ind w:leftChars="200" w:left="420"/>
    </w:pPr>
  </w:style>
  <w:style w:type="paragraph" w:styleId="af3">
    <w:name w:val="Balloon Text"/>
    <w:basedOn w:val="a1"/>
    <w:link w:val="af4"/>
    <w:uiPriority w:val="99"/>
    <w:semiHidden/>
    <w:unhideWhenUsed/>
    <w:qFormat/>
    <w:pPr>
      <w:spacing w:line="240" w:lineRule="auto"/>
    </w:pPr>
    <w:rPr>
      <w:sz w:val="18"/>
      <w:szCs w:val="18"/>
    </w:rPr>
  </w:style>
  <w:style w:type="paragraph" w:styleId="af5">
    <w:name w:val="footer"/>
    <w:basedOn w:val="a1"/>
    <w:link w:val="af6"/>
    <w:uiPriority w:val="99"/>
    <w:unhideWhenUsed/>
    <w:qFormat/>
    <w:pPr>
      <w:tabs>
        <w:tab w:val="center" w:pos="4153"/>
        <w:tab w:val="right" w:pos="8306"/>
      </w:tabs>
      <w:snapToGrid w:val="0"/>
      <w:spacing w:line="240" w:lineRule="auto"/>
    </w:pPr>
    <w:rPr>
      <w:sz w:val="18"/>
      <w:szCs w:val="18"/>
    </w:rPr>
  </w:style>
  <w:style w:type="paragraph" w:styleId="af7">
    <w:name w:val="header"/>
    <w:basedOn w:val="a1"/>
    <w:link w:val="af8"/>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TOC1">
    <w:name w:val="toc 1"/>
    <w:basedOn w:val="a1"/>
    <w:next w:val="a1"/>
    <w:uiPriority w:val="39"/>
    <w:unhideWhenUsed/>
    <w:qFormat/>
  </w:style>
  <w:style w:type="paragraph" w:styleId="TOC4">
    <w:name w:val="toc 4"/>
    <w:basedOn w:val="a1"/>
    <w:next w:val="a1"/>
    <w:autoRedefine/>
    <w:uiPriority w:val="39"/>
    <w:unhideWhenUsed/>
    <w:qFormat/>
    <w:pPr>
      <w:spacing w:line="240" w:lineRule="auto"/>
      <w:ind w:leftChars="600" w:left="1260" w:firstLineChars="0" w:firstLine="0"/>
    </w:pPr>
    <w:rPr>
      <w:rFonts w:asciiTheme="minorHAnsi" w:eastAsiaTheme="minorEastAsia" w:hAnsiTheme="minorHAnsi"/>
      <w:sz w:val="21"/>
    </w:rPr>
  </w:style>
  <w:style w:type="paragraph" w:styleId="TOC6">
    <w:name w:val="toc 6"/>
    <w:basedOn w:val="a1"/>
    <w:next w:val="a1"/>
    <w:autoRedefine/>
    <w:uiPriority w:val="39"/>
    <w:unhideWhenUsed/>
    <w:qFormat/>
    <w:pPr>
      <w:spacing w:line="240" w:lineRule="auto"/>
      <w:ind w:leftChars="1000" w:left="2100" w:firstLineChars="0" w:firstLine="0"/>
    </w:pPr>
    <w:rPr>
      <w:rFonts w:asciiTheme="minorHAnsi" w:eastAsiaTheme="minorEastAsia" w:hAnsiTheme="minorHAnsi"/>
      <w:sz w:val="21"/>
    </w:rPr>
  </w:style>
  <w:style w:type="paragraph" w:styleId="32">
    <w:name w:val="Body Text Indent 3"/>
    <w:basedOn w:val="a1"/>
    <w:link w:val="33"/>
    <w:uiPriority w:val="99"/>
    <w:qFormat/>
    <w:pPr>
      <w:spacing w:after="120"/>
      <w:ind w:leftChars="200" w:left="420"/>
    </w:pPr>
    <w:rPr>
      <w:sz w:val="16"/>
      <w:szCs w:val="16"/>
    </w:rPr>
  </w:style>
  <w:style w:type="paragraph" w:styleId="TOC2">
    <w:name w:val="toc 2"/>
    <w:basedOn w:val="a1"/>
    <w:next w:val="a1"/>
    <w:uiPriority w:val="39"/>
    <w:unhideWhenUsed/>
    <w:qFormat/>
    <w:pPr>
      <w:ind w:leftChars="200" w:left="420"/>
    </w:pPr>
  </w:style>
  <w:style w:type="paragraph" w:styleId="TOC9">
    <w:name w:val="toc 9"/>
    <w:basedOn w:val="a1"/>
    <w:next w:val="a1"/>
    <w:autoRedefine/>
    <w:uiPriority w:val="39"/>
    <w:unhideWhenUsed/>
    <w:qFormat/>
    <w:pPr>
      <w:spacing w:line="240" w:lineRule="auto"/>
      <w:ind w:leftChars="1600" w:left="3360" w:firstLineChars="0" w:firstLine="0"/>
    </w:pPr>
    <w:rPr>
      <w:rFonts w:asciiTheme="minorHAnsi" w:eastAsiaTheme="minorEastAsia" w:hAnsiTheme="minorHAnsi"/>
      <w:sz w:val="21"/>
    </w:rPr>
  </w:style>
  <w:style w:type="paragraph" w:styleId="af9">
    <w:name w:val="annotation subject"/>
    <w:basedOn w:val="a9"/>
    <w:next w:val="a9"/>
    <w:link w:val="afa"/>
    <w:uiPriority w:val="99"/>
    <w:semiHidden/>
    <w:unhideWhenUsed/>
    <w:qFormat/>
    <w:rPr>
      <w:b/>
      <w:bCs/>
    </w:rPr>
  </w:style>
  <w:style w:type="table" w:styleId="afb">
    <w:name w:val="Table Grid"/>
    <w:basedOn w:val="a3"/>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Hyperlink"/>
    <w:basedOn w:val="a2"/>
    <w:uiPriority w:val="99"/>
    <w:unhideWhenUsed/>
    <w:qFormat/>
    <w:rPr>
      <w:color w:val="0563C1" w:themeColor="hyperlink"/>
      <w:u w:val="single"/>
    </w:rPr>
  </w:style>
  <w:style w:type="character" w:styleId="afd">
    <w:name w:val="annotation reference"/>
    <w:basedOn w:val="a2"/>
    <w:qFormat/>
    <w:rPr>
      <w:sz w:val="21"/>
      <w:szCs w:val="21"/>
    </w:rPr>
  </w:style>
  <w:style w:type="paragraph" w:customStyle="1" w:styleId="11">
    <w:name w:val="1级标题"/>
    <w:basedOn w:val="1"/>
    <w:next w:val="a1"/>
    <w:link w:val="12"/>
    <w:qFormat/>
    <w:pPr>
      <w:spacing w:before="0" w:after="0"/>
    </w:pPr>
    <w:rPr>
      <w:sz w:val="30"/>
      <w:szCs w:val="52"/>
    </w:rPr>
  </w:style>
  <w:style w:type="paragraph" w:customStyle="1" w:styleId="23">
    <w:name w:val="2级标题"/>
    <w:basedOn w:val="2"/>
    <w:next w:val="a1"/>
    <w:link w:val="24"/>
    <w:qFormat/>
    <w:pPr>
      <w:spacing w:before="0" w:after="0"/>
    </w:pPr>
  </w:style>
  <w:style w:type="character" w:customStyle="1" w:styleId="12">
    <w:name w:val="1级标题 字符"/>
    <w:basedOn w:val="10"/>
    <w:link w:val="11"/>
    <w:qFormat/>
    <w:rPr>
      <w:rFonts w:ascii="Times New Roman" w:eastAsia="宋体" w:hAnsi="Times New Roman"/>
      <w:b/>
      <w:bCs/>
      <w:kern w:val="44"/>
      <w:sz w:val="30"/>
      <w:szCs w:val="52"/>
    </w:rPr>
  </w:style>
  <w:style w:type="character" w:customStyle="1" w:styleId="10">
    <w:name w:val="标题 1 字符"/>
    <w:basedOn w:val="a2"/>
    <w:link w:val="1"/>
    <w:uiPriority w:val="9"/>
    <w:qFormat/>
    <w:rPr>
      <w:rFonts w:ascii="Times New Roman" w:eastAsia="宋体" w:hAnsi="Times New Roman"/>
      <w:b/>
      <w:bCs/>
      <w:kern w:val="44"/>
      <w:sz w:val="32"/>
      <w:szCs w:val="44"/>
    </w:rPr>
  </w:style>
  <w:style w:type="paragraph" w:customStyle="1" w:styleId="34">
    <w:name w:val="3级标题"/>
    <w:basedOn w:val="3"/>
    <w:next w:val="a1"/>
    <w:link w:val="35"/>
    <w:qFormat/>
    <w:pPr>
      <w:spacing w:before="0" w:after="0" w:line="360" w:lineRule="auto"/>
    </w:pPr>
    <w:rPr>
      <w:rFonts w:cs="Times New Roman"/>
      <w:sz w:val="28"/>
      <w:szCs w:val="52"/>
    </w:rPr>
  </w:style>
  <w:style w:type="character" w:customStyle="1" w:styleId="24">
    <w:name w:val="2级标题 字符"/>
    <w:basedOn w:val="20"/>
    <w:link w:val="23"/>
    <w:qFormat/>
    <w:rPr>
      <w:rFonts w:ascii="Times New Roman" w:eastAsia="宋体" w:hAnsi="Times New Roman" w:cstheme="majorBidi"/>
      <w:b/>
      <w:bCs/>
      <w:sz w:val="28"/>
      <w:szCs w:val="32"/>
    </w:rPr>
  </w:style>
  <w:style w:type="character" w:customStyle="1" w:styleId="20">
    <w:name w:val="标题 2 字符"/>
    <w:basedOn w:val="a2"/>
    <w:link w:val="2"/>
    <w:uiPriority w:val="9"/>
    <w:qFormat/>
    <w:rPr>
      <w:rFonts w:ascii="Times New Roman" w:eastAsia="宋体" w:hAnsi="Times New Roman" w:cstheme="majorBidi"/>
      <w:b/>
      <w:bCs/>
      <w:sz w:val="28"/>
      <w:szCs w:val="32"/>
    </w:rPr>
  </w:style>
  <w:style w:type="paragraph" w:customStyle="1" w:styleId="41">
    <w:name w:val="4级标题"/>
    <w:basedOn w:val="4"/>
    <w:next w:val="a1"/>
    <w:link w:val="42"/>
    <w:qFormat/>
    <w:pPr>
      <w:spacing w:before="0" w:after="0"/>
    </w:pPr>
    <w:rPr>
      <w:rFonts w:cs="Times New Roman"/>
      <w:szCs w:val="52"/>
    </w:rPr>
  </w:style>
  <w:style w:type="character" w:customStyle="1" w:styleId="35">
    <w:name w:val="3级标题 字符"/>
    <w:basedOn w:val="30"/>
    <w:link w:val="34"/>
    <w:qFormat/>
    <w:rPr>
      <w:rFonts w:cstheme="minorBidi"/>
      <w:b/>
      <w:bCs/>
      <w:kern w:val="2"/>
      <w:sz w:val="28"/>
      <w:szCs w:val="52"/>
    </w:rPr>
  </w:style>
  <w:style w:type="character" w:customStyle="1" w:styleId="30">
    <w:name w:val="标题 3 字符"/>
    <w:basedOn w:val="a2"/>
    <w:link w:val="3"/>
    <w:uiPriority w:val="9"/>
    <w:qFormat/>
    <w:rPr>
      <w:rFonts w:cstheme="minorBidi"/>
      <w:b/>
      <w:bCs/>
      <w:kern w:val="2"/>
      <w:sz w:val="24"/>
      <w:szCs w:val="32"/>
    </w:rPr>
  </w:style>
  <w:style w:type="paragraph" w:customStyle="1" w:styleId="afe">
    <w:name w:val="图表标题"/>
    <w:basedOn w:val="a1"/>
    <w:next w:val="a1"/>
    <w:link w:val="aff"/>
    <w:qFormat/>
    <w:pPr>
      <w:spacing w:beforeLines="50" w:before="50" w:afterLines="50" w:after="50"/>
      <w:ind w:firstLineChars="0" w:firstLine="0"/>
      <w:jc w:val="center"/>
    </w:pPr>
    <w:rPr>
      <w:rFonts w:cs="Times New Roman"/>
      <w:b/>
      <w:bCs/>
      <w:szCs w:val="52"/>
    </w:rPr>
  </w:style>
  <w:style w:type="character" w:customStyle="1" w:styleId="42">
    <w:name w:val="4级标题 字符"/>
    <w:basedOn w:val="40"/>
    <w:link w:val="41"/>
    <w:qFormat/>
    <w:rPr>
      <w:rFonts w:ascii="Times New Roman" w:eastAsia="宋体" w:hAnsi="Times New Roman" w:cstheme="majorBidi"/>
      <w:b/>
      <w:bCs/>
      <w:kern w:val="2"/>
      <w:sz w:val="24"/>
      <w:szCs w:val="52"/>
    </w:rPr>
  </w:style>
  <w:style w:type="character" w:customStyle="1" w:styleId="40">
    <w:name w:val="标题 4 字符"/>
    <w:basedOn w:val="a2"/>
    <w:link w:val="4"/>
    <w:uiPriority w:val="9"/>
    <w:qFormat/>
    <w:rPr>
      <w:rFonts w:ascii="Times New Roman" w:eastAsia="宋体" w:hAnsi="Times New Roman" w:cstheme="majorBidi"/>
      <w:b/>
      <w:bCs/>
      <w:sz w:val="24"/>
      <w:szCs w:val="28"/>
    </w:rPr>
  </w:style>
  <w:style w:type="paragraph" w:customStyle="1" w:styleId="aff0">
    <w:name w:val="表头"/>
    <w:link w:val="aff1"/>
    <w:qFormat/>
    <w:pPr>
      <w:jc w:val="center"/>
      <w:textAlignment w:val="center"/>
    </w:pPr>
    <w:rPr>
      <w:b/>
      <w:bCs/>
      <w:kern w:val="2"/>
      <w:sz w:val="21"/>
      <w:szCs w:val="52"/>
    </w:rPr>
  </w:style>
  <w:style w:type="character" w:customStyle="1" w:styleId="aff">
    <w:name w:val="图表标题 字符"/>
    <w:basedOn w:val="a2"/>
    <w:link w:val="afe"/>
    <w:qFormat/>
    <w:rPr>
      <w:b/>
      <w:bCs/>
      <w:kern w:val="2"/>
      <w:sz w:val="24"/>
      <w:szCs w:val="52"/>
    </w:rPr>
  </w:style>
  <w:style w:type="paragraph" w:customStyle="1" w:styleId="aff2">
    <w:name w:val="表内"/>
    <w:link w:val="aff3"/>
    <w:qFormat/>
    <w:pPr>
      <w:jc w:val="center"/>
      <w:textAlignment w:val="center"/>
    </w:pPr>
    <w:rPr>
      <w:bCs/>
      <w:kern w:val="2"/>
      <w:sz w:val="21"/>
      <w:szCs w:val="52"/>
    </w:rPr>
  </w:style>
  <w:style w:type="character" w:customStyle="1" w:styleId="aff1">
    <w:name w:val="表头 字符"/>
    <w:basedOn w:val="a2"/>
    <w:link w:val="aff0"/>
    <w:qFormat/>
    <w:rPr>
      <w:b/>
      <w:bCs/>
      <w:kern w:val="2"/>
      <w:sz w:val="21"/>
      <w:szCs w:val="52"/>
    </w:rPr>
  </w:style>
  <w:style w:type="paragraph" w:customStyle="1" w:styleId="aff4">
    <w:name w:val="正文（聪明豆）"/>
    <w:basedOn w:val="a1"/>
    <w:next w:val="a1"/>
    <w:link w:val="aff5"/>
    <w:qFormat/>
    <w:rPr>
      <w:rFonts w:cs="Times New Roman"/>
    </w:rPr>
  </w:style>
  <w:style w:type="character" w:customStyle="1" w:styleId="aff3">
    <w:name w:val="表内 字符"/>
    <w:basedOn w:val="a2"/>
    <w:link w:val="aff2"/>
    <w:qFormat/>
    <w:rPr>
      <w:bCs/>
      <w:kern w:val="2"/>
      <w:sz w:val="21"/>
      <w:szCs w:val="52"/>
    </w:rPr>
  </w:style>
  <w:style w:type="character" w:customStyle="1" w:styleId="aff5">
    <w:name w:val="正文（聪明豆） 字符"/>
    <w:basedOn w:val="a2"/>
    <w:link w:val="aff4"/>
    <w:qFormat/>
    <w:rPr>
      <w:kern w:val="2"/>
      <w:sz w:val="24"/>
      <w:szCs w:val="22"/>
    </w:rPr>
  </w:style>
  <w:style w:type="character" w:customStyle="1" w:styleId="50">
    <w:name w:val="标题 5 字符"/>
    <w:basedOn w:val="a2"/>
    <w:link w:val="5"/>
    <w:uiPriority w:val="9"/>
    <w:qFormat/>
    <w:rPr>
      <w:b/>
      <w:bCs/>
      <w:sz w:val="24"/>
      <w:szCs w:val="28"/>
    </w:rPr>
  </w:style>
  <w:style w:type="character" w:customStyle="1" w:styleId="70">
    <w:name w:val="标题 7 字符"/>
    <w:basedOn w:val="a2"/>
    <w:link w:val="7"/>
    <w:uiPriority w:val="9"/>
    <w:qFormat/>
    <w:rPr>
      <w:b/>
      <w:kern w:val="28"/>
      <w:sz w:val="24"/>
    </w:rPr>
  </w:style>
  <w:style w:type="character" w:customStyle="1" w:styleId="80">
    <w:name w:val="标题 8 字符"/>
    <w:basedOn w:val="a2"/>
    <w:link w:val="8"/>
    <w:uiPriority w:val="9"/>
    <w:qFormat/>
    <w:rPr>
      <w:rFonts w:ascii="Arial" w:eastAsia="黑体" w:hAnsi="Arial"/>
      <w:kern w:val="28"/>
      <w:sz w:val="24"/>
    </w:rPr>
  </w:style>
  <w:style w:type="character" w:customStyle="1" w:styleId="90">
    <w:name w:val="标题 9 字符"/>
    <w:basedOn w:val="a2"/>
    <w:link w:val="9"/>
    <w:uiPriority w:val="9"/>
    <w:qFormat/>
    <w:rPr>
      <w:rFonts w:ascii="Arial" w:eastAsia="黑体" w:hAnsi="Arial"/>
      <w:kern w:val="28"/>
      <w:sz w:val="24"/>
    </w:rPr>
  </w:style>
  <w:style w:type="character" w:customStyle="1" w:styleId="60">
    <w:name w:val="标题 6 字符"/>
    <w:basedOn w:val="a2"/>
    <w:link w:val="6"/>
    <w:uiPriority w:val="9"/>
    <w:qFormat/>
    <w:rPr>
      <w:rFonts w:cs="宋体"/>
      <w:b/>
      <w:bCs/>
      <w:kern w:val="2"/>
      <w:sz w:val="24"/>
      <w:szCs w:val="24"/>
    </w:rPr>
  </w:style>
  <w:style w:type="paragraph" w:customStyle="1" w:styleId="13">
    <w:name w:val="修订1"/>
    <w:hidden/>
    <w:uiPriority w:val="99"/>
    <w:semiHidden/>
    <w:qFormat/>
    <w:rPr>
      <w:rFonts w:cstheme="minorBidi"/>
      <w:kern w:val="2"/>
      <w:sz w:val="24"/>
      <w:szCs w:val="22"/>
    </w:rPr>
  </w:style>
  <w:style w:type="character" w:customStyle="1" w:styleId="af8">
    <w:name w:val="页眉 字符"/>
    <w:basedOn w:val="a2"/>
    <w:link w:val="af7"/>
    <w:qFormat/>
    <w:rPr>
      <w:rFonts w:cstheme="minorBidi"/>
      <w:kern w:val="2"/>
      <w:sz w:val="18"/>
      <w:szCs w:val="18"/>
    </w:rPr>
  </w:style>
  <w:style w:type="character" w:customStyle="1" w:styleId="af6">
    <w:name w:val="页脚 字符"/>
    <w:basedOn w:val="a2"/>
    <w:link w:val="af5"/>
    <w:uiPriority w:val="99"/>
    <w:qFormat/>
    <w:rPr>
      <w:rFonts w:cstheme="minorBidi"/>
      <w:kern w:val="2"/>
      <w:sz w:val="18"/>
      <w:szCs w:val="18"/>
    </w:rPr>
  </w:style>
  <w:style w:type="character" w:customStyle="1" w:styleId="36">
    <w:name w:val="正文文本 3 字符"/>
    <w:basedOn w:val="a2"/>
    <w:qFormat/>
    <w:rPr>
      <w:rFonts w:cstheme="minorBidi"/>
      <w:kern w:val="2"/>
      <w:sz w:val="16"/>
      <w:szCs w:val="16"/>
    </w:rPr>
  </w:style>
  <w:style w:type="character" w:customStyle="1" w:styleId="Char">
    <w:name w:val="表内格式 Char"/>
    <w:link w:val="aff6"/>
    <w:qFormat/>
    <w:rPr>
      <w:snapToGrid w:val="0"/>
      <w:kern w:val="2"/>
      <w:sz w:val="21"/>
      <w:szCs w:val="18"/>
      <w:lang w:val="zh-CN"/>
    </w:rPr>
  </w:style>
  <w:style w:type="paragraph" w:customStyle="1" w:styleId="aff6">
    <w:name w:val="表内格式"/>
    <w:basedOn w:val="a1"/>
    <w:link w:val="Char"/>
    <w:qFormat/>
    <w:pPr>
      <w:adjustRightInd w:val="0"/>
      <w:snapToGrid w:val="0"/>
      <w:spacing w:line="400" w:lineRule="atLeast"/>
      <w:ind w:firstLineChars="0" w:firstLine="0"/>
      <w:jc w:val="center"/>
    </w:pPr>
    <w:rPr>
      <w:rFonts w:cs="Times New Roman"/>
      <w:snapToGrid w:val="0"/>
      <w:sz w:val="21"/>
      <w:szCs w:val="18"/>
      <w:lang w:val="zh-CN"/>
    </w:rPr>
  </w:style>
  <w:style w:type="character" w:customStyle="1" w:styleId="310">
    <w:name w:val="正文文本 3 字符1"/>
    <w:basedOn w:val="a2"/>
    <w:link w:val="31"/>
    <w:qFormat/>
    <w:rPr>
      <w:kern w:val="2"/>
      <w:sz w:val="16"/>
      <w:szCs w:val="16"/>
    </w:rPr>
  </w:style>
  <w:style w:type="paragraph" w:styleId="aff7">
    <w:name w:val="List Paragraph"/>
    <w:basedOn w:val="a1"/>
    <w:link w:val="aff8"/>
    <w:uiPriority w:val="34"/>
    <w:qFormat/>
    <w:pPr>
      <w:ind w:firstLine="420"/>
    </w:pPr>
  </w:style>
  <w:style w:type="paragraph" w:customStyle="1" w:styleId="51">
    <w:name w:val="5级表头"/>
    <w:basedOn w:val="aff7"/>
    <w:link w:val="5Char"/>
    <w:qFormat/>
    <w:pPr>
      <w:spacing w:beforeLines="50" w:before="156" w:line="240" w:lineRule="auto"/>
      <w:ind w:left="4253" w:firstLineChars="0" w:firstLine="0"/>
      <w:jc w:val="center"/>
    </w:pPr>
    <w:rPr>
      <w:rFonts w:eastAsiaTheme="minorEastAsia" w:cs="Times New Roman"/>
      <w:b/>
      <w:sz w:val="21"/>
    </w:rPr>
  </w:style>
  <w:style w:type="paragraph" w:customStyle="1" w:styleId="61">
    <w:name w:val="6级图头"/>
    <w:basedOn w:val="aff7"/>
    <w:link w:val="6Char"/>
    <w:qFormat/>
    <w:pPr>
      <w:spacing w:line="240" w:lineRule="auto"/>
      <w:ind w:left="851" w:firstLineChars="0" w:hanging="851"/>
      <w:jc w:val="center"/>
    </w:pPr>
    <w:rPr>
      <w:rFonts w:eastAsiaTheme="minorEastAsia" w:cs="Times New Roman"/>
      <w:b/>
      <w:sz w:val="21"/>
    </w:rPr>
  </w:style>
  <w:style w:type="character" w:customStyle="1" w:styleId="6Char">
    <w:name w:val="6级图头 Char"/>
    <w:basedOn w:val="aff8"/>
    <w:link w:val="61"/>
    <w:qFormat/>
    <w:rPr>
      <w:rFonts w:eastAsiaTheme="minorEastAsia" w:cstheme="minorBidi"/>
      <w:b/>
      <w:kern w:val="2"/>
      <w:sz w:val="21"/>
      <w:szCs w:val="22"/>
    </w:rPr>
  </w:style>
  <w:style w:type="character" w:customStyle="1" w:styleId="aff8">
    <w:name w:val="列表段落 字符"/>
    <w:basedOn w:val="a2"/>
    <w:link w:val="aff7"/>
    <w:uiPriority w:val="34"/>
    <w:qFormat/>
    <w:rPr>
      <w:rFonts w:cstheme="minorBidi"/>
      <w:kern w:val="2"/>
      <w:sz w:val="24"/>
      <w:szCs w:val="22"/>
    </w:rPr>
  </w:style>
  <w:style w:type="character" w:customStyle="1" w:styleId="ac">
    <w:name w:val="正文文本 字符"/>
    <w:basedOn w:val="a2"/>
    <w:link w:val="ab"/>
    <w:uiPriority w:val="99"/>
    <w:qFormat/>
    <w:rPr>
      <w:rFonts w:asciiTheme="minorHAnsi" w:eastAsiaTheme="minorEastAsia" w:hAnsiTheme="minorHAnsi" w:cstheme="minorBidi"/>
      <w:sz w:val="22"/>
      <w:szCs w:val="22"/>
    </w:rPr>
  </w:style>
  <w:style w:type="character" w:customStyle="1" w:styleId="3Char">
    <w:name w:val="3级标题 Char"/>
    <w:basedOn w:val="a2"/>
    <w:qFormat/>
    <w:rPr>
      <w:rFonts w:ascii="Times New Roman" w:eastAsia="宋体" w:hAnsi="Times New Roman" w:cs="Times New Roman"/>
      <w:b/>
      <w:kern w:val="0"/>
      <w:sz w:val="28"/>
      <w:szCs w:val="28"/>
    </w:rPr>
  </w:style>
  <w:style w:type="character" w:customStyle="1" w:styleId="1Char1">
    <w:name w:val="表头样式1 Char1"/>
    <w:link w:val="14"/>
    <w:qFormat/>
    <w:rPr>
      <w:rFonts w:cstheme="minorBidi"/>
      <w:b/>
      <w:bCs/>
      <w:kern w:val="2"/>
      <w:sz w:val="21"/>
      <w:szCs w:val="22"/>
    </w:rPr>
  </w:style>
  <w:style w:type="paragraph" w:customStyle="1" w:styleId="14">
    <w:name w:val="表头样式1"/>
    <w:basedOn w:val="a1"/>
    <w:next w:val="aff6"/>
    <w:link w:val="1Char1"/>
    <w:qFormat/>
    <w:pPr>
      <w:adjustRightInd w:val="0"/>
      <w:snapToGrid w:val="0"/>
      <w:spacing w:line="400" w:lineRule="atLeast"/>
      <w:ind w:firstLineChars="0" w:firstLine="0"/>
      <w:jc w:val="center"/>
    </w:pPr>
    <w:rPr>
      <w:b/>
      <w:bCs/>
      <w:sz w:val="21"/>
    </w:rPr>
  </w:style>
  <w:style w:type="paragraph" w:customStyle="1" w:styleId="aff9">
    <w:name w:val="图标标题"/>
    <w:next w:val="a1"/>
    <w:link w:val="Char0"/>
    <w:uiPriority w:val="39"/>
    <w:unhideWhenUsed/>
    <w:qFormat/>
    <w:pPr>
      <w:spacing w:before="120" w:after="120" w:line="360" w:lineRule="auto"/>
      <w:jc w:val="center"/>
    </w:pPr>
    <w:rPr>
      <w:rFonts w:cstheme="majorBidi"/>
      <w:b/>
      <w:color w:val="000000" w:themeColor="text1"/>
      <w:sz w:val="24"/>
      <w:szCs w:val="32"/>
    </w:rPr>
  </w:style>
  <w:style w:type="character" w:customStyle="1" w:styleId="Char0">
    <w:name w:val="图标标题 Char"/>
    <w:link w:val="aff9"/>
    <w:uiPriority w:val="39"/>
    <w:qFormat/>
    <w:rPr>
      <w:rFonts w:cstheme="majorBidi"/>
      <w:b/>
      <w:color w:val="000000" w:themeColor="text1"/>
      <w:sz w:val="24"/>
      <w:szCs w:val="32"/>
    </w:rPr>
  </w:style>
  <w:style w:type="paragraph" w:customStyle="1" w:styleId="Affa">
    <w:name w:val="A正文"/>
    <w:basedOn w:val="a1"/>
    <w:qFormat/>
    <w:pPr>
      <w:overflowPunct w:val="0"/>
      <w:autoSpaceDE w:val="0"/>
      <w:autoSpaceDN w:val="0"/>
      <w:adjustRightInd w:val="0"/>
      <w:spacing w:after="160" w:line="259" w:lineRule="auto"/>
    </w:pPr>
    <w:rPr>
      <w:rFonts w:ascii="仿宋_GB2312" w:eastAsia="仿宋_GB2312" w:hAnsiTheme="minorHAnsi"/>
      <w:kern w:val="0"/>
      <w:sz w:val="22"/>
    </w:rPr>
  </w:style>
  <w:style w:type="character" w:customStyle="1" w:styleId="af0">
    <w:name w:val="纯文本 字符"/>
    <w:basedOn w:val="a2"/>
    <w:link w:val="af"/>
    <w:qFormat/>
    <w:rPr>
      <w:rFonts w:asciiTheme="minorEastAsia" w:eastAsiaTheme="minorEastAsia" w:hAnsi="Courier New" w:cs="Courier New"/>
      <w:sz w:val="22"/>
      <w:szCs w:val="22"/>
      <w:lang w:val="zh-CN" w:bidi="zh-CN"/>
    </w:rPr>
  </w:style>
  <w:style w:type="character" w:customStyle="1" w:styleId="33">
    <w:name w:val="正文文本缩进 3 字符"/>
    <w:basedOn w:val="a2"/>
    <w:link w:val="32"/>
    <w:uiPriority w:val="99"/>
    <w:qFormat/>
    <w:rPr>
      <w:rFonts w:cstheme="minorBidi"/>
      <w:kern w:val="2"/>
      <w:sz w:val="16"/>
      <w:szCs w:val="16"/>
    </w:rPr>
  </w:style>
  <w:style w:type="character" w:customStyle="1" w:styleId="af2">
    <w:name w:val="日期 字符"/>
    <w:basedOn w:val="a2"/>
    <w:link w:val="af1"/>
    <w:qFormat/>
    <w:rPr>
      <w:rFonts w:ascii="宋体" w:hAnsi="Courier New"/>
      <w:sz w:val="24"/>
    </w:rPr>
  </w:style>
  <w:style w:type="character" w:customStyle="1" w:styleId="22">
    <w:name w:val="正文文本缩进 2 字符"/>
    <w:basedOn w:val="a2"/>
    <w:link w:val="21"/>
    <w:qFormat/>
    <w:rPr>
      <w:rFonts w:cstheme="minorBidi"/>
      <w:kern w:val="2"/>
      <w:sz w:val="24"/>
      <w:szCs w:val="22"/>
    </w:rPr>
  </w:style>
  <w:style w:type="character" w:customStyle="1" w:styleId="af4">
    <w:name w:val="批注框文本 字符"/>
    <w:basedOn w:val="a2"/>
    <w:link w:val="af3"/>
    <w:uiPriority w:val="99"/>
    <w:semiHidden/>
    <w:qFormat/>
    <w:rPr>
      <w:rFonts w:cstheme="minorBidi"/>
      <w:kern w:val="2"/>
      <w:sz w:val="18"/>
      <w:szCs w:val="18"/>
    </w:rPr>
  </w:style>
  <w:style w:type="paragraph" w:customStyle="1" w:styleId="15">
    <w:name w:val="列出段落1"/>
    <w:basedOn w:val="a1"/>
    <w:qFormat/>
    <w:pPr>
      <w:ind w:firstLine="420"/>
    </w:pPr>
  </w:style>
  <w:style w:type="paragraph" w:customStyle="1" w:styleId="TableParagraph">
    <w:name w:val="Table Paragraph"/>
    <w:basedOn w:val="a1"/>
    <w:uiPriority w:val="1"/>
    <w:qFormat/>
  </w:style>
  <w:style w:type="paragraph" w:customStyle="1" w:styleId="WPSOffice1">
    <w:name w:val="WPSOffice手动目录 1"/>
    <w:qFormat/>
  </w:style>
  <w:style w:type="paragraph" w:customStyle="1" w:styleId="WPSOffice2">
    <w:name w:val="WPSOffice手动目录 2"/>
    <w:qFormat/>
    <w:pPr>
      <w:ind w:leftChars="200" w:left="200"/>
    </w:pPr>
  </w:style>
  <w:style w:type="paragraph" w:customStyle="1" w:styleId="Q-">
    <w:name w:val="Q-正文"/>
    <w:basedOn w:val="a1"/>
    <w:next w:val="a1"/>
    <w:qFormat/>
  </w:style>
  <w:style w:type="paragraph" w:customStyle="1" w:styleId="a0">
    <w:name w:val="~~~图例"/>
    <w:basedOn w:val="a"/>
    <w:next w:val="Q-"/>
    <w:qFormat/>
    <w:pPr>
      <w:numPr>
        <w:ilvl w:val="8"/>
      </w:numPr>
    </w:pPr>
    <w:rPr>
      <w:sz w:val="24"/>
    </w:rPr>
  </w:style>
  <w:style w:type="paragraph" w:customStyle="1" w:styleId="a">
    <w:name w:val="~~~表头"/>
    <w:next w:val="a1"/>
    <w:qFormat/>
    <w:pPr>
      <w:numPr>
        <w:ilvl w:val="7"/>
        <w:numId w:val="2"/>
      </w:numPr>
      <w:ind w:left="0" w:firstLine="0"/>
      <w:jc w:val="center"/>
    </w:pPr>
    <w:rPr>
      <w:b/>
      <w:sz w:val="21"/>
      <w:szCs w:val="24"/>
    </w:rPr>
  </w:style>
  <w:style w:type="paragraph" w:customStyle="1" w:styleId="Q-0">
    <w:name w:val="Q-表格文字"/>
    <w:basedOn w:val="affb"/>
    <w:qFormat/>
    <w:pPr>
      <w:jc w:val="center"/>
    </w:pPr>
    <w:rPr>
      <w:szCs w:val="18"/>
    </w:rPr>
  </w:style>
  <w:style w:type="paragraph" w:styleId="affb">
    <w:name w:val="No Spacing"/>
    <w:uiPriority w:val="1"/>
    <w:qFormat/>
    <w:pPr>
      <w:widowControl w:val="0"/>
      <w:jc w:val="both"/>
    </w:pPr>
    <w:rPr>
      <w:kern w:val="2"/>
      <w:sz w:val="21"/>
      <w:szCs w:val="22"/>
    </w:rPr>
  </w:style>
  <w:style w:type="paragraph" w:customStyle="1" w:styleId="Default">
    <w:name w:val="Default"/>
    <w:qFormat/>
    <w:pPr>
      <w:widowControl w:val="0"/>
      <w:autoSpaceDE w:val="0"/>
      <w:autoSpaceDN w:val="0"/>
      <w:adjustRightInd w:val="0"/>
    </w:pPr>
    <w:rPr>
      <w:rFonts w:ascii="宋体" w:eastAsiaTheme="minorEastAsia" w:hAnsiTheme="minorHAnsi" w:cs="宋体"/>
      <w:color w:val="000000"/>
      <w:sz w:val="24"/>
      <w:szCs w:val="24"/>
    </w:rPr>
  </w:style>
  <w:style w:type="paragraph" w:customStyle="1" w:styleId="affc">
    <w:name w:val="样式"/>
    <w:basedOn w:val="a1"/>
    <w:qFormat/>
    <w:pPr>
      <w:tabs>
        <w:tab w:val="left" w:pos="900"/>
      </w:tabs>
      <w:spacing w:line="500" w:lineRule="exact"/>
      <w:ind w:firstLine="480"/>
    </w:pPr>
    <w:rPr>
      <w:rFonts w:ascii="Arial" w:hAnsi="Arial" w:cs="宋体"/>
    </w:rPr>
  </w:style>
  <w:style w:type="character" w:customStyle="1" w:styleId="s1">
    <w:name w:val="s1"/>
    <w:qFormat/>
    <w:rPr>
      <w:szCs w:val="24"/>
    </w:rPr>
  </w:style>
  <w:style w:type="character" w:styleId="affd">
    <w:name w:val="Placeholder Text"/>
    <w:basedOn w:val="a2"/>
    <w:uiPriority w:val="99"/>
    <w:semiHidden/>
    <w:qFormat/>
    <w:rPr>
      <w:color w:val="808080"/>
    </w:rPr>
  </w:style>
  <w:style w:type="paragraph" w:customStyle="1" w:styleId="16">
    <w:name w:val="样式1"/>
    <w:basedOn w:val="a1"/>
    <w:qFormat/>
    <w:pPr>
      <w:spacing w:before="100" w:beforeAutospacing="1" w:after="60"/>
      <w:ind w:firstLine="480"/>
    </w:pPr>
    <w:rPr>
      <w:rFonts w:cs="Times New Roman"/>
      <w:szCs w:val="24"/>
    </w:rPr>
  </w:style>
  <w:style w:type="paragraph" w:customStyle="1" w:styleId="affe">
    <w:name w:val="正文小四"/>
    <w:basedOn w:val="a1"/>
    <w:qFormat/>
    <w:rPr>
      <w:rFonts w:cs="Times New Roman"/>
      <w:kern w:val="0"/>
      <w:szCs w:val="24"/>
    </w:rPr>
  </w:style>
  <w:style w:type="paragraph" w:customStyle="1" w:styleId="afff">
    <w:name w:val="表格"/>
    <w:basedOn w:val="a1"/>
    <w:qFormat/>
    <w:pPr>
      <w:spacing w:line="240" w:lineRule="auto"/>
      <w:ind w:firstLineChars="0" w:firstLine="0"/>
      <w:jc w:val="center"/>
    </w:pPr>
    <w:rPr>
      <w:rFonts w:cs="Times New Roman"/>
      <w:sz w:val="18"/>
      <w:szCs w:val="18"/>
    </w:rPr>
  </w:style>
  <w:style w:type="paragraph" w:customStyle="1" w:styleId="afff0">
    <w:name w:val="表格字体"/>
    <w:qFormat/>
    <w:pPr>
      <w:jc w:val="center"/>
    </w:pPr>
    <w:rPr>
      <w:color w:val="000000"/>
      <w:sz w:val="21"/>
      <w:szCs w:val="21"/>
      <w:lang w:bidi="en-US"/>
    </w:rPr>
  </w:style>
  <w:style w:type="paragraph" w:customStyle="1" w:styleId="afff1">
    <w:name w:val="文本"/>
    <w:basedOn w:val="a1"/>
    <w:next w:val="a1"/>
    <w:qFormat/>
    <w:pPr>
      <w:overflowPunct w:val="0"/>
      <w:autoSpaceDE w:val="0"/>
      <w:autoSpaceDN w:val="0"/>
      <w:ind w:firstLine="480"/>
      <w:textAlignment w:val="baseline"/>
    </w:pPr>
    <w:rPr>
      <w:rFonts w:cs="Times New Roman"/>
      <w:kern w:val="0"/>
      <w:szCs w:val="24"/>
      <w:lang w:val="zh-CN"/>
    </w:rPr>
  </w:style>
  <w:style w:type="paragraph" w:customStyle="1" w:styleId="17">
    <w:name w:val="列表段落1"/>
    <w:basedOn w:val="a1"/>
    <w:uiPriority w:val="34"/>
    <w:qFormat/>
    <w:pPr>
      <w:ind w:firstLine="420"/>
    </w:pPr>
  </w:style>
  <w:style w:type="paragraph" w:customStyle="1" w:styleId="110">
    <w:name w:val="列表段落11"/>
    <w:basedOn w:val="a1"/>
    <w:uiPriority w:val="34"/>
    <w:qFormat/>
    <w:pPr>
      <w:ind w:firstLine="420"/>
    </w:pPr>
    <w:rPr>
      <w:rFonts w:ascii="Calibri" w:hAnsi="Calibri" w:cs="Times New Roman"/>
      <w:szCs w:val="21"/>
    </w:rPr>
  </w:style>
  <w:style w:type="character" w:customStyle="1" w:styleId="a8">
    <w:name w:val="题注 字符"/>
    <w:link w:val="a7"/>
    <w:qFormat/>
    <w:rPr>
      <w:rFonts w:ascii="Arial" w:eastAsia="黑体" w:hAnsi="Arial" w:cs="Arial"/>
      <w:kern w:val="2"/>
    </w:rPr>
  </w:style>
  <w:style w:type="paragraph" w:customStyle="1" w:styleId="afff2">
    <w:name w:val="正文文字"/>
    <w:basedOn w:val="a1"/>
    <w:qFormat/>
    <w:pPr>
      <w:spacing w:line="240" w:lineRule="auto"/>
      <w:ind w:firstLineChars="0" w:firstLine="0"/>
      <w:jc w:val="center"/>
    </w:pPr>
    <w:rPr>
      <w:rFonts w:ascii="仿宋_GB2312" w:eastAsia="仿宋_GB2312" w:cs="仿宋_GB2312"/>
      <w:sz w:val="21"/>
      <w:szCs w:val="21"/>
    </w:rPr>
  </w:style>
  <w:style w:type="character" w:customStyle="1" w:styleId="ae">
    <w:name w:val="正文文本缩进 字符"/>
    <w:basedOn w:val="a2"/>
    <w:link w:val="ad"/>
    <w:uiPriority w:val="99"/>
    <w:qFormat/>
    <w:rPr>
      <w:rFonts w:cstheme="minorBidi"/>
      <w:kern w:val="2"/>
      <w:sz w:val="24"/>
      <w:szCs w:val="22"/>
    </w:rPr>
  </w:style>
  <w:style w:type="character" w:customStyle="1" w:styleId="19Char">
    <w:name w:val="样式19 Char"/>
    <w:link w:val="19"/>
    <w:qFormat/>
    <w:rPr>
      <w:rFonts w:eastAsia="黑体"/>
      <w:b/>
      <w:bCs/>
      <w:kern w:val="2"/>
      <w:sz w:val="28"/>
      <w:szCs w:val="28"/>
      <w:lang w:val="zh-CN" w:eastAsia="zh-CN"/>
    </w:rPr>
  </w:style>
  <w:style w:type="paragraph" w:customStyle="1" w:styleId="19">
    <w:name w:val="样式19"/>
    <w:basedOn w:val="3"/>
    <w:link w:val="19Char"/>
    <w:qFormat/>
    <w:pPr>
      <w:widowControl w:val="0"/>
      <w:tabs>
        <w:tab w:val="left" w:pos="1287"/>
      </w:tabs>
      <w:spacing w:before="0" w:after="0" w:line="500" w:lineRule="exact"/>
      <w:ind w:left="1287" w:hanging="720"/>
      <w:jc w:val="both"/>
    </w:pPr>
    <w:rPr>
      <w:rFonts w:eastAsia="黑体" w:cs="Times New Roman"/>
      <w:sz w:val="28"/>
      <w:szCs w:val="28"/>
      <w:lang w:val="zh-CN"/>
    </w:rPr>
  </w:style>
  <w:style w:type="paragraph" w:customStyle="1" w:styleId="afff3">
    <w:name w:val="表格小五"/>
    <w:basedOn w:val="a1"/>
    <w:qFormat/>
    <w:pPr>
      <w:adjustRightInd w:val="0"/>
      <w:snapToGrid w:val="0"/>
      <w:spacing w:line="240" w:lineRule="auto"/>
      <w:ind w:firstLineChars="0" w:firstLine="0"/>
      <w:jc w:val="center"/>
      <w:textAlignment w:val="baseline"/>
    </w:pPr>
    <w:rPr>
      <w:rFonts w:cs="Times New Roman"/>
      <w:bCs/>
      <w:snapToGrid w:val="0"/>
      <w:kern w:val="40"/>
      <w:sz w:val="18"/>
      <w:szCs w:val="18"/>
      <w:lang w:bidi="en-US"/>
    </w:rPr>
  </w:style>
  <w:style w:type="paragraph" w:customStyle="1" w:styleId="4780">
    <w:name w:val="样式 标题 4 + 段前: 7.8 磅 段后: 0 磅 行距: 单倍行距"/>
    <w:basedOn w:val="4"/>
    <w:qFormat/>
    <w:pPr>
      <w:tabs>
        <w:tab w:val="left" w:pos="864"/>
      </w:tabs>
      <w:spacing w:before="156" w:after="0" w:line="240" w:lineRule="auto"/>
      <w:ind w:left="864" w:hanging="864"/>
    </w:pPr>
    <w:rPr>
      <w:rFonts w:ascii="Arial" w:eastAsia="黑体" w:hAnsi="Arial" w:cs="宋体"/>
      <w:i/>
      <w:szCs w:val="20"/>
      <w:lang w:val="zh-CN"/>
    </w:rPr>
  </w:style>
  <w:style w:type="character" w:customStyle="1" w:styleId="a6">
    <w:name w:val="正文缩进 字符"/>
    <w:link w:val="a5"/>
    <w:qFormat/>
    <w:rPr>
      <w:rFonts w:cstheme="minorBidi"/>
      <w:kern w:val="2"/>
      <w:sz w:val="24"/>
      <w:szCs w:val="22"/>
    </w:rPr>
  </w:style>
  <w:style w:type="paragraph" w:customStyle="1" w:styleId="085">
    <w:name w:val="样式 首行缩进:  0.85 厘米"/>
    <w:basedOn w:val="a1"/>
    <w:qFormat/>
    <w:pPr>
      <w:adjustRightInd w:val="0"/>
    </w:pPr>
    <w:rPr>
      <w:rFonts w:cs="宋体"/>
      <w:szCs w:val="20"/>
    </w:rPr>
  </w:style>
  <w:style w:type="character" w:customStyle="1" w:styleId="5Char">
    <w:name w:val="5级表头 Char"/>
    <w:basedOn w:val="a2"/>
    <w:link w:val="51"/>
    <w:qFormat/>
    <w:rPr>
      <w:rFonts w:eastAsiaTheme="minorEastAsia"/>
      <w:b/>
      <w:kern w:val="2"/>
      <w:sz w:val="21"/>
      <w:szCs w:val="22"/>
    </w:rPr>
  </w:style>
  <w:style w:type="character" w:customStyle="1" w:styleId="Char1">
    <w:name w:val="正文表格 Char"/>
    <w:link w:val="afff4"/>
    <w:qFormat/>
    <w:rPr>
      <w:rFonts w:ascii="宋体" w:hAnsi="宋体"/>
      <w:kern w:val="2"/>
      <w:sz w:val="21"/>
      <w:szCs w:val="21"/>
    </w:rPr>
  </w:style>
  <w:style w:type="paragraph" w:customStyle="1" w:styleId="afff4">
    <w:name w:val="正文表格"/>
    <w:basedOn w:val="a1"/>
    <w:link w:val="Char1"/>
    <w:qFormat/>
    <w:pPr>
      <w:spacing w:line="240" w:lineRule="auto"/>
      <w:ind w:firstLineChars="0" w:firstLine="0"/>
      <w:jc w:val="center"/>
    </w:pPr>
    <w:rPr>
      <w:rFonts w:ascii="宋体" w:hAnsi="宋体" w:cs="Times New Roman"/>
      <w:sz w:val="21"/>
      <w:szCs w:val="21"/>
    </w:rPr>
  </w:style>
  <w:style w:type="character" w:customStyle="1" w:styleId="Char2">
    <w:name w:val="正文格式 Char"/>
    <w:link w:val="afff5"/>
    <w:qFormat/>
    <w:rPr>
      <w:sz w:val="24"/>
    </w:rPr>
  </w:style>
  <w:style w:type="paragraph" w:customStyle="1" w:styleId="afff5">
    <w:name w:val="正文格式"/>
    <w:basedOn w:val="a1"/>
    <w:link w:val="Char2"/>
    <w:qFormat/>
    <w:pPr>
      <w:ind w:firstLine="544"/>
    </w:pPr>
    <w:rPr>
      <w:rFonts w:cs="Times New Roman"/>
      <w:kern w:val="0"/>
      <w:szCs w:val="20"/>
    </w:rPr>
  </w:style>
  <w:style w:type="paragraph" w:customStyle="1" w:styleId="afff6">
    <w:name w:val="表格内容"/>
    <w:basedOn w:val="a1"/>
    <w:link w:val="Char3"/>
    <w:qFormat/>
    <w:pPr>
      <w:spacing w:line="360" w:lineRule="exact"/>
      <w:ind w:firstLineChars="0" w:firstLine="0"/>
      <w:jc w:val="center"/>
    </w:pPr>
    <w:rPr>
      <w:rFonts w:cs="Times New Roman"/>
      <w:sz w:val="21"/>
      <w:szCs w:val="21"/>
    </w:rPr>
  </w:style>
  <w:style w:type="character" w:customStyle="1" w:styleId="Char3">
    <w:name w:val="表格内容 Char"/>
    <w:basedOn w:val="a2"/>
    <w:link w:val="afff6"/>
    <w:qFormat/>
    <w:rPr>
      <w:kern w:val="2"/>
      <w:sz w:val="21"/>
      <w:szCs w:val="21"/>
    </w:rPr>
  </w:style>
  <w:style w:type="table" w:customStyle="1" w:styleId="37">
    <w:name w:val="三线表3"/>
    <w:basedOn w:val="a3"/>
    <w:uiPriority w:val="39"/>
    <w:qFormat/>
    <w:pPr>
      <w:spacing w:line="360" w:lineRule="exact"/>
      <w:jc w:val="both"/>
    </w:pPr>
    <w:rPr>
      <w:rFonts w:asciiTheme="minorHAnsi" w:eastAsiaTheme="minorEastAsia" w:hAnsiTheme="minorHAnsi" w:cstheme="minorBidi"/>
      <w:kern w:val="2"/>
      <w:sz w:val="21"/>
      <w:szCs w:val="22"/>
    </w:rPr>
    <w:tblPr>
      <w:tblBorders>
        <w:top w:val="single" w:sz="6" w:space="0" w:color="auto"/>
        <w:bottom w:val="single" w:sz="6" w:space="0" w:color="auto"/>
        <w:insideH w:val="single" w:sz="4" w:space="0" w:color="auto"/>
        <w:insideV w:val="single" w:sz="4" w:space="0" w:color="auto"/>
      </w:tblBorders>
    </w:tblPr>
    <w:tcPr>
      <w:vAlign w:val="center"/>
    </w:tcPr>
    <w:tblStylePr w:type="firstRow">
      <w:pPr>
        <w:jc w:val="both"/>
      </w:pPr>
      <w:rPr>
        <w:rFonts w:ascii="Times New Roman" w:eastAsia="宋体" w:hAnsi="Times New Roman" w:cs="Times New Roman" w:hint="default"/>
        <w:b/>
        <w:sz w:val="21"/>
        <w:szCs w:val="21"/>
      </w:rPr>
      <w:tblPr/>
      <w:tcPr>
        <w:tcBorders>
          <w:top w:val="single" w:sz="4" w:space="0" w:color="auto"/>
          <w:bottom w:val="single" w:sz="4" w:space="0" w:color="auto"/>
        </w:tcBorders>
      </w:tcPr>
    </w:tblStylePr>
  </w:style>
  <w:style w:type="paragraph" w:customStyle="1" w:styleId="afff7">
    <w:name w:val="表题"/>
    <w:basedOn w:val="a7"/>
    <w:next w:val="afff6"/>
    <w:link w:val="afff8"/>
    <w:qFormat/>
    <w:pPr>
      <w:overflowPunct w:val="0"/>
      <w:spacing w:beforeLines="50" w:before="50"/>
      <w:jc w:val="center"/>
      <w:textAlignment w:val="baseline"/>
    </w:pPr>
    <w:rPr>
      <w:rFonts w:ascii="Times New Roman" w:eastAsia="宋体" w:hAnsi="Times New Roman" w:cstheme="minorBidi"/>
      <w:b/>
      <w:sz w:val="21"/>
      <w:szCs w:val="21"/>
    </w:rPr>
  </w:style>
  <w:style w:type="character" w:customStyle="1" w:styleId="afff8">
    <w:name w:val="表题 字符"/>
    <w:link w:val="afff7"/>
    <w:qFormat/>
    <w:rPr>
      <w:rFonts w:cstheme="minorBidi"/>
      <w:b/>
      <w:kern w:val="2"/>
      <w:sz w:val="21"/>
      <w:szCs w:val="21"/>
    </w:rPr>
  </w:style>
  <w:style w:type="character" w:customStyle="1" w:styleId="font61">
    <w:name w:val="font61"/>
    <w:basedOn w:val="a2"/>
    <w:qFormat/>
    <w:rPr>
      <w:rFonts w:ascii="宋体" w:eastAsia="宋体" w:hAnsi="宋体" w:cs="宋体" w:hint="eastAsia"/>
      <w:color w:val="000000"/>
      <w:sz w:val="24"/>
      <w:szCs w:val="24"/>
      <w:u w:val="none"/>
    </w:rPr>
  </w:style>
  <w:style w:type="paragraph" w:customStyle="1" w:styleId="TOC10">
    <w:name w:val="TOC 标题1"/>
    <w:basedOn w:val="1"/>
    <w:next w:val="a1"/>
    <w:uiPriority w:val="39"/>
    <w:unhideWhenUsed/>
    <w:qFormat/>
    <w:pPr>
      <w:keepNext/>
      <w:keepLines/>
      <w:spacing w:after="0" w:line="259" w:lineRule="auto"/>
      <w:jc w:val="left"/>
      <w:outlineLvl w:val="9"/>
    </w:pPr>
    <w:rPr>
      <w:rFonts w:asciiTheme="majorHAnsi" w:eastAsiaTheme="majorEastAsia" w:hAnsiTheme="majorHAnsi" w:cstheme="majorBidi"/>
      <w:b w:val="0"/>
      <w:bCs w:val="0"/>
      <w:color w:val="2F5496" w:themeColor="accent1" w:themeShade="BF"/>
      <w:kern w:val="0"/>
      <w:szCs w:val="32"/>
    </w:rPr>
  </w:style>
  <w:style w:type="character" w:customStyle="1" w:styleId="18">
    <w:name w:val="未处理的提及1"/>
    <w:basedOn w:val="a2"/>
    <w:uiPriority w:val="99"/>
    <w:semiHidden/>
    <w:unhideWhenUsed/>
    <w:qFormat/>
    <w:rPr>
      <w:color w:val="605E5C"/>
      <w:shd w:val="clear" w:color="auto" w:fill="E1DFDD"/>
    </w:rPr>
  </w:style>
  <w:style w:type="paragraph" w:customStyle="1" w:styleId="afff9">
    <w:name w:val="表格正文"/>
    <w:basedOn w:val="a1"/>
    <w:link w:val="Char4"/>
    <w:qFormat/>
    <w:pPr>
      <w:adjustRightInd w:val="0"/>
      <w:snapToGrid w:val="0"/>
      <w:jc w:val="center"/>
    </w:pPr>
    <w:rPr>
      <w:rFonts w:cs="Times New Roman"/>
      <w:kern w:val="0"/>
      <w:sz w:val="21"/>
      <w:szCs w:val="24"/>
    </w:rPr>
  </w:style>
  <w:style w:type="character" w:customStyle="1" w:styleId="Char4">
    <w:name w:val="表格正文 Char"/>
    <w:link w:val="afff9"/>
    <w:qFormat/>
    <w:rPr>
      <w:sz w:val="21"/>
      <w:szCs w:val="24"/>
    </w:rPr>
  </w:style>
  <w:style w:type="character" w:customStyle="1" w:styleId="aa">
    <w:name w:val="批注文字 字符"/>
    <w:basedOn w:val="a2"/>
    <w:link w:val="a9"/>
    <w:qFormat/>
    <w:rPr>
      <w:rFonts w:cstheme="minorBidi"/>
      <w:kern w:val="2"/>
      <w:sz w:val="24"/>
      <w:szCs w:val="22"/>
    </w:rPr>
  </w:style>
  <w:style w:type="character" w:customStyle="1" w:styleId="afa">
    <w:name w:val="批注主题 字符"/>
    <w:basedOn w:val="aa"/>
    <w:link w:val="af9"/>
    <w:uiPriority w:val="99"/>
    <w:semiHidden/>
    <w:qFormat/>
    <w:rPr>
      <w:rFonts w:cstheme="minorBidi"/>
      <w:b/>
      <w:bCs/>
      <w:kern w:val="2"/>
      <w:sz w:val="24"/>
      <w:szCs w:val="22"/>
    </w:rPr>
  </w:style>
  <w:style w:type="character" w:customStyle="1" w:styleId="lyy">
    <w:name w:val="lyy的正文模板"/>
    <w:basedOn w:val="a2"/>
    <w:qFormat/>
    <w:rPr>
      <w:color w:val="000000"/>
      <w:sz w:val="24"/>
    </w:rPr>
  </w:style>
  <w:style w:type="paragraph" w:customStyle="1" w:styleId="afffa">
    <w:name w:val="公示稿标题"/>
    <w:pPr>
      <w:spacing w:after="200" w:line="300" w:lineRule="auto"/>
      <w:jc w:val="center"/>
    </w:pPr>
    <w:rPr>
      <w:rFonts w:eastAsia="方正小标宋简体"/>
      <w:color w:val="000000"/>
      <w:sz w:val="44"/>
    </w:rPr>
  </w:style>
  <w:style w:type="paragraph" w:customStyle="1" w:styleId="afffb">
    <w:name w:val="公示稿一级标题"/>
    <w:pPr>
      <w:keepNext/>
      <w:keepLines/>
      <w:pageBreakBefore/>
      <w:spacing w:before="360" w:after="240"/>
      <w:jc w:val="center"/>
    </w:pPr>
    <w:rPr>
      <w:rFonts w:eastAsia="黑体"/>
      <w:color w:val="000000"/>
      <w:sz w:val="32"/>
    </w:rPr>
  </w:style>
  <w:style w:type="paragraph" w:customStyle="1" w:styleId="afffc">
    <w:name w:val="公示稿二级标题"/>
    <w:pPr>
      <w:keepNext/>
      <w:spacing w:before="240" w:after="120"/>
    </w:pPr>
    <w:rPr>
      <w:rFonts w:eastAsia="黑体"/>
      <w:color w:val="000000"/>
      <w:sz w:val="30"/>
    </w:rPr>
  </w:style>
  <w:style w:type="paragraph" w:customStyle="1" w:styleId="afffd">
    <w:name w:val="公示稿三级标题"/>
    <w:pPr>
      <w:keepNext/>
      <w:spacing w:before="160" w:after="80"/>
    </w:pPr>
    <w:rPr>
      <w:rFonts w:eastAsia="楷体"/>
      <w:b/>
      <w:color w:val="000000"/>
      <w:sz w:val="24"/>
    </w:rPr>
  </w:style>
  <w:style w:type="paragraph" w:customStyle="1" w:styleId="afffe">
    <w:name w:val="公示稿目录"/>
    <w:pPr>
      <w:spacing w:after="80" w:line="360" w:lineRule="auto"/>
    </w:pPr>
    <w:rPr>
      <w:color w:val="000000"/>
      <w:sz w:val="24"/>
    </w:rPr>
  </w:style>
  <w:style w:type="paragraph" w:customStyle="1" w:styleId="affff">
    <w:name w:val="公示稿表题"/>
    <w:pPr>
      <w:keepNext/>
      <w:spacing w:before="160" w:after="100"/>
      <w:jc w:val="center"/>
    </w:pPr>
    <w:rPr>
      <w:rFonts w:eastAsia="黑体"/>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36DDD-D97C-44D7-8A05-98E7B9E3E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12084</TotalTime>
  <Pages>28</Pages>
  <Words>2316</Words>
  <Characters>13203</Characters>
  <Application>Microsoft Office Word</Application>
  <DocSecurity>0</DocSecurity>
  <Lines>110</Lines>
  <Paragraphs>30</Paragraphs>
  <ScaleCrop>false</ScaleCrop>
  <Company/>
  <LinksUpToDate>false</LinksUpToDate>
  <CharactersWithSpaces>15489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湖北省矿产资源“十五五”规划环境影响报告书征求意见稿简本</dc:title>
  <dc:subject>规划环境影响评价第二次公示</dc:subject>
  <dc:creator>Lenovo</dc:creator>
  <dc:description/>
  <cp:lastModifiedBy>胡 悦</cp:lastModifiedBy>
  <cp:revision>164</cp:revision>
  <cp:lastPrinted>2026-09-30T02:35:00Z</cp:lastPrinted>
  <dcterms:created xsi:type="dcterms:W3CDTF">2022-07-26T09:06:00Z</dcterms:created>
  <dcterms:modified xsi:type="dcterms:W3CDTF">2026-10-08T01:21:00Z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DED55EA8878F4511B74D893BF6268B55</vt:lpwstr>
  </property>
  <property fmtid="{D5CDD505-2E9C-101B-9397-08002B2CF9AE}" pid="4" name="KSOTemplateDocerSaveRecord">
    <vt:lpwstr>eyJoZGlkIjoiZjFlZGZiMWI1YjVhMThjNjM5ZDVjYzg5ODVmNTI3NGIiLCJ1c2VySWQiOiIxNTM0NTgzODY5In0=</vt:lpwstr>
  </property>
</Properties>
</file>